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14176d424b5.htm"/>
        <w:bookmarkStart w:id="1" w:name="ksd314176d424b5"/>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Filed Pursuant to Rule 424(b)(5) </w:t>
      </w:r>
    </w:p>
    <w:p>
      <w:pPr>
        <w:pStyle w:val="TextBody"/>
        <w:spacing w:before="0" w:after="0"/>
        <w:jc w:val="right"/>
        <w:rPr>
          <w:rFonts w:ascii="Times New Roman" w:hAnsi="Times New Roman"/>
          <w:b/>
          <w:sz w:val="20"/>
        </w:rPr>
      </w:pPr>
      <w:r>
        <w:rPr>
          <w:rFonts w:ascii="Times New Roman" w:hAnsi="Times New Roman"/>
          <w:b/>
          <w:sz w:val="20"/>
        </w:rPr>
        <w:t xml:space="preserve">Registration No. 333-162475 </w:t>
      </w:r>
    </w:p>
    <w:p>
      <w:pPr>
        <w:pStyle w:val="TextBody"/>
        <w:spacing w:before="18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941"/>
        <w:gridCol w:w="101"/>
        <w:gridCol w:w="1531"/>
        <w:gridCol w:w="101"/>
        <w:gridCol w:w="1531"/>
      </w:tblGrid>
      <w:tr>
        <w:trPr/>
        <w:tc>
          <w:tcPr>
            <w:tcW w:w="694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6941"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Class of</w:t>
            </w:r>
          </w:p>
          <w:p>
            <w:pPr>
              <w:pStyle w:val="TableContents"/>
              <w:spacing w:before="0" w:after="15"/>
              <w:jc w:val="center"/>
              <w:rPr>
                <w:rFonts w:ascii="Times New Roman" w:hAnsi="Times New Roman"/>
                <w:b/>
                <w:sz w:val="14"/>
              </w:rPr>
            </w:pPr>
            <w:r>
              <w:rPr>
                <w:rFonts w:ascii="Times New Roman" w:hAnsi="Times New Roman"/>
                <w:b/>
                <w:sz w:val="14"/>
              </w:rPr>
              <w:t>Securities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Maximum Aggregate</w:t>
              <w:br/>
              <w:t>Offering Price</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 of</w:t>
              <w:br/>
              <w:t>Registration Fee</w:t>
            </w:r>
          </w:p>
        </w:tc>
      </w:tr>
      <w:tr>
        <w:trPr/>
        <w:tc>
          <w:tcPr>
            <w:tcW w:w="6941"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3.65% Senior Notes due 2022</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$750,000,000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$85,950(1)</w:t>
            </w:r>
          </w:p>
        </w:tc>
      </w:tr>
      <w:tr>
        <w:trPr/>
        <w:tc>
          <w:tcPr>
            <w:tcW w:w="6941"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5.15% Senior Notes due 2042</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$500,000,000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$57,300(1)</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filing fee, calculated in accordance with Rule 457(r), has been transmitted to the SEC in connection with the securities offered from Registration Statement File No. 333-162475 by means of this prospectus supplement. </w:t>
            </w:r>
          </w:p>
        </w:tc>
      </w:tr>
    </w:tbl>
    <w:p>
      <w:pPr>
        <w:pStyle w:val="TextBody"/>
        <w:spacing w:before="0" w:after="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October 14, 2009 </w:t>
      </w:r>
    </w:p>
    <w:p>
      <w:pPr>
        <w:pStyle w:val="TextBody"/>
        <w:spacing w:before="0" w:after="0"/>
        <w:rPr/>
      </w:pPr>
      <w:r>
        <w:rPr/>
        <w:t> </w:t>
      </w:r>
    </w:p>
    <w:p>
      <w:pPr>
        <w:pStyle w:val="TextBody"/>
        <w:spacing w:before="90" w:after="0"/>
        <w:jc w:val="center"/>
        <w:rPr/>
      </w:pPr>
      <w:r>
        <w:rPr/>
        <w:drawing>
          <wp:inline distT="0" distB="0" distL="0" distR="0">
            <wp:extent cx="19240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90550"/>
                    </a:xfrm>
                    <a:prstGeom prst="rect">
                      <a:avLst/>
                    </a:prstGeom>
                  </pic:spPr>
                </pic:pic>
              </a:graphicData>
            </a:graphic>
          </wp:inline>
        </w:drawing>
      </w:r>
      <w:r>
        <w:rPr/>
        <w:t xml:space="preserve">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90" w:after="0"/>
        <w:jc w:val="center"/>
        <w:rPr>
          <w:rFonts w:ascii="Times New Roman" w:hAnsi="Times New Roman"/>
          <w:b/>
          <w:sz w:val="24"/>
        </w:rPr>
      </w:pPr>
      <w:r>
        <w:rPr>
          <w:rFonts w:ascii="Times New Roman" w:hAnsi="Times New Roman"/>
          <w:b/>
          <w:sz w:val="24"/>
        </w:rPr>
        <w:t xml:space="preserve">$750,000,000 3.65% Senior Notes due 2022 </w:t>
      </w:r>
    </w:p>
    <w:p>
      <w:pPr>
        <w:pStyle w:val="TextBody"/>
        <w:spacing w:before="0" w:after="0"/>
        <w:jc w:val="center"/>
        <w:rPr>
          <w:rFonts w:ascii="Times New Roman" w:hAnsi="Times New Roman"/>
          <w:b/>
          <w:sz w:val="24"/>
        </w:rPr>
      </w:pPr>
      <w:r>
        <w:rPr>
          <w:rFonts w:ascii="Times New Roman" w:hAnsi="Times New Roman"/>
          <w:b/>
          <w:sz w:val="24"/>
        </w:rPr>
        <w:t xml:space="preserve">$500,000,000 5.15% Senior Notes due 2042 </w:t>
      </w:r>
    </w:p>
    <w:p>
      <w:pPr>
        <w:pStyle w:val="TextBody"/>
        <w:spacing w:before="90" w:after="0"/>
        <w:rPr>
          <w:rFonts w:ascii="Times New Roman" w:hAnsi="Times New Roman"/>
          <w:sz w:val="20"/>
        </w:rPr>
      </w:pPr>
      <w:r>
        <w:rPr>
          <w:rFonts w:ascii="Times New Roman" w:hAnsi="Times New Roman"/>
          <w:sz w:val="20"/>
        </w:rPr>
        <w:t xml:space="preserve">Plains All American Pipeline, L.P. and PAA Finance Corp. are offering $1.25 billion aggregate principal amount of debt securities, consisting of $750 million aggregate principal amount of 3.65% Senior Notes due 2022 and $500 million aggregate principal amount of 5.15% Senior Notes due 2042. We refer to each such series of notes as the 2022 Notes and the 2042 Notes, respectively, and, collectively, as the Notes. </w:t>
      </w:r>
    </w:p>
    <w:p>
      <w:pPr>
        <w:pStyle w:val="TextBody"/>
        <w:spacing w:before="180" w:after="0"/>
        <w:rPr>
          <w:rFonts w:ascii="Times New Roman" w:hAnsi="Times New Roman"/>
          <w:sz w:val="20"/>
        </w:rPr>
      </w:pPr>
      <w:r>
        <w:rPr>
          <w:rFonts w:ascii="Times New Roman" w:hAnsi="Times New Roman"/>
          <w:sz w:val="20"/>
        </w:rPr>
        <w:t xml:space="preserve">We will pay interest on the Notes semi-annually in arrears on June 1 and December 1 of each year, beginning on December 1, 2012. The 2022 Notes will mature on June 1, 2022, and the 2042 Notes will mature on June 1, 2042, in either case unless redeemed prior to the respective maturity dates. </w:t>
      </w:r>
    </w:p>
    <w:p>
      <w:pPr>
        <w:pStyle w:val="TextBody"/>
        <w:spacing w:before="180" w:after="0"/>
        <w:rPr>
          <w:rFonts w:ascii="Times New Roman" w:hAnsi="Times New Roman"/>
          <w:sz w:val="20"/>
        </w:rPr>
      </w:pPr>
      <w:r>
        <w:rPr>
          <w:rFonts w:ascii="Times New Roman" w:hAnsi="Times New Roman"/>
          <w:sz w:val="20"/>
        </w:rPr>
        <w:t xml:space="preserve">We may, at our option, redeem the Notes of either series at any time in whole or from time to time in part, prior to maturity, at the redemption prices as described herein under Description of NotesOptional Redemption. In addition, if the BP NGL Acquisition (as defined herein) is not closed on or prior to June 1, 2012 or the acquisition agreement relating to the acquisition is terminated earlier, we may redeem all, but not less than all, of either or both series of Notes at a redemption price equal to 101% of the aggregate principal amount of such series of Notes, plus accrued and unpaid interest to the date of redemption. See Prospectus Supplement SummaryPending BP NGL Acquisition and Description of NotesSpecial Optional Redemption. </w:t>
      </w:r>
    </w:p>
    <w:p>
      <w:pPr>
        <w:pStyle w:val="TextBody"/>
        <w:spacing w:before="180" w:after="0"/>
        <w:rPr>
          <w:rFonts w:ascii="Times New Roman" w:hAnsi="Times New Roman"/>
          <w:sz w:val="20"/>
        </w:rPr>
      </w:pPr>
      <w:r>
        <w:rPr>
          <w:rFonts w:ascii="Times New Roman" w:hAnsi="Times New Roman"/>
          <w:sz w:val="20"/>
        </w:rPr>
        <w:t xml:space="preserve">The Notes will be the unsecured senior obligations of Plains All American Pipeline, L.P. and PAA Finance Corp. and will rank equally in right of payment with their other senior indebtedness from time to time outstanding. </w:t>
      </w:r>
    </w:p>
    <w:p>
      <w:pPr>
        <w:pStyle w:val="TextBody"/>
        <w:spacing w:before="180" w:after="0"/>
        <w:rPr>
          <w:rFonts w:ascii="Times New Roman" w:hAnsi="Times New Roman"/>
          <w:sz w:val="20"/>
        </w:rPr>
      </w:pPr>
      <w:r>
        <w:rPr>
          <w:rFonts w:ascii="Times New Roman" w:hAnsi="Times New Roman"/>
          <w:sz w:val="20"/>
        </w:rPr>
        <w:t xml:space="preserve">The Notes will not be listed on any securities exchange. Currently, there is no public market for the Notes. </w:t>
      </w:r>
    </w:p>
    <w:p>
      <w:pPr>
        <w:pStyle w:val="TextBody"/>
        <w:spacing w:before="180" w:after="0"/>
        <w:rPr/>
      </w:pPr>
      <w:r>
        <w:rPr>
          <w:rFonts w:ascii="Times New Roman" w:hAnsi="Times New Roman"/>
          <w:b/>
          <w:sz w:val="24"/>
        </w:rPr>
        <w:t>Investing in the Notes involves risks. See </w:t>
      </w:r>
      <w:hyperlink w:anchor="supp314176_5">
        <w:r>
          <w:rPr>
            <w:rStyle w:val="InternetLink"/>
            <w:rFonts w:ascii="Times New Roman" w:hAnsi="Times New Roman"/>
            <w:b/>
            <w:sz w:val="24"/>
          </w:rPr>
          <w:t>Risk Factors</w:t>
        </w:r>
      </w:hyperlink>
      <w:r>
        <w:rPr>
          <w:rFonts w:ascii="Times New Roman" w:hAnsi="Times New Roman"/>
          <w:b/>
          <w:sz w:val="24"/>
        </w:rPr>
        <w:t xml:space="preserve"> on page S-7 of this prospectus supplement and beginning on page 6 of the accompanying prospectus. </w:t>
      </w:r>
    </w:p>
    <w:p>
      <w:pPr>
        <w:pStyle w:val="TextBody"/>
        <w:spacing w:before="18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83"/>
        <w:gridCol w:w="568"/>
        <w:gridCol w:w="95"/>
        <w:gridCol w:w="825"/>
        <w:gridCol w:w="155"/>
        <w:gridCol w:w="536"/>
        <w:gridCol w:w="110"/>
        <w:gridCol w:w="714"/>
        <w:gridCol w:w="155"/>
        <w:gridCol w:w="536"/>
        <w:gridCol w:w="104"/>
        <w:gridCol w:w="865"/>
        <w:gridCol w:w="159"/>
      </w:tblGrid>
      <w:tr>
        <w:trPr/>
        <w:tc>
          <w:tcPr>
            <w:tcW w:w="5383"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383"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92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Public  Offering</w:t>
            </w:r>
            <w:r>
              <w:rPr/>
              <w:br/>
            </w:r>
            <w:r>
              <w:rPr>
                <w:rFonts w:ascii="Times New Roman" w:hAnsi="Times New Roman"/>
                <w:b/>
                <w:sz w:val="14"/>
              </w:rPr>
              <w:t>Price(1)</w:t>
            </w:r>
          </w:p>
        </w:tc>
        <w:tc>
          <w:tcPr>
            <w:tcW w:w="155"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Underwriting</w:t>
            </w:r>
            <w:r>
              <w:rPr/>
              <w:br/>
            </w:r>
            <w:r>
              <w:rPr>
                <w:rFonts w:ascii="Times New Roman" w:hAnsi="Times New Roman"/>
                <w:b/>
                <w:sz w:val="14"/>
              </w:rPr>
              <w:t>Discount</w:t>
            </w:r>
          </w:p>
        </w:tc>
        <w:tc>
          <w:tcPr>
            <w:tcW w:w="155"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Proceeds,</w:t>
              <w:br/>
              <w:t>Before</w:t>
              <w:br/>
              <w:t>Expenses, to Us</w:t>
            </w:r>
          </w:p>
        </w:tc>
        <w:tc>
          <w:tcPr>
            <w:tcW w:w="159" w:type="dxa"/>
            <w:tcBorders/>
            <w:shd w:fill="auto" w:val="clear"/>
            <w:vAlign w:val="bottom"/>
          </w:tcPr>
          <w:p>
            <w:pPr>
              <w:pStyle w:val="TableContents"/>
              <w:spacing w:before="0" w:after="283"/>
              <w:rPr/>
            </w:pPr>
            <w:r>
              <w:rPr/>
              <w:t> </w:t>
            </w:r>
          </w:p>
        </w:tc>
      </w:tr>
      <w:tr>
        <w:trPr/>
        <w:tc>
          <w:tcPr>
            <w:tcW w:w="5383" w:type="dxa"/>
            <w:tcBorders/>
            <w:shd w:fill="auto" w:val="clear"/>
          </w:tcPr>
          <w:p>
            <w:pPr>
              <w:pStyle w:val="TableContents"/>
              <w:spacing w:before="0" w:after="283"/>
              <w:rPr>
                <w:rFonts w:ascii="Times New Roman" w:hAnsi="Times New Roman"/>
                <w:sz w:val="14"/>
              </w:rPr>
            </w:pPr>
            <w:r>
              <w:rPr>
                <w:rFonts w:ascii="Times New Roman" w:hAnsi="Times New Roman"/>
                <w:sz w:val="14"/>
              </w:rPr>
              <w:t>Per 2022 Note</w:t>
            </w:r>
          </w:p>
        </w:tc>
        <w:tc>
          <w:tcPr>
            <w:tcW w:w="5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99.823</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3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0.650</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99.173</w:t>
            </w:r>
          </w:p>
        </w:tc>
        <w:tc>
          <w:tcPr>
            <w:tcW w:w="1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83" w:type="dxa"/>
            <w:tcBorders/>
            <w:shd w:fill="auto" w:val="clear"/>
          </w:tcPr>
          <w:p>
            <w:pPr>
              <w:pStyle w:val="TableContents"/>
              <w:spacing w:before="0" w:after="283"/>
              <w:rPr>
                <w:rFonts w:ascii="Times New Roman" w:hAnsi="Times New Roman"/>
                <w:sz w:val="14"/>
              </w:rPr>
            </w:pPr>
            <w:r>
              <w:rPr>
                <w:rFonts w:ascii="Times New Roman" w:hAnsi="Times New Roman"/>
                <w:sz w:val="14"/>
              </w:rPr>
              <w:t>Total</w:t>
            </w:r>
          </w:p>
        </w:tc>
        <w:tc>
          <w:tcPr>
            <w:tcW w:w="5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748,672,500</w:t>
            </w:r>
          </w:p>
        </w:tc>
        <w:tc>
          <w:tcPr>
            <w:tcW w:w="155"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4,875,000</w:t>
            </w:r>
          </w:p>
        </w:tc>
        <w:tc>
          <w:tcPr>
            <w:tcW w:w="155"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743,797,500</w:t>
            </w:r>
          </w:p>
        </w:tc>
        <w:tc>
          <w:tcPr>
            <w:tcW w:w="159" w:type="dxa"/>
            <w:tcBorders/>
            <w:shd w:fill="auto" w:val="clear"/>
            <w:vAlign w:val="bottom"/>
          </w:tcPr>
          <w:p>
            <w:pPr>
              <w:pStyle w:val="TableContents"/>
              <w:spacing w:before="0" w:after="283"/>
              <w:rPr/>
            </w:pPr>
            <w:r>
              <w:rPr/>
              <w:t>  </w:t>
            </w:r>
          </w:p>
        </w:tc>
      </w:tr>
      <w:tr>
        <w:trPr/>
        <w:tc>
          <w:tcPr>
            <w:tcW w:w="5383" w:type="dxa"/>
            <w:tcBorders/>
            <w:shd w:fill="auto" w:val="clear"/>
          </w:tcPr>
          <w:p>
            <w:pPr>
              <w:pStyle w:val="TableContents"/>
              <w:spacing w:before="0" w:after="283"/>
              <w:rPr>
                <w:rFonts w:ascii="Times New Roman" w:hAnsi="Times New Roman"/>
                <w:sz w:val="14"/>
              </w:rPr>
            </w:pPr>
            <w:r>
              <w:rPr>
                <w:rFonts w:ascii="Times New Roman" w:hAnsi="Times New Roman"/>
                <w:sz w:val="14"/>
              </w:rPr>
              <w:t>Per 2042 Note</w:t>
            </w:r>
          </w:p>
        </w:tc>
        <w:tc>
          <w:tcPr>
            <w:tcW w:w="5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99.755</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3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0.875</w:t>
            </w:r>
          </w:p>
        </w:tc>
        <w:tc>
          <w:tcPr>
            <w:tcW w:w="15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5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98.880</w:t>
            </w:r>
          </w:p>
        </w:tc>
        <w:tc>
          <w:tcPr>
            <w:tcW w:w="1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r>
      <w:tr>
        <w:trPr/>
        <w:tc>
          <w:tcPr>
            <w:tcW w:w="5383" w:type="dxa"/>
            <w:tcBorders/>
            <w:shd w:fill="auto" w:val="clear"/>
          </w:tcPr>
          <w:p>
            <w:pPr>
              <w:pStyle w:val="TableContents"/>
              <w:spacing w:before="0" w:after="283"/>
              <w:rPr>
                <w:rFonts w:ascii="Times New Roman" w:hAnsi="Times New Roman"/>
                <w:sz w:val="14"/>
              </w:rPr>
            </w:pPr>
            <w:r>
              <w:rPr>
                <w:rFonts w:ascii="Times New Roman" w:hAnsi="Times New Roman"/>
                <w:sz w:val="14"/>
              </w:rPr>
              <w:t>Total</w:t>
            </w:r>
          </w:p>
        </w:tc>
        <w:tc>
          <w:tcPr>
            <w:tcW w:w="56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498,775,000</w:t>
            </w:r>
          </w:p>
        </w:tc>
        <w:tc>
          <w:tcPr>
            <w:tcW w:w="155"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4,375,000</w:t>
            </w:r>
          </w:p>
        </w:tc>
        <w:tc>
          <w:tcPr>
            <w:tcW w:w="155"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494,400,000</w:t>
            </w:r>
          </w:p>
        </w:tc>
        <w:tc>
          <w:tcPr>
            <w:tcW w:w="159"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Plus accrued interest, if any, from March 22, 2012 if settlement occurs after that date. </w:t>
            </w:r>
          </w:p>
        </w:tc>
      </w:tr>
    </w:tbl>
    <w:p>
      <w:pPr>
        <w:pStyle w:val="TextBody"/>
        <w:spacing w:before="180" w:after="0"/>
        <w:rPr>
          <w:rFonts w:ascii="Times New Roman" w:hAnsi="Times New Roman"/>
          <w:sz w:val="20"/>
        </w:rPr>
      </w:pPr>
      <w:r>
        <w:rPr>
          <w:rFonts w:ascii="Times New Roman" w:hAnsi="Times New Roman"/>
          <w:sz w:val="20"/>
        </w:rPr>
        <w:t xml:space="preserve">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March 22, 2012, the seventh trading day after the date of this prospectus supplement. </w:t>
      </w:r>
    </w:p>
    <w:p>
      <w:pPr>
        <w:pStyle w:val="TextBody"/>
        <w:spacing w:before="18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522"/>
        <w:gridCol w:w="159"/>
        <w:gridCol w:w="2572"/>
        <w:gridCol w:w="159"/>
        <w:gridCol w:w="1355"/>
        <w:gridCol w:w="767"/>
        <w:gridCol w:w="768"/>
        <w:gridCol w:w="159"/>
        <w:gridCol w:w="2744"/>
      </w:tblGrid>
      <w:tr>
        <w:trPr/>
        <w:tc>
          <w:tcPr>
            <w:tcW w:w="152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257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bottom"/>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2744" w:type="dxa"/>
            <w:tcBorders/>
            <w:shd w:fill="auto" w:val="clear"/>
            <w:vAlign w:val="center"/>
          </w:tcPr>
          <w:p>
            <w:pPr>
              <w:pStyle w:val="TableContents"/>
              <w:spacing w:before="0" w:after="283"/>
              <w:rPr>
                <w:sz w:val="4"/>
                <w:szCs w:val="4"/>
              </w:rPr>
            </w:pPr>
            <w:r>
              <w:rPr>
                <w:sz w:val="4"/>
                <w:szCs w:val="4"/>
              </w:rPr>
            </w:r>
          </w:p>
        </w:tc>
      </w:tr>
      <w:tr>
        <w:trPr/>
        <w:tc>
          <w:tcPr>
            <w:tcW w:w="1522" w:type="dxa"/>
            <w:tcBorders/>
            <w:shd w:fill="auto" w:val="clear"/>
          </w:tcPr>
          <w:p>
            <w:pPr>
              <w:pStyle w:val="TableContents"/>
              <w:spacing w:before="0" w:after="283"/>
              <w:rPr>
                <w:rFonts w:ascii="Times New Roman" w:hAnsi="Times New Roman"/>
                <w:b/>
                <w:sz w:val="24"/>
              </w:rPr>
            </w:pPr>
            <w:r>
              <w:rPr>
                <w:rFonts w:ascii="Times New Roman" w:hAnsi="Times New Roman"/>
                <w:b/>
                <w:sz w:val="24"/>
              </w:rPr>
              <w:t>J.P. Morgan</w:t>
            </w:r>
          </w:p>
        </w:tc>
        <w:tc>
          <w:tcPr>
            <w:tcW w:w="159" w:type="dxa"/>
            <w:tcBorders/>
            <w:shd w:fill="auto" w:val="clear"/>
            <w:vAlign w:val="bottom"/>
          </w:tcPr>
          <w:p>
            <w:pPr>
              <w:pStyle w:val="TableContents"/>
              <w:spacing w:before="0" w:after="283"/>
              <w:rPr/>
            </w:pPr>
            <w:r>
              <w:rPr/>
              <w:t>  </w:t>
            </w:r>
          </w:p>
        </w:tc>
        <w:tc>
          <w:tcPr>
            <w:tcW w:w="2572"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BofA Merrill Lynch</w:t>
            </w:r>
          </w:p>
        </w:tc>
        <w:tc>
          <w:tcPr>
            <w:tcW w:w="159" w:type="dxa"/>
            <w:tcBorders/>
            <w:shd w:fill="auto" w:val="clear"/>
            <w:vAlign w:val="bottom"/>
          </w:tcPr>
          <w:p>
            <w:pPr>
              <w:pStyle w:val="TableContents"/>
              <w:spacing w:before="0" w:after="283"/>
              <w:rPr/>
            </w:pPr>
            <w:r>
              <w:rPr/>
              <w:t>  </w:t>
            </w:r>
          </w:p>
        </w:tc>
        <w:tc>
          <w:tcPr>
            <w:tcW w:w="2890" w:type="dxa"/>
            <w:gridSpan w:val="3"/>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UBS Investment Bank</w:t>
            </w:r>
          </w:p>
        </w:tc>
        <w:tc>
          <w:tcPr>
            <w:tcW w:w="159" w:type="dxa"/>
            <w:tcBorders/>
            <w:shd w:fill="auto" w:val="clear"/>
            <w:vAlign w:val="bottom"/>
          </w:tcPr>
          <w:p>
            <w:pPr>
              <w:pStyle w:val="TableContents"/>
              <w:spacing w:before="0" w:after="283"/>
              <w:rPr/>
            </w:pPr>
            <w:r>
              <w:rPr/>
              <w:t>  </w:t>
            </w:r>
          </w:p>
        </w:tc>
        <w:tc>
          <w:tcPr>
            <w:tcW w:w="2744" w:type="dxa"/>
            <w:tcBorders/>
            <w:shd w:fill="auto" w:val="clear"/>
          </w:tcPr>
          <w:p>
            <w:pPr>
              <w:pStyle w:val="TableContents"/>
              <w:spacing w:before="0" w:after="283"/>
              <w:jc w:val="right"/>
              <w:rPr>
                <w:rFonts w:ascii="Times New Roman" w:hAnsi="Times New Roman"/>
                <w:b/>
                <w:sz w:val="24"/>
              </w:rPr>
            </w:pPr>
            <w:r>
              <w:rPr>
                <w:rFonts w:ascii="Times New Roman" w:hAnsi="Times New Roman"/>
                <w:b/>
                <w:sz w:val="24"/>
              </w:rPr>
              <w:t>Wells Fargo Securities</w:t>
            </w:r>
          </w:p>
        </w:tc>
      </w:tr>
    </w:tbl>
    <w:tbl>
      <w:tblPr>
        <w:tblW w:w="5000" w:type="pct"/>
        <w:jc w:val="center"/>
        <w:tblInd w:w="0" w:type="dxa"/>
        <w:tblCellMar>
          <w:top w:w="0" w:type="dxa"/>
          <w:left w:w="0" w:type="dxa"/>
          <w:bottom w:w="0" w:type="dxa"/>
          <w:right w:w="0" w:type="dxa"/>
        </w:tblCellMar>
      </w:tblPr>
      <w:tblGrid>
        <w:gridCol w:w="5205"/>
        <w:gridCol w:w="202"/>
        <w:gridCol w:w="4798"/>
      </w:tblGrid>
      <w:tr>
        <w:trPr/>
        <w:tc>
          <w:tcPr>
            <w:tcW w:w="520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DNB Markets</w:t>
            </w:r>
          </w:p>
        </w:tc>
        <w:tc>
          <w:tcPr>
            <w:tcW w:w="2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Mizuho Securities</w:t>
            </w:r>
          </w:p>
        </w:tc>
      </w:tr>
    </w:tbl>
    <w:p>
      <w:pPr>
        <w:pStyle w:val="TextBody"/>
        <w:spacing w:before="90" w:after="0"/>
        <w:jc w:val="center"/>
        <w:rPr>
          <w:rFonts w:ascii="Times New Roman" w:hAnsi="Times New Roman"/>
          <w:i/>
          <w:sz w:val="20"/>
        </w:rPr>
      </w:pPr>
      <w:r>
        <w:rPr>
          <w:rFonts w:ascii="Times New Roman" w:hAnsi="Times New Roman"/>
          <w:i/>
          <w:sz w:val="20"/>
        </w:rPr>
        <w:t xml:space="preserve">Co-Managers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551"/>
        <w:gridCol w:w="102"/>
        <w:gridCol w:w="2654"/>
        <w:gridCol w:w="101"/>
        <w:gridCol w:w="3369"/>
        <w:gridCol w:w="101"/>
        <w:gridCol w:w="1327"/>
      </w:tblGrid>
      <w:tr>
        <w:trPr/>
        <w:tc>
          <w:tcPr>
            <w:tcW w:w="255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6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3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tcPr>
          <w:p>
            <w:pPr>
              <w:pStyle w:val="TableContents"/>
              <w:spacing w:before="0" w:after="283"/>
              <w:rPr>
                <w:rFonts w:ascii="Times New Roman" w:hAnsi="Times New Roman"/>
                <w:b/>
                <w:sz w:val="20"/>
              </w:rPr>
            </w:pPr>
            <w:r>
              <w:rPr>
                <w:rFonts w:ascii="Times New Roman" w:hAnsi="Times New Roman"/>
                <w:b/>
                <w:sz w:val="20"/>
              </w:rPr>
              <w:t>BMO Capital Markets</w:t>
            </w:r>
          </w:p>
        </w:tc>
        <w:tc>
          <w:tcPr>
            <w:tcW w:w="102" w:type="dxa"/>
            <w:tcBorders/>
            <w:shd w:fill="auto" w:val="clear"/>
            <w:vAlign w:val="bottom"/>
          </w:tcPr>
          <w:p>
            <w:pPr>
              <w:pStyle w:val="TableContents"/>
              <w:spacing w:before="0" w:after="283"/>
              <w:rPr/>
            </w:pPr>
            <w:r>
              <w:rPr/>
              <w:t> </w:t>
            </w:r>
          </w:p>
        </w:tc>
        <w:tc>
          <w:tcPr>
            <w:tcW w:w="265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Comerica Securities</w:t>
            </w:r>
          </w:p>
        </w:tc>
        <w:tc>
          <w:tcPr>
            <w:tcW w:w="101" w:type="dxa"/>
            <w:tcBorders/>
            <w:shd w:fill="auto" w:val="clear"/>
            <w:vAlign w:val="bottom"/>
          </w:tcPr>
          <w:p>
            <w:pPr>
              <w:pStyle w:val="TableContents"/>
              <w:spacing w:before="0" w:after="283"/>
              <w:rPr/>
            </w:pPr>
            <w:r>
              <w:rPr/>
              <w:t> </w:t>
            </w:r>
          </w:p>
        </w:tc>
        <w:tc>
          <w:tcPr>
            <w:tcW w:w="33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Fifth Third Securities, Inc.</w:t>
            </w:r>
          </w:p>
        </w:tc>
        <w:tc>
          <w:tcPr>
            <w:tcW w:w="101"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ING</w:t>
            </w:r>
          </w:p>
        </w:tc>
      </w:tr>
      <w:tr>
        <w:trPr/>
        <w:tc>
          <w:tcPr>
            <w:tcW w:w="2551" w:type="dxa"/>
            <w:tcBorders/>
            <w:shd w:fill="auto" w:val="clear"/>
          </w:tcPr>
          <w:p>
            <w:pPr>
              <w:pStyle w:val="TableContents"/>
              <w:spacing w:before="0" w:after="283"/>
              <w:rPr>
                <w:rFonts w:ascii="Times New Roman" w:hAnsi="Times New Roman"/>
                <w:b/>
                <w:sz w:val="20"/>
              </w:rPr>
            </w:pPr>
            <w:r>
              <w:rPr>
                <w:rFonts w:ascii="Times New Roman" w:hAnsi="Times New Roman"/>
                <w:b/>
                <w:sz w:val="20"/>
              </w:rPr>
              <w:t>Mitsubishi UFJ Securities</w:t>
            </w:r>
          </w:p>
        </w:tc>
        <w:tc>
          <w:tcPr>
            <w:tcW w:w="102" w:type="dxa"/>
            <w:tcBorders/>
            <w:shd w:fill="auto" w:val="clear"/>
            <w:vAlign w:val="bottom"/>
          </w:tcPr>
          <w:p>
            <w:pPr>
              <w:pStyle w:val="TableContents"/>
              <w:spacing w:before="0" w:after="283"/>
              <w:rPr/>
            </w:pPr>
            <w:r>
              <w:rPr/>
              <w:t> </w:t>
            </w:r>
          </w:p>
        </w:tc>
        <w:tc>
          <w:tcPr>
            <w:tcW w:w="265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Morgan Keegan</w:t>
            </w:r>
          </w:p>
        </w:tc>
        <w:tc>
          <w:tcPr>
            <w:tcW w:w="101" w:type="dxa"/>
            <w:tcBorders/>
            <w:shd w:fill="auto" w:val="clear"/>
            <w:vAlign w:val="bottom"/>
          </w:tcPr>
          <w:p>
            <w:pPr>
              <w:pStyle w:val="TableContents"/>
              <w:spacing w:before="0" w:after="283"/>
              <w:rPr/>
            </w:pPr>
            <w:r>
              <w:rPr/>
              <w:t> </w:t>
            </w:r>
          </w:p>
        </w:tc>
        <w:tc>
          <w:tcPr>
            <w:tcW w:w="336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PNC Capital Markets LLC</w:t>
            </w:r>
          </w:p>
        </w:tc>
        <w:tc>
          <w:tcPr>
            <w:tcW w:w="101"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Scotiabank</w:t>
            </w:r>
          </w:p>
        </w:tc>
      </w:tr>
      <w:tr>
        <w:trPr/>
        <w:tc>
          <w:tcPr>
            <w:tcW w:w="530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SOCIETE GENERALE</w:t>
            </w:r>
          </w:p>
        </w:tc>
        <w:tc>
          <w:tcPr>
            <w:tcW w:w="101" w:type="dxa"/>
            <w:tcBorders/>
            <w:shd w:fill="auto" w:val="clear"/>
            <w:vAlign w:val="bottom"/>
          </w:tcPr>
          <w:p>
            <w:pPr>
              <w:pStyle w:val="TableContents"/>
              <w:spacing w:before="0" w:after="283"/>
              <w:rPr/>
            </w:pPr>
            <w:r>
              <w:rPr/>
              <w:t> </w:t>
            </w:r>
          </w:p>
        </w:tc>
        <w:tc>
          <w:tcPr>
            <w:tcW w:w="4797"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US Bancorp</w:t>
            </w:r>
          </w:p>
        </w:tc>
      </w:tr>
    </w:tbl>
    <w:p>
      <w:pPr>
        <w:pStyle w:val="TextBody"/>
        <w:spacing w:before="90" w:after="0"/>
        <w:jc w:val="center"/>
        <w:rPr>
          <w:rFonts w:ascii="Times New Roman" w:hAnsi="Times New Roman"/>
          <w:i/>
          <w:sz w:val="20"/>
        </w:rPr>
      </w:pPr>
      <w:r>
        <w:rPr>
          <w:rFonts w:ascii="Times New Roman" w:hAnsi="Times New Roman"/>
          <w:i/>
          <w:sz w:val="20"/>
        </w:rPr>
        <w:t xml:space="preserve">The date of this prospectus supplement is March 13,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18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64"/>
        <w:gridCol w:w="250"/>
        <w:gridCol w:w="60"/>
        <w:gridCol w:w="408"/>
        <w:gridCol w:w="123"/>
      </w:tblGrid>
      <w:tr>
        <w:trPr/>
        <w:tc>
          <w:tcPr>
            <w:tcW w:w="936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6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Page</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
              <w:r>
                <w:rPr>
                  <w:rStyle w:val="InternetLink"/>
                  <w:rFonts w:ascii="Times New Roman" w:hAnsi="Times New Roman"/>
                  <w:sz w:val="20"/>
                </w:rPr>
                <w:t>Important Notice About Information in this Prospectus Supplement and the Accompanying Prospectus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2">
              <w:r>
                <w:rPr>
                  <w:rStyle w:val="InternetLink"/>
                  <w:rFonts w:ascii="Times New Roman" w:hAnsi="Times New Roman"/>
                  <w:sz w:val="20"/>
                </w:rPr>
                <w:t>Forward-Looking Statements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3">
              <w:r>
                <w:rPr>
                  <w:rStyle w:val="InternetLink"/>
                  <w:rFonts w:ascii="Times New Roman" w:hAnsi="Times New Roman"/>
                  <w:sz w:val="20"/>
                </w:rPr>
                <w:t>Prospectus Supplement Summary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4">
              <w:r>
                <w:rPr>
                  <w:rStyle w:val="InternetLink"/>
                  <w:rFonts w:ascii="Times New Roman" w:hAnsi="Times New Roman"/>
                  <w:sz w:val="20"/>
                </w:rPr>
                <w:t>The Offering</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5">
              <w:r>
                <w:rPr>
                  <w:rStyle w:val="InternetLink"/>
                  <w:rFonts w:ascii="Times New Roman" w:hAnsi="Times New Roman"/>
                  <w:sz w:val="20"/>
                </w:rPr>
                <w:t>Risk Factors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S-7</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6">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S-9</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7">
              <w:r>
                <w:rPr>
                  <w:rStyle w:val="InternetLink"/>
                  <w:rFonts w:ascii="Times New Roman" w:hAnsi="Times New Roman"/>
                  <w:sz w:val="20"/>
                </w:rPr>
                <w:t>Ratio of Earnings to Fixed Charges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S-10</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8">
              <w:r>
                <w:rPr>
                  <w:rStyle w:val="InternetLink"/>
                  <w:rFonts w:ascii="Times New Roman" w:hAnsi="Times New Roman"/>
                  <w:sz w:val="20"/>
                </w:rPr>
                <w:t>Capitalization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9">
              <w:r>
                <w:rPr>
                  <w:rStyle w:val="InternetLink"/>
                  <w:rFonts w:ascii="Times New Roman" w:hAnsi="Times New Roman"/>
                  <w:sz w:val="20"/>
                </w:rPr>
                <w:t>Description of Notes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S-13</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0">
              <w:r>
                <w:rPr>
                  <w:rStyle w:val="InternetLink"/>
                  <w:rFonts w:ascii="Times New Roman" w:hAnsi="Times New Roman"/>
                  <w:sz w:val="20"/>
                </w:rPr>
                <w:t>Book Entry, Delivery and Form</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1">
              <w:r>
                <w:rPr>
                  <w:rStyle w:val="InternetLink"/>
                  <w:rFonts w:ascii="Times New Roman" w:hAnsi="Times New Roman"/>
                  <w:sz w:val="20"/>
                </w:rPr>
                <w:t>Material U.S. Federal Income and Estate Tax Consequences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S-29</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2">
              <w:r>
                <w:rPr>
                  <w:rStyle w:val="InternetLink"/>
                  <w:rFonts w:ascii="Times New Roman" w:hAnsi="Times New Roman"/>
                  <w:sz w:val="20"/>
                </w:rPr>
                <w:t>Underwriting</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3">
              <w:r>
                <w:rPr>
                  <w:rStyle w:val="InternetLink"/>
                  <w:rFonts w:ascii="Times New Roman" w:hAnsi="Times New Roman"/>
                  <w:sz w:val="20"/>
                </w:rPr>
                <w:t>Legal Matters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S-38</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4">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S-38</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supp314176_15">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S-38</w:t>
            </w:r>
          </w:p>
        </w:tc>
        <w:tc>
          <w:tcPr>
            <w:tcW w:w="123" w:type="dxa"/>
            <w:tcBorders/>
            <w:shd w:fill="auto" w:val="clear"/>
            <w:vAlign w:val="bottom"/>
          </w:tcPr>
          <w:p>
            <w:pPr>
              <w:pStyle w:val="TableContents"/>
              <w:spacing w:before="0" w:after="283"/>
              <w:rPr/>
            </w:pPr>
            <w:r>
              <w:rPr/>
              <w:t>  </w:t>
            </w:r>
          </w:p>
        </w:tc>
      </w:tr>
    </w:tbl>
    <w:p>
      <w:pPr>
        <w:pStyle w:val="TextBody"/>
        <w:spacing w:before="180" w:after="0"/>
        <w:jc w:val="center"/>
        <w:rPr>
          <w:rFonts w:ascii="Times New Roman" w:hAnsi="Times New Roman"/>
          <w:b/>
          <w:sz w:val="20"/>
        </w:rPr>
      </w:pPr>
      <w:bookmarkStart w:id="3" w:name="toca"/>
      <w:bookmarkEnd w:id="3"/>
      <w:r>
        <w:rPr>
          <w:rFonts w:ascii="Times New Roman" w:hAnsi="Times New Roman"/>
          <w:b/>
          <w:sz w:val="20"/>
        </w:rPr>
        <w:t xml:space="preserve">Prospectus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314176_11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1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2">
              <w:r>
                <w:rPr>
                  <w:rStyle w:val="InternetLink"/>
                  <w:rFonts w:ascii="Times New Roman" w:hAnsi="Times New Roman"/>
                  <w:sz w:val="20"/>
                </w:rPr>
                <w:t>Material Income Tax Considerations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3">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314176_124">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supp314176_1"/>
      <w:bookmarkEnd w:id="4"/>
      <w:r>
        <w:rPr>
          <w:rFonts w:ascii="Times New Roman" w:hAnsi="Times New Roman"/>
          <w:b/>
          <w:sz w:val="20"/>
        </w:rPr>
        <w:t xml:space="preserve">IMPORTANT NOTICE ABOUT INFORMATION IN THIS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AND THE ACCOMPANYING PROSPECTUS </w:t>
      </w:r>
    </w:p>
    <w:p>
      <w:pPr>
        <w:pStyle w:val="TextBody"/>
        <w:spacing w:before="180" w:after="0"/>
        <w:rPr>
          <w:rFonts w:ascii="Times New Roman" w:hAnsi="Times New Roman"/>
          <w:b/>
          <w:sz w:val="20"/>
        </w:rPr>
      </w:pPr>
      <w:r>
        <w:rPr>
          <w:rFonts w:ascii="Times New Roman" w:hAnsi="Times New Roman"/>
          <w:b/>
          <w:sz w:val="20"/>
        </w:rPr>
        <w:t xml:space="preserve">This document is in two parts. The first part is the prospectus supplement, which describes our business and the specific terms of this offering. The second part, the accompanying prospectus, gives more general information and includes disclosures regarding the Notes and additional disclosures that would pertain if at some time in the future we were to offer other series of our debt securities or our common units. Accordingly, the accompanying prospectus may contain information that does not apply to this offering. Generally, when we refer only to the prospectus, we are referring to both parts combined. </w:t>
      </w:r>
    </w:p>
    <w:p>
      <w:pPr>
        <w:pStyle w:val="TextBody"/>
        <w:spacing w:before="180" w:after="0"/>
        <w:rPr>
          <w:rFonts w:ascii="Times New Roman" w:hAnsi="Times New Roman"/>
          <w:b/>
          <w:sz w:val="20"/>
        </w:rPr>
      </w:pPr>
      <w:r>
        <w:rPr>
          <w:rFonts w:ascii="Times New Roman" w:hAnsi="Times New Roman"/>
          <w:b/>
          <w:sz w:val="20"/>
        </w:rPr>
        <w:t xml:space="preserve">If the description of the offering varies between the prospectus supplement and the accompanying prospectus, you should rely on the information in the prospectus supplement. </w:t>
      </w:r>
    </w:p>
    <w:p>
      <w:pPr>
        <w:pStyle w:val="TextBody"/>
        <w:spacing w:before="180" w:after="0"/>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 Our business, financial condition, results of operations and prospects may have changed since those dates. </w:t>
      </w:r>
    </w:p>
    <w:p>
      <w:pPr>
        <w:pStyle w:val="TextBody"/>
        <w:spacing w:before="180" w:after="0"/>
        <w:rPr>
          <w:rFonts w:ascii="Times New Roman" w:hAnsi="Times New Roman"/>
          <w:b/>
          <w:sz w:val="20"/>
        </w:rPr>
      </w:pPr>
      <w:r>
        <w:rPr>
          <w:rFonts w:ascii="Times New Roman" w:hAnsi="Times New Roman"/>
          <w:b/>
          <w:sz w:val="20"/>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spacing w:before="180" w:after="0"/>
        <w:rPr>
          <w:rFonts w:ascii="Times New Roman" w:hAnsi="Times New Roman"/>
          <w:sz w:val="20"/>
        </w:rPr>
      </w:pPr>
      <w:r>
        <w:rPr>
          <w:rFonts w:ascii="Times New Roman" w:hAnsi="Times New Roman"/>
          <w:sz w:val="20"/>
        </w:rPr>
        <w:t xml:space="preserve">We expect delivery of the Notes will be made against payment therefor on or about March 22, 2012, which is the seventh business day following the date of pricing of the Notes (such settlement being referred to as T+7).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three business days will be required, by virtue of the fact that the Notes initially will settle in T+7, to specify an alternate settlement cycle at the time of any such trade to prevent failed settlement and should consult their own advisers. </w:t>
      </w:r>
    </w:p>
    <w:p>
      <w:pPr>
        <w:pStyle w:val="TextBody"/>
        <w:spacing w:before="180" w:after="0"/>
        <w:jc w:val="center"/>
        <w:rPr>
          <w:rFonts w:ascii="Times New Roman" w:hAnsi="Times New Roman"/>
          <w:b/>
          <w:sz w:val="20"/>
        </w:rPr>
      </w:pPr>
      <w:bookmarkStart w:id="5" w:name="supp314176_2"/>
      <w:bookmarkEnd w:id="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consummate and integrate the BP NGL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Such factors are described in Risk Factors on page S-7 of this prospectus supplement and in Item 1A. Risk Factors in our Annual Report on Form 10-K for the year ended December 31, 2011 (File No. 001-14569), which is incorporated in this prospectus supplement by reference.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6" w:name="supp314176_3"/>
      <w:bookmarkEnd w:id="6"/>
      <w:r>
        <w:rPr>
          <w:rFonts w:ascii="Times New Roman" w:hAnsi="Times New Roman"/>
          <w:b/>
          <w:sz w:val="20"/>
          <w:bdr w:val="single" w:sz="8" w:space="1" w:color="000000"/>
        </w:rPr>
        <w:t xml:space="preserve">PROSPECTUS SUPPLEMENT SUMMARY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Notes. Please read Risk Factors on page S-7 of this prospectus supplement and in our Annual Report on Form 10-K for the year ended December 31, 2011, which is incorporated into this prospectus supplement by reference, for information regarding risks you should consider before making a decision to purchase any Notes in this offering. </w:t>
      </w:r>
    </w:p>
    <w:p>
      <w:pPr>
        <w:pStyle w:val="TextBody"/>
        <w:spacing w:before="180" w:after="0"/>
        <w:rPr>
          <w:rFonts w:ascii="Times New Roman" w:hAnsi="Times New Roman"/>
          <w:i/>
          <w:sz w:val="20"/>
          <w:bdr w:val="single" w:sz="8" w:space="1" w:color="000000"/>
        </w:rPr>
      </w:pPr>
      <w:r>
        <w:rPr>
          <w:rFonts w:ascii="Times New Roman" w:hAnsi="Times New Roman"/>
          <w:i/>
          <w:sz w:val="20"/>
          <w:bdr w:val="single" w:sz="8" w:space="1" w:color="000000"/>
        </w:rPr>
        <w:t xml:space="preserve">For purposes of this prospectus supplement and the accompanying prospectus, except as set forth in Description of Notes and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Plains All American Pipeline, L.P.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distributions rights. We also currently own an approximate 62% limited partner interest in PNG.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Business Strategy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principal business strategy is to provide competitive and efficient midstream transportation, terminalling, storage, processing, fractionation and supply and logistics services to our producer, refiner and other customers. Toward this end, we endeavor to address regional supply and demand imbalances for crude oil, refined products, NGL and natural gas in the United States and Canada by combining the strategic location and capabilities of our transportation, terminalling, storage, processing and fractionation assets with our extensive supply, logistics and distribution expertise.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believe successful execution of this strategy will enable us to generate sustainable earnings and cash flow. We intend to manage and grow our business by: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optimizing our existing assets and realizing cost efficiencies through operational improvements; </w:t>
            </w:r>
          </w:p>
        </w:tc>
      </w:tr>
    </w:tbl>
    <w:p>
      <w:pPr>
        <w:pStyle w:val="TextBody"/>
        <w:spacing w:before="0" w:after="0"/>
        <w:rPr>
          <w:bdr w:val="single" w:sz="8" w:space="1" w:color="000000"/>
        </w:rPr>
      </w:pPr>
      <w:r>
        <w:rPr>
          <w:bdr w:val="single" w:sz="8" w:space="1" w:color="000000"/>
        </w:rPr>
        <w:t>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using our transportation, terminalling, storage, processing and fractionation assets in conjunction with our supply and logistics activities to capitalize on inefficient energy markets and to address physical market imbalances, mitigate inherent risks and increase margin;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developing and implementing internal growth projects that (i) address evolving crude oil, refined products, natural gas and NGL needs in the midstream transportation and infrastructure sector and (ii) are well-positioned to benefit from long-term industry trends and opportunities;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selectively pursuing strategic and accretive acquisitions that complement our existing asset base and distribution capabilities;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through our ownership interest in PNG. </w:t>
            </w:r>
          </w:p>
        </w:tc>
      </w:tr>
    </w:tbl>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 Activities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Pending BP NGL Acquisition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On December 1, 2011, we entered into a definitive agreement to acquire (the BP NGL Acquisition) all outstanding shares of BP Canada Energy Company, a wholly owned subsidiary of BP Corporation North America Inc. (BP North America). Total consideration for the acquisition, which will be based on an October 1, 2011 effective date, is approximately $1.67 billion, subject to working capital and other adjustments. A cash deposit of $50 million was paid upon signing, and the balance, plus 2% interest from October 1, 2011, is payable in cash upon closing. As of March 7, 2012, all of our regulatory closing conditions under the definitive acquisition agreement had been satisfied. Subject to the continued satisfaction of such regulatory conditions and the satisfaction of other customary closing conditions, the acquisition is expected to close early in the second quarter of 2012.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Upon completion of this acquisition, we will become the indirect owner of all of BP North Americas Canadian-based NGL business and certain of BP North Americas NGL assets located in the upper-Midwest United States (collectively the BP NGL Assets). The BP NGL Assets to be acquired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six billion cubic feet (Bcf) per day; and long-term and seasonal NGL inventories of approximately 10 million barrels as of October 1, 2011. Certain of these pipelines and storage assets are currently inactive. The acquired business also includes various third party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Collectively, these assets and activities provide access to approximately 140,000 to 150,000 barrels per day of NGL supply that are transported through an integrated network to fractionation facilities and markets in Western and Eastern Canada and in the United States. Subject to closing the transaction, we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to be acquired as a result of the acquisition.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There can be no assurance that the BP NGL Acquisition will be completed in the anticipated time frame, or at all, or that the anticipated benefits of the BP NGL Acquisition will be realized.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intend to use the net proceeds of this offering to fund a portion of the consideration for the BP NGL Acquisition. Pending the application of the net proceeds to fund the BP NGL Acquisition, we intend to use the net proceeds for general partnership purposes. If the BP NGL Acquisition is not consummated for any reason, we may use the net proceeds for general partnership purposes, including future acquisitions and capital program expenditures. Alternatively, if the BP NGL Acquisition is not closed on or prior to June 1, 2012 or the acquisition agreement relating thereto is terminated on an earlier date, we may use all or a portion of the net proceeds, together with any additional funds we may provide, as necessary, to fund the special optional redemption of either or both series of Notes. See Description of NotesSpecial Optional Redemption.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We currently have sufficient available borrowing capacity under our revolving credit facilities to fund all of the consideration required to close the BP NGL Acquisition.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333 Clay Street, Suite 1600, Houston, Texas 77002. Our telephone number is (713) 646-4100. We maintain a website at </w:t>
      </w:r>
      <w:r>
        <w:rPr>
          <w:rFonts w:ascii="Times New Roman" w:hAnsi="Times New Roman"/>
          <w:i/>
          <w:sz w:val="20"/>
          <w:u w:val="single"/>
          <w:bdr w:val="single" w:sz="8" w:space="1" w:color="000000"/>
        </w:rPr>
        <w:t>www.paalp.com</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that provides information about our business and operations. Information contained on or available through our website is not incorporated into or otherwise a part of this prospectus supplement or the accompanying prospectus. </w:t>
      </w:r>
    </w:p>
    <w:p>
      <w:pPr>
        <w:pStyle w:val="TextBody"/>
        <w:spacing w:before="1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including our partnership structure and management, please see our Annual Report on Form 10-K for the year ended December 31, 2011, which is incorporated by reference herein. Please refer to the section in this prospectus supplement entitled Where You Can Find More Information.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7" w:name="supp314176_4"/>
      <w:bookmarkEnd w:id="7"/>
      <w:r>
        <w:rPr>
          <w:rFonts w:ascii="Times New Roman" w:hAnsi="Times New Roman"/>
          <w:b/>
          <w:sz w:val="20"/>
          <w:bdr w:val="single" w:sz="8" w:space="1" w:color="000000"/>
        </w:rPr>
        <w:t xml:space="preserve">THE OFFERING </w:t>
      </w:r>
    </w:p>
    <w:p>
      <w:pPr>
        <w:pStyle w:val="TextBody"/>
        <w:spacing w:before="180" w:after="0"/>
        <w:rPr>
          <w:rFonts w:ascii="Times New Roman" w:hAnsi="Times New Roman"/>
          <w:sz w:val="20"/>
          <w:bdr w:val="single" w:sz="8" w:space="1" w:color="000000"/>
        </w:rPr>
      </w:pPr>
      <w:r>
        <w:rPr>
          <w:rFonts w:ascii="Times New Roman" w:hAnsi="Times New Roman"/>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prospectus contain a more detailed description of the terms of the Notes.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Issuers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Plains All American Pipeline, L.P. and PAA Finance Corp.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Future guarantees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NotesPossible Future Guarantees.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Notes offered </w:t>
            </w:r>
          </w:p>
        </w:tc>
        <w:tc>
          <w:tcPr>
            <w:tcW w:w="632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$750,000,000 aggregate principal amount of 3.65% Senior Notes due 2022.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$500,000,000 aggregate principal amount of 5.15% Senior Notes due 2042.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Maturity date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2022 Notes: June 1, 2022.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vAlign w:val="center"/>
          </w:tcPr>
          <w:p>
            <w:pPr>
              <w:pStyle w:val="TableContents"/>
              <w:spacing w:before="0" w:after="283"/>
              <w:rPr/>
            </w:pPr>
            <w:r>
              <w:rPr/>
              <w:t> </w:t>
            </w:r>
          </w:p>
        </w:tc>
        <w:tc>
          <w:tcPr>
            <w:tcW w:w="632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2042 Notes: June 1, 2042.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rate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For the 2022 Notes: 3.65%.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vAlign w:val="center"/>
          </w:tcPr>
          <w:p>
            <w:pPr>
              <w:pStyle w:val="TableContents"/>
              <w:spacing w:before="0" w:after="283"/>
              <w:rPr/>
            </w:pPr>
            <w:r>
              <w:rPr/>
              <w:t> </w:t>
            </w:r>
          </w:p>
        </w:tc>
        <w:tc>
          <w:tcPr>
            <w:tcW w:w="632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2042 Notes: 5.15%.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Interest payment dates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will pay interest on the Notes of each series semi-annually in arrears on June 1 and December 1 of each year, beginning on December 1, 2012.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Optional redemption </w:t>
            </w:r>
          </w:p>
        </w:tc>
        <w:tc>
          <w:tcPr>
            <w:tcW w:w="632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redeem either or both series of Notes, in whole or in part, at any time and from time to time prior to maturity. If we redeem the 2022 Notes before March 1, 2022 (three months prior to their maturity date) or the 2042 Notes before December 1, 2041 (six months prior to their maturity date), such Notes may be redeemed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(as defined herein)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plus 25 basis points for the 2022 Notes and 30 basis points for the 2042 Notes, together with accrued interest to the date of redemption. If we redeem the 2022 Notes on or after March 1, 2022 (three months prior to their maturity date) or the 2042 Notes on or after December 1, 2041 (six months prior to their maturity date), the redemption price will equal 100% of the principal amount of the Notes to be redeemed plus accrued interest to the redemption date. See Description of NotesOptional Redemption.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Special optional redemption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If the BP NGL Acquisition is not closed on or prior to June 1, 2012 or the acquisition agreement relating to the acquisition is terminated earlier, we have the option to redeem all, but not less than all, of either or both series of Notes at a redemption price equal to 101% of the aggregate principal amount of such series of Notes, plus accrued and unpaid interest to the date of redemption. See Description of NotesSpecial Optional Redemption.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Ranking </w:t>
            </w:r>
          </w:p>
        </w:tc>
        <w:tc>
          <w:tcPr>
            <w:tcW w:w="632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general senior unsecured obligations of the issuers and will rank equally in right of payment with the existing and future senior indebtedness of the issuers.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Certain covenants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be issued under an indenture containing covenants for your benefit. These covenants restrict our ability, with certain exceptions, to: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00"/>
        <w:gridCol w:w="178"/>
        <w:gridCol w:w="125"/>
        <w:gridCol w:w="6202"/>
      </w:tblGrid>
      <w:tr>
        <w:trPr/>
        <w:tc>
          <w:tcPr>
            <w:tcW w:w="3700" w:type="dxa"/>
            <w:tcBorders/>
            <w:shd w:fill="auto" w:val="clear"/>
            <w:vAlign w:val="center"/>
          </w:tcPr>
          <w:p>
            <w:pPr>
              <w:pStyle w:val="TableContents"/>
              <w:spacing w:before="0" w:after="283"/>
              <w:rPr/>
            </w:pPr>
            <w:r>
              <w:rPr/>
              <w:t> </w:t>
            </w:r>
          </w:p>
        </w:tc>
        <w:tc>
          <w:tcPr>
            <w:tcW w:w="17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Pr>
          <w:p>
            <w:pPr>
              <w:pStyle w:val="TableContents"/>
              <w:spacing w:before="0" w:after="283"/>
              <w:rPr/>
            </w:pPr>
            <w:r>
              <w:rPr/>
              <w:t> </w:t>
            </w:r>
          </w:p>
        </w:tc>
        <w:tc>
          <w:tcPr>
            <w:tcW w:w="6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incur liens on principal properties to secure debt;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632"/>
        <w:gridCol w:w="177"/>
        <w:gridCol w:w="124"/>
        <w:gridCol w:w="6272"/>
      </w:tblGrid>
      <w:tr>
        <w:trPr/>
        <w:tc>
          <w:tcPr>
            <w:tcW w:w="3632" w:type="dxa"/>
            <w:tcBorders/>
            <w:shd w:fill="auto" w:val="clear"/>
            <w:vAlign w:val="center"/>
          </w:tcPr>
          <w:p>
            <w:pPr>
              <w:pStyle w:val="TableContents"/>
              <w:spacing w:before="0" w:after="283"/>
              <w:rPr/>
            </w:pPr>
            <w:r>
              <w:rPr/>
              <w:t> </w:t>
            </w:r>
          </w:p>
        </w:tc>
        <w:tc>
          <w:tcPr>
            <w:tcW w:w="17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Pr>
          <w:p>
            <w:pPr>
              <w:pStyle w:val="TableContents"/>
              <w:spacing w:before="0" w:after="283"/>
              <w:rPr/>
            </w:pPr>
            <w:r>
              <w:rPr/>
              <w:t> </w:t>
            </w:r>
          </w:p>
        </w:tc>
        <w:tc>
          <w:tcPr>
            <w:tcW w:w="62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engage in sale-leaseback transactions;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678"/>
        <w:gridCol w:w="170"/>
        <w:gridCol w:w="122"/>
        <w:gridCol w:w="6235"/>
      </w:tblGrid>
      <w:tr>
        <w:trPr/>
        <w:tc>
          <w:tcPr>
            <w:tcW w:w="3678" w:type="dxa"/>
            <w:tcBorders/>
            <w:shd w:fill="auto" w:val="clear"/>
            <w:vAlign w:val="center"/>
          </w:tcPr>
          <w:p>
            <w:pPr>
              <w:pStyle w:val="TableContents"/>
              <w:spacing w:before="0" w:after="283"/>
              <w:rPr/>
            </w:pPr>
            <w:r>
              <w:rPr/>
              <w:t> </w:t>
            </w:r>
          </w:p>
        </w:tc>
        <w:tc>
          <w:tcPr>
            <w:tcW w:w="17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Pr>
          <w:p>
            <w:pPr>
              <w:pStyle w:val="TableContents"/>
              <w:spacing w:before="0" w:after="283"/>
              <w:rPr/>
            </w:pPr>
            <w:r>
              <w:rPr/>
              <w:t> </w:t>
            </w:r>
          </w:p>
        </w:tc>
        <w:tc>
          <w:tcPr>
            <w:tcW w:w="623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merge or consolidate with another entity or sell, lease or transfer substantially all of our properties or assets to another entity.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Description of NotesCovenants.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net proceeds of this offering are expected to be approximately $1,236.5 million after deducting the underwriting discount and our estimated offering expenses. We expect to use the net proceeds from this offering to fund a portion of the consideration for the BP NGL Acquisition. Pending the application of the net proceeds to fund the BP NGL Acquisition, we intend to use the net proceeds for general partnership purposes. If the BP NGL Acquisition is not consummated for any reason, we may use the net proceeds for general partnership purposes, including future acquisitions and capital program expenditures. Alternatively, if the BP NGL Acquisition is not closed on or prior to June 1, 2012 or the acquisition agreement relating thereto is terminated on an earlier date, we may use all or a portion of the net proceeds, together with any additional funds we may provide, as necessary, to fund the special optional redemption of either or both series of Notes.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Book entry, delivery and form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of each series will be represented by one or more permanent global certificates in fully registered form deposited with a custodian for, and registered in the name of, a nominee of The Depository Trust Company.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Further issuances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may create and issue additional Notes of either series ranking equally and ratably with that same series of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No listing </w:t>
            </w:r>
          </w:p>
        </w:tc>
        <w:tc>
          <w:tcPr>
            <w:tcW w:w="6327"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 Notes will not be listed on any securities exchange. Currently, there is no public market for the Notes. See Risk FactorsYour ability to transfer the Notes may be limited by the absence of an organized trading market.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Governing law </w:t>
            </w:r>
          </w:p>
        </w:tc>
        <w:tc>
          <w:tcPr>
            <w:tcW w:w="632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New York.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Trustee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U.S. Bank National Association.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632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Investing in the Notes involves risks. You should consider carefully all of the information in this prospectus supplement, the accompanying prospectus and the documents incorporated by reference herein and therein. In particular, you should consider carefully the specific risks set forth in Risk Factors beginning on page S-7 of this prospectus supplement and beginning on page 6 of the accompanying prospectus.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314176_5"/>
      <w:bookmarkEnd w:id="8"/>
      <w:r>
        <w:rPr>
          <w:rFonts w:ascii="Times New Roman" w:hAnsi="Times New Roman"/>
          <w:b/>
          <w:sz w:val="20"/>
        </w:rPr>
        <w:t xml:space="preserve">RISK FACTORS </w:t>
      </w:r>
    </w:p>
    <w:p>
      <w:pPr>
        <w:pStyle w:val="TextBody"/>
        <w:spacing w:before="180" w:after="0"/>
        <w:rPr>
          <w:rFonts w:ascii="Times New Roman" w:hAnsi="Times New Roman"/>
          <w:i/>
          <w:sz w:val="20"/>
        </w:rPr>
      </w:pPr>
      <w:r>
        <w:rPr>
          <w:rFonts w:ascii="Times New Roman" w:hAnsi="Times New Roman"/>
          <w:i/>
          <w:sz w:val="20"/>
        </w:rPr>
        <w:t xml:space="preserve">Before making an investment in the Notes offered hereby, you should carefully consider the risk factors included below, as well as the risk factors beginning on page 6 of the accompanying prospectus and those included in Item 1A. Risk Factors in our Annual Report on Form 10-K for the year ended December 31, 2011 (File No. 001-14569), which is incorporated into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value of the Notes could decline, and you could lose all or part of your investment. </w:t>
      </w:r>
    </w:p>
    <w:p>
      <w:pPr>
        <w:pStyle w:val="TextBody"/>
        <w:spacing w:before="180" w:after="0"/>
        <w:rPr>
          <w:rFonts w:ascii="Times New Roman" w:hAnsi="Times New Roman"/>
          <w:b/>
          <w:sz w:val="20"/>
        </w:rPr>
      </w:pPr>
      <w:r>
        <w:rPr>
          <w:rFonts w:ascii="Times New Roman" w:hAnsi="Times New Roman"/>
          <w:b/>
          <w:sz w:val="20"/>
        </w:rPr>
        <w:t xml:space="preserve">Risks Related to the Notes </w:t>
      </w:r>
    </w:p>
    <w:p>
      <w:pPr>
        <w:pStyle w:val="TextBody"/>
        <w:spacing w:before="180" w:after="0"/>
        <w:rPr>
          <w:rFonts w:ascii="Times New Roman" w:hAnsi="Times New Roman"/>
          <w:b/>
          <w:i/>
          <w:sz w:val="20"/>
        </w:rPr>
      </w:pPr>
      <w:r>
        <w:rPr>
          <w:rFonts w:ascii="Times New Roman" w:hAnsi="Times New Roman"/>
          <w:b/>
          <w:i/>
          <w:sz w:val="20"/>
        </w:rPr>
        <w:t xml:space="preserve">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80" w:after="0"/>
        <w:rPr>
          <w:rFonts w:ascii="Times New Roman" w:hAnsi="Times New Roman"/>
          <w:sz w:val="20"/>
        </w:rPr>
      </w:pPr>
      <w:r>
        <w:rPr>
          <w:rFonts w:ascii="Times New Roman" w:hAnsi="Times New Roman"/>
          <w:sz w:val="20"/>
        </w:rPr>
        <w:t xml:space="preserve">The Notes are effectively subordinated to claims of our secured creditors and to any existing and future indebtedness and other obligations of our subsidiaries, including trade payables, other than subsidiaries that may guarantee the Notes in the future. As of December 31, 2011, on an as adjusted basis as described under Capitalization, the Notes would have been effectively subordinated to $75 million of our short-term secured indebtedness and structurally subordinated to all of our subsidiaries indebtedness, which totaled approximately $326 million at that date, and other obligations, including trade payables.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 </w:t>
      </w:r>
    </w:p>
    <w:p>
      <w:pPr>
        <w:pStyle w:val="TextBody"/>
        <w:spacing w:before="180" w:after="0"/>
        <w:rPr>
          <w:rFonts w:ascii="Times New Roman" w:hAnsi="Times New Roman"/>
          <w:b/>
          <w:i/>
          <w:sz w:val="20"/>
        </w:rPr>
      </w:pPr>
      <w:r>
        <w:rPr>
          <w:rFonts w:ascii="Times New Roman" w:hAnsi="Times New Roman"/>
          <w:b/>
          <w:i/>
          <w:sz w:val="20"/>
        </w:rPr>
        <w:t xml:space="preserve">Our leverage may limit our ability to borrow additional funds, comply with the terms of our indebtedness or capitalize on business opportunities. </w:t>
      </w:r>
    </w:p>
    <w:p>
      <w:pPr>
        <w:pStyle w:val="TextBody"/>
        <w:spacing w:before="180" w:after="0"/>
        <w:rPr>
          <w:rFonts w:ascii="Times New Roman" w:hAnsi="Times New Roman"/>
          <w:sz w:val="20"/>
        </w:rPr>
      </w:pPr>
      <w:r>
        <w:rPr>
          <w:rFonts w:ascii="Times New Roman" w:hAnsi="Times New Roman"/>
          <w:sz w:val="20"/>
        </w:rPr>
        <w:t xml:space="preserve">Our leverage is significant in relation to our partners capital. As of December 31, 2011, on an as adjusted basis as described under Capitalization, our total outstanding long-term debt was approximately $5.4 billion, and our total outstanding short-term debt was approximately $1.0 billion.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80" w:after="0"/>
        <w:rPr>
          <w:rFonts w:ascii="Times New Roman" w:hAnsi="Times New Roman"/>
          <w:sz w:val="20"/>
        </w:rPr>
      </w:pPr>
      <w:r>
        <w:rPr>
          <w:rFonts w:ascii="Times New Roman" w:hAnsi="Times New Roman"/>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of each series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spacing w:before="180" w:after="0"/>
        <w:rPr>
          <w:rFonts w:ascii="Times New Roman" w:hAnsi="Times New Roman"/>
          <w:sz w:val="20"/>
        </w:rPr>
      </w:pPr>
      <w:r>
        <w:rPr>
          <w:rFonts w:ascii="Times New Roman" w:hAnsi="Times New Roman"/>
          <w:sz w:val="20"/>
        </w:rPr>
        <w:t xml:space="preserve">Our leverage may adversely affect our ability to fund future working capital, capital expenditures and other general partnership requirements, future acquisition, construction or development activities, or to otherwise fully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180" w:after="0"/>
        <w:rPr>
          <w:rFonts w:ascii="Times New Roman" w:hAnsi="Times New Roman"/>
          <w:b/>
          <w:i/>
          <w:sz w:val="20"/>
        </w:rPr>
      </w:pPr>
      <w:r>
        <w:rPr>
          <w:rFonts w:ascii="Times New Roman" w:hAnsi="Times New Roman"/>
          <w:b/>
          <w:i/>
          <w:sz w:val="20"/>
        </w:rPr>
        <w:t xml:space="preserve">Your ability to transfer the Notes may be limited by the absence of an organized trading market. </w:t>
      </w:r>
    </w:p>
    <w:p>
      <w:pPr>
        <w:pStyle w:val="TextBody"/>
        <w:spacing w:before="180" w:after="0"/>
        <w:rPr>
          <w:rFonts w:ascii="Times New Roman" w:hAnsi="Times New Roman"/>
          <w:sz w:val="20"/>
        </w:rPr>
      </w:pPr>
      <w:r>
        <w:rPr>
          <w:rFonts w:ascii="Times New Roman" w:hAnsi="Times New Roman"/>
          <w:sz w:val="20"/>
        </w:rPr>
        <w:t xml:space="preserve">The Notes of each series will be new securities for which currently there is no organized trading market. We do not currently intend to apply for listing of the Notes on any securities exchange or other market. Although certain of the underwriters have informed us that they currently intend to make a market in the Notes of each series, they are not obligated to do so. In addition, the underwriters may discontinue any such market making at any time without notice. The liquidity of any market for the Notes of either series will depend on the number of holders of the Notes, the interest of securities dealers in making a market in those Notes and other factors. Accordingly, we can give no assurance as to the development, continuation or liquidity of any market for the Notes of either series. </w:t>
      </w:r>
    </w:p>
    <w:p>
      <w:pPr>
        <w:pStyle w:val="TextBody"/>
        <w:spacing w:before="180" w:after="0"/>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t>
      </w:r>
    </w:p>
    <w:p>
      <w:pPr>
        <w:pStyle w:val="TextBody"/>
        <w:spacing w:before="180" w:after="0"/>
        <w:rPr>
          <w:rFonts w:ascii="Times New Roman" w:hAnsi="Times New Roman"/>
          <w:sz w:val="20"/>
        </w:rPr>
      </w:pPr>
      <w:r>
        <w:rPr>
          <w:rFonts w:ascii="Times New Roman" w:hAnsi="Times New Roman"/>
          <w:sz w:val="20"/>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of either series, we may be required to adopt one or more alternatives, such as a refinancing of such Notes. We cannot assure you that we would be able to refinance the Notes of either series. </w:t>
      </w:r>
    </w:p>
    <w:p>
      <w:pPr>
        <w:pStyle w:val="TextBody"/>
        <w:spacing w:before="180" w:after="0"/>
        <w:rPr>
          <w:rFonts w:ascii="Times New Roman" w:hAnsi="Times New Roman"/>
          <w:b/>
          <w:i/>
          <w:sz w:val="20"/>
        </w:rPr>
      </w:pPr>
      <w:r>
        <w:rPr>
          <w:rFonts w:ascii="Times New Roman" w:hAnsi="Times New Roman"/>
          <w:b/>
          <w:i/>
          <w:sz w:val="20"/>
        </w:rPr>
        <w:t xml:space="preserve">We do not have the same flexibility as other types of organizations to accumulate cash, which may limit cash available to service the Notes of either series or to repay them at maturity. </w:t>
      </w:r>
    </w:p>
    <w:p>
      <w:pPr>
        <w:pStyle w:val="TextBody"/>
        <w:spacing w:before="180" w:after="0"/>
        <w:rPr>
          <w:rFonts w:ascii="Times New Roman" w:hAnsi="Times New Roman"/>
          <w:sz w:val="20"/>
        </w:rPr>
      </w:pPr>
      <w:r>
        <w:rPr>
          <w:rFonts w:ascii="Times New Roman" w:hAnsi="Times New Roman"/>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proper conduct of our business and the businesses of our operating partnerships (including reserves for future capital expenditures and for our anticipated future credit needs);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funds for distributions to our unitholders and the general partner for any one or more of the next four calendar quarters;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applicable law or any of our loan or other agreements. </w:t>
            </w:r>
          </w:p>
        </w:tc>
      </w:tr>
    </w:tbl>
    <w:p>
      <w:pPr>
        <w:pStyle w:val="TextBody"/>
        <w:spacing w:before="180" w:after="0"/>
        <w:rPr>
          <w:rFonts w:ascii="Times New Roman" w:hAnsi="Times New Roman"/>
          <w:sz w:val="20"/>
        </w:rPr>
      </w:pPr>
      <w:r>
        <w:rPr>
          <w:rFonts w:ascii="Times New Roman" w:hAnsi="Times New Roman"/>
          <w:sz w:val="20"/>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314176_6"/>
      <w:bookmarkEnd w:id="9"/>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The net proceeds of this offering are expected to be approximately $1,236.5 million after deducting the underwriting discount and our estimated offering expenses. We intend to use the net proceeds of this offering to fund a portion of the consideration for the BP NGL Acquisition. Pending the application of the net proceeds to fund the BP NGL Acquisition, we intend to use the net proceeds for general partnership purposes. If the BP NGL Acquisition is not consummated for any reason, we may use the net proceeds for general partnership purposes, including future acquisitions and capital program expenditures. Alternatively, if the BP NGL Acquisition is not closed on or prior to June 1, 2012 or the acquisition agreement relating thereto is terminated on an earlier date, we may use all or a portion of the net proceeds, together with any additional funds we may provide, as necessary, to fund the special optional redemption of either or both series of Notes. See Description of NotesSpecial Optional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314176_7"/>
      <w:bookmarkEnd w:id="10"/>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44"/>
        <w:gridCol w:w="437"/>
        <w:gridCol w:w="687"/>
        <w:gridCol w:w="395"/>
        <w:gridCol w:w="687"/>
        <w:gridCol w:w="395"/>
        <w:gridCol w:w="687"/>
        <w:gridCol w:w="395"/>
        <w:gridCol w:w="687"/>
        <w:gridCol w:w="394"/>
        <w:gridCol w:w="697"/>
      </w:tblGrid>
      <w:tr>
        <w:trPr/>
        <w:tc>
          <w:tcPr>
            <w:tcW w:w="474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r>
      <w:tr>
        <w:trPr/>
        <w:tc>
          <w:tcPr>
            <w:tcW w:w="4744"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5024"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December 31,</w:t>
            </w:r>
          </w:p>
        </w:tc>
      </w:tr>
      <w:tr>
        <w:trPr/>
        <w:tc>
          <w:tcPr>
            <w:tcW w:w="4744"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39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2010    </w:t>
            </w:r>
          </w:p>
        </w:tc>
        <w:tc>
          <w:tcPr>
            <w:tcW w:w="39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2009    </w:t>
            </w:r>
          </w:p>
        </w:tc>
        <w:tc>
          <w:tcPr>
            <w:tcW w:w="395" w:type="dxa"/>
            <w:tcBorders/>
            <w:shd w:fill="auto" w:val="clear"/>
            <w:vAlign w:val="bottom"/>
          </w:tcPr>
          <w:p>
            <w:pPr>
              <w:pStyle w:val="TableContents"/>
              <w:spacing w:before="0" w:after="283"/>
              <w:rPr/>
            </w:pPr>
            <w:r>
              <w:rPr/>
              <w:t> </w:t>
            </w:r>
          </w:p>
        </w:tc>
        <w:tc>
          <w:tcPr>
            <w:tcW w:w="68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2008    </w:t>
            </w:r>
          </w:p>
        </w:tc>
        <w:tc>
          <w:tcPr>
            <w:tcW w:w="394" w:type="dxa"/>
            <w:tcBorders/>
            <w:shd w:fill="auto" w:val="clear"/>
            <w:vAlign w:val="bottom"/>
          </w:tcPr>
          <w:p>
            <w:pPr>
              <w:pStyle w:val="TableContents"/>
              <w:spacing w:before="0" w:after="283"/>
              <w:rPr/>
            </w:pPr>
            <w:r>
              <w:rPr/>
              <w:t> </w:t>
            </w:r>
          </w:p>
        </w:tc>
        <w:tc>
          <w:tcPr>
            <w:tcW w:w="697" w:type="dxa"/>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2007    </w:t>
            </w:r>
          </w:p>
        </w:tc>
      </w:tr>
      <w:tr>
        <w:trPr/>
        <w:tc>
          <w:tcPr>
            <w:tcW w:w="4744"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437"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4.13x</w:t>
            </w:r>
          </w:p>
        </w:tc>
        <w:tc>
          <w:tcPr>
            <w:tcW w:w="39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2.57x</w:t>
            </w:r>
          </w:p>
        </w:tc>
        <w:tc>
          <w:tcPr>
            <w:tcW w:w="39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3.00x</w:t>
            </w:r>
          </w:p>
        </w:tc>
        <w:tc>
          <w:tcPr>
            <w:tcW w:w="395"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2.60x</w:t>
            </w:r>
          </w:p>
        </w:tc>
        <w:tc>
          <w:tcPr>
            <w:tcW w:w="39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2.45x</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Includes interest costs attributable to borrowings for hedged inventory purchases of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p314176_8"/>
      <w:bookmarkEnd w:id="11"/>
      <w:r>
        <w:rPr>
          <w:rFonts w:ascii="Times New Roman" w:hAnsi="Times New Roman"/>
          <w:b/>
          <w:sz w:val="20"/>
        </w:rPr>
        <w:t xml:space="preserve">CAPITALIZATION </w:t>
      </w:r>
    </w:p>
    <w:p>
      <w:pPr>
        <w:pStyle w:val="TextBody"/>
        <w:spacing w:before="90" w:after="0"/>
        <w:rPr>
          <w:rFonts w:ascii="Times New Roman" w:hAnsi="Times New Roman"/>
          <w:sz w:val="20"/>
        </w:rPr>
      </w:pPr>
      <w:r>
        <w:rPr>
          <w:rFonts w:ascii="Times New Roman" w:hAnsi="Times New Roman"/>
          <w:sz w:val="20"/>
        </w:rPr>
        <w:t xml:space="preserve">The following table sets forth our capitalization as of December 31,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 historical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adjusted basis to give effect to (i) the closing of the BP NGL Acquisition, assuming such acquisition is funded in part by borrowings under our credit facilities, and (ii) the closing of our March 2012 offering of 5,750,000 common units, including 750,000 common units issued pursuant to the exercise of the underwriters option to purchase additional common units, and the application of the net proceeds therefrom to fund a portion of the consideration for the BP NGL Acquisition;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an as further adjusted basis to give effect to the sale of the Notes offered hereby and the application of the net proceeds therefrom to fund a portion of the consideration for the BP NGL Acquisition. </w:t>
            </w:r>
          </w:p>
        </w:tc>
      </w:tr>
    </w:tbl>
    <w:p>
      <w:pPr>
        <w:pStyle w:val="TextBody"/>
        <w:spacing w:before="180" w:after="0"/>
        <w:rPr>
          <w:rFonts w:ascii="Times New Roman" w:hAnsi="Times New Roman"/>
          <w:sz w:val="20"/>
        </w:rPr>
      </w:pPr>
      <w:r>
        <w:rPr>
          <w:rFonts w:ascii="Times New Roman" w:hAnsi="Times New Roman"/>
          <w:sz w:val="20"/>
        </w:rPr>
        <w:t xml:space="preserve">This table should also be read in conjunction with our financial statements and the notes thereto that are incorporated by reference into this prospectus supplement. As of March 12, 2012, including the effect of repayments using a portion of the net proceeds of our March 2012 equity offering (pending their final use to fund a portion of the BP NGL Acquisition), we had approximately $30.2 million and $328.2 million outstanding under our PAA senior unsecured revolving credit facility and the PNG senior unsecured revolving credit facility, respectively. In addition, there were no borrowings outstanding under the PAA senior secured hedged inventory facility at that date.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15"/>
        <w:gridCol w:w="383"/>
        <w:gridCol w:w="125"/>
        <w:gridCol w:w="599"/>
        <w:gridCol w:w="120"/>
        <w:gridCol w:w="383"/>
        <w:gridCol w:w="126"/>
        <w:gridCol w:w="605"/>
        <w:gridCol w:w="120"/>
        <w:gridCol w:w="383"/>
        <w:gridCol w:w="125"/>
        <w:gridCol w:w="598"/>
        <w:gridCol w:w="123"/>
      </w:tblGrid>
      <w:tr>
        <w:trPr/>
        <w:tc>
          <w:tcPr>
            <w:tcW w:w="651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51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3184"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December 31, 2011</w:t>
            </w:r>
          </w:p>
        </w:tc>
        <w:tc>
          <w:tcPr>
            <w:tcW w:w="123" w:type="dxa"/>
            <w:tcBorders/>
            <w:shd w:fill="auto"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7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7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Adjusted</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7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Further</w:t>
              <w:br/>
              <w:t>Adjusted</w:t>
            </w:r>
          </w:p>
        </w:tc>
        <w:tc>
          <w:tcPr>
            <w:tcW w:w="123" w:type="dxa"/>
            <w:tcBorders/>
            <w:shd w:fill="auto"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3184"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millions)</w:t>
            </w:r>
          </w:p>
        </w:tc>
        <w:tc>
          <w:tcPr>
            <w:tcW w:w="123" w:type="dxa"/>
            <w:tcBorders/>
            <w:shd w:fill="auto" w:val="clear"/>
            <w:vAlign w:val="bottom"/>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AND CASH EQUIVALENTS</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rHeight w:val="120" w:hRule="atLeast"/>
        </w:trPr>
        <w:tc>
          <w:tcPr>
            <w:tcW w:w="6515"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c>
          <w:tcPr>
            <w:tcW w:w="1229" w:type="dxa"/>
            <w:gridSpan w:val="4"/>
            <w:tcBorders/>
            <w:shd w:fill="auto" w:val="clear"/>
            <w:vAlign w:val="center"/>
          </w:tcPr>
          <w:p>
            <w:pPr>
              <w:pStyle w:val="TableContents"/>
              <w:spacing w:before="0" w:after="283"/>
              <w:rPr>
                <w:sz w:val="4"/>
                <w:szCs w:val="4"/>
              </w:rPr>
            </w:pPr>
            <w:r>
              <w:rPr>
                <w:sz w:val="4"/>
                <w:szCs w:val="4"/>
              </w:rPr>
            </w:r>
          </w:p>
        </w:tc>
      </w:tr>
      <w:tr>
        <w:trPr/>
        <w:tc>
          <w:tcPr>
            <w:tcW w:w="6515" w:type="dxa"/>
            <w:tcBorders/>
            <w:shd w:fill="auto" w:val="clear"/>
          </w:tcPr>
          <w:p>
            <w:pPr>
              <w:pStyle w:val="TableContents"/>
              <w:spacing w:before="0" w:after="283"/>
              <w:rPr>
                <w:rFonts w:ascii="Times New Roman" w:hAnsi="Times New Roman"/>
                <w:b/>
                <w:sz w:val="20"/>
              </w:rPr>
            </w:pPr>
            <w:r>
              <w:rPr>
                <w:rFonts w:ascii="Times New Roman" w:hAnsi="Times New Roman"/>
                <w:b/>
                <w:sz w:val="20"/>
              </w:rPr>
              <w:t>SHORT-TERM DEBT</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PAA senior secured hedged inventory facility</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PAA senior unsecured revolving credit facility (1)(3)</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3" w:type="dxa"/>
            <w:tcBorders/>
            <w:shd w:fill="auto" w:val="clear"/>
            <w:vAlign w:val="bottom"/>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PNG senior unsecured revolving credit facility (2)</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4.25% senior notes due September 2012</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3" w:type="dxa"/>
            <w:tcBorders/>
            <w:shd w:fill="auto" w:val="clear"/>
            <w:vAlign w:val="bottom"/>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Total short-term debt</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979</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123" w:type="dxa"/>
            <w:tcBorders/>
            <w:shd w:fill="auto"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rHeight w:val="120" w:hRule="atLeast"/>
        </w:trPr>
        <w:tc>
          <w:tcPr>
            <w:tcW w:w="6515"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c>
          <w:tcPr>
            <w:tcW w:w="1229" w:type="dxa"/>
            <w:gridSpan w:val="4"/>
            <w:tcBorders/>
            <w:shd w:fill="auto" w:val="clear"/>
            <w:vAlign w:val="center"/>
          </w:tcPr>
          <w:p>
            <w:pPr>
              <w:pStyle w:val="TableContents"/>
              <w:spacing w:before="0" w:after="283"/>
              <w:rPr>
                <w:sz w:val="4"/>
                <w:szCs w:val="4"/>
              </w:rPr>
            </w:pPr>
            <w:r>
              <w:rPr>
                <w:sz w:val="4"/>
                <w:szCs w:val="4"/>
              </w:rPr>
            </w:r>
          </w:p>
        </w:tc>
      </w:tr>
      <w:tr>
        <w:trPr/>
        <w:tc>
          <w:tcPr>
            <w:tcW w:w="6515"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DEBT</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Senior notes, net of unamortized discounts</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4,262</w:t>
            </w:r>
          </w:p>
        </w:tc>
        <w:tc>
          <w:tcPr>
            <w:tcW w:w="123" w:type="dxa"/>
            <w:tcBorders/>
            <w:shd w:fill="auto" w:val="clear"/>
            <w:vAlign w:val="bottom"/>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2022 Notes offered hereby, net of unamortized discount</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748</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2042 Notes offered hereby, net of unamortized discount</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499</w:t>
            </w:r>
          </w:p>
        </w:tc>
        <w:tc>
          <w:tcPr>
            <w:tcW w:w="123" w:type="dxa"/>
            <w:tcBorders/>
            <w:shd w:fill="auto" w:val="clear"/>
            <w:vAlign w:val="bottom"/>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under credit facilities and other (3)</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1,127</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Total long-term debt</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4,520</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5,389</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5,767</w:t>
            </w:r>
          </w:p>
        </w:tc>
        <w:tc>
          <w:tcPr>
            <w:tcW w:w="123" w:type="dxa"/>
            <w:tcBorders/>
            <w:shd w:fill="auto"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rHeight w:val="120" w:hRule="atLeast"/>
        </w:trPr>
        <w:tc>
          <w:tcPr>
            <w:tcW w:w="6515"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c>
          <w:tcPr>
            <w:tcW w:w="1229" w:type="dxa"/>
            <w:gridSpan w:val="4"/>
            <w:tcBorders/>
            <w:shd w:fill="auto" w:val="clear"/>
            <w:vAlign w:val="center"/>
          </w:tcPr>
          <w:p>
            <w:pPr>
              <w:pStyle w:val="TableContents"/>
              <w:spacing w:before="0" w:after="283"/>
              <w:rPr>
                <w:sz w:val="4"/>
                <w:szCs w:val="4"/>
              </w:rPr>
            </w:pPr>
            <w:r>
              <w:rPr>
                <w:sz w:val="4"/>
                <w:szCs w:val="4"/>
              </w:rPr>
            </w:r>
          </w:p>
        </w:tc>
      </w:tr>
      <w:tr>
        <w:trPr/>
        <w:tc>
          <w:tcPr>
            <w:tcW w:w="6515" w:type="dxa"/>
            <w:tcBorders/>
            <w:shd w:fill="CCEEFF" w:val="clear"/>
          </w:tcPr>
          <w:p>
            <w:pPr>
              <w:pStyle w:val="TableContents"/>
              <w:spacing w:before="0" w:after="283"/>
              <w:rPr>
                <w:rFonts w:ascii="Times New Roman" w:hAnsi="Times New Roman"/>
                <w:b/>
                <w:sz w:val="20"/>
              </w:rPr>
            </w:pPr>
            <w:r>
              <w:rPr>
                <w:rFonts w:ascii="Times New Roman" w:hAnsi="Times New Roman"/>
                <w:b/>
                <w:sz w:val="20"/>
              </w:rPr>
              <w:t>PARTNERS CAPITAL</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0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Common unitholders</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5,249</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5,695</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5,695</w:t>
            </w:r>
          </w:p>
        </w:tc>
        <w:tc>
          <w:tcPr>
            <w:tcW w:w="123" w:type="dxa"/>
            <w:tcBorders/>
            <w:shd w:fill="auto" w:val="clear"/>
            <w:vAlign w:val="bottom"/>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General partner</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 excluding noncontrolling interests</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5,450</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5,905</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5,905</w:t>
            </w:r>
          </w:p>
        </w:tc>
        <w:tc>
          <w:tcPr>
            <w:tcW w:w="123" w:type="dxa"/>
            <w:tcBorders/>
            <w:shd w:fill="auto" w:val="clear"/>
            <w:vAlign w:val="bottom"/>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Noncontrolling interests</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15" w:type="dxa"/>
            <w:tcBorders/>
            <w:shd w:fill="auto" w:val="clear"/>
          </w:tcPr>
          <w:p>
            <w:pPr>
              <w:pStyle w:val="TableContents"/>
              <w:spacing w:before="0" w:after="283"/>
              <w:rPr>
                <w:rFonts w:ascii="Times New Roman" w:hAnsi="Times New Roman"/>
                <w:sz w:val="20"/>
              </w:rPr>
            </w:pPr>
            <w:r>
              <w:rPr>
                <w:rFonts w:ascii="Times New Roman" w:hAnsi="Times New Roman"/>
                <w:sz w:val="20"/>
              </w:rPr>
              <w:t>Total partners capital</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5,974</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6,429</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6,429</w:t>
            </w:r>
          </w:p>
        </w:tc>
        <w:tc>
          <w:tcPr>
            <w:tcW w:w="123" w:type="dxa"/>
            <w:tcBorders/>
            <w:shd w:fill="auto"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6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1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capitalization</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10,494</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11,818</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12,196</w:t>
            </w:r>
          </w:p>
        </w:tc>
        <w:tc>
          <w:tcPr>
            <w:tcW w:w="123" w:type="dxa"/>
            <w:tcBorders/>
            <w:shd w:fill="CCEEFF" w:val="clear"/>
            <w:vAlign w:val="bottom"/>
          </w:tcPr>
          <w:p>
            <w:pPr>
              <w:pStyle w:val="TableContents"/>
              <w:spacing w:before="0" w:after="283"/>
              <w:rPr/>
            </w:pPr>
            <w:r>
              <w:rPr/>
              <w:t>  </w:t>
            </w:r>
          </w:p>
        </w:tc>
      </w:tr>
      <w:tr>
        <w:trPr/>
        <w:tc>
          <w:tcPr>
            <w:tcW w:w="651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6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We classify as short-term certain borrowings under the PAA senior unsecured revolving credit facility. These borrowings are primarily designated as working capital borrowings, must be repaid within one year and are primarily for hedged LPG and crude oil inventory and NYMEX and ICE margin deposits.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PNG classifies as short-term any borrowings under the PNG senior unsecured revolving credit facility that have been designated as working capital borrowings and must be repaid within one year. Such borrowings are primarily related to a portion of PNGs hedged natural gas inventory.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 December 2011, we supplemented our existing credit facility by entering into a revolving 364-day credit facility with a borrowing capacity of $1.2 billion. As of December 31, 2011, this facility had not been activated. Pursuant to its terms, we may activate the facility at any time within six months of the closing of the facility, resulting in a maturity date 364 days from the activation date.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314176_9"/>
      <w:bookmarkEnd w:id="12"/>
      <w:r>
        <w:rPr>
          <w:rFonts w:ascii="Times New Roman" w:hAnsi="Times New Roman"/>
          <w:b/>
          <w:sz w:val="20"/>
        </w:rPr>
        <w:t xml:space="preserve">DESCRIPTION OF NOTES </w:t>
      </w:r>
    </w:p>
    <w:p>
      <w:pPr>
        <w:pStyle w:val="TextBody"/>
        <w:spacing w:before="180" w:after="0"/>
        <w:rPr>
          <w:rFonts w:ascii="Times New Roman" w:hAnsi="Times New Roman"/>
          <w:sz w:val="20"/>
        </w:rPr>
      </w:pPr>
      <w:r>
        <w:rPr>
          <w:rFonts w:ascii="Times New Roman" w:hAnsi="Times New Roman"/>
          <w:sz w:val="20"/>
        </w:rPr>
        <w:t xml:space="preserve">We will issue the Notes under an indenture (the Base Indenture) dated as of September 25, 2002, among us, the subsidiary guarantors and U.S. Bank National Association, as successor trustee, and a supplemental indenture thereto with respect to each series of the Notes to be dated as of March 22, 2012 (each such supplemental indenture, together with the Base Indenture, the Indenture). Each series of the Notes will constitute a new series of debt securities under the Indenture, and 12 other series are now outstanding under the Base Indenture, each issued under a separate supplemental indenture. </w:t>
      </w:r>
    </w:p>
    <w:p>
      <w:pPr>
        <w:pStyle w:val="TextBody"/>
        <w:spacing w:before="180" w:after="0"/>
        <w:rPr>
          <w:rFonts w:ascii="Times New Roman" w:hAnsi="Times New Roman"/>
          <w:sz w:val="20"/>
        </w:rPr>
      </w:pPr>
      <w:r>
        <w:rPr>
          <w:rFonts w:ascii="Times New Roman" w:hAnsi="Times New Roman"/>
          <w:sz w:val="20"/>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 </w:t>
      </w:r>
    </w:p>
    <w:p>
      <w:pPr>
        <w:pStyle w:val="TextBody"/>
        <w:spacing w:before="180" w:after="0"/>
        <w:rPr>
          <w:rFonts w:ascii="Times New Roman" w:hAnsi="Times New Roman"/>
          <w:sz w:val="20"/>
        </w:rPr>
      </w:pPr>
      <w:r>
        <w:rPr>
          <w:rFonts w:ascii="Times New Roman" w:hAnsi="Times New Roman"/>
          <w:sz w:val="20"/>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w:t>
      </w:r>
    </w:p>
    <w:p>
      <w:pPr>
        <w:pStyle w:val="TextBody"/>
        <w:spacing w:before="180" w:after="0"/>
        <w:rPr>
          <w:rFonts w:ascii="Times New Roman" w:hAnsi="Times New Roman"/>
          <w:sz w:val="20"/>
        </w:rPr>
      </w:pPr>
      <w:r>
        <w:rPr>
          <w:rFonts w:ascii="Times New Roman" w:hAnsi="Times New Roman"/>
          <w:sz w:val="20"/>
        </w:rPr>
        <w:t xml:space="preserve">This description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is only a summary, you should refer to the Indenture for a complete description of our obligations and your rights. </w:t>
      </w:r>
    </w:p>
    <w:p>
      <w:pPr>
        <w:pStyle w:val="TextBody"/>
        <w:spacing w:before="180" w:after="0"/>
        <w:rPr>
          <w:rFonts w:ascii="Times New Roman" w:hAnsi="Times New Roman"/>
          <w:b/>
          <w:sz w:val="20"/>
        </w:rPr>
      </w:pPr>
      <w:r>
        <w:rPr>
          <w:rFonts w:ascii="Times New Roman" w:hAnsi="Times New Roman"/>
          <w:b/>
          <w:sz w:val="20"/>
        </w:rPr>
        <w:t xml:space="preserve">General Description of Each Series of the Notes </w:t>
      </w:r>
    </w:p>
    <w:p>
      <w:pPr>
        <w:pStyle w:val="TextBody"/>
        <w:spacing w:before="180" w:after="0"/>
        <w:rPr>
          <w:rFonts w:ascii="Times New Roman" w:hAnsi="Times New Roman"/>
          <w:sz w:val="20"/>
        </w:rPr>
      </w:pPr>
      <w:r>
        <w:rPr>
          <w:rFonts w:ascii="Times New Roman" w:hAnsi="Times New Roman"/>
          <w:sz w:val="20"/>
        </w:rPr>
        <w:t xml:space="preserve">The Notes of each series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senior unsecured indebtedness ranking equally in right of payment with all of our existing and future unsubordinated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new series of debt securities issued under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non-recourse to our general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senior in right of payment to any of our future subordinated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any of our existing and future secured indebtedness, to the extent of the security for that debt;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effectively junior to existing and future indebtedness and other obligations of our subsidiaries, including trade payables, other than subsidiaries that may guarantee such Notes in the future. </w:t>
            </w:r>
          </w:p>
        </w:tc>
      </w:tr>
    </w:tbl>
    <w:p>
      <w:pPr>
        <w:pStyle w:val="TextBody"/>
        <w:spacing w:before="180" w:after="0"/>
        <w:rPr>
          <w:rFonts w:ascii="Times New Roman" w:hAnsi="Times New Roman"/>
          <w:sz w:val="20"/>
        </w:rPr>
      </w:pPr>
      <w:r>
        <w:rPr>
          <w:rFonts w:ascii="Times New Roman" w:hAnsi="Times New Roman"/>
          <w:sz w:val="20"/>
        </w:rPr>
        <w:t xml:space="preserve">As of December 31, 2011, on an as adjusted basis as described under Capitalization, the Notes would have been effectively subordinated to $75 million of short-term secured indebtedness and structurally subordinated to all of our subsidiaries outstanding indebtedness, which totaled approximately $326 million at that date, and other obligations, including trade payables.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spacing w:before="180" w:after="0"/>
        <w:rPr>
          <w:rFonts w:ascii="Times New Roman" w:hAnsi="Times New Roman"/>
          <w:sz w:val="20"/>
        </w:rPr>
      </w:pPr>
      <w:r>
        <w:rPr>
          <w:rFonts w:ascii="Times New Roman" w:hAnsi="Times New Roman"/>
          <w:sz w:val="20"/>
        </w:rPr>
        <w:t xml:space="preserve">The Indenture does not limit the aggregate principal amount of debt securities that may be issued thereunder and provides that debt securities may be issued thereunder from time to time in one or more series. Except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extent described under Covenants, the Indenture does not limit our ability or the ability of our subsidiaries to incur either secured or unsecured additional indebtedness. </w:t>
      </w:r>
    </w:p>
    <w:p>
      <w:pPr>
        <w:pStyle w:val="TextBody"/>
        <w:spacing w:before="180" w:after="0"/>
        <w:rPr>
          <w:rFonts w:ascii="Times New Roman" w:hAnsi="Times New Roman"/>
          <w:b/>
          <w:sz w:val="20"/>
        </w:rPr>
      </w:pPr>
      <w:r>
        <w:rPr>
          <w:rFonts w:ascii="Times New Roman" w:hAnsi="Times New Roman"/>
          <w:b/>
          <w:sz w:val="20"/>
        </w:rPr>
        <w:t xml:space="preserve">Further Issuances </w:t>
      </w:r>
    </w:p>
    <w:p>
      <w:pPr>
        <w:pStyle w:val="TextBody"/>
        <w:spacing w:before="180" w:after="0"/>
        <w:rPr>
          <w:rFonts w:ascii="Times New Roman" w:hAnsi="Times New Roman"/>
          <w:sz w:val="20"/>
        </w:rPr>
      </w:pPr>
      <w:r>
        <w:rPr>
          <w:rFonts w:ascii="Times New Roman" w:hAnsi="Times New Roman"/>
          <w:sz w:val="20"/>
        </w:rPr>
        <w:t xml:space="preserve">We may, from time to time, without notice to or the consent of the holders of the Notes of either series, create and issue additional Notes of the same series ranking equally and ratably with that same series of Notes in all respects, so that such additional Notes form a single series with such Notes and have the same terms as to status, redemption or otherwise as such Notes (except for the issue date, the initial payment date, if applicable, and the payment of interest accruing prior to the issue date of such additional Notes). </w:t>
      </w:r>
    </w:p>
    <w:p>
      <w:pPr>
        <w:pStyle w:val="TextBody"/>
        <w:spacing w:before="180" w:after="0"/>
        <w:rPr>
          <w:rFonts w:ascii="Times New Roman" w:hAnsi="Times New Roman"/>
          <w:b/>
          <w:sz w:val="20"/>
        </w:rPr>
      </w:pPr>
      <w:r>
        <w:rPr>
          <w:rFonts w:ascii="Times New Roman" w:hAnsi="Times New Roman"/>
          <w:b/>
          <w:sz w:val="20"/>
        </w:rPr>
        <w:t xml:space="preserve">Principal, Maturity and Interest </w:t>
      </w:r>
    </w:p>
    <w:p>
      <w:pPr>
        <w:pStyle w:val="TextBody"/>
        <w:spacing w:before="180" w:after="0"/>
        <w:rPr>
          <w:rFonts w:ascii="Times New Roman" w:hAnsi="Times New Roman"/>
          <w:sz w:val="20"/>
        </w:rPr>
      </w:pPr>
      <w:r>
        <w:rPr>
          <w:rFonts w:ascii="Times New Roman" w:hAnsi="Times New Roman"/>
          <w:sz w:val="20"/>
        </w:rPr>
        <w:t xml:space="preserve">We will issue the Notes in an initial aggregate principal amount of $1.25 billion, consisting of $750 million aggregate principal amount of the 3.65% Senior Notes due 2022 and $500 million aggregate principal amount of the 5.15% Senior Notes due 2042. The 2022 Notes will mature on June 1, 2022, and the 2042 Notes will mature on June 1, 2042. The 2022 Notes will bear interest at the annual rate of 3.65%, and the 2042 Notes will bear interest at the annual rate of 5.15%. Interest on each series of the Notes will accrue from March 22, 2012 and will be payable semi-annually in arrears on June 1 and December 1 of each year, beginning December 1, 2012. We will make each interest payment to the holders of record at the close of business on the May 15 and November 15 preceding such interest payment dates. Interest will be computed on the basis of a 360-day year consisting of twelve 30-day months. We will issue the Notes in minimum denominations of $2,000 and integral multiples of $1,000 in excess thereof. </w:t>
      </w:r>
    </w:p>
    <w:p>
      <w:pPr>
        <w:pStyle w:val="TextBody"/>
        <w:spacing w:before="180" w:after="0"/>
        <w:rPr>
          <w:rFonts w:ascii="Times New Roman" w:hAnsi="Times New Roman"/>
          <w:b/>
          <w:sz w:val="20"/>
        </w:rPr>
      </w:pPr>
      <w:r>
        <w:rPr>
          <w:rFonts w:ascii="Times New Roman" w:hAnsi="Times New Roman"/>
          <w:b/>
          <w:sz w:val="20"/>
        </w:rPr>
        <w:t xml:space="preserve">No Liability of General Partner </w:t>
      </w:r>
    </w:p>
    <w:p>
      <w:pPr>
        <w:pStyle w:val="TextBody"/>
        <w:spacing w:before="180" w:after="0"/>
        <w:rPr>
          <w:rFonts w:ascii="Times New Roman" w:hAnsi="Times New Roman"/>
          <w:sz w:val="20"/>
        </w:rPr>
      </w:pPr>
      <w:r>
        <w:rPr>
          <w:rFonts w:ascii="Times New Roman" w:hAnsi="Times New Roman"/>
          <w:sz w:val="20"/>
        </w:rPr>
        <w:t xml:space="preserve">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180" w:after="0"/>
        <w:rPr>
          <w:rFonts w:ascii="Times New Roman" w:hAnsi="Times New Roman"/>
          <w:b/>
          <w:sz w:val="20"/>
        </w:rPr>
      </w:pPr>
      <w:r>
        <w:rPr>
          <w:rFonts w:ascii="Times New Roman" w:hAnsi="Times New Roman"/>
          <w:b/>
          <w:sz w:val="20"/>
        </w:rPr>
        <w:t xml:space="preserve">Possible Future Guarantees </w:t>
      </w:r>
    </w:p>
    <w:p>
      <w:pPr>
        <w:pStyle w:val="TextBody"/>
        <w:spacing w:before="180" w:after="0"/>
        <w:rPr>
          <w:rFonts w:ascii="Times New Roman" w:hAnsi="Times New Roman"/>
          <w:sz w:val="20"/>
        </w:rPr>
      </w:pPr>
      <w:r>
        <w:rPr>
          <w:rFonts w:ascii="Times New Roman" w:hAnsi="Times New Roman"/>
          <w:sz w:val="20"/>
        </w:rPr>
        <w:t xml:space="preserve">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Provided that no default shall have occurred and shall be continuing under the Indenture, a future subsidiary guarantor will be unconditionally released and discharged from its guarantee: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any sale or other disposition of all of our direct or indirect equity interests in that subsidiary guarantor to any person that is not our affiliate;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following delivery of a written notice of the release from the guarantee by us to the trustee, upon the release of all guarantees by the subsidiary guarantor of any debt of ours (other than debt securities issued under the Indenture).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Optional Redemption </w:t>
      </w:r>
    </w:p>
    <w:p>
      <w:pPr>
        <w:pStyle w:val="TextBody"/>
        <w:spacing w:before="180" w:after="0"/>
        <w:rPr>
          <w:rFonts w:ascii="Times New Roman" w:hAnsi="Times New Roman"/>
          <w:sz w:val="20"/>
        </w:rPr>
      </w:pPr>
      <w:r>
        <w:rPr>
          <w:rFonts w:ascii="Times New Roman" w:hAnsi="Times New Roman"/>
          <w:sz w:val="20"/>
        </w:rPr>
        <w:t xml:space="preserve">The Notes will be redeemable, in whole or in part, at our option at any time and from time to time prior to maturity. If we redeem the 2022 Notes before March 1, 2022 (three months prior to their maturity date) or the 2042 Notes before December 1, 2041 (six months prior to their maturity date), such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25 basis points for the 2022 Notes and 30 basis points for the 2042 Notes, in each case together with accrued interest to the date of redemption. </w:t>
      </w:r>
    </w:p>
    <w:p>
      <w:pPr>
        <w:pStyle w:val="TextBody"/>
        <w:spacing w:before="180" w:after="0"/>
        <w:rPr>
          <w:rFonts w:ascii="Times New Roman" w:hAnsi="Times New Roman"/>
          <w:sz w:val="20"/>
        </w:rPr>
      </w:pPr>
      <w:r>
        <w:rPr>
          <w:rFonts w:ascii="Times New Roman" w:hAnsi="Times New Roman"/>
          <w:sz w:val="20"/>
        </w:rPr>
        <w:t xml:space="preserve">If we redeem the 2022 Notes on or after March 1, 2022 (three months prior to their maturity date) or the 2042 Notes on or after December 1, 2041 (six months prior to their maturity date), the redemption price will equal 100% of the principal amount of the Notes to be redeemed plus accrued interest to the redemption date.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Adjusted Treasury Rate</w:t>
      </w:r>
      <w:r>
        <w:rPr>
          <w:rFonts w:ascii="Times New Roman" w:hAnsi="Times New Roman"/>
          <w:sz w:val="20"/>
        </w:rPr>
        <w:t xml:space="preserv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Comparable Treasury Issue</w:t>
      </w:r>
      <w:r>
        <w:rPr>
          <w:rFonts w:ascii="Times New Roman" w:hAnsi="Times New Roman"/>
          <w:sz w:val="20"/>
        </w:rPr>
        <w:t xml:space="preserv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Comparable Treasury Price</w:t>
      </w:r>
      <w:r>
        <w:rPr>
          <w:rFonts w:ascii="Times New Roman" w:hAnsi="Times New Roman"/>
          <w:sz w:val="20"/>
        </w:rPr>
        <w:t xml:space="preserv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Quotation Agent</w:t>
      </w:r>
      <w:r>
        <w:rPr>
          <w:rFonts w:ascii="Times New Roman" w:hAnsi="Times New Roman"/>
          <w:sz w:val="20"/>
        </w:rPr>
        <w:t xml:space="preserve"> means a Primary Treasury Dealer (as defined below) appointed by us.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Reference Treasury Dealer</w:t>
      </w:r>
      <w:r>
        <w:rPr>
          <w:rFonts w:ascii="Times New Roman" w:hAnsi="Times New Roman"/>
          <w:sz w:val="20"/>
        </w:rPr>
        <w:t xml:space="preserve"> means each of J.P. Morgan Securities LLC, Merrill Lynch, Pierce, Fenner &amp; Smith Incorporated, UBS Securities LLC and a Primary Treasury Dealer (as defined below) selected by Wells Fargo Securities, LLC and each of their successors; provided, however, that if any of the foregoing shall cease to be a primary U.S. government securities dealer in the United States (a Primary Treasury Dealer), we shall substitute another Primary Treasury Dealer.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Reference Treasury Dealer Quotations</w:t>
      </w:r>
      <w:r>
        <w:rPr>
          <w:rFonts w:ascii="Times New Roman" w:hAnsi="Times New Roman"/>
          <w:sz w:val="20"/>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80" w:after="0"/>
        <w:rPr>
          <w:rFonts w:ascii="Times New Roman" w:hAnsi="Times New Roman"/>
          <w:sz w:val="20"/>
        </w:rPr>
      </w:pPr>
      <w:r>
        <w:rPr>
          <w:rFonts w:ascii="Times New Roman" w:hAnsi="Times New Roman"/>
          <w:sz w:val="20"/>
        </w:rPr>
        <w:t xml:space="preserve">Unless we default in payment of the redemption price, on and after the date of redemption, interest will cease to accrue on the Notes or portions thereof called for redemption. </w:t>
      </w:r>
    </w:p>
    <w:p>
      <w:pPr>
        <w:pStyle w:val="TextBody"/>
        <w:spacing w:before="180" w:after="0"/>
        <w:rPr>
          <w:rFonts w:ascii="Times New Roman" w:hAnsi="Times New Roman"/>
          <w:sz w:val="20"/>
        </w:rPr>
      </w:pPr>
      <w:r>
        <w:rPr>
          <w:rFonts w:ascii="Times New Roman" w:hAnsi="Times New Roman"/>
          <w:sz w:val="20"/>
        </w:rPr>
        <w:t xml:space="preserve">On or before a redemption date, we will deposit with a paying agent (or with the trustee) sufficient money to pay the redemption price and accrued interest on the Notes to be redeemed.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If less than all of the Notes of either series are to be redeemed at any time, the trustee will select Notes (or any portion of Notes in integral multiples of $1,000) for redemption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listed, in compliance with the requirements of the principal national securities exchange on which such Notes are listed;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such Notes are not so listed or there are no such requirements, on a pro rata basis, by lot or by such method as the trustee shall deem fair and appropriate. </w:t>
            </w:r>
          </w:p>
        </w:tc>
      </w:tr>
    </w:tbl>
    <w:p>
      <w:pPr>
        <w:pStyle w:val="TextBody"/>
        <w:spacing w:before="180" w:after="0"/>
        <w:rPr>
          <w:rFonts w:ascii="Times New Roman" w:hAnsi="Times New Roman"/>
          <w:sz w:val="20"/>
        </w:rPr>
      </w:pPr>
      <w:r>
        <w:rPr>
          <w:rFonts w:ascii="Times New Roman" w:hAnsi="Times New Roman"/>
          <w:sz w:val="20"/>
        </w:rPr>
        <w:t xml:space="preserve">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180" w:after="0"/>
        <w:rPr>
          <w:rFonts w:ascii="Times New Roman" w:hAnsi="Times New Roman"/>
          <w:b/>
          <w:sz w:val="20"/>
        </w:rPr>
      </w:pPr>
      <w:r>
        <w:rPr>
          <w:rFonts w:ascii="Times New Roman" w:hAnsi="Times New Roman"/>
          <w:b/>
          <w:sz w:val="20"/>
        </w:rPr>
        <w:t xml:space="preserve">Special Optional Redemption </w:t>
      </w:r>
    </w:p>
    <w:p>
      <w:pPr>
        <w:pStyle w:val="TextBody"/>
        <w:spacing w:before="180" w:after="0"/>
        <w:rPr>
          <w:rFonts w:ascii="Times New Roman" w:hAnsi="Times New Roman"/>
          <w:sz w:val="20"/>
        </w:rPr>
      </w:pPr>
      <w:r>
        <w:rPr>
          <w:rFonts w:ascii="Times New Roman" w:hAnsi="Times New Roman"/>
          <w:sz w:val="20"/>
        </w:rPr>
        <w:t xml:space="preserve">Upon the occurrence of the earlier of the following two events (each a Special Optional Redemption Trigger Event), we will have the option to redeem all, but not less than all, of either or both series of Notes (the Special Optional Redemption) at a redemption price in cash equal to 101% of the aggregate principal amount of such series of Notes plus accrued and unpaid interest thereon to the optional redemption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June 1, 2012 if the BP NGL Acquisition has not been consummated by such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earlier termination of the BP NGL Acquisition agreement. </w:t>
            </w:r>
          </w:p>
        </w:tc>
      </w:tr>
    </w:tbl>
    <w:p>
      <w:pPr>
        <w:pStyle w:val="TextBody"/>
        <w:spacing w:before="180" w:after="0"/>
        <w:rPr>
          <w:rFonts w:ascii="Times New Roman" w:hAnsi="Times New Roman"/>
          <w:sz w:val="20"/>
        </w:rPr>
      </w:pPr>
      <w:r>
        <w:rPr>
          <w:rFonts w:ascii="Times New Roman" w:hAnsi="Times New Roman"/>
          <w:sz w:val="20"/>
        </w:rPr>
        <w:t xml:space="preserve">Within 10 days of the occurrence of the Special Optional Redemption Trigger Event, if we elect to utilize the Special Optional Redemption, notice of the Special Optional Redemption will be mailed by first-class mail to each holder of Notes to be redeemed at its registered address, stating, among other matters prescribed in the Indenture, that a Special Optional Redemption Trigger Event has occurred and that we have elected to redeem all of either or both series of Notes on the redemption date in the amount set forth in such notice (which shall be no earlier than 15 days and no later than 30 days from the date such notice is mailed). </w:t>
      </w:r>
    </w:p>
    <w:p>
      <w:pPr>
        <w:pStyle w:val="TextBody"/>
        <w:spacing w:before="180" w:after="0"/>
        <w:rPr>
          <w:rFonts w:ascii="Times New Roman" w:hAnsi="Times New Roman"/>
          <w:sz w:val="20"/>
        </w:rPr>
      </w:pPr>
      <w:r>
        <w:rPr>
          <w:rFonts w:ascii="Times New Roman" w:hAnsi="Times New Roman"/>
          <w:sz w:val="20"/>
        </w:rPr>
        <w:t xml:space="preserve">The provisions related to our option to redeem the Notes in a Special Optional Redemption may not be waived or modified without the consent of the holders of all Notes subject to such waiver or modification. </w:t>
      </w:r>
    </w:p>
    <w:p>
      <w:pPr>
        <w:pStyle w:val="TextBody"/>
        <w:spacing w:before="180" w:after="0"/>
        <w:rPr>
          <w:rFonts w:ascii="Times New Roman" w:hAnsi="Times New Roman"/>
          <w:b/>
          <w:sz w:val="20"/>
        </w:rPr>
      </w:pPr>
      <w:r>
        <w:rPr>
          <w:rFonts w:ascii="Times New Roman" w:hAnsi="Times New Roman"/>
          <w:b/>
          <w:sz w:val="20"/>
        </w:rPr>
        <w:t xml:space="preserve">Events of Default </w:t>
      </w:r>
    </w:p>
    <w:p>
      <w:pPr>
        <w:pStyle w:val="TextBody"/>
        <w:spacing w:before="180" w:after="0"/>
        <w:rPr>
          <w:rFonts w:ascii="Times New Roman" w:hAnsi="Times New Roman"/>
          <w:sz w:val="20"/>
        </w:rPr>
      </w:pPr>
      <w:r>
        <w:rPr>
          <w:rFonts w:ascii="Times New Roman" w:hAnsi="Times New Roman"/>
          <w:sz w:val="20"/>
        </w:rPr>
        <w:t xml:space="preserve">Each of the following is an Event of Default with respect to the Notes of either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payment when due of the principal of or any premium on any Note of that series at maturity, upon redemption or otherwise;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for 60 days in the payment when due of interest on any Note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us or, if and so long as the Notes of that series are guaranteed by a subsidiary guarantor, by such subsidiary guarantor, for 90 days after receipt of notice from the trustee or the holders to comply with any other term, covenant or warranty in the Indenture or such Notes (provided that notice need not be given, and an Event of Default will occur, 90 days after any breach of the covenants described under Consolidation, Merger or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1"/>
        <w:gridCol w:w="9394"/>
      </w:tblGrid>
      <w:tr>
        <w:trPr/>
        <w:tc>
          <w:tcPr>
            <w:tcW w:w="811" w:type="dxa"/>
            <w:tcBorders/>
            <w:shd w:fill="auto" w:val="clear"/>
            <w:vAlign w:val="center"/>
          </w:tcPr>
          <w:p>
            <w:pPr>
              <w:pStyle w:val="TableContents"/>
              <w:spacing w:before="0" w:after="283"/>
              <w:rPr/>
            </w:pPr>
            <w:r>
              <w:rPr/>
              <w:t> </w:t>
            </w:r>
          </w:p>
        </w:tc>
        <w:tc>
          <w:tcPr>
            <w:tcW w:w="9394"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specified events in bankruptcy, insolvency or reorganization of us or, if and so long as the Notes of that series are guaranteed by a subsidiary guarantor, by such subsidiary guarantor;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1"/>
        <w:gridCol w:w="8882"/>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180" w:after="0"/>
        <w:rPr>
          <w:rFonts w:ascii="Times New Roman" w:hAnsi="Times New Roman"/>
          <w:sz w:val="20"/>
        </w:rPr>
      </w:pPr>
      <w:r>
        <w:rPr>
          <w:rFonts w:ascii="Times New Roman" w:hAnsi="Times New Roman"/>
          <w:sz w:val="20"/>
        </w:rPr>
        <w:t xml:space="preserve">An Event of Default regarding the Notes of either series will not necessarily constitute an Event of Default for the Notes of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to be due and payable immediately. </w:t>
      </w:r>
    </w:p>
    <w:p>
      <w:pPr>
        <w:pStyle w:val="TextBody"/>
        <w:spacing w:before="180" w:after="0"/>
        <w:rPr>
          <w:rFonts w:ascii="Times New Roman" w:hAnsi="Times New Roman"/>
          <w:sz w:val="20"/>
        </w:rPr>
      </w:pPr>
      <w:r>
        <w:rPr>
          <w:rFonts w:ascii="Times New Roman" w:hAnsi="Times New Roman"/>
          <w:sz w:val="20"/>
        </w:rPr>
        <w:t xml:space="preserve">Within five days after any of our officers becomes aware of the occurrence of any Default (meaning an event that is, or after the giving of notice or passage of time or both would be, an Event of Default) or Event of Default with respect to the Notes,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 </w:t>
      </w:r>
    </w:p>
    <w:p>
      <w:pPr>
        <w:pStyle w:val="TextBody"/>
        <w:spacing w:before="180" w:after="0"/>
        <w:rPr>
          <w:rFonts w:ascii="Times New Roman" w:hAnsi="Times New Roman"/>
          <w:sz w:val="20"/>
        </w:rPr>
      </w:pPr>
      <w:r>
        <w:rPr>
          <w:rFonts w:ascii="Times New Roman" w:hAnsi="Times New Roman"/>
          <w:sz w:val="20"/>
        </w:rPr>
        <w:t xml:space="preserve">If a Default with respect to the Notes of either series occurs and is continuing and is known to the trustee, the trustee must mail to each holder of such series of Notes a notice of the Default within 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 </w:t>
      </w:r>
    </w:p>
    <w:p>
      <w:pPr>
        <w:pStyle w:val="TextBody"/>
        <w:spacing w:before="180" w:after="0"/>
        <w:rPr>
          <w:rFonts w:ascii="Times New Roman" w:hAnsi="Times New Roman"/>
          <w:b/>
          <w:sz w:val="20"/>
        </w:rPr>
      </w:pPr>
      <w:r>
        <w:rPr>
          <w:rFonts w:ascii="Times New Roman" w:hAnsi="Times New Roman"/>
          <w:b/>
          <w:sz w:val="20"/>
        </w:rPr>
        <w:t xml:space="preserve">Consolidation, Merger or Sale </w:t>
      </w:r>
    </w:p>
    <w:p>
      <w:pPr>
        <w:pStyle w:val="TextBody"/>
        <w:spacing w:before="180" w:after="0"/>
        <w:rPr>
          <w:rFonts w:ascii="Times New Roman" w:hAnsi="Times New Roman"/>
          <w:sz w:val="20"/>
        </w:rPr>
      </w:pPr>
      <w:r>
        <w:rPr>
          <w:rFonts w:ascii="Times New Roman" w:hAnsi="Times New Roman"/>
          <w:sz w:val="20"/>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are the surviving Person in the case of a merger, or the surviving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a partnership, limited liability company or corporation organized under the laws of the United States, a state thereof or the District of Columbia, provided that PAA Finance Corp. may not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324"/>
        <w:gridCol w:w="8881"/>
      </w:tblGrid>
      <w:tr>
        <w:trPr/>
        <w:tc>
          <w:tcPr>
            <w:tcW w:w="1324" w:type="dxa"/>
            <w:tcBorders/>
            <w:shd w:fill="auto" w:val="clear"/>
            <w:vAlign w:val="center"/>
          </w:tcPr>
          <w:p>
            <w:pPr>
              <w:pStyle w:val="TableContents"/>
              <w:spacing w:before="0" w:after="283"/>
              <w:rPr/>
            </w:pPr>
            <w:r>
              <w:rPr/>
              <w:t> </w:t>
            </w:r>
          </w:p>
        </w:tc>
        <w:tc>
          <w:tcPr>
            <w:tcW w:w="8881"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merge, amalgamate or consolidate with or into another Person other than a corporation satisfying such requirement for so long as Plains All American Pipeline is not a corporation;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80" w:after="0"/>
        <w:rPr>
          <w:rFonts w:ascii="Times New Roman" w:hAnsi="Times New Roman"/>
          <w:sz w:val="20"/>
        </w:rPr>
      </w:pPr>
      <w:r>
        <w:rPr>
          <w:rFonts w:ascii="Times New Roman" w:hAnsi="Times New Roman"/>
          <w:sz w:val="20"/>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pacing w:before="180" w:after="0"/>
        <w:rPr>
          <w:rFonts w:ascii="Times New Roman" w:hAnsi="Times New Roman"/>
          <w:b/>
          <w:sz w:val="20"/>
        </w:rPr>
      </w:pPr>
      <w:r>
        <w:rPr>
          <w:rFonts w:ascii="Times New Roman" w:hAnsi="Times New Roman"/>
          <w:b/>
          <w:sz w:val="20"/>
        </w:rPr>
        <w:t xml:space="preserve">Modification of the Indenture </w:t>
      </w:r>
    </w:p>
    <w:p>
      <w:pPr>
        <w:pStyle w:val="TextBody"/>
        <w:spacing w:before="180" w:after="0"/>
        <w:rPr>
          <w:rFonts w:ascii="Times New Roman" w:hAnsi="Times New Roman"/>
          <w:sz w:val="20"/>
        </w:rPr>
      </w:pPr>
      <w:r>
        <w:rPr>
          <w:rFonts w:ascii="Times New Roman" w:hAnsi="Times New Roman"/>
          <w:sz w:val="20"/>
        </w:rPr>
        <w:t xml:space="preserve">Generally, we, any subsidiary guarantors and the trustee may amend or supplement the Indenture, any guarantees and the Notes with respect to each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Notes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other provisions with respect to the redemption of any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Note;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release any security that may have been granted with respect to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note payable in currency other than that stated in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Notes to receive payments of principal of or premium, if any, or interest on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Note;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subsidiary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180" w:after="0"/>
        <w:rPr>
          <w:rFonts w:ascii="Times New Roman" w:hAnsi="Times New Roman"/>
          <w:sz w:val="20"/>
        </w:rPr>
      </w:pPr>
      <w:r>
        <w:rPr>
          <w:rFonts w:ascii="Times New Roman" w:hAnsi="Times New Roman"/>
          <w:sz w:val="20"/>
        </w:rPr>
        <w:t xml:space="preserve">Notwithstanding the preceding paragraph, without the consent of any holder of Notes, we, any subsidiary guarantors and the trustee may amend or supplement the Indenture or the Notes with respect to each series of the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certificated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our or the confirmation of any subsidiary guarantors obligations to holders of Notes in the case of a merger or consolidation or sale of all or substantially all of our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subsidiary guarantors as permitted pursuant to the terms of the Indenture (see Possible Future Guarantees);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Notes that do not, taken as a whole, adversely affect the rights under the Indenture of any holder of the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Notes and/or any guarantees;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or terms of any other series of debt securities under the Base Indenture. </w:t>
            </w:r>
          </w:p>
        </w:tc>
      </w:tr>
    </w:tbl>
    <w:p>
      <w:pPr>
        <w:pStyle w:val="TextBody"/>
        <w:spacing w:before="180" w:after="0"/>
        <w:rPr>
          <w:rFonts w:ascii="Times New Roman" w:hAnsi="Times New Roman"/>
          <w:b/>
          <w:sz w:val="20"/>
        </w:rPr>
      </w:pPr>
      <w:r>
        <w:rPr>
          <w:rFonts w:ascii="Times New Roman" w:hAnsi="Times New Roman"/>
          <w:b/>
          <w:sz w:val="20"/>
        </w:rPr>
        <w:t xml:space="preserve">Covenants </w:t>
      </w:r>
    </w:p>
    <w:p>
      <w:pPr>
        <w:pStyle w:val="TextBody"/>
        <w:spacing w:before="180" w:after="0"/>
        <w:rPr>
          <w:rFonts w:ascii="Times New Roman" w:hAnsi="Times New Roman"/>
          <w:b/>
          <w:i/>
          <w:sz w:val="20"/>
        </w:rPr>
      </w:pPr>
      <w:r>
        <w:rPr>
          <w:rFonts w:ascii="Times New Roman" w:hAnsi="Times New Roman"/>
          <w:b/>
          <w:i/>
          <w:sz w:val="20"/>
        </w:rPr>
        <w:t xml:space="preserve">Limitations on Liens </w:t>
      </w:r>
    </w:p>
    <w:p>
      <w:pPr>
        <w:pStyle w:val="TextBody"/>
        <w:spacing w:before="180" w:after="0"/>
        <w:rPr>
          <w:rFonts w:ascii="Times New Roman" w:hAnsi="Times New Roman"/>
          <w:sz w:val="20"/>
        </w:rPr>
      </w:pPr>
      <w:r>
        <w:rPr>
          <w:rFonts w:ascii="Times New Roman" w:hAnsi="Times New Roman"/>
          <w:sz w:val="20"/>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Permitted Liens;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upon any of our property or assets or the property or assets of any Restricted Subsidiary in existence on December 10, 2003 or provided for pursuant to agreements existing on December 10, 2003;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lien resulting from the deposit of moneys or evidence of indebtedness in trust for the purpose of defeasing our debt or debt of any Restricted Subsidiary. </w:t>
            </w:r>
          </w:p>
        </w:tc>
      </w:tr>
    </w:tbl>
    <w:p>
      <w:pPr>
        <w:pStyle w:val="TextBody"/>
        <w:spacing w:before="180" w:after="0"/>
        <w:rPr>
          <w:rFonts w:ascii="Times New Roman" w:hAnsi="Times New Roman"/>
          <w:sz w:val="20"/>
        </w:rPr>
      </w:pPr>
      <w:r>
        <w:rPr>
          <w:rFonts w:ascii="Times New Roman" w:hAnsi="Times New Roman"/>
          <w:sz w:val="20"/>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 </w:t>
      </w:r>
    </w:p>
    <w:p>
      <w:pPr>
        <w:pStyle w:val="TextBody"/>
        <w:spacing w:before="180" w:after="0"/>
        <w:rPr>
          <w:rFonts w:ascii="Times New Roman" w:hAnsi="Times New Roman"/>
          <w:b/>
          <w:i/>
          <w:sz w:val="20"/>
        </w:rPr>
      </w:pPr>
      <w:r>
        <w:rPr>
          <w:rFonts w:ascii="Times New Roman" w:hAnsi="Times New Roman"/>
          <w:b/>
          <w:i/>
          <w:sz w:val="20"/>
        </w:rPr>
        <w:t xml:space="preserve">Limitations on Sale-Leasebacks </w:t>
      </w:r>
    </w:p>
    <w:p>
      <w:pPr>
        <w:pStyle w:val="TextBody"/>
        <w:spacing w:before="90" w:after="0"/>
        <w:rPr>
          <w:rFonts w:ascii="Times New Roman" w:hAnsi="Times New Roman"/>
          <w:sz w:val="20"/>
        </w:rPr>
      </w:pPr>
      <w:r>
        <w:rPr>
          <w:rFonts w:ascii="Times New Roman" w:hAnsi="Times New Roman"/>
          <w:sz w:val="20"/>
        </w:rPr>
        <w:t xml:space="preserve">We will not, and will not permit any Subsidiary to, engage in a Sale-leaseback Transaction,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Sale-leaseback Transaction involves a lease for a period, including renewals, of not more than three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Limitations on Liens, do not exceed 10% of Consolidated Net Tangible Assets. </w:t>
      </w:r>
    </w:p>
    <w:p>
      <w:pPr>
        <w:pStyle w:val="TextBody"/>
        <w:spacing w:before="180" w:after="0"/>
        <w:rPr>
          <w:rFonts w:ascii="Times New Roman" w:hAnsi="Times New Roman"/>
          <w:b/>
          <w:sz w:val="20"/>
        </w:rPr>
      </w:pPr>
      <w:r>
        <w:rPr>
          <w:rFonts w:ascii="Times New Roman" w:hAnsi="Times New Roman"/>
          <w:b/>
          <w:sz w:val="20"/>
        </w:rPr>
        <w:t xml:space="preserve">SEC Reports </w:t>
      </w:r>
    </w:p>
    <w:p>
      <w:pPr>
        <w:pStyle w:val="TextBody"/>
        <w:spacing w:before="180" w:after="0"/>
        <w:rPr>
          <w:rFonts w:ascii="Times New Roman" w:hAnsi="Times New Roman"/>
          <w:sz w:val="20"/>
        </w:rPr>
      </w:pPr>
      <w:r>
        <w:rPr>
          <w:rFonts w:ascii="Times New Roman" w:hAnsi="Times New Roman"/>
          <w:sz w:val="20"/>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80" w:after="0"/>
        <w:rPr>
          <w:rFonts w:ascii="Times New Roman" w:hAnsi="Times New Roman"/>
          <w:sz w:val="20"/>
        </w:rPr>
      </w:pPr>
      <w:r>
        <w:rPr>
          <w:rFonts w:ascii="Times New Roman" w:hAnsi="Times New Roman"/>
          <w:sz w:val="20"/>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80" w:after="0"/>
        <w:rPr>
          <w:rFonts w:ascii="Times New Roman" w:hAnsi="Times New Roman"/>
          <w:b/>
          <w:sz w:val="20"/>
        </w:rPr>
      </w:pPr>
      <w:r>
        <w:rPr>
          <w:rFonts w:ascii="Times New Roman" w:hAnsi="Times New Roman"/>
          <w:b/>
          <w:sz w:val="20"/>
        </w:rPr>
        <w:t xml:space="preserve">Defeasance and Discharge </w:t>
      </w:r>
    </w:p>
    <w:p>
      <w:pPr>
        <w:pStyle w:val="TextBody"/>
        <w:spacing w:before="180" w:after="0"/>
        <w:rPr>
          <w:rFonts w:ascii="Times New Roman" w:hAnsi="Times New Roman"/>
          <w:sz w:val="20"/>
        </w:rPr>
      </w:pPr>
      <w:r>
        <w:rPr>
          <w:rFonts w:ascii="Times New Roman" w:hAnsi="Times New Roman"/>
          <w:sz w:val="20"/>
        </w:rPr>
        <w:t xml:space="preserve">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such Notes. </w:t>
      </w:r>
    </w:p>
    <w:p>
      <w:pPr>
        <w:pStyle w:val="TextBody"/>
        <w:spacing w:before="180" w:after="0"/>
        <w:rPr>
          <w:rFonts w:ascii="Times New Roman" w:hAnsi="Times New Roman"/>
          <w:sz w:val="20"/>
        </w:rPr>
      </w:pPr>
      <w:r>
        <w:rPr>
          <w:rFonts w:ascii="Times New Roman" w:hAnsi="Times New Roman"/>
          <w:sz w:val="20"/>
        </w:rPr>
        <w:t xml:space="preserve">Also, at any time we may terminate our obligations under covenants described in the first paragraph of Possible Future Guarantees, under Covenants and under SEC Reports with respect to the Notes of the defeased series (covenant defeasance), and thereafter our failure to comply with any of such covenants would not constitute an Event of Default with respect to that series. </w:t>
      </w:r>
    </w:p>
    <w:p>
      <w:pPr>
        <w:pStyle w:val="TextBody"/>
        <w:spacing w:before="180" w:after="0"/>
        <w:rPr>
          <w:rFonts w:ascii="Times New Roman" w:hAnsi="Times New Roman"/>
          <w:sz w:val="20"/>
        </w:rPr>
      </w:pPr>
      <w:r>
        <w:rPr>
          <w:rFonts w:ascii="Times New Roman" w:hAnsi="Times New Roman"/>
          <w:sz w:val="20"/>
        </w:rPr>
        <w:t xml:space="preserve">We may exercise our legal defeasance option notwithstanding our prior exercise of our covenant defeasance option. If we exercise our legal defeasance option, any guarantee obligation will be deemed to have been discharged with respect to the Notes of the defeased series. </w:t>
      </w:r>
    </w:p>
    <w:p>
      <w:pPr>
        <w:pStyle w:val="TextBody"/>
        <w:spacing w:before="180" w:after="0"/>
        <w:rPr>
          <w:rFonts w:ascii="Times New Roman" w:hAnsi="Times New Roman"/>
          <w:sz w:val="20"/>
        </w:rPr>
      </w:pPr>
      <w:r>
        <w:rPr>
          <w:rFonts w:ascii="Times New Roman" w:hAnsi="Times New Roman"/>
          <w:sz w:val="20"/>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80" w:after="0"/>
        <w:rPr>
          <w:rFonts w:ascii="Times New Roman" w:hAnsi="Times New Roman"/>
          <w:sz w:val="20"/>
        </w:rPr>
      </w:pPr>
      <w:r>
        <w:rPr>
          <w:rFonts w:ascii="Times New Roman" w:hAnsi="Times New Roman"/>
          <w:sz w:val="20"/>
        </w:rPr>
        <w:t xml:space="preserve">In the event of any legal defeasance, holders of the Notes of the defeased series would be entitled to look only to the trust for payment of principal of and any premium and interest on their Notes until maturity. </w:t>
      </w:r>
    </w:p>
    <w:p>
      <w:pPr>
        <w:pStyle w:val="TextBody"/>
        <w:spacing w:before="180" w:after="0"/>
        <w:rPr>
          <w:rFonts w:ascii="Times New Roman" w:hAnsi="Times New Roman"/>
          <w:sz w:val="20"/>
        </w:rPr>
      </w:pPr>
      <w:r>
        <w:rPr>
          <w:rFonts w:ascii="Times New Roman" w:hAnsi="Times New Roman"/>
          <w:sz w:val="20"/>
        </w:rPr>
        <w:t xml:space="preserve">Although the amount of money and U.S. Government Obligations on deposit with the trustee would be intended to be sufficient to pay amounts due on the defeased Notes at the time of their stated maturity, if we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spacing w:before="180" w:after="0"/>
        <w:rPr>
          <w:rFonts w:ascii="Times New Roman" w:hAnsi="Times New Roman"/>
          <w:sz w:val="20"/>
        </w:rPr>
      </w:pPr>
      <w:r>
        <w:rPr>
          <w:rFonts w:ascii="Times New Roman" w:hAnsi="Times New Roman"/>
          <w:sz w:val="20"/>
        </w:rPr>
        <w:t xml:space="preserve">In addition, we may satisfy and discharge all our obligations under the Indenture with respect to either series of the Notes, other than certain obligations to the trustee and our obligation to register the transfer of or exchange the Notes, provided that we either: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deliver all outstanding Notes of the applicable series to the trustee for cancellation;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 </w:t>
            </w:r>
          </w:p>
        </w:tc>
      </w:tr>
    </w:tbl>
    <w:p>
      <w:pPr>
        <w:pStyle w:val="TextBody"/>
        <w:spacing w:before="180" w:after="0"/>
        <w:rPr>
          <w:rFonts w:ascii="Times New Roman" w:hAnsi="Times New Roman"/>
          <w:sz w:val="20"/>
        </w:rPr>
      </w:pPr>
      <w:r>
        <w:rPr>
          <w:rFonts w:ascii="Times New Roman" w:hAnsi="Times New Roman"/>
          <w:sz w:val="20"/>
        </w:rPr>
        <w:t xml:space="preserve">and comply with the other requirements of the Indenture in relation to satisfaction and discharge. </w:t>
      </w:r>
    </w:p>
    <w:p>
      <w:pPr>
        <w:pStyle w:val="TextBody"/>
        <w:spacing w:before="180" w:after="0"/>
        <w:rPr>
          <w:rFonts w:ascii="Times New Roman" w:hAnsi="Times New Roman"/>
          <w:b/>
          <w:sz w:val="20"/>
        </w:rPr>
      </w:pPr>
      <w:r>
        <w:rPr>
          <w:rFonts w:ascii="Times New Roman" w:hAnsi="Times New Roman"/>
          <w:b/>
          <w:sz w:val="20"/>
        </w:rPr>
        <w:t xml:space="preserve">Definitions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Attributable Indebtedness</w:t>
      </w:r>
      <w:r>
        <w:rPr>
          <w:rFonts w:ascii="Times New Roman" w:hAnsi="Times New Roman"/>
          <w:sz w:val="20"/>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Board of Directors</w:t>
      </w:r>
      <w:r>
        <w:rPr>
          <w:rFonts w:ascii="Times New Roman" w:hAnsi="Times New Roman"/>
          <w:sz w:val="20"/>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Capital Interests</w:t>
      </w:r>
      <w:r>
        <w:rPr>
          <w:rFonts w:ascii="Times New Roman" w:hAnsi="Times New Roman"/>
          <w:sz w:val="20"/>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after deducting therefrom: </w:t>
      </w:r>
    </w:p>
    <w:p>
      <w:pPr>
        <w:pStyle w:val="TextBody"/>
        <w:spacing w:before="90" w:after="0"/>
        <w:rPr>
          <w:rFonts w:ascii="Times New Roman" w:hAnsi="Times New Roman"/>
          <w:sz w:val="20"/>
        </w:rPr>
      </w:pPr>
      <w:r>
        <w:rPr>
          <w:rFonts w:ascii="Times New Roman" w:hAnsi="Times New Roman"/>
          <w:sz w:val="20"/>
        </w:rPr>
        <w:t xml:space="preserve">(1) all current liabilities excluding: </w:t>
      </w:r>
    </w:p>
    <w:p>
      <w:pPr>
        <w:pStyle w:val="TextBody"/>
        <w:spacing w:before="90" w:after="0"/>
        <w:rPr>
          <w:rFonts w:ascii="Times New Roman" w:hAnsi="Times New Roman"/>
          <w:sz w:val="20"/>
        </w:rPr>
      </w:pPr>
      <w:r>
        <w:rPr>
          <w:rFonts w:ascii="Times New Roman" w:hAnsi="Times New Roman"/>
          <w:sz w:val="20"/>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90" w:after="0"/>
        <w:rPr>
          <w:rFonts w:ascii="Times New Roman" w:hAnsi="Times New Roman"/>
          <w:sz w:val="20"/>
        </w:rPr>
      </w:pPr>
      <w:r>
        <w:rPr>
          <w:rFonts w:ascii="Times New Roman" w:hAnsi="Times New Roman"/>
          <w:sz w:val="20"/>
        </w:rPr>
        <w:t xml:space="preserve">(b) current maturities of long-term debt; and </w:t>
      </w:r>
    </w:p>
    <w:p>
      <w:pPr>
        <w:pStyle w:val="TextBody"/>
        <w:spacing w:before="90" w:after="0"/>
        <w:rPr>
          <w:rFonts w:ascii="Times New Roman" w:hAnsi="Times New Roman"/>
          <w:sz w:val="20"/>
        </w:rPr>
      </w:pPr>
      <w:r>
        <w:rPr>
          <w:rFonts w:ascii="Times New Roman" w:hAnsi="Times New Roman"/>
          <w:sz w:val="20"/>
        </w:rPr>
        <w:t xml:space="preserve">(2) the amount, net of any applicable reserves, of all goodwill, trade names, trademarks, patents and other like intangible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all as set forth on the consolidated balance sheet of Plains All American Pipeline for its most recently completed fiscal quarter, prepared in accordance with generally accepted accounting principles.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Funded Debt</w:t>
      </w:r>
      <w:r>
        <w:rPr>
          <w:rFonts w:ascii="Times New Roman" w:hAnsi="Times New Roman"/>
          <w:sz w:val="20"/>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Issue Date</w:t>
      </w:r>
      <w:r>
        <w:rPr>
          <w:rFonts w:ascii="Times New Roman" w:hAnsi="Times New Roman"/>
          <w:sz w:val="20"/>
        </w:rPr>
        <w:t xml:space="preserve"> means the date on which the Notes are initially issued.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Managing General Partner</w:t>
      </w:r>
      <w:r>
        <w:rPr>
          <w:rFonts w:ascii="Times New Roman" w:hAnsi="Times New Roman"/>
          <w:sz w:val="20"/>
        </w:rPr>
        <w:t xml:space="preserve">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Pari Passu Debt</w:t>
      </w:r>
      <w:r>
        <w:rPr>
          <w:rFonts w:ascii="Times New Roman" w:hAnsi="Times New Roman"/>
          <w:sz w:val="20"/>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Permitted Liens</w:t>
      </w:r>
      <w:r>
        <w:rPr>
          <w:rFonts w:ascii="Times New Roman" w:hAnsi="Times New Roman"/>
          <w:sz w:val="20"/>
        </w:rPr>
        <w:t xml:space="preserve"> means: </w:t>
      </w:r>
    </w:p>
    <w:p>
      <w:pPr>
        <w:pStyle w:val="TextBody"/>
        <w:spacing w:before="18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18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8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8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us or any Restricted Subsidiary in good faith; </w:t>
      </w:r>
    </w:p>
    <w:p>
      <w:pPr>
        <w:pStyle w:val="TextBody"/>
        <w:spacing w:before="18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18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180" w:after="0"/>
        <w:rPr>
          <w:rFonts w:ascii="Times New Roman" w:hAnsi="Times New Roman"/>
          <w:sz w:val="20"/>
        </w:rPr>
      </w:pPr>
      <w:r>
        <w:rPr>
          <w:rFonts w:ascii="Times New Roman" w:hAnsi="Times New Roman"/>
          <w:sz w:val="20"/>
        </w:rPr>
        <w:t xml:space="preserve">(7) any lien upon property or assets acquired or sold by us or any Restricted Subsidiary resulting from the exercise of any rights arising out of defaults on receivables; </w:t>
      </w:r>
    </w:p>
    <w:p>
      <w:pPr>
        <w:pStyle w:val="TextBody"/>
        <w:spacing w:before="18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(9) any lien in favor of us or any Restricted Subsidiary; </w:t>
      </w:r>
    </w:p>
    <w:p>
      <w:pPr>
        <w:pStyle w:val="TextBody"/>
        <w:spacing w:before="18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8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180" w:after="0"/>
        <w:rPr>
          <w:rFonts w:ascii="Times New Roman" w:hAnsi="Times New Roman"/>
          <w:sz w:val="20"/>
        </w:rPr>
      </w:pPr>
      <w:r>
        <w:rPr>
          <w:rFonts w:ascii="Times New Roman" w:hAnsi="Times New Roman"/>
          <w:sz w:val="20"/>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8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8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18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80" w:after="0"/>
        <w:rPr>
          <w:rFonts w:ascii="Times New Roman" w:hAnsi="Times New Roman"/>
          <w:sz w:val="20"/>
        </w:rPr>
      </w:pPr>
      <w:r>
        <w:rPr>
          <w:rFonts w:ascii="Times New Roman" w:hAnsi="Times New Roman"/>
          <w:sz w:val="20"/>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8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8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Principal Property</w:t>
      </w:r>
      <w:r>
        <w:rPr>
          <w:rFonts w:ascii="Times New Roman" w:hAnsi="Times New Roman"/>
          <w:sz w:val="20"/>
        </w:rPr>
        <w:t xml:space="preserve"> means, whether owned or leased on the Issue Date or thereafter acquired: </w:t>
      </w:r>
    </w:p>
    <w:p>
      <w:pPr>
        <w:pStyle w:val="TextBody"/>
        <w:spacing w:before="180" w:after="0"/>
        <w:rPr>
          <w:rFonts w:ascii="Times New Roman" w:hAnsi="Times New Roman"/>
          <w:sz w:val="20"/>
        </w:rPr>
      </w:pPr>
      <w:r>
        <w:rPr>
          <w:rFonts w:ascii="Times New Roman" w:hAnsi="Times New Roman"/>
          <w:sz w:val="20"/>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80" w:after="0"/>
        <w:rPr>
          <w:rFonts w:ascii="Times New Roman" w:hAnsi="Times New Roman"/>
          <w:sz w:val="20"/>
        </w:rPr>
      </w:pPr>
      <w:r>
        <w:rPr>
          <w:rFonts w:ascii="Times New Roman" w:hAnsi="Times New Roman"/>
          <w:sz w:val="20"/>
        </w:rPr>
        <w:t xml:space="preserve">(2) 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Restricted Subsidiary</w:t>
      </w:r>
      <w:r>
        <w:rPr>
          <w:rFonts w:ascii="Times New Roman" w:hAnsi="Times New Roman"/>
          <w:sz w:val="20"/>
        </w:rPr>
        <w:t xml:space="preserve"> means any Subsidiary of Plains All American Pipeline owning or leasing, directly or indirectly through ownership in another Subsidiary, any Principal Property.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Sale-leaseback Transaction</w:t>
      </w:r>
      <w:r>
        <w:rPr>
          <w:rFonts w:ascii="Times New Roman" w:hAnsi="Times New Roman"/>
          <w:sz w:val="20"/>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with respect to any Person: </w:t>
      </w:r>
    </w:p>
    <w:p>
      <w:pPr>
        <w:pStyle w:val="TextBody"/>
        <w:spacing w:before="180" w:after="0"/>
        <w:rPr>
          <w:rFonts w:ascii="Times New Roman" w:hAnsi="Times New Roman"/>
          <w:sz w:val="20"/>
        </w:rPr>
      </w:pPr>
      <w:r>
        <w:rPr>
          <w:rFonts w:ascii="Times New Roman" w:hAnsi="Times New Roman"/>
          <w:sz w:val="20"/>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80" w:after="0"/>
        <w:rPr>
          <w:rFonts w:ascii="Times New Roman" w:hAnsi="Times New Roman"/>
          <w:sz w:val="20"/>
        </w:rPr>
      </w:pPr>
      <w:r>
        <w:rPr>
          <w:rFonts w:ascii="Times New Roman" w:hAnsi="Times New Roman"/>
          <w:sz w:val="20"/>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supp314176_10"/>
      <w:bookmarkEnd w:id="13"/>
      <w:r>
        <w:rPr>
          <w:rFonts w:ascii="Times New Roman" w:hAnsi="Times New Roman"/>
          <w:b/>
          <w:sz w:val="20"/>
        </w:rPr>
        <w:t xml:space="preserve">BOOK ENTRY, DELIVERY AND FORM </w:t>
      </w:r>
    </w:p>
    <w:p>
      <w:pPr>
        <w:pStyle w:val="TextBody"/>
        <w:spacing w:before="180" w:after="0"/>
        <w:rPr>
          <w:rFonts w:ascii="Times New Roman" w:hAnsi="Times New Roman"/>
          <w:sz w:val="20"/>
        </w:rPr>
      </w:pPr>
      <w:r>
        <w:rPr>
          <w:rFonts w:ascii="Times New Roman" w:hAnsi="Times New Roman"/>
          <w:sz w:val="20"/>
        </w:rPr>
        <w:t xml:space="preserve">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spacing w:before="180" w:after="0"/>
        <w:rPr>
          <w:rFonts w:ascii="Times New Roman" w:hAnsi="Times New Roman"/>
          <w:sz w:val="20"/>
        </w:rPr>
      </w:pPr>
      <w:r>
        <w:rPr>
          <w:rFonts w:ascii="Times New Roman" w:hAnsi="Times New Roman"/>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spacing w:before="180" w:after="0"/>
        <w:rPr>
          <w:rFonts w:ascii="Times New Roman" w:hAnsi="Times New Roman"/>
          <w:sz w:val="20"/>
        </w:rPr>
      </w:pPr>
      <w:r>
        <w:rPr>
          <w:rFonts w:ascii="Times New Roman" w:hAnsi="Times New Roman"/>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spacing w:before="180" w:after="0"/>
        <w:rPr>
          <w:rFonts w:ascii="Times New Roman" w:hAnsi="Times New Roman"/>
          <w:b/>
          <w:sz w:val="20"/>
        </w:rPr>
      </w:pPr>
      <w:r>
        <w:rPr>
          <w:rFonts w:ascii="Times New Roman" w:hAnsi="Times New Roman"/>
          <w:b/>
          <w:sz w:val="20"/>
        </w:rPr>
        <w:t xml:space="preserve">Depository Procedures </w:t>
      </w:r>
    </w:p>
    <w:p>
      <w:pPr>
        <w:pStyle w:val="TextBody"/>
        <w:spacing w:before="180" w:after="0"/>
        <w:rPr>
          <w:rFonts w:ascii="Times New Roman" w:hAnsi="Times New Roman"/>
          <w:sz w:val="20"/>
        </w:rPr>
      </w:pPr>
      <w:r>
        <w:rPr>
          <w:rFonts w:ascii="Times New Roman" w:hAnsi="Times New Roman"/>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 </w:t>
      </w:r>
    </w:p>
    <w:p>
      <w:pPr>
        <w:pStyle w:val="TextBody"/>
        <w:spacing w:before="180" w:after="0"/>
        <w:rPr>
          <w:rFonts w:ascii="Times New Roman" w:hAnsi="Times New Roman"/>
          <w:sz w:val="20"/>
        </w:rPr>
      </w:pPr>
      <w:r>
        <w:rPr>
          <w:rFonts w:ascii="Times New Roman" w:hAnsi="Times New Roman"/>
          <w:sz w:val="20"/>
        </w:rPr>
        <w:t xml:space="preserve">DTC has also advised us that pursuant to procedures established by it, (a) upon deposit of the Global Notes, DTC will credit the accounts of Participants designated by the underwriters with portions of the principal amount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 </w:t>
      </w:r>
    </w:p>
    <w:p>
      <w:pPr>
        <w:pStyle w:val="TextBody"/>
        <w:spacing w:before="180" w:after="0"/>
        <w:rPr>
          <w:rFonts w:ascii="Times New Roman" w:hAnsi="Times New Roman"/>
          <w:sz w:val="20"/>
        </w:rPr>
      </w:pPr>
      <w:r>
        <w:rPr>
          <w:rFonts w:ascii="Times New Roman" w:hAnsi="Times New Roman"/>
          <w:sz w:val="20"/>
        </w:rPr>
        <w:t xml:space="preserve">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spacing w:before="180" w:after="0"/>
        <w:rPr>
          <w:rFonts w:ascii="Times New Roman" w:hAnsi="Times New Roman"/>
          <w:sz w:val="20"/>
        </w:rPr>
      </w:pPr>
      <w:r>
        <w:rPr>
          <w:rFonts w:ascii="Times New Roman" w:hAnsi="Times New Roman"/>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 </w:t>
      </w:r>
    </w:p>
    <w:p>
      <w:pPr>
        <w:pStyle w:val="TextBody"/>
        <w:spacing w:before="180" w:after="0"/>
        <w:rPr>
          <w:rFonts w:ascii="Times New Roman" w:hAnsi="Times New Roman"/>
          <w:b/>
          <w:sz w:val="20"/>
        </w:rPr>
      </w:pPr>
      <w:r>
        <w:rPr>
          <w:rFonts w:ascii="Times New Roman" w:hAnsi="Times New Roman"/>
          <w:b/>
          <w:sz w:val="20"/>
        </w:rPr>
        <w:t xml:space="preserve">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 </w:t>
      </w:r>
    </w:p>
    <w:p>
      <w:pPr>
        <w:pStyle w:val="TextBody"/>
        <w:spacing w:before="180" w:after="0"/>
        <w:rPr>
          <w:rFonts w:ascii="Times New Roman" w:hAnsi="Times New Roman"/>
          <w:sz w:val="20"/>
        </w:rPr>
      </w:pPr>
      <w:r>
        <w:rPr>
          <w:rFonts w:ascii="Times New Roman" w:hAnsi="Times New Roman"/>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spacing w:before="180" w:after="0"/>
        <w:rPr>
          <w:rFonts w:ascii="Times New Roman" w:hAnsi="Times New Roman"/>
          <w:sz w:val="20"/>
        </w:rPr>
      </w:pPr>
      <w:r>
        <w:rPr>
          <w:rFonts w:ascii="Times New Roman" w:hAnsi="Times New Roman"/>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spacing w:before="180" w:after="0"/>
        <w:rPr>
          <w:rFonts w:ascii="Times New Roman" w:hAnsi="Times New Roman"/>
          <w:b/>
          <w:sz w:val="20"/>
        </w:rPr>
      </w:pPr>
      <w:r>
        <w:rPr>
          <w:rFonts w:ascii="Times New Roman" w:hAnsi="Times New Roman"/>
          <w:b/>
          <w:sz w:val="20"/>
        </w:rPr>
        <w:t xml:space="preserve">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 </w:t>
      </w:r>
    </w:p>
    <w:p>
      <w:pPr>
        <w:pStyle w:val="TextBody"/>
        <w:spacing w:before="180" w:after="0"/>
        <w:rPr>
          <w:rFonts w:ascii="Times New Roman" w:hAnsi="Times New Roman"/>
          <w:sz w:val="20"/>
        </w:rPr>
      </w:pPr>
      <w:r>
        <w:rPr>
          <w:rFonts w:ascii="Times New Roman" w:hAnsi="Times New Roman"/>
          <w:sz w:val="20"/>
        </w:rPr>
        <w:t xml:space="preserve">Cross-market transfers between the accountholders in DTC, on the one hand, and directly or indirectly through Euroclear or Clearstream accountholders, on the other hand, will be effected through DTC in accordance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spacing w:before="180" w:after="0"/>
        <w:rPr>
          <w:rFonts w:ascii="Times New Roman" w:hAnsi="Times New Roman"/>
          <w:sz w:val="20"/>
        </w:rPr>
      </w:pPr>
      <w:r>
        <w:rPr>
          <w:rFonts w:ascii="Times New Roman" w:hAnsi="Times New Roman"/>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spacing w:before="180" w:after="0"/>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 </w:t>
      </w:r>
    </w:p>
    <w:p>
      <w:pPr>
        <w:pStyle w:val="TextBody"/>
        <w:spacing w:before="180" w:after="0"/>
        <w:rPr>
          <w:rFonts w:ascii="Times New Roman" w:hAnsi="Times New Roman"/>
          <w:sz w:val="20"/>
        </w:rPr>
      </w:pPr>
      <w:r>
        <w:rPr>
          <w:rFonts w:ascii="Times New Roman" w:hAnsi="Times New Roman"/>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spacing w:before="180" w:after="0"/>
        <w:rPr>
          <w:rFonts w:ascii="Times New Roman" w:hAnsi="Times New Roman"/>
          <w:b/>
          <w:sz w:val="20"/>
        </w:rPr>
      </w:pPr>
      <w:r>
        <w:rPr>
          <w:rFonts w:ascii="Times New Roman" w:hAnsi="Times New Roman"/>
          <w:b/>
          <w:sz w:val="20"/>
        </w:rPr>
        <w:t xml:space="preserve">Exchange of Book Entry Notes for Certificated Notes </w:t>
      </w:r>
    </w:p>
    <w:p>
      <w:pPr>
        <w:pStyle w:val="TextBody"/>
        <w:spacing w:before="180" w:after="0"/>
        <w:rPr>
          <w:rFonts w:ascii="Times New Roman" w:hAnsi="Times New Roman"/>
          <w:sz w:val="20"/>
        </w:rPr>
      </w:pPr>
      <w:r>
        <w:rPr>
          <w:rFonts w:ascii="Times New Roman" w:hAnsi="Times New Roman"/>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supp314176_11"/>
      <w:bookmarkEnd w:id="14"/>
      <w:r>
        <w:rPr>
          <w:rFonts w:ascii="Times New Roman" w:hAnsi="Times New Roman"/>
          <w:b/>
          <w:sz w:val="20"/>
        </w:rPr>
        <w:t xml:space="preserve">MATERIAL U.S. FEDERAL INCOME AND ESTATE TAX CONSEQUENCES </w:t>
      </w:r>
    </w:p>
    <w:p>
      <w:pPr>
        <w:pStyle w:val="TextBody"/>
        <w:spacing w:before="180" w:after="0"/>
        <w:rPr>
          <w:rFonts w:ascii="Times New Roman" w:hAnsi="Times New Roman"/>
          <w:sz w:val="20"/>
        </w:rPr>
      </w:pPr>
      <w:r>
        <w:rPr>
          <w:rFonts w:ascii="Times New Roman" w:hAnsi="Times New Roman"/>
          <w:sz w:val="20"/>
        </w:rPr>
        <w:t xml:space="preserve">The following discussion is a summary of the material U.S. federal income tax consequences, and in the case of a Non-U.S. Holder (as defined below), U.S. federal estate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for money to investors, not including bond houses, brokers or similar persons or organizations acting in the capacity of underwriters, placement agents or wholesalers) and who hold the Notes as capital assets (generally property held for investment). </w:t>
      </w:r>
    </w:p>
    <w:p>
      <w:pPr>
        <w:pStyle w:val="TextBody"/>
        <w:spacing w:before="180" w:after="0"/>
        <w:rPr>
          <w:rFonts w:ascii="Times New Roman" w:hAnsi="Times New Roman"/>
          <w:sz w:val="20"/>
        </w:rPr>
      </w:pPr>
      <w:r>
        <w:rPr>
          <w:rFonts w:ascii="Times New Roman" w:hAnsi="Times New Roman"/>
          <w:sz w:val="20"/>
        </w:rPr>
        <w:t xml:space="preserve">In this discussion, we do not purport to address all tax considerations that may be important to a particular holder in light of the holders special circumstances, or to certain categories of holders that may be subject to special rules, such 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dealers in securities or currencies;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former citizens or long-term residents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Holders (as defined below) that hold their Notes through non-U.S. brokers or other non-U.S. intermediaries;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tax-exempt organizations;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regulated investment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real estate investment trusts;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holders subject to the alternative minimum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persons holding Notes as part of a straddle transaction, hedging transaction, conversion transaction or other synthetic security or integrated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Holders (as defined below) whose functional currency is not the U.S. dollar;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partnerships and other pass-through entities and holders of interests therein. </w:t>
            </w:r>
          </w:p>
        </w:tc>
      </w:tr>
    </w:tbl>
    <w:p>
      <w:pPr>
        <w:pStyle w:val="TextBody"/>
        <w:spacing w:before="180" w:after="0"/>
        <w:rPr>
          <w:rFonts w:ascii="Times New Roman" w:hAnsi="Times New Roman"/>
          <w:sz w:val="20"/>
        </w:rPr>
      </w:pPr>
      <w:r>
        <w:rPr>
          <w:rFonts w:ascii="Times New Roman" w:hAnsi="Times New Roman"/>
          <w:sz w:val="20"/>
        </w:rPr>
        <w:t xml:space="preserve">In addition, the discussion does not consider the effect of U.S. federal estate (except in the case of a Non-U.S. Holder) or gift tax laws or of any applicable foreign, state, local or other tax laws or income tax treaties. </w:t>
      </w:r>
    </w:p>
    <w:p>
      <w:pPr>
        <w:pStyle w:val="TextBody"/>
        <w:spacing w:before="180" w:after="0"/>
        <w:rPr>
          <w:rFonts w:ascii="Times New Roman" w:hAnsi="Times New Roman"/>
          <w:sz w:val="20"/>
        </w:rPr>
      </w:pPr>
      <w:r>
        <w:rPr>
          <w:rFonts w:ascii="Times New Roman" w:hAnsi="Times New Roman"/>
          <w:sz w:val="20"/>
        </w:rPr>
        <w:t xml:space="preserve">If a partnership or other entity treated as a partnership for U.S. federal income tax purposes is a beneficial owner of Notes, the treatment of a partner in the partnership will generally depend upon the status of the partner and upon the activities of the partnership. Partners in partnerships acquiring Notes should consult their tax advisors. </w:t>
      </w:r>
    </w:p>
    <w:p>
      <w:pPr>
        <w:pStyle w:val="TextBody"/>
        <w:spacing w:before="180" w:after="0"/>
        <w:rPr>
          <w:rFonts w:ascii="Times New Roman" w:hAnsi="Times New Roman"/>
          <w:sz w:val="20"/>
        </w:rPr>
      </w:pPr>
      <w:r>
        <w:rPr>
          <w:rFonts w:ascii="Times New Roman" w:hAnsi="Times New Roman"/>
          <w:sz w:val="20"/>
        </w:rPr>
        <w:t xml:space="preserve">PROSPECTIVE INVESTORS ARE ADVISED TO CONSULT THEIR TAX ADVISORS WITH REGARD TO THE APPLICATION OF THE TAX CONSEQUENCES DISCUSSED BELOW TO THEIR PARTICULAR SITUATIONS, AS WELL AS THE APPLICATION OF U.S. FEDERAL ESTATE OR GIFT TAX LAWS OR OF ANY STATE, LOCAL, FOREIGN OR OTHER TAX LAWS OR INCOME TAX TREATIES.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Certain Additional Payments </w:t>
      </w:r>
    </w:p>
    <w:p>
      <w:pPr>
        <w:pStyle w:val="TextBody"/>
        <w:spacing w:before="180" w:after="0"/>
        <w:rPr>
          <w:rFonts w:ascii="Times New Roman" w:hAnsi="Times New Roman"/>
          <w:sz w:val="20"/>
        </w:rPr>
      </w:pPr>
      <w:r>
        <w:rPr>
          <w:rFonts w:ascii="Times New Roman" w:hAnsi="Times New Roman"/>
          <w:sz w:val="20"/>
        </w:rPr>
        <w:t xml:space="preserve">In certain circumstances (see Description of NotesOptional Redemption and Special 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 </w:t>
      </w:r>
    </w:p>
    <w:p>
      <w:pPr>
        <w:pStyle w:val="TextBody"/>
        <w:spacing w:before="180" w:after="0"/>
        <w:rPr>
          <w:rFonts w:ascii="Times New Roman" w:hAnsi="Times New Roman"/>
          <w:b/>
          <w:sz w:val="20"/>
        </w:rPr>
      </w:pPr>
      <w:r>
        <w:rPr>
          <w:rFonts w:ascii="Times New Roman" w:hAnsi="Times New Roman"/>
          <w:b/>
          <w:sz w:val="20"/>
        </w:rPr>
        <w:t xml:space="preserve">U.S. Federal Income Taxation of U.S. Holders </w:t>
      </w:r>
    </w:p>
    <w:p>
      <w:pPr>
        <w:pStyle w:val="TextBody"/>
        <w:spacing w:before="180" w:after="0"/>
        <w:rPr>
          <w:rFonts w:ascii="Times New Roman" w:hAnsi="Times New Roman"/>
          <w:sz w:val="20"/>
        </w:rPr>
      </w:pPr>
      <w:r>
        <w:rPr>
          <w:rFonts w:ascii="Times New Roman" w:hAnsi="Times New Roman"/>
          <w:sz w:val="20"/>
        </w:rPr>
        <w:t xml:space="preserve">As used herein, a U.S. Holder means a beneficial owner of a Note that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political subdivision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 </w:t>
            </w:r>
          </w:p>
        </w:tc>
      </w:tr>
    </w:tbl>
    <w:p>
      <w:pPr>
        <w:pStyle w:val="TextBody"/>
        <w:spacing w:before="180" w:after="0"/>
        <w:rPr>
          <w:rFonts w:ascii="Times New Roman" w:hAnsi="Times New Roman"/>
          <w:b/>
          <w:i/>
          <w:sz w:val="20"/>
        </w:rPr>
      </w:pPr>
      <w:r>
        <w:rPr>
          <w:rFonts w:ascii="Times New Roman" w:hAnsi="Times New Roman"/>
          <w:b/>
          <w:i/>
          <w:sz w:val="20"/>
        </w:rPr>
        <w:t xml:space="preserve">Payments of Interest </w:t>
      </w:r>
    </w:p>
    <w:p>
      <w:pPr>
        <w:pStyle w:val="TextBody"/>
        <w:spacing w:before="180" w:after="0"/>
        <w:rPr>
          <w:rFonts w:ascii="Times New Roman" w:hAnsi="Times New Roman"/>
          <w:sz w:val="20"/>
        </w:rPr>
      </w:pPr>
      <w:r>
        <w:rPr>
          <w:rFonts w:ascii="Times New Roman" w:hAnsi="Times New Roman"/>
          <w:sz w:val="20"/>
        </w:rPr>
        <w:t xml:space="preserve">Interest paid on a Note generally will be taxable to a U.S. Holder as ordinary income at the time it accrues or is received in accordance with the U.S. Holders regular method of accounting for U.S. federal income tax purposes. </w:t>
      </w:r>
    </w:p>
    <w:p>
      <w:pPr>
        <w:pStyle w:val="TextBody"/>
        <w:spacing w:before="180" w:after="0"/>
        <w:rPr>
          <w:rFonts w:ascii="Times New Roman" w:hAnsi="Times New Roman"/>
          <w:i/>
          <w:sz w:val="20"/>
        </w:rPr>
      </w:pPr>
      <w:r>
        <w:rPr>
          <w:rFonts w:ascii="Times New Roman" w:hAnsi="Times New Roman"/>
          <w:i/>
          <w:sz w:val="20"/>
        </w:rPr>
        <w:t xml:space="preserve">Disposition of Notes </w:t>
      </w:r>
    </w:p>
    <w:p>
      <w:pPr>
        <w:pStyle w:val="TextBody"/>
        <w:spacing w:before="180" w:after="0"/>
        <w:rPr>
          <w:rFonts w:ascii="Times New Roman" w:hAnsi="Times New Roman"/>
          <w:sz w:val="20"/>
        </w:rPr>
      </w:pPr>
      <w:r>
        <w:rPr>
          <w:rFonts w:ascii="Times New Roman" w:hAnsi="Times New Roman"/>
          <w:sz w:val="20"/>
        </w:rPr>
        <w:t xml:space="preserve">Upon the sale, retirement, redemption or other taxable disposition of a Note, a U.S. Holder will generally recognize capital gain or loss equal to the difference between the amount realized on the disposition (not including any amount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 </w:t>
      </w:r>
    </w:p>
    <w:p>
      <w:pPr>
        <w:pStyle w:val="TextBody"/>
        <w:spacing w:before="180" w:after="0"/>
        <w:rPr>
          <w:rFonts w:ascii="Times New Roman" w:hAnsi="Times New Roman"/>
          <w:sz w:val="20"/>
        </w:rPr>
      </w:pPr>
      <w:r>
        <w:rPr>
          <w:rFonts w:ascii="Times New Roman" w:hAnsi="Times New Roman"/>
          <w:sz w:val="20"/>
        </w:rPr>
        <w:t xml:space="preserve">In general, gain or loss realized on the sale,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 </w:t>
      </w:r>
    </w:p>
    <w:p>
      <w:pPr>
        <w:pStyle w:val="TextBody"/>
        <w:spacing w:before="180" w:after="0"/>
        <w:rPr>
          <w:rFonts w:ascii="Times New Roman" w:hAnsi="Times New Roman"/>
          <w:i/>
          <w:sz w:val="20"/>
        </w:rPr>
      </w:pPr>
      <w:r>
        <w:rPr>
          <w:rFonts w:ascii="Times New Roman" w:hAnsi="Times New Roman"/>
          <w:i/>
          <w:sz w:val="20"/>
        </w:rPr>
        <w:t xml:space="preserve">Information Reporting and Backup Withholding </w:t>
      </w:r>
    </w:p>
    <w:p>
      <w:pPr>
        <w:pStyle w:val="TextBody"/>
        <w:spacing w:before="180" w:after="0"/>
        <w:rPr>
          <w:rFonts w:ascii="Times New Roman" w:hAnsi="Times New Roman"/>
          <w:sz w:val="20"/>
        </w:rPr>
      </w:pPr>
      <w:r>
        <w:rPr>
          <w:rFonts w:ascii="Times New Roman" w:hAnsi="Times New Roman"/>
          <w:sz w:val="20"/>
        </w:rPr>
        <w:t xml:space="preserve">Information reporting will apply to payments of interest on, and the proceeds of the sale, retirement, redemption or other disposition of, Notes held by a U.S. Holder, and backup withholding may apply unless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U.S. Holder provides the appropriate intermediary with a taxpayer identification number, certified 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provides the required information or appropriate claim form to the IRS. </w:t>
      </w:r>
    </w:p>
    <w:p>
      <w:pPr>
        <w:pStyle w:val="TextBody"/>
        <w:spacing w:before="180" w:after="0"/>
        <w:rPr>
          <w:rFonts w:ascii="Times New Roman" w:hAnsi="Times New Roman"/>
          <w:b/>
          <w:sz w:val="20"/>
        </w:rPr>
      </w:pPr>
      <w:r>
        <w:rPr>
          <w:rFonts w:ascii="Times New Roman" w:hAnsi="Times New Roman"/>
          <w:b/>
          <w:sz w:val="20"/>
        </w:rPr>
        <w:t xml:space="preserve">U.S. Federal Income Taxation of Non-U.S. Holders </w:t>
      </w:r>
    </w:p>
    <w:p>
      <w:pPr>
        <w:pStyle w:val="TextBody"/>
        <w:spacing w:before="180" w:after="0"/>
        <w:rPr>
          <w:rFonts w:ascii="Times New Roman" w:hAnsi="Times New Roman"/>
          <w:sz w:val="20"/>
        </w:rPr>
      </w:pPr>
      <w:r>
        <w:rPr>
          <w:rFonts w:ascii="Times New Roman" w:hAnsi="Times New Roman"/>
          <w:sz w:val="20"/>
        </w:rPr>
        <w:t xml:space="preserve">As used herein, a Non-U.S. Holder means a beneficial owner of a Note that is an individual, corporation, estate or trust that is not a U.S. Holder. </w:t>
      </w:r>
    </w:p>
    <w:p>
      <w:pPr>
        <w:pStyle w:val="TextBody"/>
        <w:spacing w:before="180" w:after="0"/>
        <w:rPr>
          <w:rFonts w:ascii="Times New Roman" w:hAnsi="Times New Roman"/>
          <w:b/>
          <w:i/>
          <w:sz w:val="20"/>
        </w:rPr>
      </w:pPr>
      <w:r>
        <w:rPr>
          <w:rFonts w:ascii="Times New Roman" w:hAnsi="Times New Roman"/>
          <w:b/>
          <w:i/>
          <w:sz w:val="20"/>
        </w:rPr>
        <w:t xml:space="preserve">Payments of Interest </w:t>
      </w:r>
    </w:p>
    <w:p>
      <w:pPr>
        <w:pStyle w:val="TextBody"/>
        <w:spacing w:before="180" w:after="0"/>
        <w:rPr>
          <w:rFonts w:ascii="Times New Roman" w:hAnsi="Times New Roman"/>
          <w:sz w:val="20"/>
        </w:rPr>
      </w:pPr>
      <w:r>
        <w:rPr>
          <w:rFonts w:ascii="Times New Roman" w:hAnsi="Times New Roman"/>
          <w:sz w:val="20"/>
        </w:rPr>
        <w:t xml:space="preserve">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actually or constructively own 10% or more of our capital or profits interests;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controlled foreign corporation for U.S. federal income tax purposes that is related directly or indirectly to 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 not a bank whose receipt of interest on the Note is in connection with an extension of credit made pursuant to a loan agreement entered into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The portfolio interest exemption and several of the special rules for Non-U.S. Holders described below generally apply only if a Non-U.S. Holder appropriately certifies as to his foreign status. A Non-U.S. Holder can generally meet this certification requirement by providing a properly executed IRS Form W-8BEN or appropriate substitute form to us, or our paying agent. </w:t>
      </w:r>
    </w:p>
    <w:p>
      <w:pPr>
        <w:pStyle w:val="TextBody"/>
        <w:spacing w:before="180" w:after="0"/>
        <w:rPr>
          <w:rFonts w:ascii="Times New Roman" w:hAnsi="Times New Roman"/>
          <w:sz w:val="20"/>
        </w:rPr>
      </w:pPr>
      <w:r>
        <w:rPr>
          <w:rFonts w:ascii="Times New Roman" w:hAnsi="Times New Roman"/>
          <w:sz w:val="20"/>
        </w:rPr>
        <w:t xml:space="preserve">If a Non-U.S. Holder holds the Notes through a financial institution or other agent acting on his behalf, that Non-U.S. Holder may be required to provide appropriate certifications to the agent. That agent will then generally be required to provide appropriate certifications to us or our paying agent, either directly or through other intermediaries. Special rules apply to foreign partnerships, estates and trusts, and in certain circumstances certifications as to foreign status of partners, trust owners or beneficiaries may have to be provided to us or our paying agent. In addition, special rules apply to qualified intermediaries that enter into withholding agreements with the IRS. </w:t>
      </w:r>
    </w:p>
    <w:p>
      <w:pPr>
        <w:pStyle w:val="TextBody"/>
        <w:spacing w:before="180" w:after="0"/>
        <w:rPr>
          <w:rFonts w:ascii="Times New Roman" w:hAnsi="Times New Roman"/>
          <w:sz w:val="20"/>
        </w:rPr>
      </w:pPr>
      <w:r>
        <w:rPr>
          <w:rFonts w:ascii="Times New Roman" w:hAnsi="Times New Roman"/>
          <w:sz w:val="20"/>
        </w:rPr>
        <w:t xml:space="preserve">If a Non-U.S. Holder cannot satisfy the requirements described in the preceding paragraphs, payments of interest made to the Non-U.S. Holder will be subject to a 30% U.S. federal withholding tax, unless the Non-U.S. Holder provides us with a properly executed (1) IRS Form W-8BEN (or successor form) claiming an exemption from or reduction in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(and if required by an applicable income tax treaty, is treated as attributable to a permanent establishment maintained by the Non-U.S. Holder in the United States). See Income or Gain Effectively Connected with a U.S. Trade or Business. </w:t>
      </w:r>
    </w:p>
    <w:p>
      <w:pPr>
        <w:pStyle w:val="TextBody"/>
        <w:spacing w:before="180" w:after="0"/>
        <w:rPr>
          <w:rFonts w:ascii="Times New Roman" w:hAnsi="Times New Roman"/>
          <w:b/>
          <w:i/>
          <w:sz w:val="20"/>
        </w:rPr>
      </w:pPr>
      <w:r>
        <w:rPr>
          <w:rFonts w:ascii="Times New Roman" w:hAnsi="Times New Roman"/>
          <w:b/>
          <w:i/>
          <w:sz w:val="20"/>
        </w:rPr>
        <w:t xml:space="preserve">Disposition of Notes </w:t>
      </w:r>
    </w:p>
    <w:p>
      <w:pPr>
        <w:pStyle w:val="TextBody"/>
        <w:spacing w:before="180" w:after="0"/>
        <w:rPr>
          <w:rFonts w:ascii="Times New Roman" w:hAnsi="Times New Roman"/>
          <w:sz w:val="20"/>
        </w:rPr>
      </w:pPr>
      <w:r>
        <w:rPr>
          <w:rFonts w:ascii="Times New Roman" w:hAnsi="Times New Roman"/>
          <w:sz w:val="20"/>
        </w:rPr>
        <w:t xml:space="preserve">Generally, a Non-U.S. Holder will not be subject to U.S. federal income tax with respect to gain realized on the sale, retirement, redemption or other disposition of a Note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gain is effectively connected with the conduct by the Non-U.S. Holder of a trade or business in the United States (and if an applicable income tax treaty so requires, is attributable to a permanent establishment maintained by the Non-U.S. Holder in the United States);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Non-U.S. Holder who is a nonresident alien individual, such individual is present in the United States for 183 days or more in the taxable year of disposition and certain other conditions are met. </w:t>
            </w:r>
          </w:p>
        </w:tc>
      </w:tr>
    </w:tbl>
    <w:p>
      <w:pPr>
        <w:pStyle w:val="TextBody"/>
        <w:spacing w:before="180" w:after="0"/>
        <w:rPr>
          <w:rFonts w:ascii="Times New Roman" w:hAnsi="Times New Roman"/>
          <w:sz w:val="20"/>
        </w:rPr>
      </w:pPr>
      <w:r>
        <w:rPr>
          <w:rFonts w:ascii="Times New Roman" w:hAnsi="Times New Roman"/>
          <w:sz w:val="20"/>
        </w:rPr>
        <w:t xml:space="preserve">If you are a Non-U.S. Holder described in the first bullet point above, you generally will be subject to U.S. federal income tax in the manner described below under Income or Gain Effectively Connected with a U.S. Trade or Business. If you are a Non-U.S. Holder described in the second bullet point above, you will be subject to a flat 30% U.S. federal income tax on the gain derived from the sale or other disposition, which may be offset by U.S. source capital losses. </w:t>
      </w:r>
    </w:p>
    <w:p>
      <w:pPr>
        <w:pStyle w:val="TextBody"/>
        <w:spacing w:before="180" w:after="0"/>
        <w:rPr>
          <w:rFonts w:ascii="Times New Roman" w:hAnsi="Times New Roman"/>
          <w:b/>
          <w:i/>
          <w:sz w:val="20"/>
        </w:rPr>
      </w:pPr>
      <w:r>
        <w:rPr>
          <w:rFonts w:ascii="Times New Roman" w:hAnsi="Times New Roman"/>
          <w:b/>
          <w:i/>
          <w:sz w:val="20"/>
        </w:rPr>
        <w:t xml:space="preserve">Income or Gain Effectively Connected with a U.S. Trade or Business </w:t>
      </w:r>
    </w:p>
    <w:p>
      <w:pPr>
        <w:pStyle w:val="TextBody"/>
        <w:spacing w:before="180" w:after="0"/>
        <w:rPr>
          <w:rFonts w:ascii="Times New Roman" w:hAnsi="Times New Roman"/>
          <w:sz w:val="20"/>
        </w:rPr>
      </w:pPr>
      <w:r>
        <w:rPr>
          <w:rFonts w:ascii="Times New Roman" w:hAnsi="Times New Roman"/>
          <w:sz w:val="20"/>
        </w:rPr>
        <w:t xml:space="preserve">If a Non-U.S. Holder of a Note is engaged in a trade or business in the United States and interest on the Note is effectively connected with the conduct of such trade or business, then the income or gain from the Note will generally be subject to U.S. federal income tax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claiming exemption under an applicable income tax treaty) or appropriate substitute form to us, or our paying agent. </w:t>
      </w:r>
    </w:p>
    <w:p>
      <w:pPr>
        <w:pStyle w:val="TextBody"/>
        <w:spacing w:before="180" w:after="0"/>
        <w:rPr>
          <w:rFonts w:ascii="Times New Roman" w:hAnsi="Times New Roman"/>
          <w:b/>
          <w:i/>
          <w:sz w:val="20"/>
        </w:rPr>
      </w:pPr>
      <w:r>
        <w:rPr>
          <w:rFonts w:ascii="Times New Roman" w:hAnsi="Times New Roman"/>
          <w:b/>
          <w:i/>
          <w:sz w:val="20"/>
        </w:rPr>
        <w:t xml:space="preserve">U.S. Federal Estate Tax </w:t>
      </w:r>
    </w:p>
    <w:p>
      <w:pPr>
        <w:pStyle w:val="TextBody"/>
        <w:spacing w:before="180" w:after="0"/>
        <w:rPr>
          <w:rFonts w:ascii="Times New Roman" w:hAnsi="Times New Roman"/>
          <w:sz w:val="20"/>
        </w:rPr>
      </w:pPr>
      <w:r>
        <w:rPr>
          <w:rFonts w:ascii="Times New Roman" w:hAnsi="Times New Roman"/>
          <w:sz w:val="20"/>
        </w:rPr>
        <w:t xml:space="preserve">If you are an individual and are not a resident of the United States (as specially defined for U.S. federal estate tax purposes) at the time of your death, the Notes will not be included in your estate for U.S. federal estate tax purposes provided that at the time of your death, interest on the Notes owned by you qualifies for the portfolio interest exemption under the rules described above under Payments of Interest (without regard to the certification requirement required to qualify for the portfolio interest exemption). </w:t>
      </w:r>
    </w:p>
    <w:p>
      <w:pPr>
        <w:pStyle w:val="TextBody"/>
        <w:spacing w:before="180" w:after="0"/>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80" w:after="0"/>
        <w:rPr>
          <w:rFonts w:ascii="Times New Roman" w:hAnsi="Times New Roman"/>
          <w:sz w:val="20"/>
        </w:rPr>
      </w:pPr>
      <w:r>
        <w:rPr>
          <w:rFonts w:ascii="Times New Roman" w:hAnsi="Times New Roman"/>
          <w:sz w:val="20"/>
        </w:rPr>
        <w:t xml:space="preserve">Payments to a Non-U.S. Holder of interest on a Note, and amounts withheld from such payments, if any, generally will be required to be reported to the IRS and to the Non-U.S. Holder. </w:t>
      </w:r>
    </w:p>
    <w:p>
      <w:pPr>
        <w:pStyle w:val="TextBody"/>
        <w:spacing w:before="180" w:after="0"/>
        <w:rPr>
          <w:rFonts w:ascii="Times New Roman" w:hAnsi="Times New Roman"/>
          <w:sz w:val="20"/>
        </w:rPr>
      </w:pPr>
      <w:r>
        <w:rPr>
          <w:rFonts w:ascii="Times New Roman" w:hAnsi="Times New Roman"/>
          <w:sz w:val="20"/>
        </w:rPr>
        <w:t xml:space="preserve">United States backup withholding generally will not apply to payments of interest and principal on a Note to a Non-U.S. Holder if the statement described in Payments of Interest is duly provided by the holder or the holder otherwise establishes an exemption, provided that we do not have actual knowledge or reason to know that the holder is a United States person. </w:t>
      </w:r>
    </w:p>
    <w:p>
      <w:pPr>
        <w:pStyle w:val="TextBody"/>
        <w:spacing w:before="180" w:after="0"/>
        <w:rPr>
          <w:rFonts w:ascii="Times New Roman" w:hAnsi="Times New Roman"/>
          <w:sz w:val="20"/>
        </w:rPr>
      </w:pPr>
      <w:r>
        <w:rPr>
          <w:rFonts w:ascii="Times New Roman" w:hAnsi="Times New Roman"/>
          <w:sz w:val="20"/>
        </w:rPr>
        <w:t xml:space="preserve">Payment of the proceeds of a sale of a Note effected by the U.S. office of a U.S. or foreign broker will be subject to information reporting requirements and backup withholding unless the Non-U.S. Holder properly certifies under penalties of perjury as to his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United States person;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person that derives 50% or more of its gross income for certain periods from the conduct of a trade or business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controlled foreign corporation for U.S. federal income tax purposes;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partnership that, at any time during its taxable year, has more than 50% of its income or capital interests owned by United States persons or is engaged in the conduct of a U.S. trade or business. </w:t>
            </w:r>
          </w:p>
        </w:tc>
      </w:tr>
    </w:tbl>
    <w:p>
      <w:pPr>
        <w:pStyle w:val="TextBody"/>
        <w:spacing w:before="180" w:after="0"/>
        <w:rPr>
          <w:rFonts w:ascii="Times New Roman" w:hAnsi="Times New Roman"/>
          <w:sz w:val="20"/>
        </w:rPr>
      </w:pPr>
      <w:r>
        <w:rPr>
          <w:rFonts w:ascii="Times New Roman" w:hAnsi="Times New Roman"/>
          <w:sz w:val="20"/>
        </w:rPr>
        <w:t xml:space="preserve">Any amount withheld from payments to a Non-U.S. Holder under the backup withholding rules may be credited against such holders U.S. federal income tax liability, if any, and any excess may be refundable if the proper information is provided to the IRS. </w:t>
      </w:r>
    </w:p>
    <w:p>
      <w:pPr>
        <w:pStyle w:val="TextBody"/>
        <w:spacing w:before="180" w:after="0"/>
        <w:rPr>
          <w:rFonts w:ascii="Times New Roman" w:hAnsi="Times New Roman"/>
          <w:b/>
          <w:i/>
          <w:sz w:val="20"/>
        </w:rPr>
      </w:pPr>
      <w:r>
        <w:rPr>
          <w:rFonts w:ascii="Times New Roman" w:hAnsi="Times New Roman"/>
          <w:b/>
          <w:i/>
          <w:sz w:val="20"/>
        </w:rPr>
        <w:t xml:space="preserve">Legislation Involving Payments to Certain Foreign Entities </w:t>
      </w:r>
    </w:p>
    <w:p>
      <w:pPr>
        <w:pStyle w:val="TextBody"/>
        <w:spacing w:before="180" w:after="0"/>
        <w:rPr>
          <w:rFonts w:ascii="Times New Roman" w:hAnsi="Times New Roman"/>
          <w:sz w:val="20"/>
        </w:rPr>
      </w:pPr>
      <w:r>
        <w:rPr>
          <w:rFonts w:ascii="Times New Roman" w:hAnsi="Times New Roman"/>
          <w:sz w:val="20"/>
        </w:rPr>
        <w:t xml:space="preserve">On March 18, 2010, President Obama signed the Hiring Incentives to Restore Employment Act (the HIRE Act) into law. The HIRE Act added a new chapter 4 to the Code. Effective for payments made after December 31, 2013 (in the case of interest payments) and December 31, 2014 (in the case of disposition proceeds), chapter 4 generally requires us or our paying agent (in its capacity as such) to deduct and withhold a tax equal to 30% of any payments made on our obligations to a foreign financial institution or non-financial foreign entity (including, in some cases, when such foreign institution or entity is acting as an intermediary), and requires any person having the control, receipt, custody, disposal, or payment of any gross proceeds of sale or other disposition of our obligations to deduct and withhold a tax equal to 30% of any such proceeds,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(ii) in the case of a non-financial foreign entity, such entity provides the withholding agent with a certification identifying the direct and indirect U.S. owners of the entity. Under certain circumstances, a Non-U.S. Holder might be eligible for refunds or credits of such taxes. Payments with respect to obligations (such as the Notes) outstanding on March 18, 2012 are not subject to these HIRE Act rules, and proposed regulations not yet in effect would, if adopted, extend this grandfathering date to January 1, 2013. Prospective investors are encouraged to consult with their own tax advisors regarding the possible implications of this legislation on an investment in the Notes. </w:t>
      </w:r>
    </w:p>
    <w:p>
      <w:pPr>
        <w:pStyle w:val="TextBody"/>
        <w:spacing w:before="180" w:after="0"/>
        <w:rPr>
          <w:rFonts w:ascii="Times New Roman" w:hAnsi="Times New Roman"/>
          <w:b/>
          <w:sz w:val="20"/>
        </w:rPr>
      </w:pPr>
      <w:r>
        <w:rPr>
          <w:rFonts w:ascii="Times New Roman" w:hAnsi="Times New Roman"/>
          <w:b/>
          <w:sz w:val="20"/>
        </w:rPr>
        <w:t xml:space="preserve">Additional Tax Relating to Net Investment Income </w:t>
      </w:r>
    </w:p>
    <w:p>
      <w:pPr>
        <w:pStyle w:val="TextBody"/>
        <w:spacing w:before="180" w:after="0"/>
        <w:rPr>
          <w:rFonts w:ascii="Times New Roman" w:hAnsi="Times New Roman"/>
          <w:sz w:val="20"/>
        </w:rPr>
      </w:pPr>
      <w:r>
        <w:rPr>
          <w:rFonts w:ascii="Times New Roman" w:hAnsi="Times New Roman"/>
          <w:sz w:val="20"/>
        </w:rPr>
        <w:t xml:space="preserve">For taxable years beginning after December 31, 2012, an additional 3.8% tax will be imposed on the net investment income of certain U.S. citizens and resident aliens, and on the undistributed net investment income of certain estates and trusts. Among other items, net investment income would generally include gross income from interest and net gain from the sale, retirement, redemption or other taxable disposition of a Note, less certain deductions. Prospective investors should consult their own tax advisors with respect to the imposition of this additional tax.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supp314176_12"/>
      <w:bookmarkEnd w:id="15"/>
      <w:r>
        <w:rPr>
          <w:rFonts w:ascii="Times New Roman" w:hAnsi="Times New Roman"/>
          <w:b/>
          <w:sz w:val="20"/>
        </w:rPr>
        <w:t xml:space="preserve">UNDERWRITING </w:t>
      </w:r>
    </w:p>
    <w:p>
      <w:pPr>
        <w:pStyle w:val="TextBody"/>
        <w:spacing w:before="180" w:after="0"/>
        <w:rPr>
          <w:rFonts w:ascii="Times New Roman" w:hAnsi="Times New Roman"/>
          <w:sz w:val="20"/>
        </w:rPr>
      </w:pPr>
      <w:r>
        <w:rPr>
          <w:rFonts w:ascii="Times New Roman" w:hAnsi="Times New Roman"/>
          <w:sz w:val="20"/>
        </w:rPr>
        <w:t xml:space="preserve">Subject to the terms and conditions set forth in an underwriting agreement, dated the date of this prospectus supplement, between us and the underwriters named below, we have agreed to sell to each of the underwriters, and the underwriters have agreed, severally and not jointly, to purchase, the principal amount of the Notes of each series set forth opposite their respective names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963"/>
        <w:gridCol w:w="307"/>
        <w:gridCol w:w="125"/>
        <w:gridCol w:w="1067"/>
        <w:gridCol w:w="120"/>
        <w:gridCol w:w="307"/>
        <w:gridCol w:w="125"/>
        <w:gridCol w:w="1067"/>
        <w:gridCol w:w="124"/>
      </w:tblGrid>
      <w:tr>
        <w:trPr/>
        <w:tc>
          <w:tcPr>
            <w:tcW w:w="696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96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81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 Amount</w:t>
            </w:r>
          </w:p>
        </w:tc>
        <w:tc>
          <w:tcPr>
            <w:tcW w:w="124" w:type="dxa"/>
            <w:tcBorders/>
            <w:shd w:fill="auto" w:val="clear"/>
            <w:vAlign w:val="bottom"/>
          </w:tcPr>
          <w:p>
            <w:pPr>
              <w:pStyle w:val="TableContents"/>
              <w:spacing w:before="0" w:after="283"/>
              <w:rPr/>
            </w:pPr>
            <w:r>
              <w:rPr/>
              <w:t> </w:t>
            </w:r>
          </w:p>
        </w:tc>
      </w:tr>
      <w:tr>
        <w:trPr/>
        <w:tc>
          <w:tcPr>
            <w:tcW w:w="6963"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Underwriter</w:t>
            </w:r>
          </w:p>
        </w:tc>
        <w:tc>
          <w:tcPr>
            <w:tcW w:w="307" w:type="dxa"/>
            <w:tcBorders/>
            <w:shd w:fill="auto" w:val="clear"/>
            <w:vAlign w:val="bottom"/>
          </w:tcPr>
          <w:p>
            <w:pPr>
              <w:pStyle w:val="TableContents"/>
              <w:spacing w:before="0" w:after="283"/>
              <w:rPr/>
            </w:pPr>
            <w:r>
              <w:rPr/>
              <w:t>  </w:t>
            </w:r>
          </w:p>
        </w:tc>
        <w:tc>
          <w:tcPr>
            <w:tcW w:w="11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2022 Notes</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1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2042 Notes</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rFonts w:ascii="Times New Roman" w:hAnsi="Times New Roman"/>
                <w:sz w:val="20"/>
              </w:rPr>
            </w:pPr>
            <w:r>
              <w:rPr>
                <w:rFonts w:ascii="Times New Roman" w:hAnsi="Times New Roman"/>
                <w:sz w:val="20"/>
              </w:rPr>
              <w:t>Incorporated</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DNB Markets, Inc.</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68,750,000</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BMO Capital Markets Corp.</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283"/>
              <w:rPr>
                <w:rFonts w:ascii="Times New Roman" w:hAnsi="Times New Roman"/>
                <w:sz w:val="20"/>
              </w:rPr>
            </w:pPr>
            <w:r>
              <w:rPr>
                <w:rFonts w:ascii="Times New Roman" w:hAnsi="Times New Roman"/>
                <w:sz w:val="20"/>
              </w:rPr>
              <w:t>Comerica Securities, Inc.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Fifth Third Securities, Inc.</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283"/>
              <w:rPr>
                <w:rFonts w:ascii="Times New Roman" w:hAnsi="Times New Roman"/>
                <w:sz w:val="20"/>
              </w:rPr>
            </w:pPr>
            <w:r>
              <w:rPr>
                <w:rFonts w:ascii="Times New Roman" w:hAnsi="Times New Roman"/>
                <w:sz w:val="20"/>
              </w:rPr>
              <w:t>ING Financial Markets LLC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Mitsubishi UFJ Securities (USA), Inc.</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283"/>
              <w:rPr>
                <w:rFonts w:ascii="Times New Roman" w:hAnsi="Times New Roman"/>
                <w:sz w:val="20"/>
              </w:rPr>
            </w:pPr>
            <w:r>
              <w:rPr>
                <w:rFonts w:ascii="Times New Roman" w:hAnsi="Times New Roman"/>
                <w:sz w:val="20"/>
              </w:rPr>
              <w:t>Morgan Keegan &amp; Company, Inc.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PNC Capital Markets LLC</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283"/>
              <w:rPr>
                <w:rFonts w:ascii="Times New Roman" w:hAnsi="Times New Roman"/>
                <w:sz w:val="20"/>
              </w:rPr>
            </w:pPr>
            <w:r>
              <w:rPr>
                <w:rFonts w:ascii="Times New Roman" w:hAnsi="Times New Roman"/>
                <w:sz w:val="20"/>
              </w:rPr>
              <w:t>Scotia Capital (USA) Inc.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auto" w:val="clear"/>
            <w:vAlign w:val="bottom"/>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SG Americas Securities, LLC</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tcPr>
          <w:p>
            <w:pPr>
              <w:pStyle w:val="TableContents"/>
              <w:spacing w:before="0" w:after="283"/>
              <w:rPr>
                <w:rFonts w:ascii="Times New Roman" w:hAnsi="Times New Roman"/>
                <w:sz w:val="20"/>
              </w:rPr>
            </w:pPr>
            <w:r>
              <w:rPr>
                <w:rFonts w:ascii="Times New Roman" w:hAnsi="Times New Roman"/>
                <w:sz w:val="20"/>
              </w:rPr>
              <w:t>U.S. Bancorp Investments, Inc.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13,125,000</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8,750,000</w:t>
            </w:r>
          </w:p>
        </w:tc>
        <w:tc>
          <w:tcPr>
            <w:tcW w:w="124" w:type="dxa"/>
            <w:tcBorders/>
            <w:shd w:fill="auto" w:val="clear"/>
            <w:vAlign w:val="bottom"/>
          </w:tcPr>
          <w:p>
            <w:pPr>
              <w:pStyle w:val="TableContents"/>
              <w:spacing w:before="0" w:after="283"/>
              <w:rPr/>
            </w:pPr>
            <w:r>
              <w:rPr/>
              <w:t>  </w:t>
            </w:r>
          </w:p>
        </w:tc>
      </w:tr>
      <w:tr>
        <w:trPr/>
        <w:tc>
          <w:tcPr>
            <w:tcW w:w="6963"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6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67"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96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750,000,000</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500,000,000</w:t>
            </w:r>
          </w:p>
        </w:tc>
        <w:tc>
          <w:tcPr>
            <w:tcW w:w="124" w:type="dxa"/>
            <w:tcBorders/>
            <w:shd w:fill="CCEEFF" w:val="clear"/>
            <w:vAlign w:val="bottom"/>
          </w:tcPr>
          <w:p>
            <w:pPr>
              <w:pStyle w:val="TableContents"/>
              <w:spacing w:before="0" w:after="283"/>
              <w:rPr/>
            </w:pPr>
            <w:r>
              <w:rPr/>
              <w:t>  </w:t>
            </w:r>
          </w:p>
        </w:tc>
      </w:tr>
      <w:tr>
        <w:trPr/>
        <w:tc>
          <w:tcPr>
            <w:tcW w:w="6963"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06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067"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 </w:t>
      </w:r>
    </w:p>
    <w:p>
      <w:pPr>
        <w:pStyle w:val="TextBody"/>
        <w:spacing w:before="180" w:after="0"/>
        <w:rPr>
          <w:rFonts w:ascii="Times New Roman" w:hAnsi="Times New Roman"/>
          <w:b/>
          <w:sz w:val="20"/>
        </w:rPr>
      </w:pPr>
      <w:r>
        <w:rPr>
          <w:rFonts w:ascii="Times New Roman" w:hAnsi="Times New Roman"/>
          <w:b/>
          <w:sz w:val="20"/>
        </w:rPr>
        <w:t xml:space="preserve">Underwriting Discounts </w:t>
      </w:r>
    </w:p>
    <w:p>
      <w:pPr>
        <w:pStyle w:val="TextBody"/>
        <w:spacing w:before="180" w:after="0"/>
        <w:rPr>
          <w:rFonts w:ascii="Times New Roman" w:hAnsi="Times New Roman"/>
          <w:sz w:val="20"/>
        </w:rPr>
      </w:pPr>
      <w:r>
        <w:rPr>
          <w:rFonts w:ascii="Times New Roman" w:hAnsi="Times New Roman"/>
          <w:sz w:val="20"/>
        </w:rPr>
        <w:t xml:space="preserve">The underwriters propose initially to offer the Notes to the public at the public offering price set forth on the cover page of this prospectus supplement and may offer the 2022 Notes to certain dealers at such price less a concession not in excess of 0.40% of the principal amount of the 2022 Notes and the 2042 Notes at such price less a concession not in excess of 0.50% of the principal amount of the 2042 Notes. The underwriters may allow a discount with respect to the 2022 Notes not in excess of 0.25% of the principal amount of the 2022 Notes and with respect to the 2042 Notes not in excess of 0.25% of the principal amount of the 2042 Notes, in each case on sales to certain other brokers and dealers. After this initial public offering, the public offering price, concession and discount may be changed. </w:t>
      </w:r>
    </w:p>
    <w:p>
      <w:pPr>
        <w:pStyle w:val="TextBody"/>
        <w:spacing w:before="180" w:after="0"/>
        <w:rPr>
          <w:rFonts w:ascii="Times New Roman" w:hAnsi="Times New Roman"/>
          <w:sz w:val="20"/>
        </w:rPr>
      </w:pPr>
      <w:r>
        <w:rPr>
          <w:rFonts w:ascii="Times New Roman" w:hAnsi="Times New Roman"/>
          <w:sz w:val="20"/>
        </w:rPr>
        <w:t xml:space="preserve">The following table summarizes the compensation to be paid by us to the underwriters.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56"/>
        <w:gridCol w:w="1138"/>
        <w:gridCol w:w="176"/>
        <w:gridCol w:w="1199"/>
        <w:gridCol w:w="236"/>
      </w:tblGrid>
      <w:tr>
        <w:trPr/>
        <w:tc>
          <w:tcPr>
            <w:tcW w:w="7456"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7456"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rPr/>
            </w:pPr>
            <w:r>
              <w:rPr/>
              <w:t>  </w:t>
            </w:r>
          </w:p>
        </w:tc>
        <w:tc>
          <w:tcPr>
            <w:tcW w:w="13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Underwriting Discount</w:t>
            </w:r>
          </w:p>
        </w:tc>
        <w:tc>
          <w:tcPr>
            <w:tcW w:w="236" w:type="dxa"/>
            <w:tcBorders/>
            <w:shd w:fill="auto" w:val="clear"/>
            <w:vAlign w:val="bottom"/>
          </w:tcPr>
          <w:p>
            <w:pPr>
              <w:pStyle w:val="TableContents"/>
              <w:spacing w:before="0" w:after="283"/>
              <w:rPr/>
            </w:pPr>
            <w:r>
              <w:rPr/>
              <w:t> </w:t>
            </w:r>
          </w:p>
        </w:tc>
      </w:tr>
      <w:tr>
        <w:trPr/>
        <w:tc>
          <w:tcPr>
            <w:tcW w:w="7456" w:type="dxa"/>
            <w:tcBorders/>
            <w:shd w:fill="CCEEFF" w:val="clear"/>
          </w:tcPr>
          <w:p>
            <w:pPr>
              <w:pStyle w:val="TableContents"/>
              <w:spacing w:before="0" w:after="283"/>
              <w:rPr>
                <w:rFonts w:ascii="Times New Roman" w:hAnsi="Times New Roman"/>
                <w:sz w:val="20"/>
              </w:rPr>
            </w:pPr>
            <w:r>
              <w:rPr>
                <w:rFonts w:ascii="Times New Roman" w:hAnsi="Times New Roman"/>
                <w:sz w:val="20"/>
              </w:rPr>
              <w:t>Per 2022 Note</w:t>
            </w:r>
          </w:p>
        </w:tc>
        <w:tc>
          <w:tcPr>
            <w:tcW w:w="113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0.650</w:t>
            </w:r>
          </w:p>
        </w:tc>
        <w:tc>
          <w:tcPr>
            <w:tcW w:w="2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56"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13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4,875,000</w:t>
            </w:r>
          </w:p>
        </w:tc>
        <w:tc>
          <w:tcPr>
            <w:tcW w:w="236" w:type="dxa"/>
            <w:tcBorders/>
            <w:shd w:fill="auto" w:val="clear"/>
            <w:vAlign w:val="bottom"/>
          </w:tcPr>
          <w:p>
            <w:pPr>
              <w:pStyle w:val="TableContents"/>
              <w:spacing w:before="0" w:after="283"/>
              <w:rPr/>
            </w:pPr>
            <w:r>
              <w:rPr/>
              <w:t>  </w:t>
            </w:r>
          </w:p>
        </w:tc>
      </w:tr>
      <w:tr>
        <w:trPr/>
        <w:tc>
          <w:tcPr>
            <w:tcW w:w="7456" w:type="dxa"/>
            <w:tcBorders/>
            <w:shd w:fill="CCEEFF" w:val="clear"/>
          </w:tcPr>
          <w:p>
            <w:pPr>
              <w:pStyle w:val="TableContents"/>
              <w:spacing w:before="0" w:after="283"/>
              <w:rPr>
                <w:rFonts w:ascii="Times New Roman" w:hAnsi="Times New Roman"/>
                <w:sz w:val="20"/>
              </w:rPr>
            </w:pPr>
            <w:r>
              <w:rPr>
                <w:rFonts w:ascii="Times New Roman" w:hAnsi="Times New Roman"/>
                <w:sz w:val="20"/>
              </w:rPr>
              <w:t>Per 2042 Note</w:t>
            </w:r>
          </w:p>
        </w:tc>
        <w:tc>
          <w:tcPr>
            <w:tcW w:w="113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0.875</w:t>
            </w:r>
          </w:p>
        </w:tc>
        <w:tc>
          <w:tcPr>
            <w:tcW w:w="2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456"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13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4,375,000</w:t>
            </w:r>
          </w:p>
        </w:tc>
        <w:tc>
          <w:tcPr>
            <w:tcW w:w="236"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estimate that our share of the total expenses of the offering, excluding the underwriting discount, will be approximately $1.7 million. </w:t>
      </w:r>
    </w:p>
    <w:p>
      <w:pPr>
        <w:pStyle w:val="TextBody"/>
        <w:spacing w:before="180" w:after="0"/>
        <w:rPr>
          <w:rFonts w:ascii="Times New Roman" w:hAnsi="Times New Roman"/>
          <w:b/>
          <w:sz w:val="20"/>
        </w:rPr>
      </w:pPr>
      <w:r>
        <w:rPr>
          <w:rFonts w:ascii="Times New Roman" w:hAnsi="Times New Roman"/>
          <w:b/>
          <w:sz w:val="20"/>
        </w:rPr>
        <w:t xml:space="preserve">New Issue of Notes </w:t>
      </w:r>
    </w:p>
    <w:p>
      <w:pPr>
        <w:pStyle w:val="TextBody"/>
        <w:spacing w:before="180" w:after="0"/>
        <w:rPr>
          <w:rFonts w:ascii="Times New Roman" w:hAnsi="Times New Roman"/>
          <w:sz w:val="20"/>
        </w:rPr>
      </w:pPr>
      <w:r>
        <w:rPr>
          <w:rFonts w:ascii="Times New Roman" w:hAnsi="Times New Roman"/>
          <w:sz w:val="20"/>
        </w:rPr>
        <w:t xml:space="preserve">We do not intend to apply for listing of the Notes on a national securities exchange. Currently, there is no public market for the Notes.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 </w:t>
      </w:r>
    </w:p>
    <w:p>
      <w:pPr>
        <w:pStyle w:val="TextBody"/>
        <w:spacing w:before="180" w:after="0"/>
        <w:rPr>
          <w:rFonts w:ascii="Times New Roman" w:hAnsi="Times New Roman"/>
          <w:b/>
          <w:sz w:val="20"/>
        </w:rPr>
      </w:pPr>
      <w:r>
        <w:rPr>
          <w:rFonts w:ascii="Times New Roman" w:hAnsi="Times New Roman"/>
          <w:b/>
          <w:sz w:val="20"/>
        </w:rPr>
        <w:t xml:space="preserve">Stabilization and Short Positions </w:t>
      </w:r>
    </w:p>
    <w:p>
      <w:pPr>
        <w:pStyle w:val="TextBody"/>
        <w:spacing w:before="180" w:after="0"/>
        <w:rPr>
          <w:rFonts w:ascii="Times New Roman" w:hAnsi="Times New Roman"/>
          <w:sz w:val="20"/>
        </w:rPr>
      </w:pPr>
      <w:r>
        <w:rPr>
          <w:rFonts w:ascii="Times New Roman" w:hAnsi="Times New Roman"/>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spacing w:before="180" w:after="0"/>
        <w:rPr>
          <w:rFonts w:ascii="Times New Roman" w:hAnsi="Times New Roman"/>
          <w:b/>
          <w:sz w:val="20"/>
        </w:rPr>
      </w:pPr>
      <w:r>
        <w:rPr>
          <w:rFonts w:ascii="Times New Roman" w:hAnsi="Times New Roman"/>
          <w:b/>
          <w:sz w:val="20"/>
        </w:rPr>
        <w:t xml:space="preserve">Settlement </w:t>
      </w:r>
    </w:p>
    <w:p>
      <w:pPr>
        <w:pStyle w:val="TextBody"/>
        <w:spacing w:before="180" w:after="0"/>
        <w:rPr>
          <w:rFonts w:ascii="Times New Roman" w:hAnsi="Times New Roman"/>
          <w:sz w:val="20"/>
        </w:rPr>
      </w:pPr>
      <w:r>
        <w:rPr>
          <w:rFonts w:ascii="Times New Roman" w:hAnsi="Times New Roman"/>
          <w:sz w:val="20"/>
        </w:rPr>
        <w:t xml:space="preserve">We expect delivery of the Notes will be made against payment therefor on or about March 22, 2012, which is the seventh business day following the date of pricing of the Notes (such settlement being referred to as T+7). Under Rule 15c6-1 of the Securities Exchange Act of 1934, trades in the secondary market generally are required to settle in three business days unless the parties to any such trade expressly agree otherwise. Accordingly, purchasers who wish to trade the Notes on the date of pricing of the Notes or the next succeeding three business days will be required, by virtue of the fact that the Notes initially will settle in T+7, to specify an alternate settlement cycle at the time of any such trade to prevent failed settlement and should consult their own advisers. </w:t>
      </w:r>
    </w:p>
    <w:p>
      <w:pPr>
        <w:pStyle w:val="TextBody"/>
        <w:spacing w:before="180" w:after="0"/>
        <w:rPr>
          <w:rFonts w:ascii="Times New Roman" w:hAnsi="Times New Roman"/>
          <w:b/>
          <w:sz w:val="20"/>
        </w:rPr>
      </w:pPr>
      <w:r>
        <w:rPr>
          <w:rFonts w:ascii="Times New Roman" w:hAnsi="Times New Roman"/>
          <w:b/>
          <w:sz w:val="20"/>
        </w:rPr>
        <w:t xml:space="preserve">Selling Restrictions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80" w:after="0"/>
        <w:rPr>
          <w:rFonts w:ascii="Times New Roman" w:hAnsi="Times New Roman"/>
          <w:sz w:val="20"/>
        </w:rPr>
      </w:pPr>
      <w:r>
        <w:rPr>
          <w:rFonts w:ascii="Times New Roman" w:hAnsi="Times New Roman"/>
          <w:sz w:val="20"/>
        </w:rPr>
        <w:t xml:space="preserve">This prospectus supplement and the accompanying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 </w:t>
      </w:r>
    </w:p>
    <w:p>
      <w:pPr>
        <w:pStyle w:val="TextBody"/>
        <w:spacing w:before="180" w:after="0"/>
        <w:rPr>
          <w:rFonts w:ascii="Times New Roman" w:hAnsi="Times New Roman"/>
          <w:sz w:val="20"/>
        </w:rPr>
      </w:pPr>
      <w:r>
        <w:rPr>
          <w:rFonts w:ascii="Times New Roman" w:hAnsi="Times New Roman"/>
          <w:sz w:val="20"/>
        </w:rPr>
        <w:t xml:space="preserve">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spacing w:before="18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8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8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18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spacing w:before="180" w:after="0"/>
        <w:rPr>
          <w:rFonts w:ascii="Times New Roman" w:hAnsi="Times New Roman"/>
          <w:b/>
          <w:sz w:val="20"/>
        </w:rPr>
      </w:pPr>
      <w:r>
        <w:rPr>
          <w:rFonts w:ascii="Times New Roman" w:hAnsi="Times New Roman"/>
          <w:b/>
          <w:sz w:val="20"/>
        </w:rPr>
        <w:t xml:space="preserve">Other Relationships </w:t>
      </w:r>
    </w:p>
    <w:p>
      <w:pPr>
        <w:pStyle w:val="TextBody"/>
        <w:spacing w:before="180" w:after="0"/>
        <w:rPr>
          <w:rFonts w:ascii="Times New Roman" w:hAnsi="Times New Roman"/>
          <w:sz w:val="20"/>
        </w:rPr>
      </w:pPr>
      <w:r>
        <w:rPr>
          <w:rFonts w:ascii="Times New Roman" w:hAnsi="Times New Roman"/>
          <w:sz w:val="20"/>
        </w:rPr>
        <w:t xml:space="preserve">All of the underwriters and their affiliates have performed investment and commercial banking and advisory services for us and our affiliates from time to time for which they have received customary fees and expenses. The underwriters and their affiliates may, from time to time, engage in transactions with and perform services for us in the ordinary course of their business. </w:t>
      </w:r>
    </w:p>
    <w:p>
      <w:pPr>
        <w:pStyle w:val="TextBody"/>
        <w:spacing w:before="180" w:after="0"/>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180" w:after="0"/>
        <w:rPr>
          <w:rFonts w:ascii="Times New Roman" w:hAnsi="Times New Roman"/>
          <w:b/>
          <w:sz w:val="20"/>
        </w:rPr>
      </w:pPr>
      <w:r>
        <w:rPr>
          <w:rFonts w:ascii="Times New Roman" w:hAnsi="Times New Roman"/>
          <w:b/>
          <w:sz w:val="20"/>
        </w:rPr>
        <w:t xml:space="preserve">Indemnification </w:t>
      </w:r>
    </w:p>
    <w:p>
      <w:pPr>
        <w:pStyle w:val="TextBody"/>
        <w:spacing w:before="180" w:after="0"/>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spacing w:before="270" w:after="0"/>
        <w:rPr>
          <w:rFonts w:ascii="Times New Roman" w:hAnsi="Times New Roman"/>
          <w:b/>
          <w:sz w:val="20"/>
        </w:rPr>
      </w:pPr>
      <w:r>
        <w:rPr>
          <w:rFonts w:ascii="Times New Roman" w:hAnsi="Times New Roman"/>
          <w:b/>
          <w:sz w:val="20"/>
        </w:rPr>
        <w:t xml:space="preserve">Electronic distribution </w:t>
      </w:r>
    </w:p>
    <w:p>
      <w:pPr>
        <w:pStyle w:val="TextBody"/>
        <w:spacing w:before="90" w:after="0"/>
        <w:rPr>
          <w:rFonts w:ascii="Times New Roman" w:hAnsi="Times New Roman"/>
          <w:sz w:val="20"/>
        </w:rPr>
      </w:pPr>
      <w:r>
        <w:rPr>
          <w:rFonts w:ascii="Times New Roman" w:hAnsi="Times New Roman"/>
          <w:sz w:val="20"/>
        </w:rPr>
        <w:t xml:space="preserve">This prospectus supplement and the accompanying prospectus in electronic format may be made available on the websites maintained by one or more of the underwriters. 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the Notes. The underwriters are not responsible for information contained in websites that they do not maintain.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supp314176_13"/>
      <w:bookmarkEnd w:id="16"/>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Certain legal matters in connection with the Notes being offered hereby will be passed upon for us by Vinson &amp; Elkins L.L.P., Houston, Texas and for the underwriters by Baker Botts L.L.P., Houston, Texas. </w:t>
      </w:r>
    </w:p>
    <w:p>
      <w:pPr>
        <w:pStyle w:val="TextBody"/>
        <w:spacing w:before="180" w:after="0"/>
        <w:jc w:val="center"/>
        <w:rPr>
          <w:rFonts w:ascii="Times New Roman" w:hAnsi="Times New Roman"/>
          <w:b/>
          <w:sz w:val="20"/>
        </w:rPr>
      </w:pPr>
      <w:bookmarkStart w:id="17" w:name="supp314176_14"/>
      <w:bookmarkEnd w:id="1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jc w:val="center"/>
        <w:rPr>
          <w:rFonts w:ascii="Times New Roman" w:hAnsi="Times New Roman"/>
          <w:b/>
          <w:sz w:val="20"/>
        </w:rPr>
      </w:pPr>
      <w:bookmarkStart w:id="18" w:name="supp314176_15"/>
      <w:bookmarkEnd w:id="18"/>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October 24, 2011 (announcement of proposal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2011;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18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prospectus) at no cost by making written or telephone requests for copies to: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18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 w:hAnsi="Times New Roman"/>
          <w:i/>
          <w:sz w:val="20"/>
          <w:u w:val="single"/>
        </w:rPr>
        <w:t>www.sec.gov</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4"/>
        </w:rPr>
      </w:pPr>
      <w:r>
        <w:rPr>
          <w:rFonts w:ascii="Times New Roman" w:hAnsi="Times New Roman"/>
          <w:sz w:val="24"/>
        </w:rPr>
        <w:t xml:space="preserve">PROSPECTUS </w:t>
      </w:r>
    </w:p>
    <w:p>
      <w:pPr>
        <w:pStyle w:val="TextBody"/>
        <w:spacing w:before="18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0" w:after="0"/>
        <w:jc w:val="center"/>
        <w:rPr>
          <w:rFonts w:ascii="Times New Roman" w:hAnsi="Times New Roman"/>
          <w:b/>
          <w:sz w:val="36"/>
        </w:rPr>
      </w:pPr>
      <w:r>
        <w:rPr>
          <w:rFonts w:ascii="Times New Roman" w:hAnsi="Times New Roman"/>
          <w:b/>
          <w:sz w:val="36"/>
        </w:rPr>
        <w:t xml:space="preserve">PAA Finance Corp.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180" w:after="0"/>
        <w:rPr>
          <w:rFonts w:ascii="Times New Roman" w:hAnsi="Times New Roman"/>
          <w:i/>
          <w:sz w:val="20"/>
        </w:rPr>
      </w:pPr>
      <w:r>
        <w:rPr>
          <w:rFonts w:ascii="Times New Roman" w:hAnsi="Times New Roman"/>
          <w:i/>
          <w:sz w:val="20"/>
        </w:rPr>
        <w:t xml:space="preserve">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2625" w:after="0"/>
        <w:jc w:val="center"/>
        <w:rPr>
          <w:rFonts w:ascii="Times New Roman" w:hAnsi="Times New Roman"/>
          <w:sz w:val="20"/>
        </w:rPr>
      </w:pPr>
      <w:r>
        <w:rPr>
          <w:rFonts w:ascii="Times New Roman" w:hAnsi="Times New Roman"/>
          <w:sz w:val="20"/>
        </w:rPr>
        <w:t xml:space="preserve">The date of this prospectus is October 14, 2009. </w:t>
      </w:r>
    </w:p>
    <w:p>
      <w:pPr>
        <w:pStyle w:val="TextBody"/>
        <w:spacing w:before="0" w:after="0"/>
        <w:rPr/>
      </w:pPr>
      <w:r>
        <w:rPr/>
        <w:t> </w:t>
      </w:r>
    </w:p>
    <w:p>
      <w:pPr>
        <w:pStyle w:val="TextBody"/>
        <w:pBdr>
          <w:bottom w:val="single" w:sz="8" w:space="1" w:color="000000"/>
        </w:pBdr>
        <w:spacing w:lineRule="atLeast" w:line="141" w:before="0" w:after="30"/>
        <w:jc w:val="center"/>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index"/>
      <w:bookmarkEnd w:id="19"/>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9"/>
        <w:gridCol w:w="250"/>
        <w:gridCol w:w="60"/>
        <w:gridCol w:w="234"/>
        <w:gridCol w:w="122"/>
      </w:tblGrid>
      <w:tr>
        <w:trPr/>
        <w:tc>
          <w:tcPr>
            <w:tcW w:w="95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539" w:type="dxa"/>
            <w:tcBorders/>
            <w:shd w:fill="CCEEFF" w:val="clear"/>
          </w:tcPr>
          <w:p>
            <w:pPr>
              <w:pStyle w:val="TableContents"/>
              <w:spacing w:before="0" w:after="283"/>
              <w:rPr/>
            </w:pPr>
            <w:hyperlink w:anchor="rom314176_111">
              <w:r>
                <w:rPr>
                  <w:rStyle w:val="InternetLink"/>
                  <w:rFonts w:ascii="Times New Roman" w:hAnsi="Times New Roman"/>
                  <w:sz w:val="20"/>
                </w:rPr>
                <w:t>ABOUT THIS PROSPECTUS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2">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3">
              <w:r>
                <w:rPr>
                  <w:rStyle w:val="InternetLink"/>
                  <w:rFonts w:ascii="Times New Roman" w:hAnsi="Times New Roman"/>
                  <w:sz w:val="20"/>
                </w:rPr>
                <w:t>FORWARD-LOOKING STATEMENTS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4">
              <w:r>
                <w:rPr>
                  <w:rStyle w:val="InternetLink"/>
                  <w:rFonts w:ascii="Times New Roman" w:hAnsi="Times New Roman"/>
                  <w:sz w:val="20"/>
                </w:rPr>
                <w:t>WHO WE ARE</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5">
              <w:r>
                <w:rPr>
                  <w:rStyle w:val="InternetLink"/>
                  <w:rFonts w:ascii="Times New Roman" w:hAnsi="Times New Roman"/>
                  <w:sz w:val="20"/>
                </w:rPr>
                <w:t>RISK FACTORS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6">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7">
              <w:r>
                <w:rPr>
                  <w:rStyle w:val="InternetLink"/>
                  <w:rFonts w:ascii="Times New Roman" w:hAnsi="Times New Roman"/>
                  <w:sz w:val="20"/>
                </w:rPr>
                <w:t>RATIO OF EARNINGS TO FIXED CHARGES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18">
              <w:r>
                <w:rPr>
                  <w:rStyle w:val="InternetLink"/>
                  <w:rFonts w:ascii="Times New Roman" w:hAnsi="Times New Roman"/>
                  <w:sz w:val="20"/>
                </w:rPr>
                <w:t>DESCRIPTION OF OUR DEBT SECURITIES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19">
              <w:r>
                <w:rPr>
                  <w:rStyle w:val="InternetLink"/>
                  <w:rFonts w:ascii="Times New Roman" w:hAnsi="Times New Roman"/>
                  <w:sz w:val="20"/>
                </w:rPr>
                <w:t>DESCRIPTION OF OUR COMMON UNITS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20">
              <w:r>
                <w:rPr>
                  <w:rStyle w:val="InternetLink"/>
                  <w:rFonts w:ascii="Times New Roman" w:hAnsi="Times New Roman"/>
                  <w:sz w:val="20"/>
                </w:rPr>
                <w:t>CASH DISTRIBUTION POLICY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21">
              <w:r>
                <w:rPr>
                  <w:rStyle w:val="InternetLink"/>
                  <w:rFonts w:ascii="Times New Roman" w:hAnsi="Times New Roman"/>
                  <w:sz w:val="20"/>
                </w:rPr>
                <w:t>DESCRIPTION OF OUR PARTNERSHIP AGREEMENT</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22">
              <w:r>
                <w:rPr>
                  <w:rStyle w:val="InternetLink"/>
                  <w:rFonts w:ascii="Times New Roman" w:hAnsi="Times New Roman"/>
                  <w:sz w:val="20"/>
                </w:rPr>
                <w:t>MATERIAL INCOME TAX CONSIDERATIONS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2" w:type="dxa"/>
            <w:tcBorders/>
            <w:shd w:fill="auto" w:val="clear"/>
            <w:vAlign w:val="bottom"/>
          </w:tcPr>
          <w:p>
            <w:pPr>
              <w:pStyle w:val="TableContents"/>
              <w:spacing w:before="0" w:after="283"/>
              <w:rPr/>
            </w:pPr>
            <w:r>
              <w:rPr/>
              <w:t>  </w:t>
            </w:r>
          </w:p>
        </w:tc>
      </w:tr>
      <w:tr>
        <w:trPr/>
        <w:tc>
          <w:tcPr>
            <w:tcW w:w="9539" w:type="dxa"/>
            <w:tcBorders/>
            <w:shd w:fill="CCEEFF" w:val="clear"/>
          </w:tcPr>
          <w:p>
            <w:pPr>
              <w:pStyle w:val="TableContents"/>
              <w:spacing w:before="0" w:after="283"/>
              <w:rPr/>
            </w:pPr>
            <w:hyperlink w:anchor="rom314176_123">
              <w:r>
                <w:rPr>
                  <w:rStyle w:val="InternetLink"/>
                  <w:rFonts w:ascii="Times New Roman" w:hAnsi="Times New Roman"/>
                  <w:sz w:val="20"/>
                </w:rPr>
                <w:t>LEGAL MATTERS</w:t>
              </w:r>
            </w:hyperlink>
          </w:p>
        </w:tc>
        <w:tc>
          <w:tcPr>
            <w:tcW w:w="2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CCEEFF" w:val="clear"/>
            <w:vAlign w:val="bottom"/>
          </w:tcPr>
          <w:p>
            <w:pPr>
              <w:pStyle w:val="TableContents"/>
              <w:spacing w:before="0" w:after="283"/>
              <w:rPr/>
            </w:pPr>
            <w:r>
              <w:rPr/>
              <w:t>  </w:t>
            </w:r>
          </w:p>
        </w:tc>
      </w:tr>
      <w:tr>
        <w:trPr/>
        <w:tc>
          <w:tcPr>
            <w:tcW w:w="9539" w:type="dxa"/>
            <w:tcBorders/>
            <w:shd w:fill="auto" w:val="clear"/>
          </w:tcPr>
          <w:p>
            <w:pPr>
              <w:pStyle w:val="TableContents"/>
              <w:spacing w:before="0" w:after="283"/>
              <w:rPr/>
            </w:pPr>
            <w:hyperlink w:anchor="rom314176_124">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2"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 </w:t>
      </w:r>
    </w:p>
    <w:p>
      <w:pPr>
        <w:pStyle w:val="TextBody"/>
        <w:spacing w:before="270" w:after="0"/>
        <w:jc w:val="center"/>
        <w:rPr>
          <w:rFonts w:ascii="Times New Roman" w:hAnsi="Times New Roman"/>
          <w:b/>
          <w:sz w:val="20"/>
        </w:rPr>
      </w:pPr>
      <w:bookmarkStart w:id="20" w:name="rom314176_111"/>
      <w:bookmarkStart w:id="21" w:name="supprom314176_14"/>
      <w:bookmarkEnd w:id="20"/>
      <w:bookmarkEnd w:id="21"/>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314176_112"/>
      <w:bookmarkStart w:id="23" w:name="supprom314176_15"/>
      <w:bookmarkEnd w:id="22"/>
      <w:bookmarkEnd w:id="23"/>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quarters ended March 31, 2009 and June 30,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February 25, 2009 (compensation arrangements for certain of our executive officers);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12, 2009 (audited balance sheet of PAA GP LLC as of December 31,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March 18,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20,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May 22, 2009 (election of Christopher M. Temple to the board of directors of Plains All American GP LLC);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7, 2009 (unaudited balance sheet of PAA GP LLC as of March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23,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Items 7.01 and 9.01, which were furnished) with the SEC on August 28, 2009 (unregistered sale of equity securities);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3, 2009 (amendment of the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4, 2009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(other than Item 7.01, which was furnished) with the SEC on September 11, 2009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28, 2009 (audited balance sheet of PAA GP LLC as of June 30, 2009);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Tim Moore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314176_113"/>
      <w:bookmarkStart w:id="25" w:name="supprom314176_16"/>
      <w:bookmarkEnd w:id="24"/>
      <w:bookmarkEnd w:id="2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power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and fluctuations in tariffs or volumes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developments and circumstances at the time distributions are declared;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deteriorated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314176_114"/>
      <w:bookmarkStart w:id="27" w:name="supprom314176_17"/>
      <w:bookmarkEnd w:id="26"/>
      <w:bookmarkEnd w:id="27"/>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314176_115"/>
      <w:bookmarkStart w:id="29" w:name="supprom314176_18"/>
      <w:bookmarkEnd w:id="28"/>
      <w:bookmarkEnd w:id="29"/>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314176_116"/>
      <w:bookmarkStart w:id="31" w:name="supprom314176_19"/>
      <w:bookmarkEnd w:id="30"/>
      <w:bookmarkEnd w:id="31"/>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rom314176_117"/>
      <w:bookmarkStart w:id="33" w:name="supprom314176_20"/>
      <w:bookmarkEnd w:id="32"/>
      <w:bookmarkEnd w:id="33"/>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21"/>
        <w:gridCol w:w="222"/>
        <w:gridCol w:w="60"/>
        <w:gridCol w:w="555"/>
        <w:gridCol w:w="120"/>
        <w:gridCol w:w="222"/>
        <w:gridCol w:w="60"/>
        <w:gridCol w:w="487"/>
        <w:gridCol w:w="120"/>
        <w:gridCol w:w="222"/>
        <w:gridCol w:w="60"/>
        <w:gridCol w:w="487"/>
        <w:gridCol w:w="120"/>
        <w:gridCol w:w="221"/>
        <w:gridCol w:w="60"/>
        <w:gridCol w:w="487"/>
        <w:gridCol w:w="120"/>
        <w:gridCol w:w="222"/>
        <w:gridCol w:w="60"/>
        <w:gridCol w:w="487"/>
        <w:gridCol w:w="222"/>
        <w:gridCol w:w="357"/>
        <w:gridCol w:w="60"/>
        <w:gridCol w:w="487"/>
        <w:gridCol w:w="366"/>
      </w:tblGrid>
      <w:tr>
        <w:trPr/>
        <w:tc>
          <w:tcPr>
            <w:tcW w:w="43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r>
      <w:tr>
        <w:trPr/>
        <w:tc>
          <w:tcPr>
            <w:tcW w:w="4321" w:type="dxa"/>
            <w:vMerge w:val="restart"/>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15"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w:t>
            </w:r>
            <w:r>
              <w:rPr/>
              <w:br/>
            </w:r>
            <w:r>
              <w:rPr>
                <w:rFonts w:ascii="Times New Roman" w:hAnsi="Times New Roman"/>
                <w:b/>
                <w:sz w:val="14"/>
              </w:rPr>
              <w:t>Ended</w:t>
            </w:r>
            <w:r>
              <w:rPr/>
              <w:br/>
            </w:r>
            <w:r>
              <w:rPr>
                <w:rFonts w:ascii="Times New Roman" w:hAnsi="Times New Roman"/>
                <w:b/>
                <w:sz w:val="14"/>
              </w:rPr>
              <w:t>June  30,</w:t>
            </w:r>
            <w:r>
              <w:rPr/>
              <w:br/>
            </w:r>
            <w:r>
              <w:rPr>
                <w:rFonts w:ascii="Times New Roman" w:hAnsi="Times New Roman"/>
                <w:b/>
                <w:sz w:val="14"/>
              </w:rPr>
              <w:t>2009</w:t>
            </w:r>
          </w:p>
        </w:tc>
        <w:tc>
          <w:tcPr>
            <w:tcW w:w="120" w:type="dxa"/>
            <w:vMerge w:val="restart"/>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339"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366" w:type="dxa"/>
            <w:tcBorders/>
            <w:shd w:fill="auto" w:val="clear"/>
            <w:vAlign w:val="bottom"/>
          </w:tcPr>
          <w:p>
            <w:pPr>
              <w:pStyle w:val="TableContents"/>
              <w:spacing w:before="0" w:after="283"/>
              <w:rPr/>
            </w:pPr>
            <w:r>
              <w:rPr/>
              <w:t> </w:t>
            </w:r>
          </w:p>
        </w:tc>
      </w:tr>
      <w:tr>
        <w:trPr/>
        <w:tc>
          <w:tcPr>
            <w:tcW w:w="4321" w:type="dxa"/>
            <w:vMerge w:val="continue"/>
            <w:tcBorders/>
            <w:shd w:fill="auto" w:val="clear"/>
            <w:vAlign w:val="bottom"/>
          </w:tcPr>
          <w:p>
            <w:pPr>
              <w:pStyle w:val="Normal"/>
              <w:rPr/>
            </w:pPr>
            <w:r>
              <w:rPr/>
            </w:r>
          </w:p>
        </w:tc>
        <w:tc>
          <w:tcPr>
            <w:tcW w:w="222" w:type="dxa"/>
            <w:tcBorders/>
            <w:shd w:fill="auto" w:val="clear"/>
            <w:vAlign w:val="bottom"/>
          </w:tcPr>
          <w:p>
            <w:pPr>
              <w:pStyle w:val="TableContents"/>
              <w:spacing w:before="0" w:after="283"/>
              <w:rPr/>
            </w:pPr>
            <w:r>
              <w:rPr/>
              <w:t>  </w:t>
            </w:r>
          </w:p>
        </w:tc>
        <w:tc>
          <w:tcPr>
            <w:tcW w:w="615"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22"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366" w:type="dxa"/>
            <w:tcBorders/>
            <w:shd w:fill="auto" w:val="clear"/>
            <w:vAlign w:val="bottom"/>
          </w:tcPr>
          <w:p>
            <w:pPr>
              <w:pStyle w:val="TableContents"/>
              <w:spacing w:before="0" w:after="283"/>
              <w:rPr/>
            </w:pPr>
            <w:r>
              <w:rPr/>
              <w:t> </w:t>
            </w:r>
          </w:p>
        </w:tc>
      </w:tr>
      <w:tr>
        <w:trPr/>
        <w:tc>
          <w:tcPr>
            <w:tcW w:w="4321" w:type="dxa"/>
            <w:tcBorders/>
            <w:shd w:fill="CCEEFF" w:val="clear"/>
          </w:tcPr>
          <w:p>
            <w:pPr>
              <w:pStyle w:val="TableContents"/>
              <w:spacing w:before="0" w:after="283"/>
              <w:rPr/>
            </w:pPr>
            <w:r>
              <w:rPr>
                <w:rFonts w:ascii="Times New Roman" w:hAnsi="Times New Roman"/>
                <w:sz w:val="20"/>
              </w:rPr>
              <w:t>Ratio of Earnings to Fixed Charges</w:t>
            </w:r>
            <w:r>
              <w:rPr>
                <w:rFonts w:ascii="Times New Roman" w:hAnsi="Times New Roman"/>
                <w:sz w:val="14"/>
              </w:rPr>
              <w:t>(1)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3.34x</w:t>
            </w:r>
          </w:p>
        </w:tc>
        <w:tc>
          <w:tcPr>
            <w:tcW w:w="222"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3.37x</w:t>
            </w:r>
          </w:p>
        </w:tc>
        <w:tc>
          <w:tcPr>
            <w:tcW w:w="366" w:type="dxa"/>
            <w:tcBorders/>
            <w:shd w:fill="CCEEFF"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4" w:name="rom314176_118"/>
      <w:bookmarkStart w:id="35" w:name="supprom314176_21"/>
      <w:bookmarkEnd w:id="34"/>
      <w:bookmarkEnd w:id="35"/>
      <w:r>
        <w:rPr>
          <w:rFonts w:ascii="Times New Roman" w:hAnsi="Times New Roman"/>
          <w:b/>
          <w:sz w:val="20"/>
        </w:rPr>
        <w:t xml:space="preserve">DESCRIPTION OF OUR DEBT SECURITIES </w:t>
      </w:r>
    </w:p>
    <w:p>
      <w:pPr>
        <w:pStyle w:val="TextBody"/>
        <w:spacing w:before="18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us, the guarantors and U.S. Bank National Association, as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guarantors of the debt securities,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Guarantees </w:t>
      </w:r>
    </w:p>
    <w:p>
      <w:pPr>
        <w:pStyle w:val="TextBody"/>
        <w:spacing w:before="90" w:after="0"/>
        <w:rPr>
          <w:rFonts w:ascii="Times New Roman" w:hAnsi="Times New Roman"/>
          <w:sz w:val="20"/>
        </w:rPr>
      </w:pPr>
      <w:r>
        <w:rPr>
          <w:rFonts w:ascii="Times New Roman" w:hAnsi="Times New Roman"/>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Events of Default and Remedies below) may exist.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the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8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i/>
          <w:sz w:val="20"/>
        </w:rPr>
      </w:pPr>
      <w:r>
        <w:rPr>
          <w:rFonts w:ascii="Times New Roman" w:hAnsi="Times New Roman"/>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i/>
          <w:sz w:val="20"/>
        </w:rPr>
      </w:pPr>
      <w:r>
        <w:rPr>
          <w:rFonts w:ascii="Times New Roman" w:hAnsi="Times New Roman"/>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i/>
          <w:sz w:val="20"/>
        </w:rPr>
      </w:pPr>
      <w:r>
        <w:rPr>
          <w:rFonts w:ascii="Times New Roman" w:hAnsi="Times New Roman"/>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180" w:after="0"/>
        <w:rPr>
          <w:rFonts w:ascii="Times New Roman" w:hAnsi="Times New Roman"/>
          <w:sz w:val="20"/>
        </w:rPr>
      </w:pPr>
      <w:r>
        <w:rPr>
          <w:rFonts w:ascii="Times New Roman" w:hAnsi="Times New Roman"/>
          <w:sz w:val="20"/>
        </w:rPr>
        <w:t xml:space="preserve">(a) either: </w:t>
      </w:r>
    </w:p>
    <w:p>
      <w:pPr>
        <w:pStyle w:val="TextBody"/>
        <w:spacing w:before="9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9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9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9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i/>
          <w:sz w:val="20"/>
        </w:rPr>
      </w:pPr>
      <w:r>
        <w:rPr>
          <w:rFonts w:ascii="Times New Roman" w:hAnsi="Times New Roman"/>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70" w:after="0"/>
        <w:rPr>
          <w:rFonts w:ascii="Times New Roman" w:hAnsi="Times New Roman"/>
          <w:i/>
          <w:sz w:val="20"/>
        </w:rPr>
      </w:pPr>
      <w:r>
        <w:rPr>
          <w:rFonts w:ascii="Times New Roman" w:hAnsi="Times New Roman"/>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6" w:name="rom314176_119"/>
      <w:bookmarkStart w:id="37" w:name="supprom314176_22"/>
      <w:bookmarkEnd w:id="36"/>
      <w:bookmarkEnd w:id="37"/>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8" w:name="rom314176_120"/>
      <w:bookmarkStart w:id="39" w:name="supprom314176_23"/>
      <w:bookmarkEnd w:id="38"/>
      <w:bookmarkEnd w:id="39"/>
      <w:r>
        <w:rPr>
          <w:rFonts w:ascii="Times New Roman" w:hAnsi="Times New Roman"/>
          <w:b/>
          <w:sz w:val="20"/>
        </w:rPr>
        <w:t xml:space="preserve">CASH DISTRIBUTION POLICY </w:t>
      </w:r>
    </w:p>
    <w:p>
      <w:pPr>
        <w:pStyle w:val="TextBody"/>
        <w:spacing w:before="18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7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 </w:t>
      </w:r>
    </w:p>
    <w:p>
      <w:pPr>
        <w:pStyle w:val="TextBody"/>
        <w:spacing w:before="180" w:after="0"/>
        <w:rPr>
          <w:rFonts w:ascii="Times New Roman" w:hAnsi="Times New Roman"/>
          <w:sz w:val="20"/>
        </w:rPr>
      </w:pPr>
      <w:r>
        <w:rPr>
          <w:rFonts w:ascii="Times New Roman" w:hAnsi="Times New Roman"/>
          <w:sz w:val="20"/>
        </w:rPr>
        <w:t xml:space="preserve">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18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0" w:name="rom314176_121"/>
      <w:bookmarkStart w:id="41" w:name="supprom314176_24"/>
      <w:bookmarkEnd w:id="40"/>
      <w:bookmarkEnd w:id="41"/>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their percentage interests in us that existed immediately prior to the issuance. The holders of common units will not have preemptive rights to acquire additional common units or other partnership interests in us. </w:t>
      </w:r>
    </w:p>
    <w:p>
      <w:pPr>
        <w:pStyle w:val="TextBody"/>
        <w:spacing w:before="27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7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2" w:name="rom314176_122"/>
      <w:bookmarkStart w:id="43" w:name="supprom314176_25"/>
      <w:bookmarkEnd w:id="42"/>
      <w:bookmarkEnd w:id="43"/>
      <w:r>
        <w:rPr>
          <w:rFonts w:ascii="Times New Roman" w:hAnsi="Times New Roman"/>
          <w:b/>
          <w:sz w:val="20"/>
        </w:rPr>
        <w:t xml:space="preserve">MATERIAL INCOME TAX CONSIDERATIONS </w:t>
      </w:r>
    </w:p>
    <w:p>
      <w:pPr>
        <w:pStyle w:val="TextBody"/>
        <w:spacing w:before="180" w:after="0"/>
        <w:rPr>
          <w:rFonts w:ascii="Times New Roman" w:hAnsi="Times New Roman"/>
          <w:sz w:val="20"/>
        </w:rPr>
      </w:pPr>
      <w:r>
        <w:rPr>
          <w:rFonts w:ascii="Times New Roman" w:hAnsi="Times New Roman"/>
          <w:sz w:val="20"/>
        </w:rPr>
        <w:t xml:space="preserve">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 </w:t>
      </w:r>
    </w:p>
    <w:p>
      <w:pPr>
        <w:pStyle w:val="TextBody"/>
        <w:spacing w:before="180" w:after="0"/>
        <w:rPr>
          <w:rFonts w:ascii="Times New Roman" w:hAnsi="Times New Roman"/>
          <w:sz w:val="20"/>
        </w:rPr>
      </w:pPr>
      <w:r>
        <w:rPr>
          <w:rFonts w:ascii="Times New Roman" w:hAnsi="Times New Roman"/>
          <w:sz w:val="20"/>
        </w:rPr>
        <w:t xml:space="preserve">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 </w:t>
      </w:r>
    </w:p>
    <w:p>
      <w:pPr>
        <w:pStyle w:val="TextBody"/>
        <w:spacing w:before="180" w:after="0"/>
        <w:rPr>
          <w:rFonts w:ascii="Times New Roman" w:hAnsi="Times New Roman"/>
          <w:sz w:val="20"/>
        </w:rPr>
      </w:pPr>
      <w:r>
        <w:rPr>
          <w:rFonts w:ascii="Times New Roman" w:hAnsi="Times New Roman"/>
          <w:sz w:val="20"/>
        </w:rPr>
        <w:t xml:space="preserve">All statements as to matters of law and legal conclusions, but not as to factual matters, contained in this section, unless otherwise noted, are the opinion of Vinson &amp; Elkins L.L.P. and are based on the accuracy of the representations made by us. </w:t>
      </w:r>
    </w:p>
    <w:p>
      <w:pPr>
        <w:pStyle w:val="TextBody"/>
        <w:spacing w:before="180" w:after="0"/>
        <w:rPr>
          <w:rFonts w:ascii="Times New Roman" w:hAnsi="Times New Roman"/>
          <w:sz w:val="20"/>
        </w:rPr>
      </w:pPr>
      <w:r>
        <w:rPr>
          <w:rFonts w:ascii="Times New Roman" w:hAnsi="Times New Roman"/>
          <w:sz w:val="20"/>
        </w:rPr>
        <w:t xml:space="preserve">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specific federal income tax issues: (1) the treatment of a unitholder whose common units are loaned to a short seller to cover a short sale of common units (please see Tax Consequences of Unit OwnershipTreatment of Short Sales); (2) whether our monthly convention for allocating taxable income and losses is permitted by existing Treasury Regulations (please see Disposition of Common UnitsAllocations Between Transferors and Transferees); and (3) whether our method for depreciating Section 743 adjustments is sustainable in certain cases (please see Tax Consequences of Unit OwnershipSection 754 Election). </w:t>
      </w:r>
    </w:p>
    <w:p>
      <w:pPr>
        <w:pStyle w:val="TextBody"/>
        <w:spacing w:before="270" w:after="0"/>
        <w:rPr>
          <w:rFonts w:ascii="Times New Roman" w:hAnsi="Times New Roman"/>
          <w:b/>
          <w:sz w:val="20"/>
        </w:rPr>
      </w:pPr>
      <w:r>
        <w:rPr>
          <w:rFonts w:ascii="Times New Roman" w:hAnsi="Times New Roman"/>
          <w:b/>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 </w:t>
      </w:r>
    </w:p>
    <w:p>
      <w:pPr>
        <w:pStyle w:val="TextBody"/>
        <w:spacing w:before="180" w:after="0"/>
        <w:rPr>
          <w:rFonts w:ascii="Times New Roman" w:hAnsi="Times New Roman"/>
          <w:sz w:val="20"/>
        </w:rPr>
      </w:pPr>
      <w:r>
        <w:rPr>
          <w:rFonts w:ascii="Times New Roman" w:hAnsi="Times New Roman"/>
          <w:sz w:val="20"/>
        </w:rPr>
        <w:t xml:space="preserve">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 </w:t>
      </w:r>
    </w:p>
    <w:p>
      <w:pPr>
        <w:pStyle w:val="TextBody"/>
        <w:spacing w:before="180" w:after="0"/>
        <w:rPr>
          <w:rFonts w:ascii="Times New Roman" w:hAnsi="Times New Roman"/>
          <w:sz w:val="20"/>
        </w:rPr>
      </w:pPr>
      <w:r>
        <w:rPr>
          <w:rFonts w:ascii="Times New Roman" w:hAnsi="Times New Roman"/>
          <w:sz w:val="20"/>
        </w:rPr>
        <w:t xml:space="preserve">In rendering its opinion, Vinson &amp; Elkins L.L.P. has relied on factual representations made by us and our general partner. The representations made by us and our general partner upon which Vinson &amp; Elkins L.L.P. has relied 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Neither we nor the operating partnerships have elected or will elect to be treated as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each taxable year, more than 90% of our gross income has been and will be income that Vinson &amp; Elkins L.L.P. has opined or will opine is qualifying income within the meaning of Section 7704(d) of the Internal Revenue Code;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tc>
      </w:tr>
    </w:tbl>
    <w:p>
      <w:pPr>
        <w:pStyle w:val="TextBody"/>
        <w:spacing w:before="180" w:after="0"/>
        <w:rPr>
          <w:rFonts w:ascii="Times New Roman" w:hAnsi="Times New Roman"/>
          <w:sz w:val="20"/>
        </w:rPr>
      </w:pPr>
      <w:r>
        <w:rPr>
          <w:rFonts w:ascii="Times New Roman" w:hAnsi="Times New Roman"/>
          <w:sz w:val="20"/>
        </w:rPr>
        <w:t xml:space="preserve">We believe that these representations have been true in the past and expect that these representations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we were treated as an association taxable as a corporation in any taxable year, either as a result of a failure to meet the Qualifying Income Exception or otherwise, our items of income, gain, loss and deduction would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spacing w:before="180" w:after="0"/>
        <w:rPr>
          <w:rFonts w:ascii="Times New Roman" w:hAnsi="Times New Roman"/>
          <w:sz w:val="20"/>
        </w:rPr>
      </w:pPr>
      <w:r>
        <w:rPr>
          <w:rFonts w:ascii="Times New Roman" w:hAnsi="Times New Roman"/>
          <w:sz w:val="20"/>
        </w:rPr>
        <w:t xml:space="preserve">The discussion below is based on Vinson &amp; Elkins L.L.P.s opinion that we will be classified as a partnership for federal income tax purposes. </w:t>
      </w:r>
    </w:p>
    <w:p>
      <w:pPr>
        <w:pStyle w:val="TextBody"/>
        <w:spacing w:before="270" w:after="0"/>
        <w:rPr>
          <w:rFonts w:ascii="Times New Roman" w:hAnsi="Times New Roman"/>
          <w:b/>
          <w:sz w:val="20"/>
        </w:rPr>
      </w:pPr>
      <w:r>
        <w:rPr>
          <w:rFonts w:ascii="Times New Roman" w:hAnsi="Times New Roman"/>
          <w:b/>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have become limited partners of Plains All American Pipeline, L.P. will be treated as partners of Plains All American Pipeline, L.P.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A beneficial owner of common units whose units have been transferred to a short seller to complete a short sale would appear to lose his status as a partner with respect to those units for federal income tax purposes. Please see Tax Consequences of Unit OwnershipTreatment of Short Sales. </w:t>
      </w:r>
    </w:p>
    <w:p>
      <w:pPr>
        <w:pStyle w:val="TextBody"/>
        <w:spacing w:before="180" w:after="0"/>
        <w:rPr>
          <w:rFonts w:ascii="Times New Roman" w:hAnsi="Times New Roman"/>
          <w:sz w:val="20"/>
        </w:rPr>
      </w:pPr>
      <w:r>
        <w:rPr>
          <w:rFonts w:ascii="Times New Roman" w:hAnsi="Times New Roman"/>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 </w:t>
      </w:r>
    </w:p>
    <w:p>
      <w:pPr>
        <w:pStyle w:val="TextBody"/>
        <w:spacing w:before="180" w:after="0"/>
        <w:rPr>
          <w:rFonts w:ascii="Times New Roman" w:hAnsi="Times New Roman"/>
          <w:sz w:val="20"/>
        </w:rPr>
      </w:pPr>
      <w:r>
        <w:rPr>
          <w:rFonts w:ascii="Times New Roman" w:hAnsi="Times New Roman"/>
          <w:sz w:val="20"/>
        </w:rPr>
        <w:t xml:space="preserve">The references to unitholders in the discussion that follows are to persons who are treated as partners in Plains All American Pipeline, L.P. for federal income tax purposes. </w:t>
      </w:r>
    </w:p>
    <w:p>
      <w:pPr>
        <w:pStyle w:val="TextBody"/>
        <w:spacing w:before="270" w:after="0"/>
        <w:rPr>
          <w:rFonts w:ascii="Times New Roman" w:hAnsi="Times New Roman"/>
          <w:b/>
          <w:sz w:val="20"/>
        </w:rPr>
      </w:pPr>
      <w:r>
        <w:rPr>
          <w:rFonts w:ascii="Times New Roman" w:hAnsi="Times New Roman"/>
          <w:b/>
          <w:sz w:val="20"/>
        </w:rPr>
        <w:t xml:space="preserve">Tax Consequences of Unit Ownership </w:t>
      </w:r>
    </w:p>
    <w:p>
      <w:pPr>
        <w:pStyle w:val="TextBody"/>
        <w:spacing w:before="90" w:after="0"/>
        <w:rPr>
          <w:rFonts w:ascii="Times New Roman" w:hAnsi="Times New Roman"/>
          <w:sz w:val="20"/>
        </w:rPr>
      </w:pPr>
      <w:r>
        <w:rPr>
          <w:rFonts w:ascii="Times New Roman" w:hAnsi="Times New Roman"/>
          <w:i/>
          <w:sz w:val="20"/>
        </w:rPr>
        <w:t>Flow-Through of Taxable Income.</w:t>
      </w:r>
      <w:r>
        <w:rPr>
          <w:rFonts w:ascii="Times New Roman" w:hAnsi="Times New Roman"/>
          <w:sz w:val="20"/>
        </w:rPr>
        <w:t xml:space="preserve"> We will not pay any federal income tax. Instead, each unitholder will be required to report on his 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Treatment of Distributions.</w:t>
      </w:r>
      <w:r>
        <w:rPr>
          <w:rFonts w:ascii="Times New Roman" w:hAnsi="Times New Roman"/>
          <w:sz w:val="20"/>
        </w:rPr>
        <w:t xml:space="preserve"> Distributions by us to a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Limitations on Deductibility of Losses. </w:t>
      </w:r>
    </w:p>
    <w:p>
      <w:pPr>
        <w:pStyle w:val="TextBody"/>
        <w:spacing w:before="180" w:after="0"/>
        <w:rPr>
          <w:rFonts w:ascii="Times New Roman" w:hAnsi="Times New Roman"/>
          <w:sz w:val="20"/>
        </w:rPr>
      </w:pPr>
      <w:r>
        <w:rPr>
          <w:rFonts w:ascii="Times New Roman" w:hAnsi="Times New Roman"/>
          <w:sz w:val="20"/>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 </w:t>
      </w:r>
    </w:p>
    <w:p>
      <w:pPr>
        <w:pStyle w:val="TextBody"/>
        <w:spacing w:before="180" w:after="0"/>
        <w:rPr>
          <w:rFonts w:ascii="Times New Roman" w:hAnsi="Times New Roman"/>
          <w:sz w:val="20"/>
        </w:rPr>
      </w:pPr>
      <w:r>
        <w:rPr>
          <w:rFonts w:ascii="Times New Roman" w:hAnsi="Times New Roman"/>
          <w:i/>
          <w:sz w:val="20"/>
        </w:rPr>
        <w:t>Basis of Common Units.</w:t>
      </w:r>
      <w:r>
        <w:rPr>
          <w:rFonts w:ascii="Times New Roman" w:hAnsi="Times New Roman"/>
          <w:sz w:val="20"/>
        </w:rPr>
        <w:t xml:space="preserve"> A unitholders initial tax basis for his common units will be the amount he paid for our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Disposition of Common UnitsRecognition of Gain or Loss. </w:t>
      </w:r>
    </w:p>
    <w:p>
      <w:pPr>
        <w:pStyle w:val="TextBody"/>
        <w:spacing w:before="180" w:after="0"/>
        <w:rPr>
          <w:rFonts w:ascii="Times New Roman" w:hAnsi="Times New Roman"/>
          <w:sz w:val="20"/>
        </w:rPr>
      </w:pPr>
      <w:r>
        <w:rPr>
          <w:rFonts w:ascii="Times New Roman" w:hAnsi="Times New Roman"/>
          <w:i/>
          <w:sz w:val="20"/>
        </w:rPr>
        <w:t>Limitations on Deductibility of Losses.</w:t>
      </w:r>
      <w:r>
        <w:rPr>
          <w:rFonts w:ascii="Times New Roman" w:hAnsi="Times New Roman"/>
          <w:sz w:val="20"/>
        </w:rPr>
        <w:t xml:space="preserve"> 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spacing w:before="180" w:after="0"/>
        <w:rPr>
          <w:rFonts w:ascii="Times New Roman" w:hAnsi="Times New Roman"/>
          <w:sz w:val="20"/>
        </w:rPr>
      </w:pPr>
      <w:r>
        <w:rPr>
          <w:rFonts w:ascii="Times New Roman" w:hAnsi="Times New Roman"/>
          <w:sz w:val="20"/>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w:t>
      </w:r>
    </w:p>
    <w:p>
      <w:pPr>
        <w:pStyle w:val="TextBody"/>
        <w:spacing w:before="180" w:after="0"/>
        <w:rPr>
          <w:rFonts w:ascii="Times New Roman" w:hAnsi="Times New Roman"/>
          <w:sz w:val="20"/>
        </w:rPr>
      </w:pPr>
      <w:r>
        <w:rPr>
          <w:rFonts w:ascii="Times New Roman" w:hAnsi="Times New Roman"/>
          <w:sz w:val="20"/>
        </w:rPr>
        <w:t xml:space="preserve">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spacing w:before="180" w:after="0"/>
        <w:rPr>
          <w:rFonts w:ascii="Times New Roman" w:hAnsi="Times New Roman"/>
          <w:sz w:val="20"/>
        </w:rPr>
      </w:pPr>
      <w:r>
        <w:rPr>
          <w:rFonts w:ascii="Times New Roman" w:hAnsi="Times New Roman"/>
          <w:i/>
          <w:sz w:val="20"/>
        </w:rPr>
        <w:t>Limitations on Interest Deductions.</w:t>
      </w:r>
      <w:r>
        <w:rPr>
          <w:rFonts w:ascii="Times New Roman" w:hAnsi="Times New Roman"/>
          <w:sz w:val="20"/>
        </w:rPr>
        <w:t xml:space="preserve"> The deductibility of a non-corporate taxpayers investment interest expense is generally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properly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interest expense attributed to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attributable to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spacing w:before="180" w:after="0"/>
        <w:rPr>
          <w:rFonts w:ascii="Times New Roman" w:hAnsi="Times New Roman"/>
          <w:sz w:val="20"/>
        </w:rPr>
      </w:pPr>
      <w:r>
        <w:rPr>
          <w:rFonts w:ascii="Times New Roman" w:hAnsi="Times New Roman"/>
          <w:i/>
          <w:sz w:val="20"/>
        </w:rPr>
        <w:t>Entity-Level Collections.</w:t>
      </w:r>
      <w:r>
        <w:rPr>
          <w:rFonts w:ascii="Times New Roman" w:hAnsi="Times New Roman"/>
          <w:sz w:val="20"/>
        </w:rPr>
        <w:t xml:space="preserve"> 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80" w:after="0"/>
        <w:rPr>
          <w:rFonts w:ascii="Times New Roman" w:hAnsi="Times New Roman"/>
          <w:sz w:val="20"/>
        </w:rPr>
      </w:pPr>
      <w:r>
        <w:rPr>
          <w:rFonts w:ascii="Times New Roman" w:hAnsi="Times New Roman"/>
          <w:i/>
          <w:sz w:val="20"/>
        </w:rPr>
        <w:t>Allocation of Income, Gain, Loss and Deduction.</w:t>
      </w:r>
      <w:r>
        <w:rPr>
          <w:rFonts w:ascii="Times New Roman" w:hAnsi="Times New Roman"/>
          <w:sz w:val="20"/>
        </w:rPr>
        <w:t xml:space="preserve"> In general, if we have a net profit, our items of income, gain, loss and deduction 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 </w:t>
      </w:r>
    </w:p>
    <w:p>
      <w:pPr>
        <w:pStyle w:val="TextBody"/>
        <w:spacing w:before="180" w:after="0"/>
        <w:rPr>
          <w:rFonts w:ascii="Times New Roman" w:hAnsi="Times New Roman"/>
          <w:sz w:val="20"/>
        </w:rPr>
      </w:pPr>
      <w:r>
        <w:rPr>
          <w:rFonts w:ascii="Times New Roman" w:hAnsi="Times New Roman"/>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his relative contributions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interests of all the partners in profits and losses;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of all the partners in cash flow;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rights of all the partners to distributions of capital upon liquidation. </w:t>
            </w:r>
          </w:p>
        </w:tc>
      </w:tr>
    </w:tbl>
    <w:p>
      <w:pPr>
        <w:pStyle w:val="TextBody"/>
        <w:spacing w:before="180" w:after="0"/>
        <w:rPr>
          <w:rFonts w:ascii="Times New Roman" w:hAnsi="Times New Roman"/>
          <w:sz w:val="20"/>
        </w:rPr>
      </w:pPr>
      <w:r>
        <w:rPr>
          <w:rFonts w:ascii="Times New Roman" w:hAnsi="Times New Roman"/>
          <w:sz w:val="20"/>
        </w:rPr>
        <w:t xml:space="preserve">Vinson &amp; Elkins L.L.P. is of the opinion that, with the exception of the issues described in Section 754 Election and Disposition of Common UnitsAllocations Between Transferors and Transferees, allocations under our partnership agreement will be given effect for federal income tax purposes in determining a partners share of an item of income, gain, loss or deduction. </w:t>
      </w:r>
    </w:p>
    <w:p>
      <w:pPr>
        <w:pStyle w:val="TextBody"/>
        <w:spacing w:before="180" w:after="0"/>
        <w:rPr>
          <w:rFonts w:ascii="Times New Roman" w:hAnsi="Times New Roman"/>
          <w:sz w:val="20"/>
        </w:rPr>
      </w:pPr>
      <w:r>
        <w:rPr>
          <w:rFonts w:ascii="Times New Roman" w:hAnsi="Times New Roman"/>
          <w:i/>
          <w:sz w:val="20"/>
        </w:rPr>
        <w:t>Treatment of Short Sales.</w:t>
      </w:r>
      <w:r>
        <w:rPr>
          <w:rFonts w:ascii="Times New Roman" w:hAnsi="Times New Roman"/>
          <w:sz w:val="20"/>
        </w:rPr>
        <w:t xml:space="preserve"> 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of our income, gain, loss or deduction with respect to those units would not be reportable by the unitholder;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cash distributions received by the unitholder as to those units would be fully taxable;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these distributions would appear to be ordinary income. </w:t>
            </w:r>
          </w:p>
        </w:tc>
      </w:tr>
    </w:tbl>
    <w:p>
      <w:pPr>
        <w:pStyle w:val="TextBody"/>
        <w:spacing w:before="180" w:after="0"/>
        <w:rPr>
          <w:rFonts w:ascii="Times New Roman" w:hAnsi="Times New Roman"/>
          <w:sz w:val="20"/>
        </w:rPr>
      </w:pPr>
      <w:r>
        <w:rPr>
          <w:rFonts w:ascii="Times New Roman" w:hAnsi="Times New Roman"/>
          <w:sz w:val="20"/>
        </w:rPr>
        <w:t xml:space="preserve">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announced that it is actively studying issues relating to the tax treatment of short sales of partnership interests. Please also read Disposition of Common UnitsRecognition of Gain or Loss. </w:t>
      </w:r>
    </w:p>
    <w:p>
      <w:pPr>
        <w:pStyle w:val="TextBody"/>
        <w:spacing w:before="180" w:after="0"/>
        <w:rPr>
          <w:rFonts w:ascii="Times New Roman" w:hAnsi="Times New Roman"/>
          <w:sz w:val="20"/>
        </w:rPr>
      </w:pPr>
      <w:r>
        <w:rPr>
          <w:rFonts w:ascii="Times New Roman" w:hAnsi="Times New Roman"/>
          <w:i/>
          <w:sz w:val="20"/>
        </w:rPr>
        <w:t>Alternative Minimum Tax.</w:t>
      </w:r>
      <w:r>
        <w:rPr>
          <w:rFonts w:ascii="Times New Roman" w:hAnsi="Times New Roman"/>
          <w:sz w:val="20"/>
        </w:rPr>
        <w:t xml:space="preserve">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 </w:t>
      </w:r>
    </w:p>
    <w:p>
      <w:pPr>
        <w:pStyle w:val="TextBody"/>
        <w:spacing w:before="180" w:after="0"/>
        <w:rPr>
          <w:rFonts w:ascii="Times New Roman" w:hAnsi="Times New Roman"/>
          <w:sz w:val="20"/>
        </w:rPr>
      </w:pPr>
      <w:r>
        <w:rPr>
          <w:rFonts w:ascii="Times New Roman" w:hAnsi="Times New Roman"/>
          <w:i/>
          <w:sz w:val="20"/>
        </w:rPr>
        <w:t>Tax Rates.</w:t>
      </w:r>
      <w:r>
        <w:rPr>
          <w:rFonts w:ascii="Times New Roman" w:hAnsi="Times New Roman"/>
          <w:sz w:val="20"/>
        </w:rPr>
        <w:t xml:space="preserve"> Under current law, the highest marginal U.S. federal income tax rate applicable to ordinary income of individuals is 35% 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80" w:after="0"/>
        <w:rPr>
          <w:rFonts w:ascii="Times New Roman" w:hAnsi="Times New Roman"/>
          <w:sz w:val="20"/>
        </w:rPr>
      </w:pPr>
      <w:r>
        <w:rPr>
          <w:rFonts w:ascii="Times New Roman" w:hAnsi="Times New Roman"/>
          <w:i/>
          <w:sz w:val="20"/>
        </w:rPr>
        <w:t>Section 754 Election.</w:t>
      </w:r>
      <w:r>
        <w:rPr>
          <w:rFonts w:ascii="Times New Roman" w:hAnsi="Times New Roman"/>
          <w:sz w:val="20"/>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 </w:t>
      </w:r>
    </w:p>
    <w:p>
      <w:pPr>
        <w:pStyle w:val="TextBody"/>
        <w:spacing w:before="180" w:after="0"/>
        <w:rPr>
          <w:rFonts w:ascii="Times New Roman" w:hAnsi="Times New Roman"/>
          <w:sz w:val="20"/>
        </w:rPr>
      </w:pPr>
      <w:r>
        <w:rPr>
          <w:rFonts w:ascii="Times New Roman" w:hAnsi="Times New Roman"/>
          <w:sz w:val="20"/>
        </w:rPr>
        <w:t xml:space="preserve">Where the remedial allocation method is adopted (which we have generally adopted as to all of our properties), the Treasury Regulations under Section 743 of the Internal Revenue Code require a portion of the Section 743(b) adjustment that is attributable to recovery property subject to depreciation under Section 168 of the Internal Revenue Code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Uniformity of Units. </w:t>
      </w:r>
    </w:p>
    <w:p>
      <w:pPr>
        <w:pStyle w:val="TextBody"/>
        <w:spacing w:before="180" w:after="0"/>
        <w:rPr>
          <w:rFonts w:ascii="Times New Roman" w:hAnsi="Times New Roman"/>
          <w:sz w:val="20"/>
        </w:rPr>
      </w:pPr>
      <w:r>
        <w:rPr>
          <w:rFonts w:ascii="Times New Roman" w:hAnsi="Times New Roman"/>
          <w:sz w:val="20"/>
        </w:rPr>
        <w:t xml:space="preserve">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Disposition of Common UnitsRecognition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70" w:after="0"/>
        <w:rPr>
          <w:rFonts w:ascii="Times New Roman" w:hAnsi="Times New Roman"/>
          <w:b/>
          <w:sz w:val="20"/>
        </w:rPr>
      </w:pPr>
      <w:r>
        <w:rPr>
          <w:rFonts w:ascii="Times New Roman" w:hAnsi="Times New Roman"/>
          <w:b/>
          <w:sz w:val="20"/>
        </w:rPr>
        <w:t xml:space="preserve">Tax Treatment of Operations </w:t>
      </w:r>
    </w:p>
    <w:p>
      <w:pPr>
        <w:pStyle w:val="TextBody"/>
        <w:spacing w:before="90" w:after="0"/>
        <w:rPr>
          <w:rFonts w:ascii="Times New Roman" w:hAnsi="Times New Roman"/>
          <w:sz w:val="20"/>
        </w:rPr>
      </w:pPr>
      <w:r>
        <w:rPr>
          <w:rFonts w:ascii="Times New Roman" w:hAnsi="Times New Roman"/>
          <w:i/>
          <w:sz w:val="20"/>
        </w:rPr>
        <w:t>Accounting Method and Taxable Year.</w:t>
      </w:r>
      <w:r>
        <w:rPr>
          <w:rFonts w:ascii="Times New Roman" w:hAnsi="Times New Roman"/>
          <w:sz w:val="20"/>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Disposition of Common UnitsAllocations Between Transferors and Transferees. </w:t>
      </w:r>
    </w:p>
    <w:p>
      <w:pPr>
        <w:pStyle w:val="TextBody"/>
        <w:spacing w:before="180" w:after="0"/>
        <w:rPr>
          <w:rFonts w:ascii="Times New Roman" w:hAnsi="Times New Roman"/>
          <w:sz w:val="20"/>
        </w:rPr>
      </w:pPr>
      <w:r>
        <w:rPr>
          <w:rFonts w:ascii="Times New Roman" w:hAnsi="Times New Roman"/>
          <w:i/>
          <w:sz w:val="20"/>
        </w:rPr>
        <w:t>Initial Tax Basis, Depreciation and Amortization.</w:t>
      </w:r>
      <w:r>
        <w:rPr>
          <w:rFonts w:ascii="Times New Roman" w:hAnsi="Times New Roman"/>
          <w:sz w:val="20"/>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Tax Consequences of Unit OwnershipAllocation of Income, Gain, Loss and Deduction.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Tax Consequences of Unit OwnershipAllocation of Income, Gain, Loss and Deduction and Disposition of Common UnitsRecognition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80" w:after="0"/>
        <w:rPr>
          <w:rFonts w:ascii="Times New Roman" w:hAnsi="Times New Roman"/>
          <w:sz w:val="20"/>
        </w:rPr>
      </w:pPr>
      <w:r>
        <w:rPr>
          <w:rFonts w:ascii="Times New Roman" w:hAnsi="Times New Roman"/>
          <w:i/>
          <w:sz w:val="20"/>
        </w:rPr>
        <w:t>Valuation and Tax Basis of Our Properties.</w:t>
      </w:r>
      <w:r>
        <w:rPr>
          <w:rFonts w:ascii="Times New Roman" w:hAnsi="Times New Roman"/>
          <w:sz w:val="20"/>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spacing w:before="270" w:after="0"/>
        <w:rPr>
          <w:rFonts w:ascii="Times New Roman" w:hAnsi="Times New Roman"/>
          <w:b/>
          <w:sz w:val="20"/>
        </w:rPr>
      </w:pPr>
      <w:r>
        <w:rPr>
          <w:rFonts w:ascii="Times New Roman" w:hAnsi="Times New Roman"/>
          <w:b/>
          <w:sz w:val="20"/>
        </w:rPr>
        <w:t xml:space="preserve">Disposition of Common Units </w:t>
      </w:r>
    </w:p>
    <w:p>
      <w:pPr>
        <w:pStyle w:val="TextBody"/>
        <w:spacing w:before="90" w:after="0"/>
        <w:rPr>
          <w:rFonts w:ascii="Times New Roman" w:hAnsi="Times New Roman"/>
          <w:sz w:val="20"/>
        </w:rPr>
      </w:pPr>
      <w:r>
        <w:rPr>
          <w:rFonts w:ascii="Times New Roman" w:hAnsi="Times New Roman"/>
          <w:i/>
          <w:sz w:val="20"/>
        </w:rPr>
        <w:t>Recognition of Gain or Loss.</w:t>
      </w:r>
      <w:r>
        <w:rPr>
          <w:rFonts w:ascii="Times New Roman" w:hAnsi="Times New Roman"/>
          <w:sz w:val="20"/>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80" w:after="0"/>
        <w:rPr>
          <w:rFonts w:ascii="Times New Roman" w:hAnsi="Times New Roman"/>
          <w:sz w:val="20"/>
        </w:rPr>
      </w:pPr>
      <w:r>
        <w:rPr>
          <w:rFonts w:ascii="Times New Roman" w:hAnsi="Times New Roman"/>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spacing w:before="180" w:after="0"/>
        <w:rPr>
          <w:rFonts w:ascii="Times New Roman" w:hAnsi="Times New Roman"/>
          <w:sz w:val="20"/>
        </w:rPr>
      </w:pPr>
      <w:r>
        <w:rPr>
          <w:rFonts w:ascii="Times New Roman" w:hAnsi="Times New Roman"/>
          <w:sz w:val="20"/>
        </w:rPr>
        <w:t xml:space="preserve">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80" w:after="0"/>
        <w:rPr>
          <w:rFonts w:ascii="Times New Roman" w:hAnsi="Times New Roman"/>
          <w:sz w:val="20"/>
        </w:rPr>
      </w:pPr>
      <w:r>
        <w:rPr>
          <w:rFonts w:ascii="Times New Roman" w:hAnsi="Times New Roman"/>
          <w:i/>
          <w:sz w:val="20"/>
        </w:rPr>
        <w:t>Allocations Between Transferors and Transferees.</w:t>
      </w:r>
      <w:r>
        <w:rPr>
          <w:rFonts w:ascii="Times New Roman" w:hAnsi="Times New Roman"/>
          <w:sz w:val="20"/>
        </w:rPr>
        <w:t xml:space="preserve"> In general, our taxable income and losses will be determined annually, will be 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80" w:after="0"/>
        <w:rPr>
          <w:rFonts w:ascii="Times New Roman" w:hAnsi="Times New Roman"/>
          <w:sz w:val="20"/>
        </w:rPr>
      </w:pPr>
      <w:r>
        <w:rPr>
          <w:rFonts w:ascii="Times New Roman" w:hAnsi="Times New Roman"/>
          <w:sz w:val="20"/>
        </w:rPr>
        <w:t xml:space="preserve">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spacing w:before="180" w:after="0"/>
        <w:rPr>
          <w:rFonts w:ascii="Times New Roman" w:hAnsi="Times New Roman"/>
          <w:sz w:val="20"/>
        </w:rPr>
      </w:pPr>
      <w:r>
        <w:rPr>
          <w:rFonts w:ascii="Times New Roman" w:hAnsi="Times New Roman"/>
          <w:i/>
          <w:sz w:val="20"/>
        </w:rPr>
        <w:t>Notification Requirements.</w:t>
      </w:r>
      <w:r>
        <w:rPr>
          <w:rFonts w:ascii="Times New Roman" w:hAnsi="Times New Roman"/>
          <w:sz w:val="20"/>
        </w:rPr>
        <w:t xml:space="preserve"> 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spacing w:before="180" w:after="0"/>
        <w:rPr>
          <w:rFonts w:ascii="Times New Roman" w:hAnsi="Times New Roman"/>
          <w:sz w:val="20"/>
        </w:rPr>
      </w:pPr>
      <w:r>
        <w:rPr>
          <w:rFonts w:ascii="Times New Roman" w:hAnsi="Times New Roman"/>
          <w:i/>
          <w:sz w:val="20"/>
        </w:rPr>
        <w:t>Constructive Termination.</w:t>
      </w:r>
      <w:r>
        <w:rPr>
          <w:rFonts w:ascii="Times New Roman" w:hAnsi="Times New Roman"/>
          <w:sz w:val="20"/>
        </w:rPr>
        <w:t xml:space="preserve"> 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 </w:t>
      </w:r>
    </w:p>
    <w:p>
      <w:pPr>
        <w:pStyle w:val="TextBody"/>
        <w:spacing w:before="270" w:after="0"/>
        <w:rPr>
          <w:rFonts w:ascii="Times New Roman" w:hAnsi="Times New Roman"/>
          <w:b/>
          <w:sz w:val="20"/>
        </w:rPr>
      </w:pPr>
      <w:r>
        <w:rPr>
          <w:rFonts w:ascii="Times New Roman" w:hAnsi="Times New Roman"/>
          <w:b/>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Tax Consequences of Unit OwnershipSection 754 Election. </w:t>
      </w:r>
    </w:p>
    <w:p>
      <w:pPr>
        <w:pStyle w:val="TextBody"/>
        <w:spacing w:before="180" w:after="0"/>
        <w:rPr>
          <w:rFonts w:ascii="Times New Roman" w:hAnsi="Times New Roman"/>
          <w:sz w:val="20"/>
        </w:rPr>
      </w:pPr>
      <w:r>
        <w:rPr>
          <w:rFonts w:ascii="Times New Roman" w:hAnsi="Times New Roman"/>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Disposition of Common UnitsRecognition of Gain or Loss. </w:t>
      </w:r>
    </w:p>
    <w:p>
      <w:pPr>
        <w:pStyle w:val="TextBody"/>
        <w:spacing w:before="270" w:after="0"/>
        <w:rPr>
          <w:rFonts w:ascii="Times New Roman" w:hAnsi="Times New Roman"/>
          <w:b/>
          <w:sz w:val="20"/>
        </w:rPr>
      </w:pPr>
      <w:r>
        <w:rPr>
          <w:rFonts w:ascii="Times New Roman" w:hAnsi="Times New Roman"/>
          <w:b/>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 </w:t>
      </w:r>
    </w:p>
    <w:p>
      <w:pPr>
        <w:pStyle w:val="TextBody"/>
        <w:spacing w:before="180" w:after="0"/>
        <w:rPr>
          <w:rFonts w:ascii="Times New Roman" w:hAnsi="Times New Roman"/>
          <w:sz w:val="20"/>
        </w:rPr>
      </w:pPr>
      <w:r>
        <w:rPr>
          <w:rFonts w:ascii="Times New Roman" w:hAnsi="Times New Roman"/>
          <w:sz w:val="20"/>
        </w:rPr>
        <w:t xml:space="preserve">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 </w:t>
      </w:r>
    </w:p>
    <w:p>
      <w:pPr>
        <w:pStyle w:val="TextBody"/>
        <w:spacing w:before="270" w:after="0"/>
        <w:rPr>
          <w:rFonts w:ascii="Times New Roman" w:hAnsi="Times New Roman"/>
          <w:b/>
          <w:sz w:val="20"/>
        </w:rPr>
      </w:pPr>
      <w:r>
        <w:rPr>
          <w:rFonts w:ascii="Times New Roman" w:hAnsi="Times New Roman"/>
          <w:b/>
          <w:sz w:val="20"/>
        </w:rPr>
        <w:t xml:space="preserve">Administrative Matters </w:t>
      </w:r>
    </w:p>
    <w:p>
      <w:pPr>
        <w:pStyle w:val="TextBody"/>
        <w:spacing w:before="90" w:after="0"/>
        <w:rPr>
          <w:rFonts w:ascii="Times New Roman" w:hAnsi="Times New Roman"/>
          <w:sz w:val="20"/>
        </w:rPr>
      </w:pPr>
      <w:r>
        <w:rPr>
          <w:rFonts w:ascii="Times New Roman" w:hAnsi="Times New Roman"/>
          <w:i/>
          <w:sz w:val="20"/>
        </w:rPr>
        <w:t>Information Returns and Audit Procedures.</w:t>
      </w:r>
      <w:r>
        <w:rPr>
          <w:rFonts w:ascii="Times New Roman" w:hAnsi="Times New Roman"/>
          <w:sz w:val="20"/>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spacing w:before="180" w:after="0"/>
        <w:rPr>
          <w:rFonts w:ascii="Times New Roman" w:hAnsi="Times New Roman"/>
          <w:sz w:val="20"/>
        </w:rPr>
      </w:pPr>
      <w:r>
        <w:rPr>
          <w:rFonts w:ascii="Times New Roman" w:hAnsi="Times New Roman"/>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 </w:t>
      </w:r>
    </w:p>
    <w:p>
      <w:pPr>
        <w:pStyle w:val="TextBody"/>
        <w:spacing w:before="180" w:after="0"/>
        <w:rPr>
          <w:rFonts w:ascii="Times New Roman" w:hAnsi="Times New Roman"/>
          <w:sz w:val="20"/>
        </w:rPr>
      </w:pPr>
      <w:r>
        <w:rPr>
          <w:rFonts w:ascii="Times New Roman" w:hAnsi="Times New Roman"/>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beneficial owner 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person that is not a United States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305"/>
        <w:gridCol w:w="102"/>
        <w:gridCol w:w="8881"/>
      </w:tblGrid>
      <w:tr>
        <w:trPr/>
        <w:tc>
          <w:tcPr>
            <w:tcW w:w="91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foreign government, an international organization or any wholly owned agency or instrumentality of either of the foregoing;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1"/>
        <w:gridCol w:w="8881"/>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tax-exempt entity;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spacing w:before="180" w:after="0"/>
        <w:rPr>
          <w:rFonts w:ascii="Times New Roman" w:hAnsi="Times New Roman"/>
          <w:sz w:val="20"/>
        </w:rPr>
      </w:pPr>
      <w:r>
        <w:rPr>
          <w:rFonts w:ascii="Times New Roman" w:hAnsi="Times New Roman"/>
          <w:i/>
          <w:sz w:val="20"/>
        </w:rPr>
        <w:t>Accuracy-Related Penalties.</w:t>
      </w:r>
      <w:r>
        <w:rPr>
          <w:rFonts w:ascii="Times New Roman" w:hAnsi="Times New Roman"/>
          <w:sz w:val="20"/>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80" w:after="0"/>
        <w:rPr>
          <w:rFonts w:ascii="Times New Roman" w:hAnsi="Times New Roman"/>
          <w:sz w:val="20"/>
        </w:rPr>
      </w:pPr>
      <w:r>
        <w:rPr>
          <w:rFonts w:ascii="Times New Roman" w:hAnsi="Times New Roman"/>
          <w:sz w:val="20"/>
        </w:rPr>
        <w:t xml:space="preserve">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which there is, or was, substantial authority;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to which there is a reasonable basis and the pertinent facts of that position are disclosed on the return. </w:t>
            </w:r>
          </w:p>
        </w:tc>
      </w:tr>
    </w:tbl>
    <w:p>
      <w:pPr>
        <w:pStyle w:val="TextBody"/>
        <w:spacing w:before="180" w:after="0"/>
        <w:rPr>
          <w:rFonts w:ascii="Times New Roman" w:hAnsi="Times New Roman"/>
          <w:sz w:val="20"/>
        </w:rPr>
      </w:pPr>
      <w:r>
        <w:rPr>
          <w:rFonts w:ascii="Times New Roman" w:hAnsi="Times New Roman"/>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 </w:t>
      </w:r>
    </w:p>
    <w:p>
      <w:pPr>
        <w:pStyle w:val="TextBody"/>
        <w:spacing w:before="180" w:after="0"/>
        <w:rPr>
          <w:rFonts w:ascii="Times New Roman" w:hAnsi="Times New Roman"/>
          <w:sz w:val="20"/>
        </w:rPr>
      </w:pPr>
      <w:r>
        <w:rPr>
          <w:rFonts w:ascii="Times New Roman" w:hAnsi="Times New Roman"/>
          <w:sz w:val="20"/>
        </w:rPr>
        <w:t xml:space="preserve">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 </w:t>
      </w:r>
    </w:p>
    <w:p>
      <w:pPr>
        <w:pStyle w:val="TextBody"/>
        <w:spacing w:before="180" w:after="0"/>
        <w:rPr>
          <w:rFonts w:ascii="Times New Roman" w:hAnsi="Times New Roman"/>
          <w:sz w:val="20"/>
        </w:rPr>
      </w:pPr>
      <w:r>
        <w:rPr>
          <w:rFonts w:ascii="Times New Roman" w:hAnsi="Times New Roman"/>
          <w:i/>
          <w:sz w:val="20"/>
        </w:rPr>
        <w:t>Reportable Transactions.</w:t>
      </w:r>
      <w:r>
        <w:rPr>
          <w:rFonts w:ascii="Times New Roman" w:hAnsi="Times New Roman"/>
          <w:sz w:val="20"/>
        </w:rPr>
        <w:t xml:space="preserve"> If we were to engage in a reportable transaction, we (and possibly you and others) would be required to make a detailed disclosure of the transaction to the IRS. A transaction may be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Information Returns and Audit Procedures. </w:t>
      </w:r>
    </w:p>
    <w:p>
      <w:pPr>
        <w:pStyle w:val="TextBody"/>
        <w:spacing w:before="180" w:after="0"/>
        <w:rPr>
          <w:rFonts w:ascii="Times New Roman" w:hAnsi="Times New Roman"/>
          <w:sz w:val="20"/>
        </w:rPr>
      </w:pPr>
      <w:r>
        <w:rPr>
          <w:rFonts w:ascii="Times New Roman" w:hAnsi="Times New Roman"/>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accuracy-related penalties with a broader scope, significantly narrower exceptions, and potentially greater amounts than described above at Accuracy-Related Penalties;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those persons otherwise entitled to deduct interest on federal tax deficiencies, nondeductibility of interest on any resulting tax liability;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 listed transaction, an extended statute of limitations. </w:t>
            </w:r>
          </w:p>
        </w:tc>
      </w:tr>
    </w:tbl>
    <w:p>
      <w:pPr>
        <w:pStyle w:val="TextBody"/>
        <w:spacing w:before="180" w:after="0"/>
        <w:rPr>
          <w:rFonts w:ascii="Times New Roman" w:hAnsi="Times New Roman"/>
          <w:sz w:val="20"/>
        </w:rPr>
      </w:pPr>
      <w:r>
        <w:rPr>
          <w:rFonts w:ascii="Times New Roman" w:hAnsi="Times New Roman"/>
          <w:sz w:val="20"/>
        </w:rPr>
        <w:t xml:space="preserve">We do not expect to engage in any reportable transactions. </w:t>
      </w:r>
    </w:p>
    <w:p>
      <w:pPr>
        <w:pStyle w:val="TextBody"/>
        <w:spacing w:before="270" w:after="0"/>
        <w:rPr>
          <w:rFonts w:ascii="Times New Roman" w:hAnsi="Times New Roman"/>
          <w:b/>
          <w:sz w:val="20"/>
        </w:rPr>
      </w:pPr>
      <w:r>
        <w:rPr>
          <w:rFonts w:ascii="Times New Roman" w:hAnsi="Times New Roman"/>
          <w:b/>
          <w:sz w:val="20"/>
        </w:rPr>
        <w:t xml:space="preserve">State, Local, Foreign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Tax Consequences of Unit OwnershipEntity-Level Collections. Based on current law and our estimate of our future operations, the general partner anticipates that any amounts required to be withheld will not be material. </w:t>
      </w:r>
    </w:p>
    <w:p>
      <w:pPr>
        <w:pStyle w:val="TextBody"/>
        <w:spacing w:before="270" w:after="0"/>
        <w:rPr>
          <w:rFonts w:ascii="Times New Roman" w:hAnsi="Times New Roman"/>
          <w:b/>
          <w:sz w:val="20"/>
        </w:rPr>
      </w:pPr>
      <w:r>
        <w:rPr>
          <w:rFonts w:ascii="Times New Roman" w:hAnsi="Times New Roman"/>
          <w:b/>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4" w:name="rom314176_123"/>
      <w:bookmarkStart w:id="45" w:name="supprom314176_26"/>
      <w:bookmarkEnd w:id="44"/>
      <w:bookmarkEnd w:id="45"/>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270" w:after="0"/>
        <w:jc w:val="center"/>
        <w:rPr>
          <w:rFonts w:ascii="Times New Roman" w:hAnsi="Times New Roman"/>
          <w:b/>
          <w:sz w:val="20"/>
        </w:rPr>
      </w:pPr>
      <w:bookmarkStart w:id="46" w:name="rom314176_124"/>
      <w:bookmarkStart w:id="47" w:name="supprom314176_27"/>
      <w:bookmarkEnd w:id="46"/>
      <w:bookmarkEnd w:id="4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rPr/>
      </w:pPr>
      <w:r>
        <w:rPr/>
        <w:t> </w:t>
      </w:r>
    </w:p>
    <w:p>
      <w:pPr>
        <w:pStyle w:val="TextBody"/>
        <w:pBdr>
          <w:bottom w:val="single" w:sz="4" w:space="1" w:color="000000"/>
        </w:pBdr>
        <w:spacing w:lineRule="atLeast" w:line="141" w:before="0" w:after="30"/>
        <w:rPr/>
      </w:pPr>
      <w:r>
        <w:rPr/>
        <w:t> </w:t>
      </w:r>
    </w:p>
    <w:p>
      <w:pPr>
        <w:pStyle w:val="TextBody"/>
        <w:spacing w:before="900" w:after="0"/>
        <w:jc w:val="center"/>
        <w:rPr/>
      </w:pPr>
      <w:r>
        <w:rPr/>
        <w:drawing>
          <wp:inline distT="0" distB="0" distL="0" distR="0">
            <wp:extent cx="182880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571500"/>
                    </a:xfrm>
                    <a:prstGeom prst="rect">
                      <a:avLst/>
                    </a:prstGeom>
                  </pic:spPr>
                </pic:pic>
              </a:graphicData>
            </a:graphic>
          </wp:inline>
        </w:drawing>
      </w:r>
      <w:r>
        <w:rPr/>
        <w:t xml:space="preserve"> </w:t>
      </w:r>
    </w:p>
    <w:p>
      <w:pPr>
        <w:pStyle w:val="TextBody"/>
        <w:spacing w:before="360" w:after="0"/>
        <w:jc w:val="center"/>
        <w:rPr>
          <w:rFonts w:ascii="Times New Roman" w:hAnsi="Times New Roman"/>
          <w:b/>
          <w:sz w:val="36"/>
        </w:rPr>
      </w:pPr>
      <w:r>
        <w:rPr>
          <w:rFonts w:ascii="Times New Roman" w:hAnsi="Times New Roman"/>
          <w:b/>
          <w:sz w:val="36"/>
        </w:rPr>
        <w:t xml:space="preserve">$750,000,000 3.65% Senior Notes due 2022 </w:t>
      </w:r>
    </w:p>
    <w:p>
      <w:pPr>
        <w:pStyle w:val="TextBody"/>
        <w:spacing w:before="0" w:after="0"/>
        <w:jc w:val="center"/>
        <w:rPr>
          <w:rFonts w:ascii="Times New Roman" w:hAnsi="Times New Roman"/>
          <w:b/>
          <w:sz w:val="36"/>
        </w:rPr>
      </w:pPr>
      <w:r>
        <w:rPr>
          <w:rFonts w:ascii="Times New Roman" w:hAnsi="Times New Roman"/>
          <w:b/>
          <w:sz w:val="36"/>
        </w:rPr>
        <w:t xml:space="preserve">$500,000,000 5.15% Senior Notes due 2042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36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180" w:after="0"/>
        <w:jc w:val="center"/>
        <w:rPr>
          <w:rFonts w:ascii="Times New Roman" w:hAnsi="Times New Roman"/>
          <w:b/>
          <w:sz w:val="20"/>
        </w:rPr>
      </w:pPr>
      <w:r>
        <w:rPr>
          <w:rFonts w:ascii="Times New Roman" w:hAnsi="Times New Roman"/>
          <w:b/>
          <w:sz w:val="20"/>
        </w:rPr>
        <w:t xml:space="preserve">March 13,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360" w:after="0"/>
        <w:jc w:val="center"/>
        <w:rPr>
          <w:rFonts w:ascii="Times New Roman" w:hAnsi="Times New Roman"/>
          <w:i/>
          <w:sz w:val="20"/>
        </w:rPr>
      </w:pPr>
      <w:r>
        <w:rPr>
          <w:rFonts w:ascii="Times New Roman" w:hAnsi="Times New Roman"/>
          <w:i/>
          <w:sz w:val="20"/>
        </w:rPr>
        <w:t xml:space="preserve">Joint Book-Running Managers </w:t>
      </w:r>
    </w:p>
    <w:p>
      <w:pPr>
        <w:pStyle w:val="TextBody"/>
        <w:spacing w:before="90" w:after="0"/>
        <w:jc w:val="center"/>
        <w:rPr>
          <w:rFonts w:ascii="Times New Roman" w:hAnsi="Times New Roman"/>
          <w:b/>
          <w:sz w:val="24"/>
        </w:rPr>
      </w:pPr>
      <w:r>
        <w:rPr>
          <w:rFonts w:ascii="Times New Roman" w:hAnsi="Times New Roman"/>
          <w:b/>
          <w:sz w:val="24"/>
        </w:rPr>
        <w:t xml:space="preserve">J.P. Morgan </w:t>
      </w:r>
    </w:p>
    <w:p>
      <w:pPr>
        <w:pStyle w:val="TextBody"/>
        <w:spacing w:before="0" w:after="0"/>
        <w:jc w:val="center"/>
        <w:rPr>
          <w:rFonts w:ascii="Times New Roman" w:hAnsi="Times New Roman"/>
          <w:b/>
          <w:sz w:val="24"/>
        </w:rPr>
      </w:pPr>
      <w:r>
        <w:rPr>
          <w:rFonts w:ascii="Times New Roman" w:hAnsi="Times New Roman"/>
          <w:b/>
          <w:sz w:val="24"/>
        </w:rPr>
        <w:t xml:space="preserve">BofA Merrill Lynch </w:t>
      </w:r>
    </w:p>
    <w:p>
      <w:pPr>
        <w:pStyle w:val="TextBody"/>
        <w:spacing w:before="0" w:after="0"/>
        <w:jc w:val="center"/>
        <w:rPr>
          <w:rFonts w:ascii="Times New Roman" w:hAnsi="Times New Roman"/>
          <w:b/>
          <w:sz w:val="24"/>
        </w:rPr>
      </w:pPr>
      <w:r>
        <w:rPr>
          <w:rFonts w:ascii="Times New Roman" w:hAnsi="Times New Roman"/>
          <w:b/>
          <w:sz w:val="24"/>
        </w:rPr>
        <w:t xml:space="preserve">UBS Investment Bank </w:t>
      </w:r>
    </w:p>
    <w:p>
      <w:pPr>
        <w:pStyle w:val="TextBody"/>
        <w:spacing w:before="0" w:after="0"/>
        <w:jc w:val="center"/>
        <w:rPr>
          <w:rFonts w:ascii="Times New Roman" w:hAnsi="Times New Roman"/>
          <w:b/>
          <w:sz w:val="24"/>
        </w:rPr>
      </w:pPr>
      <w:r>
        <w:rPr>
          <w:rFonts w:ascii="Times New Roman" w:hAnsi="Times New Roman"/>
          <w:b/>
          <w:sz w:val="24"/>
        </w:rPr>
        <w:t xml:space="preserve">Wells Fargo Securities </w:t>
      </w:r>
    </w:p>
    <w:p>
      <w:pPr>
        <w:pStyle w:val="TextBody"/>
        <w:spacing w:before="0" w:after="0"/>
        <w:jc w:val="center"/>
        <w:rPr>
          <w:rFonts w:ascii="Times New Roman" w:hAnsi="Times New Roman"/>
          <w:b/>
          <w:sz w:val="24"/>
        </w:rPr>
      </w:pPr>
      <w:r>
        <w:rPr>
          <w:rFonts w:ascii="Times New Roman" w:hAnsi="Times New Roman"/>
          <w:b/>
          <w:sz w:val="24"/>
        </w:rPr>
        <w:t xml:space="preserve">DNB Markets </w:t>
      </w:r>
    </w:p>
    <w:p>
      <w:pPr>
        <w:pStyle w:val="TextBody"/>
        <w:spacing w:before="0" w:after="0"/>
        <w:jc w:val="center"/>
        <w:rPr>
          <w:rFonts w:ascii="Times New Roman" w:hAnsi="Times New Roman"/>
          <w:b/>
          <w:sz w:val="24"/>
        </w:rPr>
      </w:pPr>
      <w:r>
        <w:rPr>
          <w:rFonts w:ascii="Times New Roman" w:hAnsi="Times New Roman"/>
          <w:b/>
          <w:sz w:val="24"/>
        </w:rPr>
        <w:t xml:space="preserve">Mizuho Securities </w:t>
      </w:r>
    </w:p>
    <w:p>
      <w:pPr>
        <w:pStyle w:val="TextBody"/>
        <w:spacing w:before="180" w:after="0"/>
        <w:jc w:val="center"/>
        <w:rPr>
          <w:rFonts w:ascii="Times New Roman" w:hAnsi="Times New Roman"/>
          <w:i/>
          <w:sz w:val="20"/>
        </w:rPr>
      </w:pPr>
      <w:r>
        <w:rPr>
          <w:rFonts w:ascii="Times New Roman" w:hAnsi="Times New Roman"/>
          <w:i/>
          <w:sz w:val="20"/>
        </w:rPr>
        <w:t xml:space="preserve">Co-Managers </w:t>
      </w:r>
    </w:p>
    <w:p>
      <w:pPr>
        <w:pStyle w:val="TextBody"/>
        <w:spacing w:before="90" w:after="0"/>
        <w:jc w:val="center"/>
        <w:rPr>
          <w:rFonts w:ascii="Times New Roman" w:hAnsi="Times New Roman"/>
          <w:b/>
          <w:sz w:val="24"/>
        </w:rPr>
      </w:pPr>
      <w:r>
        <w:rPr>
          <w:rFonts w:ascii="Times New Roman" w:hAnsi="Times New Roman"/>
          <w:b/>
          <w:sz w:val="24"/>
        </w:rPr>
        <w:t xml:space="preserve">BMO Capital Markets </w:t>
      </w:r>
    </w:p>
    <w:p>
      <w:pPr>
        <w:pStyle w:val="TextBody"/>
        <w:spacing w:before="0" w:after="0"/>
        <w:jc w:val="center"/>
        <w:rPr>
          <w:rFonts w:ascii="Times New Roman" w:hAnsi="Times New Roman"/>
          <w:b/>
          <w:sz w:val="24"/>
        </w:rPr>
      </w:pPr>
      <w:r>
        <w:rPr>
          <w:rFonts w:ascii="Times New Roman" w:hAnsi="Times New Roman"/>
          <w:b/>
          <w:sz w:val="24"/>
        </w:rPr>
        <w:t xml:space="preserve">Comerica Securities </w:t>
      </w:r>
    </w:p>
    <w:p>
      <w:pPr>
        <w:pStyle w:val="TextBody"/>
        <w:spacing w:before="0" w:after="0"/>
        <w:jc w:val="center"/>
        <w:rPr>
          <w:rFonts w:ascii="Times New Roman" w:hAnsi="Times New Roman"/>
          <w:b/>
          <w:sz w:val="24"/>
        </w:rPr>
      </w:pPr>
      <w:r>
        <w:rPr>
          <w:rFonts w:ascii="Times New Roman" w:hAnsi="Times New Roman"/>
          <w:b/>
          <w:sz w:val="24"/>
        </w:rPr>
        <w:t xml:space="preserve">Fifth Third Securities, Inc. </w:t>
      </w:r>
    </w:p>
    <w:p>
      <w:pPr>
        <w:pStyle w:val="TextBody"/>
        <w:spacing w:before="0" w:after="0"/>
        <w:jc w:val="center"/>
        <w:rPr>
          <w:rFonts w:ascii="Times New Roman" w:hAnsi="Times New Roman"/>
          <w:b/>
          <w:sz w:val="24"/>
        </w:rPr>
      </w:pPr>
      <w:r>
        <w:rPr>
          <w:rFonts w:ascii="Times New Roman" w:hAnsi="Times New Roman"/>
          <w:b/>
          <w:sz w:val="24"/>
        </w:rPr>
        <w:t xml:space="preserve">ING </w:t>
      </w:r>
    </w:p>
    <w:p>
      <w:pPr>
        <w:pStyle w:val="TextBody"/>
        <w:spacing w:before="0" w:after="0"/>
        <w:jc w:val="center"/>
        <w:rPr>
          <w:rFonts w:ascii="Times New Roman" w:hAnsi="Times New Roman"/>
          <w:b/>
          <w:sz w:val="24"/>
        </w:rPr>
      </w:pPr>
      <w:r>
        <w:rPr>
          <w:rFonts w:ascii="Times New Roman" w:hAnsi="Times New Roman"/>
          <w:b/>
          <w:sz w:val="24"/>
        </w:rPr>
        <w:t xml:space="preserve">Mitsubishi UFJ Securities </w:t>
      </w:r>
    </w:p>
    <w:p>
      <w:pPr>
        <w:pStyle w:val="TextBody"/>
        <w:spacing w:before="0" w:after="0"/>
        <w:jc w:val="center"/>
        <w:rPr>
          <w:rFonts w:ascii="Times New Roman" w:hAnsi="Times New Roman"/>
          <w:b/>
          <w:sz w:val="24"/>
        </w:rPr>
      </w:pPr>
      <w:r>
        <w:rPr>
          <w:rFonts w:ascii="Times New Roman" w:hAnsi="Times New Roman"/>
          <w:b/>
          <w:sz w:val="24"/>
        </w:rPr>
        <w:t xml:space="preserve">Morgan Keegan </w:t>
      </w:r>
    </w:p>
    <w:p>
      <w:pPr>
        <w:pStyle w:val="TextBody"/>
        <w:spacing w:before="0" w:after="0"/>
        <w:jc w:val="center"/>
        <w:rPr>
          <w:rFonts w:ascii="Times New Roman" w:hAnsi="Times New Roman"/>
          <w:b/>
          <w:sz w:val="24"/>
        </w:rPr>
      </w:pPr>
      <w:r>
        <w:rPr>
          <w:rFonts w:ascii="Times New Roman" w:hAnsi="Times New Roman"/>
          <w:b/>
          <w:sz w:val="24"/>
        </w:rPr>
        <w:t xml:space="preserve">PNC Capital Markets LLC </w:t>
      </w:r>
    </w:p>
    <w:p>
      <w:pPr>
        <w:pStyle w:val="TextBody"/>
        <w:spacing w:before="0" w:after="0"/>
        <w:jc w:val="center"/>
        <w:rPr>
          <w:rFonts w:ascii="Times New Roman" w:hAnsi="Times New Roman"/>
          <w:b/>
          <w:sz w:val="24"/>
        </w:rPr>
      </w:pPr>
      <w:r>
        <w:rPr>
          <w:rFonts w:ascii="Times New Roman" w:hAnsi="Times New Roman"/>
          <w:b/>
          <w:sz w:val="24"/>
        </w:rPr>
        <w:t xml:space="preserve">Scotiabank </w:t>
      </w:r>
    </w:p>
    <w:p>
      <w:pPr>
        <w:pStyle w:val="TextBody"/>
        <w:spacing w:before="0" w:after="0"/>
        <w:jc w:val="center"/>
        <w:rPr>
          <w:rFonts w:ascii="Times New Roman" w:hAnsi="Times New Roman"/>
          <w:b/>
          <w:sz w:val="24"/>
        </w:rPr>
      </w:pPr>
      <w:r>
        <w:rPr>
          <w:rFonts w:ascii="Times New Roman" w:hAnsi="Times New Roman"/>
          <w:b/>
          <w:sz w:val="24"/>
        </w:rPr>
        <w:t xml:space="preserve">SOCIETE GENERALE </w:t>
      </w:r>
    </w:p>
    <w:p>
      <w:pPr>
        <w:pStyle w:val="TextBody"/>
        <w:spacing w:before="0" w:after="0"/>
        <w:jc w:val="center"/>
        <w:rPr>
          <w:rFonts w:ascii="Times New Roman" w:hAnsi="Times New Roman"/>
          <w:b/>
          <w:sz w:val="24"/>
        </w:rPr>
      </w:pPr>
      <w:r>
        <w:rPr>
          <w:rFonts w:ascii="Times New Roman" w:hAnsi="Times New Roman"/>
          <w:b/>
          <w:sz w:val="24"/>
        </w:rPr>
        <w:t xml:space="preserve">US Bancorp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0" w:after="0"/>
        <w:rPr/>
      </w:pPr>
      <w:r>
        <w:rPr/>
        <w:t> </w:t>
      </w:r>
    </w:p>
    <w:p>
      <w:pPr>
        <w:pStyle w:val="TextBody"/>
        <w:pBdr>
          <w:bottom w:val="single" w:sz="16" w:space="1" w:color="000000"/>
        </w:pBdr>
        <w:spacing w:lineRule="atLeast" w:line="141" w:before="0" w:after="3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88</Pages>
  <Words>47225</Words>
  <CharactersWithSpaces>289486</CharactersWithSpaces>
  <Paragraphs>3500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Prospectus Supplement</dc:title>
</cp:coreProperties>
</file>