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9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-614045</wp:posOffset>
            </wp:positionV>
            <wp:extent cx="57785" cy="62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738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-614045</wp:posOffset>
            </wp:positionV>
            <wp:extent cx="57785" cy="627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73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280910" cy="941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941260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620"/>
            <w:col w:w="8680"/>
          </w:cols>
          <w:pgMar w:left="240" w:top="219" w:right="13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L.P.</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100"/>
              <w:spacing w:after="0"/>
              <w:rPr>
                <w:sz w:val="20"/>
                <w:szCs w:val="20"/>
                <w:color w:val="auto"/>
              </w:rPr>
            </w:pPr>
            <w:r>
              <w:rPr>
                <w:rFonts w:ascii="Arial" w:cs="Arial" w:eastAsia="Arial" w:hAnsi="Arial"/>
                <w:sz w:val="13"/>
                <w:szCs w:val="13"/>
                <w:color w:val="auto"/>
              </w:rPr>
              <w:t>(First)</w:t>
            </w:r>
          </w:p>
        </w:tc>
        <w:tc>
          <w:tcPr>
            <w:tcW w:w="142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Arial" w:cs="Arial" w:eastAsia="Arial" w:hAnsi="Arial"/>
                <w:sz w:val="16"/>
                <w:szCs w:val="16"/>
                <w:color w:val="0000FF"/>
              </w:rPr>
              <w:t>1800 AVENUE OF THE STARS</w:t>
            </w:r>
          </w:p>
        </w:tc>
        <w:tc>
          <w:tcPr>
            <w:tcW w:w="1420" w:type="dxa"/>
            <w:vAlign w:val="bottom"/>
          </w:tcPr>
          <w:p>
            <w:pPr>
              <w:spacing w:after="0"/>
              <w:rPr>
                <w:sz w:val="22"/>
                <w:szCs w:val="22"/>
                <w:color w:val="auto"/>
              </w:rPr>
            </w:pPr>
          </w:p>
        </w:tc>
      </w:tr>
      <w:tr>
        <w:trPr>
          <w:trHeight w:val="253"/>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3RD FLOOR</w:t>
            </w:r>
          </w:p>
        </w:tc>
        <w:tc>
          <w:tcPr>
            <w:tcW w:w="1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LOS ANGELES</w:t>
            </w:r>
          </w:p>
        </w:tc>
        <w:tc>
          <w:tcPr>
            <w:tcW w:w="1180" w:type="dxa"/>
            <w:vAlign w:val="bottom"/>
          </w:tcPr>
          <w:p>
            <w:pPr>
              <w:ind w:left="100"/>
              <w:spacing w:after="0"/>
              <w:rPr>
                <w:sz w:val="20"/>
                <w:szCs w:val="20"/>
                <w:color w:val="auto"/>
              </w:rPr>
            </w:pPr>
            <w:r>
              <w:rPr>
                <w:rFonts w:ascii="Arial" w:cs="Arial" w:eastAsia="Arial" w:hAnsi="Arial"/>
                <w:sz w:val="16"/>
                <w:szCs w:val="16"/>
                <w:color w:val="0000FF"/>
              </w:rPr>
              <w:t>CA</w:t>
            </w:r>
          </w:p>
        </w:tc>
        <w:tc>
          <w:tcPr>
            <w:tcW w:w="1420" w:type="dxa"/>
            <w:vAlign w:val="bottom"/>
          </w:tcPr>
          <w:p>
            <w:pPr>
              <w:ind w:left="180"/>
              <w:spacing w:after="0"/>
              <w:rPr>
                <w:sz w:val="20"/>
                <w:szCs w:val="20"/>
                <w:color w:val="auto"/>
              </w:rPr>
            </w:pPr>
            <w:r>
              <w:rPr>
                <w:rFonts w:ascii="Arial" w:cs="Arial" w:eastAsia="Arial" w:hAnsi="Arial"/>
                <w:sz w:val="16"/>
                <w:szCs w:val="16"/>
                <w:color w:val="0000FF"/>
              </w:rPr>
              <w:t>77002</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100"/>
              <w:spacing w:after="0"/>
              <w:rPr>
                <w:sz w:val="20"/>
                <w:szCs w:val="20"/>
                <w:color w:val="auto"/>
              </w:rPr>
            </w:pPr>
            <w:r>
              <w:rPr>
                <w:rFonts w:ascii="Arial" w:cs="Arial" w:eastAsia="Arial" w:hAnsi="Arial"/>
                <w:sz w:val="13"/>
                <w:szCs w:val="13"/>
                <w:color w:val="auto"/>
              </w:rPr>
              <w:t>(State)</w:t>
            </w:r>
          </w:p>
        </w:tc>
        <w:tc>
          <w:tcPr>
            <w:tcW w:w="142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980" w:type="dxa"/>
            <w:vAlign w:val="bottom"/>
            <w:gridSpan w:val="3"/>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3980" w:type="dxa"/>
            <w:vAlign w:val="bottom"/>
            <w:gridSpan w:val="3"/>
          </w:tcPr>
          <w:p>
            <w:pPr>
              <w:spacing w:after="0"/>
              <w:rPr>
                <w:sz w:val="3"/>
                <w:szCs w:val="3"/>
                <w:color w:val="auto"/>
              </w:rPr>
            </w:pPr>
          </w:p>
        </w:tc>
        <w:tc>
          <w:tcPr>
            <w:tcW w:w="500" w:type="dxa"/>
            <w:vAlign w:val="bottom"/>
            <w:vMerge w:val="restart"/>
          </w:tcPr>
          <w:p>
            <w:pPr>
              <w:ind w:left="260"/>
              <w:spacing w:after="0" w:line="51" w:lineRule="exact"/>
              <w:rPr>
                <w:sz w:val="20"/>
                <w:szCs w:val="20"/>
                <w:color w:val="auto"/>
              </w:rPr>
            </w:pPr>
            <w:r>
              <w:rPr>
                <w:rFonts w:ascii="Arial" w:cs="Arial" w:eastAsia="Arial" w:hAnsi="Arial"/>
                <w:sz w:val="5"/>
                <w:szCs w:val="5"/>
                <w:color w:val="0000FF"/>
              </w:rPr>
              <w:t>X</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5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4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26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color w:val="0000FF"/>
                <w:w w:val="92"/>
              </w:rPr>
              <w:t>See remarks</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398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60" w:type="dxa"/>
            <w:vAlign w:val="bottom"/>
            <w:gridSpan w:val="2"/>
          </w:tcPr>
          <w:p>
            <w:pPr>
              <w:ind w:left="60"/>
              <w:spacing w:after="0"/>
              <w:rPr>
                <w:sz w:val="20"/>
                <w:szCs w:val="20"/>
                <w:color w:val="auto"/>
              </w:rPr>
            </w:pPr>
            <w:r>
              <w:rPr>
                <w:rFonts w:ascii="Arial" w:cs="Arial" w:eastAsia="Arial" w:hAnsi="Arial"/>
                <w:sz w:val="16"/>
                <w:szCs w:val="16"/>
                <w:color w:val="0000FF"/>
              </w:rPr>
              <w:t>09/29/2017</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35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3440" w:type="dxa"/>
            <w:vAlign w:val="bottom"/>
            <w:tcBorders>
              <w:bottom w:val="single" w:sz="8" w:color="2C2C2C"/>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5"/>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5"/>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28" w:lineRule="exact"/>
        <w:rPr>
          <w:sz w:val="20"/>
          <w:szCs w:val="20"/>
          <w:color w:val="auto"/>
        </w:rPr>
      </w:pPr>
    </w:p>
    <w:p>
      <w:pPr>
        <w:sectPr>
          <w:pgSz w:w="11900" w:h="16838" w:orient="portrait"/>
          <w:cols w:equalWidth="0" w:num="2">
            <w:col w:w="3900" w:space="100"/>
            <w:col w:w="752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1280" w:type="dxa"/>
            <w:vAlign w:val="bottom"/>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3"/>
        </w:trPr>
        <w:tc>
          <w:tcPr>
            <w:tcW w:w="2440" w:type="dxa"/>
            <w:vAlign w:val="bottom"/>
          </w:tcPr>
          <w:p>
            <w:pPr>
              <w:spacing w:after="0"/>
              <w:rPr>
                <w:sz w:val="10"/>
                <w:szCs w:val="10"/>
                <w:color w:val="auto"/>
              </w:rPr>
            </w:pPr>
          </w:p>
        </w:tc>
        <w:tc>
          <w:tcPr>
            <w:tcW w:w="174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12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1280" w:type="dxa"/>
            <w:vAlign w:val="bottom"/>
          </w:tcPr>
          <w:p>
            <w:pPr>
              <w:ind w:left="100"/>
              <w:spacing w:after="0"/>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Units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vMerge w:val="restart"/>
          </w:tcPr>
          <w:p>
            <w:pPr>
              <w:ind w:left="680"/>
              <w:spacing w:after="0"/>
              <w:rPr>
                <w:sz w:val="20"/>
                <w:szCs w:val="20"/>
                <w:color w:val="auto"/>
              </w:rPr>
            </w:pPr>
            <w:r>
              <w:rPr>
                <w:rFonts w:ascii="Arial" w:cs="Arial" w:eastAsia="Arial" w:hAnsi="Arial"/>
                <w:sz w:val="16"/>
                <w:szCs w:val="16"/>
                <w:color w:val="0000FF"/>
              </w:rPr>
              <w:t>09/29/2017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2"/>
              </w:rPr>
              <w:t>1,173,528</w:t>
            </w:r>
          </w:p>
        </w:tc>
        <w:tc>
          <w:tcPr>
            <w:tcW w:w="5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w w:val="98"/>
              </w:rPr>
              <w:t>1,173,528</w:t>
            </w:r>
          </w:p>
        </w:tc>
        <w:tc>
          <w:tcPr>
            <w:tcW w:w="860" w:type="dxa"/>
            <w:vAlign w:val="bottom"/>
            <w:vMerge w:val="restart"/>
          </w:tcPr>
          <w:p>
            <w:pPr>
              <w:ind w:left="700"/>
              <w:spacing w:after="0"/>
              <w:rPr>
                <w:sz w:val="20"/>
                <w:szCs w:val="20"/>
                <w:color w:val="auto"/>
              </w:rPr>
            </w:pPr>
            <w:r>
              <w:rPr>
                <w:rFonts w:ascii="Arial" w:cs="Arial" w:eastAsia="Arial" w:hAnsi="Arial"/>
                <w:sz w:val="16"/>
                <w:szCs w:val="16"/>
                <w:color w:val="0000FF"/>
              </w:rPr>
              <w:t>I</w:t>
            </w:r>
          </w:p>
        </w:tc>
        <w:tc>
          <w:tcPr>
            <w:tcW w:w="1580" w:type="dxa"/>
            <w:vAlign w:val="bottom"/>
            <w:gridSpan w:val="2"/>
          </w:tcPr>
          <w:p>
            <w:pPr>
              <w:ind w:left="400"/>
              <w:spacing w:after="0" w:line="239" w:lineRule="exact"/>
              <w:rPr>
                <w:sz w:val="20"/>
                <w:szCs w:val="20"/>
                <w:color w:val="auto"/>
              </w:rPr>
            </w:pPr>
            <w:r>
              <w:rPr>
                <w:rFonts w:ascii="Arial" w:cs="Arial" w:eastAsia="Arial" w:hAnsi="Arial"/>
                <w:sz w:val="16"/>
                <w:szCs w:val="16"/>
                <w:color w:val="0000FF"/>
              </w:rPr>
              <w:t>See footnotes</w:t>
            </w:r>
            <w:r>
              <w:rPr>
                <w:rFonts w:ascii="Arial" w:cs="Arial" w:eastAsia="Arial" w:hAnsi="Arial"/>
                <w:sz w:val="21"/>
                <w:szCs w:val="21"/>
                <w:color w:val="008000"/>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w w:val="89"/>
              </w:rPr>
              <w:t>(2)(3)(4)</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Units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vMerge w:val="restart"/>
          </w:tcPr>
          <w:p>
            <w:pPr>
              <w:ind w:left="680"/>
              <w:spacing w:after="0"/>
              <w:rPr>
                <w:sz w:val="20"/>
                <w:szCs w:val="20"/>
                <w:color w:val="auto"/>
              </w:rPr>
            </w:pPr>
            <w:r>
              <w:rPr>
                <w:rFonts w:ascii="Arial" w:cs="Arial" w:eastAsia="Arial" w:hAnsi="Arial"/>
                <w:sz w:val="16"/>
                <w:szCs w:val="16"/>
                <w:color w:val="0000FF"/>
              </w:rPr>
              <w:t>09/29/2017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92"/>
              </w:rPr>
              <w:t>1,173,528</w:t>
            </w:r>
          </w:p>
        </w:tc>
        <w:tc>
          <w:tcPr>
            <w:tcW w:w="580" w:type="dxa"/>
            <w:vAlign w:val="bottom"/>
            <w:vMerge w:val="restart"/>
          </w:tcPr>
          <w:p>
            <w:pPr>
              <w:ind w:left="260"/>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20" w:type="dxa"/>
            <w:vAlign w:val="bottom"/>
            <w:vMerge w:val="restart"/>
          </w:tcPr>
          <w:p>
            <w:pPr>
              <w:jc w:val="right"/>
              <w:ind w:right="236"/>
              <w:spacing w:after="0"/>
              <w:rPr>
                <w:sz w:val="20"/>
                <w:szCs w:val="20"/>
                <w:color w:val="auto"/>
              </w:rPr>
            </w:pPr>
            <w:r>
              <w:rPr>
                <w:rFonts w:ascii="Arial" w:cs="Arial" w:eastAsia="Arial" w:hAnsi="Arial"/>
                <w:sz w:val="16"/>
                <w:szCs w:val="16"/>
                <w:color w:val="0000FF"/>
              </w:rPr>
              <w:t>0</w:t>
            </w:r>
          </w:p>
        </w:tc>
        <w:tc>
          <w:tcPr>
            <w:tcW w:w="860" w:type="dxa"/>
            <w:vAlign w:val="bottom"/>
            <w:vMerge w:val="restart"/>
          </w:tcPr>
          <w:p>
            <w:pPr>
              <w:ind w:left="700"/>
              <w:spacing w:after="0"/>
              <w:rPr>
                <w:sz w:val="20"/>
                <w:szCs w:val="20"/>
                <w:color w:val="auto"/>
              </w:rPr>
            </w:pPr>
            <w:r>
              <w:rPr>
                <w:rFonts w:ascii="Arial" w:cs="Arial" w:eastAsia="Arial" w:hAnsi="Arial"/>
                <w:sz w:val="16"/>
                <w:szCs w:val="16"/>
                <w:color w:val="0000FF"/>
              </w:rPr>
              <w:t>I</w:t>
            </w:r>
          </w:p>
        </w:tc>
        <w:tc>
          <w:tcPr>
            <w:tcW w:w="1580" w:type="dxa"/>
            <w:vAlign w:val="bottom"/>
            <w:gridSpan w:val="2"/>
          </w:tcPr>
          <w:p>
            <w:pPr>
              <w:ind w:left="400"/>
              <w:spacing w:after="0" w:line="239" w:lineRule="exact"/>
              <w:rPr>
                <w:sz w:val="20"/>
                <w:szCs w:val="20"/>
                <w:color w:val="auto"/>
              </w:rPr>
            </w:pPr>
            <w:r>
              <w:rPr>
                <w:rFonts w:ascii="Arial" w:cs="Arial" w:eastAsia="Arial" w:hAnsi="Arial"/>
                <w:sz w:val="16"/>
                <w:szCs w:val="16"/>
                <w:color w:val="0000FF"/>
              </w:rPr>
              <w:t>See footnotes</w:t>
            </w:r>
            <w:r>
              <w:rPr>
                <w:rFonts w:ascii="Arial" w:cs="Arial" w:eastAsia="Arial" w:hAnsi="Arial"/>
                <w:sz w:val="21"/>
                <w:szCs w:val="21"/>
                <w:color w:val="008000"/>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w w:val="89"/>
              </w:rPr>
              <w:t>(2)(3)(4)</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6"/>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9"/>
          </w:tcPr>
          <w:p>
            <w:pPr>
              <w:jc w:val="center"/>
              <w:ind w:right="16"/>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gridSpan w:val="8"/>
          </w:tcPr>
          <w:p>
            <w:pPr>
              <w:jc w:val="center"/>
              <w:ind w:left="57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0000FF"/>
                <w:w w:val="79"/>
              </w:rPr>
              <w:t>See Footnote</w:t>
            </w:r>
            <w:r>
              <w:rPr>
                <w:rFonts w:ascii="Arial" w:cs="Arial" w:eastAsia="Arial" w:hAnsi="Arial"/>
                <w:sz w:val="21"/>
                <w:szCs w:val="21"/>
                <w:color w:val="008000"/>
                <w:w w:val="79"/>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w w:val="90"/>
              </w:rPr>
              <w:t>Shares/Class</w:t>
            </w:r>
          </w:p>
        </w:tc>
        <w:tc>
          <w:tcPr>
            <w:tcW w:w="7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gridSpan w:val="4"/>
          </w:tcPr>
          <w:p>
            <w:pPr>
              <w:ind w:left="280"/>
              <w:spacing w:after="0"/>
              <w:rPr>
                <w:sz w:val="20"/>
                <w:szCs w:val="20"/>
                <w:color w:val="auto"/>
              </w:rPr>
            </w:pPr>
            <w:r>
              <w:rPr>
                <w:rFonts w:ascii="Arial" w:cs="Arial" w:eastAsia="Arial" w:hAnsi="Arial"/>
                <w:sz w:val="13"/>
                <w:szCs w:val="13"/>
                <w:color w:val="0000FF"/>
              </w:rPr>
              <w:t>09/29/2017</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gridSpan w:val="2"/>
          </w:tcPr>
          <w:p>
            <w:pPr>
              <w:ind w:left="360"/>
              <w:spacing w:after="0"/>
              <w:rPr>
                <w:sz w:val="20"/>
                <w:szCs w:val="20"/>
                <w:color w:val="auto"/>
              </w:rPr>
            </w:pPr>
            <w:r>
              <w:rPr>
                <w:rFonts w:ascii="Arial" w:cs="Arial" w:eastAsia="Arial" w:hAnsi="Arial"/>
                <w:sz w:val="13"/>
                <w:szCs w:val="13"/>
                <w:color w:val="0000FF"/>
                <w:w w:val="96"/>
              </w:rPr>
              <w:t>1,173,528</w:t>
            </w:r>
          </w:p>
        </w:tc>
        <w:tc>
          <w:tcPr>
            <w:tcW w:w="740" w:type="dxa"/>
            <w:vAlign w:val="bottom"/>
          </w:tcPr>
          <w:p>
            <w:pPr>
              <w:jc w:val="center"/>
              <w:spacing w:after="0"/>
              <w:rPr>
                <w:sz w:val="20"/>
                <w:szCs w:val="20"/>
                <w:color w:val="auto"/>
              </w:rPr>
            </w:pPr>
            <w:r>
              <w:rPr>
                <w:rFonts w:ascii="Arial" w:cs="Arial" w:eastAsia="Arial" w:hAnsi="Arial"/>
                <w:sz w:val="11"/>
                <w:szCs w:val="11"/>
                <w:color w:val="008000"/>
                <w:w w:val="89"/>
              </w:rPr>
              <w:t>(1)(2)(3)</w:t>
            </w:r>
          </w:p>
        </w:tc>
        <w:tc>
          <w:tcPr>
            <w:tcW w:w="740" w:type="dxa"/>
            <w:vAlign w:val="bottom"/>
          </w:tcPr>
          <w:p>
            <w:pPr>
              <w:jc w:val="center"/>
              <w:spacing w:after="0"/>
              <w:rPr>
                <w:sz w:val="20"/>
                <w:szCs w:val="20"/>
                <w:color w:val="auto"/>
              </w:rPr>
            </w:pPr>
            <w:r>
              <w:rPr>
                <w:rFonts w:ascii="Arial" w:cs="Arial" w:eastAsia="Arial" w:hAnsi="Arial"/>
                <w:sz w:val="11"/>
                <w:szCs w:val="11"/>
                <w:color w:val="008000"/>
                <w:w w:val="89"/>
              </w:rPr>
              <w:t>(1)(2)(3)</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800" w:type="dxa"/>
            <w:vAlign w:val="bottom"/>
          </w:tcPr>
          <w:p>
            <w:pPr>
              <w:ind w:left="80"/>
              <w:spacing w:after="0"/>
              <w:rPr>
                <w:sz w:val="20"/>
                <w:szCs w:val="20"/>
                <w:color w:val="auto"/>
              </w:rPr>
            </w:pPr>
            <w:r>
              <w:rPr>
                <w:rFonts w:ascii="Arial" w:cs="Arial" w:eastAsia="Arial" w:hAnsi="Arial"/>
                <w:sz w:val="16"/>
                <w:szCs w:val="16"/>
                <w:color w:val="0000FF"/>
                <w:w w:val="98"/>
              </w:rPr>
              <w:t>1,173,528</w:t>
            </w:r>
          </w:p>
        </w:tc>
        <w:tc>
          <w:tcPr>
            <w:tcW w:w="7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tcPr>
          <w:p>
            <w:pPr>
              <w:ind w:left="60"/>
              <w:spacing w:after="0" w:line="199" w:lineRule="exact"/>
              <w:rPr>
                <w:sz w:val="20"/>
                <w:szCs w:val="20"/>
                <w:color w:val="auto"/>
              </w:rPr>
            </w:pPr>
            <w:r>
              <w:rPr>
                <w:rFonts w:ascii="Arial" w:cs="Arial" w:eastAsia="Arial" w:hAnsi="Arial"/>
                <w:sz w:val="13"/>
                <w:szCs w:val="13"/>
                <w:color w:val="0000FF"/>
                <w:w w:val="94"/>
              </w:rPr>
              <w:t>21,049,662</w:t>
            </w:r>
            <w:r>
              <w:rPr>
                <w:rFonts w:ascii="Arial" w:cs="Arial" w:eastAsia="Arial" w:hAnsi="Arial"/>
                <w:sz w:val="21"/>
                <w:szCs w:val="21"/>
                <w:color w:val="008000"/>
                <w:w w:val="94"/>
                <w:vertAlign w:val="superscript"/>
              </w:rPr>
              <w:t>(5)</w:t>
            </w:r>
          </w:p>
        </w:tc>
        <w:tc>
          <w:tcPr>
            <w:tcW w:w="780" w:type="dxa"/>
            <w:vAlign w:val="bottom"/>
          </w:tcPr>
          <w:p>
            <w:pPr>
              <w:ind w:left="340"/>
              <w:spacing w:after="0"/>
              <w:rPr>
                <w:sz w:val="20"/>
                <w:szCs w:val="20"/>
                <w:color w:val="auto"/>
              </w:rPr>
            </w:pPr>
            <w:r>
              <w:rPr>
                <w:rFonts w:ascii="Arial" w:cs="Arial" w:eastAsia="Arial" w:hAnsi="Arial"/>
                <w:sz w:val="13"/>
                <w:szCs w:val="13"/>
                <w:color w:val="0000FF"/>
              </w:rPr>
              <w:t>I</w:t>
            </w: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3"/>
          </w:tcPr>
          <w:p>
            <w:pPr>
              <w:ind w:left="60"/>
              <w:spacing w:after="0" w:line="80" w:lineRule="exact"/>
              <w:rPr>
                <w:sz w:val="20"/>
                <w:szCs w:val="20"/>
                <w:color w:val="auto"/>
              </w:rPr>
            </w:pPr>
            <w:r>
              <w:rPr>
                <w:rFonts w:ascii="Arial" w:cs="Arial" w:eastAsia="Arial" w:hAnsi="Arial"/>
                <w:sz w:val="9"/>
                <w:szCs w:val="9"/>
                <w:color w:val="0000FF"/>
              </w:rPr>
              <w:t>A Units/GP</w:t>
            </w: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ind w:left="160"/>
              <w:spacing w:after="0" w:line="80" w:lineRule="exact"/>
              <w:rPr>
                <w:sz w:val="20"/>
                <w:szCs w:val="20"/>
                <w:color w:val="auto"/>
              </w:rPr>
            </w:pPr>
            <w:r>
              <w:rPr>
                <w:rFonts w:ascii="Arial" w:cs="Arial" w:eastAsia="Arial" w:hAnsi="Arial"/>
                <w:sz w:val="9"/>
                <w:szCs w:val="9"/>
                <w:color w:val="0000FF"/>
              </w:rPr>
              <w:t>Units</w:t>
            </w: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ind w:left="20"/>
              <w:spacing w:after="0" w:line="80"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600" w:type="dxa"/>
            <w:vAlign w:val="bottom"/>
            <w:tcBorders>
              <w:top w:val="single" w:sz="8" w:color="2C2C2C"/>
            </w:tcBorders>
            <w:gridSpan w:val="8"/>
          </w:tcPr>
          <w:p>
            <w:pPr>
              <w:ind w:left="60"/>
              <w:spacing w:after="0" w:line="23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7"/>
          </w:tcPr>
          <w:p>
            <w:pPr>
              <w:ind w:left="20"/>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KAFU HOLDINGS, L.P.</w:t>
              </w:r>
            </w:hyperlink>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420"/>
              <w:spacing w:after="0"/>
              <w:rPr>
                <w:sz w:val="20"/>
                <w:szCs w:val="20"/>
                <w:color w:val="auto"/>
              </w:rPr>
            </w:pPr>
            <w:r>
              <w:rPr>
                <w:rFonts w:ascii="Arial" w:cs="Arial" w:eastAsia="Arial" w:hAnsi="Arial"/>
                <w:sz w:val="13"/>
                <w:szCs w:val="13"/>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20" w:type="dxa"/>
            <w:vAlign w:val="bottom"/>
            <w:gridSpan w:val="7"/>
          </w:tcPr>
          <w:p>
            <w:pPr>
              <w:ind w:left="20"/>
              <w:spacing w:after="0"/>
              <w:rPr>
                <w:sz w:val="20"/>
                <w:szCs w:val="20"/>
                <w:color w:val="auto"/>
              </w:rPr>
            </w:pPr>
            <w:r>
              <w:rPr>
                <w:rFonts w:ascii="Arial" w:cs="Arial" w:eastAsia="Arial" w:hAnsi="Arial"/>
                <w:sz w:val="16"/>
                <w:szCs w:val="16"/>
                <w:color w:val="0000FF"/>
              </w:rPr>
              <w:t>1800 AVENUE OF THE STARS</w:t>
            </w: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color w:val="0000FF"/>
              </w:rPr>
              <w:t>3RD FLOOR</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gridSpan w:val="4"/>
          </w:tcPr>
          <w:p>
            <w:pPr>
              <w:ind w:left="40"/>
              <w:spacing w:after="0"/>
              <w:rPr>
                <w:sz w:val="20"/>
                <w:szCs w:val="20"/>
                <w:color w:val="auto"/>
              </w:rPr>
            </w:pPr>
            <w:r>
              <w:rPr>
                <w:rFonts w:ascii="Arial" w:cs="Arial" w:eastAsia="Arial" w:hAnsi="Arial"/>
                <w:sz w:val="16"/>
                <w:szCs w:val="16"/>
                <w:color w:val="0000FF"/>
              </w:rPr>
              <w:t>CA</w:t>
            </w:r>
          </w:p>
        </w:tc>
        <w:tc>
          <w:tcPr>
            <w:tcW w:w="1060" w:type="dxa"/>
            <w:vAlign w:val="bottom"/>
          </w:tcPr>
          <w:p>
            <w:pPr>
              <w:ind w:left="420"/>
              <w:spacing w:after="0"/>
              <w:rPr>
                <w:sz w:val="20"/>
                <w:szCs w:val="20"/>
                <w:color w:val="auto"/>
              </w:rPr>
            </w:pPr>
            <w:r>
              <w:rPr>
                <w:rFonts w:ascii="Arial" w:cs="Arial" w:eastAsia="Arial" w:hAnsi="Arial"/>
                <w:sz w:val="16"/>
                <w:szCs w:val="16"/>
                <w:color w:val="0000FF"/>
              </w:rPr>
              <w:t>77002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2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7"/>
          </w:tcPr>
          <w:p>
            <w:pPr>
              <w:ind w:left="20"/>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KAFU Holdings (QP), L.P.</w:t>
              </w:r>
            </w:hyperlink>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420"/>
              <w:spacing w:after="0"/>
              <w:rPr>
                <w:sz w:val="20"/>
                <w:szCs w:val="20"/>
                <w:color w:val="auto"/>
              </w:rPr>
            </w:pPr>
            <w:r>
              <w:rPr>
                <w:rFonts w:ascii="Arial" w:cs="Arial" w:eastAsia="Arial" w:hAnsi="Arial"/>
                <w:sz w:val="13"/>
                <w:szCs w:val="13"/>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8"/>
          </w:tcPr>
          <w:p>
            <w:pPr>
              <w:ind w:left="20"/>
              <w:spacing w:after="0"/>
              <w:rPr>
                <w:sz w:val="20"/>
                <w:szCs w:val="20"/>
                <w:color w:val="auto"/>
              </w:rPr>
            </w:pPr>
            <w:r>
              <w:rPr>
                <w:rFonts w:ascii="Arial" w:cs="Arial" w:eastAsia="Arial" w:hAnsi="Arial"/>
                <w:sz w:val="16"/>
                <w:szCs w:val="16"/>
                <w:color w:val="0000FF"/>
              </w:rPr>
              <w:t>1800 AVENUE OF THE STARS, SUITE 300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gridSpan w:val="4"/>
          </w:tcPr>
          <w:p>
            <w:pPr>
              <w:ind w:left="40"/>
              <w:spacing w:after="0"/>
              <w:rPr>
                <w:sz w:val="20"/>
                <w:szCs w:val="20"/>
                <w:color w:val="auto"/>
              </w:rPr>
            </w:pPr>
            <w:r>
              <w:rPr>
                <w:rFonts w:ascii="Arial" w:cs="Arial" w:eastAsia="Arial" w:hAnsi="Arial"/>
                <w:sz w:val="16"/>
                <w:szCs w:val="16"/>
                <w:color w:val="0000FF"/>
              </w:rPr>
              <w:t>CA</w:t>
            </w:r>
          </w:p>
        </w:tc>
        <w:tc>
          <w:tcPr>
            <w:tcW w:w="1060" w:type="dxa"/>
            <w:vAlign w:val="bottom"/>
          </w:tcPr>
          <w:p>
            <w:pPr>
              <w:ind w:left="420"/>
              <w:spacing w:after="0"/>
              <w:rPr>
                <w:sz w:val="20"/>
                <w:szCs w:val="20"/>
                <w:color w:val="auto"/>
              </w:rPr>
            </w:pPr>
            <w:r>
              <w:rPr>
                <w:rFonts w:ascii="Arial" w:cs="Arial" w:eastAsia="Arial" w:hAnsi="Arial"/>
                <w:sz w:val="16"/>
                <w:szCs w:val="16"/>
                <w:color w:val="0000FF"/>
              </w:rPr>
              <w:t>90067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2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7"/>
          </w:tcPr>
          <w:p>
            <w:pPr>
              <w:ind w:left="20"/>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KAFU Holdings II, L.P.</w:t>
              </w:r>
            </w:hyperlink>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420"/>
              <w:spacing w:after="0"/>
              <w:rPr>
                <w:sz w:val="20"/>
                <w:szCs w:val="20"/>
                <w:color w:val="auto"/>
              </w:rPr>
            </w:pPr>
            <w:r>
              <w:rPr>
                <w:rFonts w:ascii="Arial" w:cs="Arial" w:eastAsia="Arial" w:hAnsi="Arial"/>
                <w:sz w:val="13"/>
                <w:szCs w:val="13"/>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-5622290</wp:posOffset>
            </wp:positionV>
            <wp:extent cx="23495" cy="175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175895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1800 AVENUE OF THE STARS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3RD FLOOR</w:t>
      </w:r>
    </w:p>
    <w:p>
      <w:pPr>
        <w:sectPr>
          <w:pgSz w:w="11900" w:h="16838" w:orient="portrait"/>
          <w:cols w:equalWidth="0" w:num="1">
            <w:col w:w="11520"/>
          </w:cols>
          <w:pgMar w:left="240" w:top="219" w:right="139" w:bottom="0" w:gutter="0" w:footer="0" w:header="0"/>
          <w:type w:val="continuous"/>
        </w:sect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520"/>
          </w:cols>
          <w:pgMar w:left="240" w:top="219" w:right="139" w:bottom="0" w:gutter="0" w:footer="0" w:header="0"/>
          <w:type w:val="continuous"/>
        </w:sectPr>
      </w:pPr>
    </w:p>
    <w:bookmarkStart w:id="1" w:name="page2"/>
    <w:bookmarkEnd w:id="1"/>
    <w:tbl>
      <w:tblPr>
        <w:tblLayout w:type="fixed"/>
        <w:tblInd w:w="61" w:type="dxa"/>
        <w:tblCellMar>
          <w:top w:w="0" w:type="dxa"/>
          <w:left w:w="0" w:type="dxa"/>
          <w:bottom w:w="0" w:type="dxa"/>
          <w:right w:w="0" w:type="dxa"/>
        </w:tblCellMar>
      </w:tblPr>
      <w:tr>
        <w:trPr>
          <w:trHeight w:val="208"/>
        </w:trPr>
        <w:tc>
          <w:tcPr>
            <w:tcW w:w="1300" w:type="dxa"/>
            <w:vAlign w:val="bottom"/>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tcPr>
          <w:p>
            <w:pPr>
              <w:ind w:left="160"/>
              <w:spacing w:after="0"/>
              <w:rPr>
                <w:sz w:val="20"/>
                <w:szCs w:val="20"/>
                <w:color w:val="auto"/>
              </w:rPr>
            </w:pPr>
            <w:r>
              <w:rPr>
                <w:rFonts w:ascii="Arial" w:cs="Arial" w:eastAsia="Arial" w:hAnsi="Arial"/>
                <w:sz w:val="16"/>
                <w:szCs w:val="16"/>
                <w:color w:val="0000FF"/>
              </w:rPr>
              <w:t>CA</w:t>
            </w:r>
          </w:p>
        </w:tc>
        <w:tc>
          <w:tcPr>
            <w:tcW w:w="1960" w:type="dxa"/>
            <w:vAlign w:val="bottom"/>
          </w:tcPr>
          <w:p>
            <w:pPr>
              <w:ind w:left="540"/>
              <w:spacing w:after="0"/>
              <w:rPr>
                <w:sz w:val="20"/>
                <w:szCs w:val="20"/>
                <w:color w:val="auto"/>
              </w:rPr>
            </w:pPr>
            <w:r>
              <w:rPr>
                <w:rFonts w:ascii="Arial" w:cs="Arial" w:eastAsia="Arial" w:hAnsi="Arial"/>
                <w:sz w:val="16"/>
                <w:szCs w:val="16"/>
                <w:color w:val="0000FF"/>
              </w:rPr>
              <w:t>90067</w:t>
            </w:r>
          </w:p>
        </w:tc>
      </w:tr>
      <w:tr>
        <w:trPr>
          <w:trHeight w:val="147"/>
        </w:trPr>
        <w:tc>
          <w:tcPr>
            <w:tcW w:w="1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1"/>
        </w:trPr>
        <w:tc>
          <w:tcPr>
            <w:tcW w:w="13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1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-416560</wp:posOffset>
            </wp:positionV>
            <wp:extent cx="2922905" cy="49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2905" cy="494030"/>
                    </a:xfrm>
                    <a:prstGeom prst="rect">
                      <a:avLst/>
                    </a:prstGeom>
                    <a:noFill/>
                  </pic:spPr>
                </pic:pic>
              </a:graphicData>
            </a:graphic>
          </wp:anchor>
        </w:drawing>
      </w:r>
    </w:p>
    <w:p>
      <w:pPr>
        <w:spacing w:after="0" w:line="10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 w:right="40" w:hanging="1"/>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Prior to November 15, 2017, the Reporting Persons may not exercise their Redemption Right if such exercise would result in the redemption (together with any redemptions by the Reporting Persons) of more than 78% of the Class A Units held by the Reporting Persons on November 15, 2016. The Redemption Right does not expire. (Continued on Footnote 2)</w:t>
      </w:r>
    </w:p>
    <w:p>
      <w:pPr>
        <w:spacing w:after="0" w:line="2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29, 2017, KAFU Holdings, L.P. and KAFU Holdings (QP), L.P. exercised the Redemption Right with respect to an aggregate 1,173,528 Class A Units.</w:t>
      </w:r>
    </w:p>
    <w:p>
      <w:pPr>
        <w:spacing w:after="0" w:line="40" w:lineRule="exact"/>
        <w:rPr>
          <w:rFonts w:ascii="Arial" w:cs="Arial" w:eastAsia="Arial" w:hAnsi="Arial"/>
          <w:sz w:val="13"/>
          <w:szCs w:val="13"/>
          <w:color w:val="008000"/>
        </w:rPr>
      </w:pPr>
    </w:p>
    <w:p>
      <w:pPr>
        <w:ind w:left="1" w:right="120" w:hanging="1"/>
        <w:spacing w:after="0" w:line="241"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Holdings, L.P. and KAFU Holdings II, L.P. (Collectively, "KAFU") own an equivalent number of Class A Units, Class B Shares and GP Units. KACALP is the manager of the general partner of KAFU and may be deemed to beneficially own the Class A Units, Class B Shares and GP Units held by KAFU.</w:t>
      </w:r>
    </w:p>
    <w:p>
      <w:pPr>
        <w:spacing w:after="0" w:line="28"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 and KAFU Holdings, L.P.</w:t>
      </w:r>
    </w:p>
    <w:p>
      <w:pPr>
        <w:spacing w:after="0" w:line="40" w:lineRule="exact"/>
        <w:rPr>
          <w:rFonts w:ascii="Arial" w:cs="Arial" w:eastAsia="Arial" w:hAnsi="Arial"/>
          <w:sz w:val="13"/>
          <w:szCs w:val="13"/>
          <w:color w:val="008000"/>
        </w:rPr>
      </w:pPr>
    </w:p>
    <w:p>
      <w:pPr>
        <w:ind w:left="1" w:right="180" w:hanging="1"/>
        <w:spacing w:after="0" w:line="278" w:lineRule="auto"/>
        <w:tabs>
          <w:tab w:leader="none" w:pos="12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38,267 Class A Units, Class B Shares and GP Units were exchanged for a like number of PAGP Class A Shares. The number of derivative securities owned reflects both the redemption transaction reported herein and the simultaneous exchange transaction.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spacing w:after="0" w:line="23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5" w:lineRule="exact"/>
        <w:rPr>
          <w:sz w:val="20"/>
          <w:szCs w:val="20"/>
          <w:color w:val="auto"/>
        </w:rPr>
      </w:pPr>
    </w:p>
    <w:tbl>
      <w:tblPr>
        <w:tblLayout w:type="fixed"/>
        <w:tblInd w:w="6821"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0000FF"/>
                <w:w w:val="94"/>
              </w:rPr>
              <w:t>David Shladovsky</w:t>
            </w:r>
          </w:p>
        </w:tc>
        <w:tc>
          <w:tcPr>
            <w:tcW w:w="8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color w:val="0000FF"/>
                <w:w w:val="89"/>
              </w:rPr>
              <w:t>10/03/2017</w:t>
            </w:r>
          </w:p>
        </w:tc>
      </w:tr>
      <w:tr>
        <w:trPr>
          <w:trHeight w:val="20"/>
        </w:trPr>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4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4020" w:hanging="1"/>
        <w:spacing w:after="0" w:line="326"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1"/>
      </w:cols>
      <w:pgMar w:left="279"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638385" TargetMode="External"/><Relationship Id="rId15"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2020-01-16T05:19:16Z</dcterms:created>
  <dcterms:modified xsi:type="dcterms:W3CDTF">2020-01-16T05:19:16Z</dcterms:modified>
</cp:coreProperties>
</file>