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-603250</wp:posOffset>
            </wp:positionV>
            <wp:extent cx="8255" cy="603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-611505</wp:posOffset>
            </wp:positionV>
            <wp:extent cx="825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-586740</wp:posOffset>
            </wp:positionV>
            <wp:extent cx="1264920" cy="563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920" cy="5632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27940</wp:posOffset>
            </wp:positionV>
            <wp:extent cx="6968490" cy="1607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0782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McGee Richard K.</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PLAINS GP HOLDINGS LP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PAGP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3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01/04/2021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1" w:right="640" w:hanging="1"/>
        <w:spacing w:after="0" w:line="23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81"/>
        <w:spacing w:after="0"/>
        <w:rPr>
          <w:sz w:val="20"/>
          <w:szCs w:val="20"/>
          <w:color w:val="auto"/>
        </w:rPr>
      </w:pPr>
      <w:r>
        <w:rPr>
          <w:rFonts w:ascii="Arial" w:cs="Arial" w:eastAsia="Arial" w:hAnsi="Arial"/>
          <w:sz w:val="17"/>
          <w:szCs w:val="17"/>
          <w:color w:val="0000FF"/>
        </w:rPr>
        <w:t>EVP, General Counsel &amp; Sec.</w:t>
      </w:r>
    </w:p>
    <w:p>
      <w:pPr>
        <w:spacing w:after="0" w:line="297" w:lineRule="exact"/>
        <w:rPr>
          <w:sz w:val="24"/>
          <w:szCs w:val="24"/>
          <w:color w:val="auto"/>
        </w:rPr>
      </w:pPr>
    </w:p>
    <w:p>
      <w:pPr>
        <w:sectPr>
          <w:pgSz w:w="11900" w:h="16838" w:orient="portrait"/>
          <w:cols w:equalWidth="0" w:num="3">
            <w:col w:w="3180" w:space="720"/>
            <w:col w:w="3140" w:space="699"/>
            <w:col w:w="3341"/>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600" w:type="dxa"/>
            <w:vAlign w:val="bottom"/>
            <w:gridSpan w:val="7"/>
            <w:vMerge w:val="restart"/>
          </w:tcPr>
          <w:p>
            <w:pPr>
              <w:jc w:val="center"/>
              <w:ind w:right="1"/>
              <w:spacing w:after="0"/>
              <w:rPr>
                <w:sz w:val="20"/>
                <w:szCs w:val="20"/>
                <w:color w:val="auto"/>
              </w:rPr>
            </w:pPr>
            <w:r>
              <w:rPr>
                <w:rFonts w:ascii="Arial" w:cs="Arial" w:eastAsia="Arial" w:hAnsi="Arial"/>
                <w:sz w:val="13"/>
                <w:szCs w:val="13"/>
                <w:color w:val="auto"/>
                <w:w w:val="98"/>
              </w:rPr>
              <w:t>4. If Amendment, Date of Original Filed (Month/Day/Year)</w:t>
            </w:r>
          </w:p>
        </w:tc>
        <w:tc>
          <w:tcPr>
            <w:tcW w:w="3720" w:type="dxa"/>
            <w:vAlign w:val="bottom"/>
            <w:gridSpan w:val="11"/>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7"/>
            <w:vMerge w:val="continue"/>
          </w:tcPr>
          <w:p>
            <w:pPr>
              <w:spacing w:after="0"/>
              <w:rPr>
                <w:sz w:val="7"/>
                <w:szCs w:val="7"/>
                <w:color w:val="auto"/>
              </w:rPr>
            </w:pPr>
          </w:p>
        </w:tc>
        <w:tc>
          <w:tcPr>
            <w:tcW w:w="37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gridSpan w:val="3"/>
          </w:tcPr>
          <w:p>
            <w:pPr>
              <w:ind w:left="220"/>
              <w:spacing w:after="0" w:line="180" w:lineRule="exact"/>
              <w:rPr>
                <w:sz w:val="20"/>
                <w:szCs w:val="20"/>
                <w:color w:val="auto"/>
              </w:rPr>
            </w:pPr>
            <w:r>
              <w:rPr>
                <w:rFonts w:ascii="Arial" w:cs="Arial" w:eastAsia="Arial" w:hAnsi="Arial"/>
                <w:sz w:val="17"/>
                <w:szCs w:val="17"/>
                <w:color w:val="0000FF"/>
              </w:rPr>
              <w:t>01/05/2021</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80" w:type="dxa"/>
            <w:vAlign w:val="bottom"/>
            <w:gridSpan w:val="4"/>
          </w:tcPr>
          <w:p>
            <w:pPr>
              <w:ind w:left="3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HOUSTON</w:t>
            </w:r>
          </w:p>
        </w:tc>
        <w:tc>
          <w:tcPr>
            <w:tcW w:w="280" w:type="dxa"/>
            <w:vAlign w:val="bottom"/>
          </w:tcPr>
          <w:p>
            <w:pPr>
              <w:ind w:left="40"/>
              <w:spacing w:after="0"/>
              <w:rPr>
                <w:sz w:val="20"/>
                <w:szCs w:val="20"/>
                <w:color w:val="auto"/>
              </w:rPr>
            </w:pPr>
            <w:r>
              <w:rPr>
                <w:rFonts w:ascii="Arial" w:cs="Arial" w:eastAsia="Arial" w:hAnsi="Arial"/>
                <w:sz w:val="17"/>
                <w:szCs w:val="17"/>
                <w:color w:val="0000FF"/>
              </w:rPr>
              <w:t>TX</w:t>
            </w: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gridSpan w:val="8"/>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7160" w:type="dxa"/>
            <w:vAlign w:val="bottom"/>
            <w:tcBorders>
              <w:top w:val="single" w:sz="8" w:color="2C2C2C"/>
            </w:tcBorders>
            <w:gridSpan w:val="14"/>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tcPr>
          <w:p>
            <w:pPr>
              <w:spacing w:after="0"/>
              <w:rPr>
                <w:sz w:val="20"/>
                <w:szCs w:val="20"/>
                <w:color w:val="auto"/>
              </w:rPr>
            </w:pPr>
            <w:r>
              <w:rPr>
                <w:rFonts w:ascii="Arial" w:cs="Arial" w:eastAsia="Arial" w:hAnsi="Arial"/>
                <w:sz w:val="12"/>
                <w:szCs w:val="12"/>
                <w:b w:val="1"/>
                <w:bCs w:val="1"/>
                <w:color w:val="auto"/>
                <w:w w:val="98"/>
              </w:rPr>
              <w:t>2A. Deemed</w:t>
            </w:r>
          </w:p>
        </w:tc>
        <w:tc>
          <w:tcPr>
            <w:tcW w:w="280" w:type="dxa"/>
            <w:vAlign w:val="bottom"/>
          </w:tcPr>
          <w:p>
            <w:pPr>
              <w:spacing w:after="0"/>
              <w:rPr>
                <w:sz w:val="14"/>
                <w:szCs w:val="14"/>
                <w:color w:val="auto"/>
              </w:rPr>
            </w:pPr>
          </w:p>
        </w:tc>
        <w:tc>
          <w:tcPr>
            <w:tcW w:w="780" w:type="dxa"/>
            <w:vAlign w:val="bottom"/>
            <w:gridSpan w:val="2"/>
          </w:tcPr>
          <w:p>
            <w:pPr>
              <w:jc w:val="center"/>
              <w:ind w:right="422"/>
              <w:spacing w:after="0"/>
              <w:rPr>
                <w:sz w:val="20"/>
                <w:szCs w:val="20"/>
                <w:color w:val="auto"/>
              </w:rPr>
            </w:pPr>
            <w:r>
              <w:rPr>
                <w:rFonts w:ascii="Arial" w:cs="Arial" w:eastAsia="Arial" w:hAnsi="Arial"/>
                <w:sz w:val="12"/>
                <w:szCs w:val="12"/>
                <w:b w:val="1"/>
                <w:bCs w:val="1"/>
                <w:color w:val="auto"/>
                <w:w w:val="99"/>
              </w:rPr>
              <w:t>3.</w:t>
            </w:r>
          </w:p>
        </w:tc>
        <w:tc>
          <w:tcPr>
            <w:tcW w:w="17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78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jc w:val="center"/>
              <w:ind w:right="422"/>
              <w:spacing w:after="0" w:line="129" w:lineRule="exact"/>
              <w:rPr>
                <w:sz w:val="20"/>
                <w:szCs w:val="20"/>
                <w:color w:val="auto"/>
              </w:rPr>
            </w:pPr>
            <w:r>
              <w:rPr>
                <w:rFonts w:ascii="Arial" w:cs="Arial" w:eastAsia="Arial" w:hAnsi="Arial"/>
                <w:sz w:val="12"/>
                <w:szCs w:val="12"/>
                <w:b w:val="1"/>
                <w:bCs w:val="1"/>
                <w:color w:val="auto"/>
                <w:w w:val="93"/>
              </w:rPr>
              <w:t>8)</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w w:val="87"/>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14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0" w:type="dxa"/>
            <w:vAlign w:val="bottom"/>
            <w:gridSpan w:val="10"/>
          </w:tcPr>
          <w:p>
            <w:pPr>
              <w:jc w:val="center"/>
              <w:ind w:left="53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w w:val="90"/>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w w:val="90"/>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 (Instr. 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center"/>
              <w:ind w:right="422"/>
              <w:spacing w:after="0" w:line="129" w:lineRule="exact"/>
              <w:rPr>
                <w:sz w:val="20"/>
                <w:szCs w:val="20"/>
                <w:color w:val="auto"/>
              </w:rPr>
            </w:pPr>
            <w:r>
              <w:rPr>
                <w:rFonts w:ascii="Arial" w:cs="Arial" w:eastAsia="Arial" w:hAnsi="Arial"/>
                <w:sz w:val="12"/>
                <w:szCs w:val="12"/>
                <w:b w:val="1"/>
                <w:bCs w:val="1"/>
                <w:color w:val="auto"/>
                <w:w w:val="99"/>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540" w:type="dxa"/>
            <w:vAlign w:val="bottom"/>
          </w:tcPr>
          <w:p>
            <w:pPr>
              <w:ind w:left="100"/>
              <w:spacing w:after="0"/>
              <w:rPr>
                <w:sz w:val="20"/>
                <w:szCs w:val="20"/>
                <w:color w:val="auto"/>
              </w:rPr>
            </w:pPr>
            <w:r>
              <w:rPr>
                <w:rFonts w:ascii="Arial" w:cs="Arial" w:eastAsia="Arial" w:hAnsi="Arial"/>
                <w:sz w:val="13"/>
                <w:szCs w:val="13"/>
                <w:color w:val="0000FF"/>
              </w:rPr>
              <w:t>Class</w:t>
            </w:r>
          </w:p>
        </w:tc>
        <w:tc>
          <w:tcPr>
            <w:tcW w:w="580" w:type="dxa"/>
            <w:vAlign w:val="bottom"/>
            <w:vMerge w:val="restart"/>
          </w:tcPr>
          <w:p>
            <w:pPr>
              <w:ind w:left="20"/>
              <w:spacing w:after="0"/>
              <w:rPr>
                <w:sz w:val="20"/>
                <w:szCs w:val="20"/>
                <w:color w:val="auto"/>
              </w:rPr>
            </w:pPr>
            <w:r>
              <w:rPr>
                <w:rFonts w:ascii="Arial" w:cs="Arial" w:eastAsia="Arial" w:hAnsi="Arial"/>
                <w:sz w:val="17"/>
                <w:szCs w:val="17"/>
                <w:color w:val="0000FF"/>
                <w:w w:val="87"/>
              </w:rPr>
              <w:t>230,338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3"/>
                <w:szCs w:val="13"/>
                <w:color w:val="0000FF"/>
              </w:rPr>
              <w:t>414,607</w:t>
            </w:r>
            <w:r>
              <w:rPr>
                <w:rFonts w:ascii="Arial" w:cs="Arial" w:eastAsia="Arial" w:hAnsi="Arial"/>
                <w:sz w:val="21"/>
                <w:szCs w:val="21"/>
                <w:color w:val="008000"/>
                <w:vertAlign w:val="superscript"/>
              </w:rPr>
              <w:t>(2)</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97"/>
              </w:rPr>
              <w:t>Units/Class</w:t>
            </w:r>
          </w:p>
        </w:tc>
        <w:tc>
          <w:tcPr>
            <w:tcW w:w="56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280" w:type="dxa"/>
            <w:vAlign w:val="bottom"/>
          </w:tcPr>
          <w:p>
            <w:pPr>
              <w:spacing w:after="0"/>
              <w:rPr>
                <w:sz w:val="12"/>
                <w:szCs w:val="12"/>
                <w:color w:val="auto"/>
              </w:rPr>
            </w:pPr>
          </w:p>
        </w:tc>
        <w:tc>
          <w:tcPr>
            <w:tcW w:w="960" w:type="dxa"/>
            <w:vAlign w:val="bottom"/>
          </w:tcPr>
          <w:p>
            <w:pPr>
              <w:ind w:left="180"/>
              <w:spacing w:after="0" w:line="141" w:lineRule="exact"/>
              <w:rPr>
                <w:sz w:val="20"/>
                <w:szCs w:val="20"/>
                <w:color w:val="auto"/>
              </w:rPr>
            </w:pPr>
            <w:r>
              <w:rPr>
                <w:rFonts w:ascii="Arial" w:cs="Arial" w:eastAsia="Arial" w:hAnsi="Arial"/>
                <w:sz w:val="13"/>
                <w:szCs w:val="13"/>
                <w:color w:val="0000FF"/>
              </w:rPr>
              <w:t>01/04/2021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1" w:lineRule="exact"/>
              <w:rPr>
                <w:sz w:val="20"/>
                <w:szCs w:val="20"/>
                <w:color w:val="auto"/>
              </w:rPr>
            </w:pPr>
            <w:r>
              <w:rPr>
                <w:rFonts w:ascii="Arial" w:cs="Arial" w:eastAsia="Arial" w:hAnsi="Arial"/>
                <w:sz w:val="13"/>
                <w:szCs w:val="13"/>
                <w:color w:val="0000FF"/>
              </w:rPr>
              <w:t>M</w:t>
            </w:r>
          </w:p>
        </w:tc>
        <w:tc>
          <w:tcPr>
            <w:tcW w:w="700" w:type="dxa"/>
            <w:vAlign w:val="bottom"/>
          </w:tcPr>
          <w:p>
            <w:pPr>
              <w:ind w:left="160"/>
              <w:spacing w:after="0" w:line="141" w:lineRule="exact"/>
              <w:rPr>
                <w:sz w:val="20"/>
                <w:szCs w:val="20"/>
                <w:color w:val="auto"/>
              </w:rPr>
            </w:pPr>
            <w:r>
              <w:rPr>
                <w:rFonts w:ascii="Arial" w:cs="Arial" w:eastAsia="Arial" w:hAnsi="Arial"/>
                <w:sz w:val="13"/>
                <w:szCs w:val="13"/>
                <w:color w:val="0000FF"/>
              </w:rPr>
              <w:t>230,338</w:t>
            </w: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540" w:type="dxa"/>
            <w:vAlign w:val="bottom"/>
          </w:tcPr>
          <w:p>
            <w:pPr>
              <w:ind w:left="200"/>
              <w:spacing w:after="0" w:line="141" w:lineRule="exact"/>
              <w:rPr>
                <w:sz w:val="20"/>
                <w:szCs w:val="20"/>
                <w:color w:val="auto"/>
              </w:rPr>
            </w:pPr>
            <w:r>
              <w:rPr>
                <w:rFonts w:ascii="Arial" w:cs="Arial" w:eastAsia="Arial" w:hAnsi="Arial"/>
                <w:sz w:val="13"/>
                <w:szCs w:val="13"/>
                <w:color w:val="0000FF"/>
              </w:rPr>
              <w:t>A</w:t>
            </w:r>
          </w:p>
        </w:tc>
        <w:tc>
          <w:tcPr>
            <w:tcW w:w="580" w:type="dxa"/>
            <w:vAlign w:val="bottom"/>
            <w:vMerge w:val="continue"/>
          </w:tcPr>
          <w:p>
            <w:pPr>
              <w:spacing w:after="0"/>
              <w:rPr>
                <w:sz w:val="12"/>
                <w:szCs w:val="12"/>
                <w:color w:val="auto"/>
              </w:rPr>
            </w:pPr>
          </w:p>
        </w:tc>
        <w:tc>
          <w:tcPr>
            <w:tcW w:w="800" w:type="dxa"/>
            <w:vAlign w:val="bottom"/>
            <w:gridSpan w:val="3"/>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 Shares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Shares</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-2585720</wp:posOffset>
            </wp:positionV>
            <wp:extent cx="7033895" cy="2627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62763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36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Reporting Person has the right, at any time and from time to time, to exchange (the "Exchange Right") his Class A Units of AAP, together with a like number of Class B Shares of Plains GP Holdings, L.P. ("PAGP"), for Class A Shares of PAGP on a one-for-one basis. Reporting Person has not yet exercised the Exchange Right; the Exchange Right does not expire.</w:t>
      </w:r>
    </w:p>
    <w:p>
      <w:pPr>
        <w:sectPr>
          <w:pgSz w:w="11900" w:h="16838" w:orient="portrait"/>
          <w:cols w:equalWidth="0" w:num="1">
            <w:col w:w="11080"/>
          </w:cols>
          <w:pgMar w:left="460" w:top="221" w:right="359" w:bottom="144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2. This amendment to Form 4 is being filed to correct the total number of derivative securities in Column 9.</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Ann F. Gullion,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1905</wp:posOffset>
            </wp:positionV>
            <wp:extent cx="1314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in-fact for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-9525</wp:posOffset>
            </wp:positionV>
            <wp:extent cx="1193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spacing w:after="0" w:line="5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0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color w:val="0000FF"/>
        </w:rPr>
        <w:t>01/19/2021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8" w:lineRule="exact"/>
        <w:rPr>
          <w:sz w:val="24"/>
          <w:szCs w:val="24"/>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90023" TargetMode="External"/><Relationship Id="rId14"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2021-01-19T17:15:16Z</dcterms:created>
  <dcterms:modified xsi:type="dcterms:W3CDTF">2021-01-19T17:15:16Z</dcterms:modified>
</cp:coreProperties>
</file>