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PAA GP Holdings LLC</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0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7"/>
                <w:szCs w:val="17"/>
                <w:color w:val="0000FF"/>
                <w:w w:val="97"/>
              </w:rPr>
              <w:t>333 CLAY STREET, STE. 1600</w:t>
            </w:r>
          </w:p>
        </w:tc>
        <w:tc>
          <w:tcPr>
            <w:tcW w:w="12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340" w:type="dxa"/>
            <w:vAlign w:val="bottom"/>
          </w:tcPr>
          <w:p>
            <w:pPr>
              <w:ind w:left="200"/>
              <w:spacing w:after="0"/>
              <w:rPr>
                <w:sz w:val="20"/>
                <w:szCs w:val="20"/>
                <w:color w:val="auto"/>
              </w:rPr>
            </w:pPr>
            <w:r>
              <w:rPr>
                <w:rFonts w:ascii="Arial" w:cs="Arial" w:eastAsia="Arial" w:hAnsi="Arial"/>
                <w:sz w:val="17"/>
                <w:szCs w:val="17"/>
                <w:color w:val="0000FF"/>
              </w:rPr>
              <w:t>TX</w:t>
            </w:r>
          </w:p>
        </w:tc>
        <w:tc>
          <w:tcPr>
            <w:tcW w:w="1280" w:type="dxa"/>
            <w:vAlign w:val="bottom"/>
          </w:tcPr>
          <w:p>
            <w:pPr>
              <w:ind w:left="8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00"/>
              <w:spacing w:after="0"/>
              <w:rPr>
                <w:sz w:val="20"/>
                <w:szCs w:val="20"/>
                <w:color w:val="auto"/>
              </w:rPr>
            </w:pPr>
            <w:r>
              <w:rPr>
                <w:rFonts w:ascii="Arial" w:cs="Arial" w:eastAsia="Arial" w:hAnsi="Arial"/>
                <w:sz w:val="13"/>
                <w:szCs w:val="13"/>
                <w:color w:val="auto"/>
              </w:rPr>
              <w:t>(State)</w:t>
            </w:r>
          </w:p>
        </w:tc>
        <w:tc>
          <w:tcPr>
            <w:tcW w:w="128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jc w:val="right"/>
              <w:spacing w:after="0"/>
              <w:rPr>
                <w:sz w:val="20"/>
                <w:szCs w:val="20"/>
                <w:color w:val="auto"/>
              </w:rPr>
            </w:pPr>
            <w:r>
              <w:rPr>
                <w:rFonts w:ascii="Arial" w:cs="Arial" w:eastAsia="Arial" w:hAnsi="Arial"/>
                <w:sz w:val="13"/>
                <w:szCs w:val="13"/>
                <w:color w:val="auto"/>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5520" w:type="dxa"/>
            <w:vAlign w:val="bottom"/>
            <w:gridSpan w:val="5"/>
          </w:tcPr>
          <w:p>
            <w:pPr>
              <w:ind w:left="80"/>
              <w:spacing w:after="0" w:line="207" w:lineRule="exact"/>
              <w:rPr>
                <w:rFonts w:ascii="Arial" w:cs="Arial" w:eastAsia="Arial" w:hAnsi="Arial"/>
                <w:sz w:val="20"/>
                <w:szCs w:val="20"/>
                <w:color w:val="0000EE"/>
              </w:rPr>
            </w:pPr>
            <w:hyperlink r:id="rId14">
              <w:r>
                <w:rPr>
                  <w:rFonts w:ascii="Arial" w:cs="Arial" w:eastAsia="Arial" w:hAnsi="Arial"/>
                  <w:sz w:val="20"/>
                  <w:szCs w:val="20"/>
                  <w:u w:val="single" w:color="auto"/>
                  <w:color w:val="0000EE"/>
                </w:rPr>
                <w:t>PLAINS ALL AMERICAN PIPELINE LP</w:t>
              </w:r>
              <w:r>
                <w:rPr>
                  <w:rFonts w:ascii="Arial" w:cs="Arial" w:eastAsia="Arial" w:hAnsi="Arial"/>
                  <w:sz w:val="20"/>
                  <w:szCs w:val="20"/>
                  <w:color w:val="0000EE"/>
                </w:rPr>
                <w:t xml:space="preserve">  </w:t>
              </w:r>
            </w:hyperlink>
            <w:r>
              <w:rPr>
                <w:rFonts w:ascii="Arial" w:cs="Arial" w:eastAsia="Arial" w:hAnsi="Arial"/>
                <w:sz w:val="24"/>
                <w:szCs w:val="24"/>
                <w:color w:val="000000"/>
                <w:vertAlign w:val="superscript"/>
              </w:rPr>
              <w:t>(Check</w:t>
            </w:r>
            <w:r>
              <w:rPr>
                <w:rFonts w:ascii="Arial" w:cs="Arial" w:eastAsia="Arial" w:hAnsi="Arial"/>
                <w:sz w:val="20"/>
                <w:szCs w:val="20"/>
                <w:color w:val="0000EE"/>
              </w:rPr>
              <w:t xml:space="preserve"> </w:t>
            </w:r>
            <w:r>
              <w:rPr>
                <w:rFonts w:ascii="Arial" w:cs="Arial" w:eastAsia="Arial" w:hAnsi="Arial"/>
                <w:sz w:val="24"/>
                <w:szCs w:val="24"/>
                <w:color w:val="000000"/>
                <w:vertAlign w:val="superscript"/>
              </w:rPr>
              <w:t>all applicable)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820" w:type="dxa"/>
            <w:vAlign w:val="bottom"/>
            <w:gridSpan w:val="2"/>
          </w:tcPr>
          <w:p>
            <w:pPr>
              <w:ind w:left="80"/>
              <w:spacing w:after="0" w:line="147" w:lineRule="exact"/>
              <w:rPr>
                <w:sz w:val="20"/>
                <w:szCs w:val="20"/>
                <w:color w:val="auto"/>
              </w:rPr>
            </w:pPr>
            <w:r>
              <w:rPr>
                <w:rFonts w:ascii="Arial" w:cs="Arial" w:eastAsia="Arial" w:hAnsi="Arial"/>
                <w:sz w:val="16"/>
                <w:szCs w:val="16"/>
                <w:color w:val="auto"/>
              </w:rPr>
              <w:t>[</w:t>
            </w:r>
            <w:r>
              <w:rPr>
                <w:rFonts w:ascii="Arial" w:cs="Arial" w:eastAsia="Arial" w:hAnsi="Arial"/>
                <w:sz w:val="13"/>
                <w:szCs w:val="13"/>
                <w:color w:val="0000FF"/>
              </w:rPr>
              <w:t>PAA</w:t>
            </w: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300" w:type="dxa"/>
            <w:vAlign w:val="bottom"/>
          </w:tcPr>
          <w:p>
            <w:pPr>
              <w:ind w:left="80"/>
              <w:spacing w:after="0" w:line="147" w:lineRule="exact"/>
              <w:rPr>
                <w:sz w:val="20"/>
                <w:szCs w:val="20"/>
                <w:color w:val="auto"/>
              </w:rPr>
            </w:pPr>
            <w:r>
              <w:rPr>
                <w:rFonts w:ascii="Arial" w:cs="Arial" w:eastAsia="Arial" w:hAnsi="Arial"/>
                <w:sz w:val="16"/>
                <w:szCs w:val="16"/>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continue"/>
          </w:tcPr>
          <w:p>
            <w:pPr>
              <w:spacing w:after="0"/>
              <w:rPr>
                <w:sz w:val="12"/>
                <w:szCs w:val="12"/>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4"/>
                <w:szCs w:val="4"/>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3"/>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0" w:type="dxa"/>
            <w:vAlign w:val="bottom"/>
            <w:vMerge w:val="continue"/>
          </w:tcPr>
          <w:p>
            <w:pPr>
              <w:spacing w:after="0"/>
              <w:rPr>
                <w:sz w:val="8"/>
                <w:szCs w:val="8"/>
                <w:color w:val="auto"/>
              </w:rPr>
            </w:pPr>
          </w:p>
        </w:tc>
        <w:tc>
          <w:tcPr>
            <w:tcW w:w="3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11/13/2020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jc w:val="right"/>
              <w:spacing w:after="0"/>
              <w:rPr>
                <w:sz w:val="20"/>
                <w:szCs w:val="20"/>
                <w:color w:val="auto"/>
              </w:rPr>
            </w:pPr>
            <w:r>
              <w:rPr>
                <w:rFonts w:ascii="Arial" w:cs="Arial" w:eastAsia="Arial" w:hAnsi="Arial"/>
                <w:sz w:val="13"/>
                <w:szCs w:val="13"/>
                <w:color w:val="auto"/>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168910</wp:posOffset>
            </wp:positionV>
            <wp:extent cx="6964045" cy="1531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531620"/>
                    </a:xfrm>
                    <a:prstGeom prst="rect">
                      <a:avLst/>
                    </a:prstGeom>
                    <a:noFill/>
                  </pic:spPr>
                </pic:pic>
              </a:graphicData>
            </a:graphic>
          </wp:anchor>
        </w:drawing>
      </w:r>
    </w:p>
    <w:p>
      <w:pPr>
        <w:spacing w:after="0" w:line="327"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3"/>
                <w:szCs w:val="13"/>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3"/>
                <w:szCs w:val="13"/>
                <w:color w:val="auto"/>
              </w:rPr>
            </w:pPr>
          </w:p>
        </w:tc>
        <w:tc>
          <w:tcPr>
            <w:tcW w:w="112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0" w:type="dxa"/>
            <w:vAlign w:val="bottom"/>
          </w:tcPr>
          <w:p>
            <w:pPr>
              <w:spacing w:after="0"/>
              <w:rPr>
                <w:sz w:val="11"/>
                <w:szCs w:val="11"/>
                <w:color w:val="auto"/>
              </w:rPr>
            </w:pPr>
          </w:p>
        </w:tc>
        <w:tc>
          <w:tcPr>
            <w:tcW w:w="4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0" w:type="dxa"/>
            <w:vAlign w:val="bottom"/>
            <w:gridSpan w:val="5"/>
            <w:vMerge w:val="restart"/>
          </w:tcPr>
          <w:p>
            <w:pPr>
              <w:ind w:left="60"/>
              <w:spacing w:after="0"/>
              <w:rPr>
                <w:sz w:val="20"/>
                <w:szCs w:val="20"/>
                <w:color w:val="auto"/>
              </w:rPr>
            </w:pPr>
            <w:r>
              <w:rPr>
                <w:rFonts w:ascii="Arial" w:cs="Arial" w:eastAsia="Arial" w:hAnsi="Arial"/>
                <w:sz w:val="17"/>
                <w:szCs w:val="17"/>
                <w:color w:val="0000FF"/>
                <w:w w:val="99"/>
              </w:rPr>
              <w:t>Common Units (Limited Partner Interests)</w:t>
            </w: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7"/>
                <w:szCs w:val="17"/>
                <w:color w:val="0000FF"/>
              </w:rPr>
              <w:t>11/13/2020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00" w:type="dxa"/>
            <w:vAlign w:val="bottom"/>
            <w:vMerge w:val="restart"/>
          </w:tcPr>
          <w:p>
            <w:pPr>
              <w:ind w:left="220"/>
              <w:spacing w:after="0"/>
              <w:rPr>
                <w:sz w:val="20"/>
                <w:szCs w:val="20"/>
                <w:color w:val="auto"/>
              </w:rPr>
            </w:pPr>
            <w:r>
              <w:rPr>
                <w:rFonts w:ascii="Arial" w:cs="Arial" w:eastAsia="Arial" w:hAnsi="Arial"/>
                <w:sz w:val="17"/>
                <w:szCs w:val="17"/>
                <w:color w:val="0000FF"/>
              </w:rPr>
              <w:t>8,073</w:t>
            </w:r>
          </w:p>
        </w:tc>
        <w:tc>
          <w:tcPr>
            <w:tcW w:w="44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18"/>
                <w:szCs w:val="18"/>
                <w:color w:val="auto"/>
              </w:rPr>
            </w:pPr>
          </w:p>
        </w:tc>
        <w:tc>
          <w:tcPr>
            <w:tcW w:w="540" w:type="dxa"/>
            <w:vAlign w:val="bottom"/>
            <w:gridSpan w:val="3"/>
            <w:vMerge w:val="restart"/>
          </w:tcPr>
          <w:p>
            <w:pPr>
              <w:jc w:val="right"/>
              <w:ind w:right="80"/>
              <w:spacing w:after="0" w:line="382"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20" w:type="dxa"/>
            <w:vAlign w:val="bottom"/>
            <w:gridSpan w:val="2"/>
            <w:vMerge w:val="restart"/>
          </w:tcPr>
          <w:p>
            <w:pPr>
              <w:ind w:left="160"/>
              <w:spacing w:after="0"/>
              <w:rPr>
                <w:sz w:val="20"/>
                <w:szCs w:val="20"/>
                <w:color w:val="auto"/>
              </w:rPr>
            </w:pPr>
            <w:r>
              <w:rPr>
                <w:rFonts w:ascii="Arial" w:cs="Arial" w:eastAsia="Arial" w:hAnsi="Arial"/>
                <w:sz w:val="17"/>
                <w:szCs w:val="17"/>
                <w:color w:val="0000FF"/>
              </w:rPr>
              <w:t>245,774,688</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Plains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00" w:type="dxa"/>
            <w:vAlign w:val="bottom"/>
            <w:gridSpan w:val="5"/>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AAP,</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20" w:type="dxa"/>
            <w:vAlign w:val="bottom"/>
            <w:tcBorders>
              <w:top w:val="single" w:sz="8" w:color="2C2C2C"/>
            </w:tcBorders>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9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PAA GP Holdings LLC</w:t>
              </w:r>
            </w:hyperlink>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333 CLAY STREET, STE. 1600</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tcPr>
          <w:p>
            <w:pPr>
              <w:ind w:left="20"/>
              <w:spacing w:after="0"/>
              <w:rPr>
                <w:sz w:val="20"/>
                <w:szCs w:val="20"/>
                <w:color w:val="auto"/>
              </w:rPr>
            </w:pPr>
            <w:r>
              <w:rPr>
                <w:rFonts w:ascii="Arial" w:cs="Arial" w:eastAsia="Arial" w:hAnsi="Arial"/>
                <w:sz w:val="17"/>
                <w:szCs w:val="17"/>
                <w:color w:val="0000FF"/>
              </w:rPr>
              <w:t>TX</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77002</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540" w:type="dxa"/>
            <w:vAlign w:val="bottom"/>
          </w:tcPr>
          <w:p>
            <w:pPr>
              <w:ind w:left="2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Plains AAP, L.P.</w:t>
              </w:r>
            </w:hyperlink>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333 CLAY STREET, SUITE 1600</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tcPr>
          <w:p>
            <w:pPr>
              <w:ind w:left="20"/>
              <w:spacing w:after="0"/>
              <w:rPr>
                <w:sz w:val="20"/>
                <w:szCs w:val="20"/>
                <w:color w:val="auto"/>
              </w:rPr>
            </w:pPr>
            <w:r>
              <w:rPr>
                <w:rFonts w:ascii="Arial" w:cs="Arial" w:eastAsia="Arial" w:hAnsi="Arial"/>
                <w:sz w:val="17"/>
                <w:szCs w:val="17"/>
                <w:color w:val="0000FF"/>
              </w:rPr>
              <w:t>TX</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77002</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540" w:type="dxa"/>
            <w:vAlign w:val="bottom"/>
          </w:tcPr>
          <w:p>
            <w:pPr>
              <w:ind w:left="2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tcBorders>
              <w:bottom w:val="single" w:sz="8" w:color="2C2C2C"/>
            </w:tcBorders>
            <w:gridSpan w:val="4"/>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w w:val="97"/>
              </w:rPr>
            </w:pPr>
            <w:hyperlink r:id="rId17">
              <w:r>
                <w:rPr>
                  <w:rFonts w:ascii="Arial" w:cs="Arial" w:eastAsia="Arial" w:hAnsi="Arial"/>
                  <w:sz w:val="21"/>
                  <w:szCs w:val="21"/>
                  <w:u w:val="single" w:color="auto"/>
                  <w:color w:val="0000EE"/>
                  <w:w w:val="97"/>
                </w:rPr>
                <w:t>Plains All American GP LLC</w:t>
              </w:r>
            </w:hyperlink>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-5744845</wp:posOffset>
            </wp:positionV>
            <wp:extent cx="7031355" cy="6151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031355" cy="615188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333 CLAY STREET, SUITE 1600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151130</wp:posOffset>
            </wp:positionV>
            <wp:extent cx="26485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40" w:type="dxa"/>
            <w:vAlign w:val="bottom"/>
          </w:tcPr>
          <w:p>
            <w:pPr>
              <w:ind w:left="280"/>
              <w:spacing w:after="0"/>
              <w:rPr>
                <w:sz w:val="20"/>
                <w:szCs w:val="20"/>
                <w:color w:val="auto"/>
              </w:rPr>
            </w:pPr>
            <w:r>
              <w:rPr>
                <w:rFonts w:ascii="Arial" w:cs="Arial" w:eastAsia="Arial" w:hAnsi="Arial"/>
                <w:sz w:val="17"/>
                <w:szCs w:val="17"/>
                <w:color w:val="0000FF"/>
              </w:rPr>
              <w:t>TX</w:t>
            </w:r>
          </w:p>
        </w:tc>
        <w:tc>
          <w:tcPr>
            <w:tcW w:w="1500" w:type="dxa"/>
            <w:vAlign w:val="bottom"/>
          </w:tcPr>
          <w:p>
            <w:pPr>
              <w:ind w:left="14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PLAINS GP HOLDINGS LP</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tcPr>
          <w:p>
            <w:pPr>
              <w:ind w:left="2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333 CLAY ST., SUITE 1600</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40" w:type="dxa"/>
            <w:vAlign w:val="bottom"/>
          </w:tcPr>
          <w:p>
            <w:pPr>
              <w:ind w:left="280"/>
              <w:spacing w:after="0"/>
              <w:rPr>
                <w:sz w:val="20"/>
                <w:szCs w:val="20"/>
                <w:color w:val="auto"/>
              </w:rPr>
            </w:pPr>
            <w:r>
              <w:rPr>
                <w:rFonts w:ascii="Arial" w:cs="Arial" w:eastAsia="Arial" w:hAnsi="Arial"/>
                <w:sz w:val="17"/>
                <w:szCs w:val="17"/>
                <w:color w:val="0000FF"/>
              </w:rPr>
              <w:t>TX</w:t>
            </w:r>
          </w:p>
        </w:tc>
        <w:tc>
          <w:tcPr>
            <w:tcW w:w="1500" w:type="dxa"/>
            <w:vAlign w:val="bottom"/>
          </w:tcPr>
          <w:p>
            <w:pPr>
              <w:ind w:left="14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2276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783840" cy="22764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8"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that certain Omnibus Agreement (the "Omnibus Agreement") dated November 15, 2016, by and among PAA GP Holdings LLC ("PAGP GP"), Plains GP Holdings, L.P. ("PAGP"), Plains All American GP LLC ("GP LLC"), Plains AAP, L.P. ("AAP"), PAA GP LLC and Plains All American Pipeline, L.P. ("PAA"), AAP is obligated to issue to PAGP a number of AAP Class A units equal to the number of PAGP Class A shares issued upon vesting of awards under PAGP's long-term incentive plan. The Omnibus Agreement also provides that immediately following such issuance, PAA is obligated to issue to AAP an equivalent number of PAA Common Units. On November 13, 2020, 8,073 PAGP Class A shares were issued in connection with the vesting of outstanding LTIP awards under PAGP's long-term incentive plan. An equal number of AAP Class A units was issued to PAGP and an equal number of PAA Common Units was issued to AAP.</w:t>
      </w:r>
    </w:p>
    <w:p>
      <w:pPr>
        <w:spacing w:after="0" w:line="15" w:lineRule="exact"/>
        <w:rPr>
          <w:rFonts w:ascii="Arial" w:cs="Arial" w:eastAsia="Arial" w:hAnsi="Arial"/>
          <w:sz w:val="12"/>
          <w:szCs w:val="12"/>
          <w:color w:val="008000"/>
        </w:rPr>
      </w:pPr>
    </w:p>
    <w:p>
      <w:pPr>
        <w:ind w:left="20" w:right="500" w:firstLine="7"/>
        <w:spacing w:after="0" w:line="292"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 F. Gullion, Assistant</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11/16/2020</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Secretary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4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1" Type="http://schemas.openxmlformats.org/officeDocument/2006/relationships/image" Target="media/image9.png"/><Relationship Id="rId13" Type="http://schemas.openxmlformats.org/officeDocument/2006/relationships/hyperlink" Target="http://www.sec.gov/cgi-bin/browse-edgar?action=getcompany&amp;CIK=0001581928" TargetMode="External"/><Relationship Id="rId14" Type="http://schemas.openxmlformats.org/officeDocument/2006/relationships/hyperlink" Target="http://www.sec.gov/cgi-bin/browse-edgar?action=getcompany&amp;CIK=0001070423" TargetMode="External"/><Relationship Id="rId16" Type="http://schemas.openxmlformats.org/officeDocument/2006/relationships/hyperlink" Target="http://www.sec.gov/cgi-bin/browse-edgar?action=getcompany&amp;CIK=0001490401" TargetMode="External"/><Relationship Id="rId17" Type="http://schemas.openxmlformats.org/officeDocument/2006/relationships/hyperlink" Target="http://www.sec.gov/cgi-bin/browse-edgar?action=getcompany&amp;CIK=0001490402" TargetMode="External"/><Relationship Id="rId20"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2020-11-16T15:51:30Z</dcterms:created>
  <dcterms:modified xsi:type="dcterms:W3CDTF">2020-11-16T15:51:30Z</dcterms:modified>
</cp:coreProperties>
</file>