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Plains GP Holdings, L.P.</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333 Clay Street, Suite 1600</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Houston, TX 77002</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September 21, 2016</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H. Roger Schwall</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20549-3561</w:t>
      </w:r>
    </w:p>
    <w:p>
      <w:pPr>
        <w:sectPr>
          <w:pgSz w:w="11900" w:h="16838" w:orient="portrait"/>
          <w:cols w:equalWidth="0" w:num="1">
            <w:col w:w="11420"/>
          </w:cols>
          <w:pgMar w:left="240" w:top="445" w:right="239" w:bottom="1062"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Plains GP Holdings, L.P.</w:t>
      </w:r>
    </w:p>
    <w:p>
      <w:pPr>
        <w:spacing w:after="0" w:line="2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Revised Preliminary Proxy Statement on Schedule 14A</w:t>
      </w:r>
    </w:p>
    <w:p>
      <w:pPr>
        <w:spacing w:after="0" w:line="2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Filed September 9, 2016</w:t>
      </w:r>
    </w:p>
    <w:p>
      <w:pPr>
        <w:spacing w:after="0" w:line="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File No. 1-36132</w:t>
      </w:r>
    </w:p>
    <w:p>
      <w:pPr>
        <w:spacing w:after="0" w:line="200" w:lineRule="exact"/>
        <w:rPr>
          <w:sz w:val="24"/>
          <w:szCs w:val="24"/>
          <w:color w:val="auto"/>
        </w:rPr>
      </w:pPr>
    </w:p>
    <w:p>
      <w:pPr>
        <w:sectPr>
          <w:pgSz w:w="11900" w:h="16838" w:orient="portrait"/>
          <w:cols w:equalWidth="0" w:num="2">
            <w:col w:w="260" w:space="380"/>
            <w:col w:w="10780"/>
          </w:cols>
          <w:pgMar w:left="240" w:top="445" w:right="239" w:bottom="1062"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ind w:right="180" w:firstLine="648"/>
        <w:spacing w:after="0" w:line="262" w:lineRule="auto"/>
        <w:rPr>
          <w:sz w:val="20"/>
          <w:szCs w:val="20"/>
          <w:color w:val="auto"/>
        </w:rPr>
      </w:pPr>
      <w:r>
        <w:rPr>
          <w:rFonts w:ascii="Times New Roman" w:cs="Times New Roman" w:eastAsia="Times New Roman" w:hAnsi="Times New Roman"/>
          <w:sz w:val="18"/>
          <w:szCs w:val="18"/>
          <w:color w:val="auto"/>
        </w:rPr>
        <w:t>Set forth below are the responses of Plains GP Holdings, L.P.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 to comments received from the staff of the Division of Corporation Finance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by letter dated September 20, 2016, with respect to Amendment No. 1 to the Preliminary Proxy Statement on Schedule 14A, File No. 1-36132, filed with the Commission on September 9, 2016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 The Company has filed a revised Preliminary Proxy Statement concurrently herewith on EDGAR (the “</w:t>
      </w:r>
      <w:r>
        <w:rPr>
          <w:rFonts w:ascii="Times New Roman" w:cs="Times New Roman" w:eastAsia="Times New Roman" w:hAnsi="Times New Roman"/>
          <w:sz w:val="18"/>
          <w:szCs w:val="18"/>
          <w:b w:val="1"/>
          <w:bCs w:val="1"/>
          <w:i w:val="1"/>
          <w:iCs w:val="1"/>
          <w:color w:val="auto"/>
        </w:rPr>
        <w:t>Revised Proxy Statement</w:t>
      </w:r>
      <w:r>
        <w:rPr>
          <w:rFonts w:ascii="Times New Roman" w:cs="Times New Roman" w:eastAsia="Times New Roman" w:hAnsi="Times New Roman"/>
          <w:sz w:val="18"/>
          <w:szCs w:val="18"/>
          <w:color w:val="auto"/>
        </w:rPr>
        <w:t>”).</w:t>
      </w:r>
    </w:p>
    <w:p>
      <w:pPr>
        <w:spacing w:after="0" w:line="181" w:lineRule="exact"/>
        <w:rPr>
          <w:sz w:val="24"/>
          <w:szCs w:val="24"/>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For your convenience, each response is prefaced by the exact text of the Staff’s corresponding comment in bold, italicized text. All references to page numbers and captions correspond to the Proxy Statement unless otherwise specified.</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Opinion of the Financial Advisor to the PAGP GP Board, page 60</w:t>
      </w:r>
    </w:p>
    <w:p>
      <w:pPr>
        <w:spacing w:after="0" w:line="225" w:lineRule="exact"/>
        <w:rPr>
          <w:sz w:val="24"/>
          <w:szCs w:val="24"/>
          <w:color w:val="auto"/>
        </w:rPr>
      </w:pPr>
    </w:p>
    <w:p>
      <w:pPr>
        <w:ind w:left="660" w:right="380" w:hanging="652"/>
        <w:spacing w:after="0" w:line="268" w:lineRule="auto"/>
        <w:tabs>
          <w:tab w:leader="none" w:pos="66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Please disclose all of the analyses that Jeffries presented to the PAGP board in connection with the rendering of its opinion, and include summaries of all the material analyses. In that regard, we note that there appears to be no discussion in the proxy statement of the historical exchange ratio analysis or the accretion / dilution analysis.</w:t>
      </w:r>
    </w:p>
    <w:p>
      <w:pPr>
        <w:spacing w:after="0" w:line="174" w:lineRule="exact"/>
        <w:rPr>
          <w:rFonts w:ascii="Times New Roman" w:cs="Times New Roman" w:eastAsia="Times New Roman" w:hAnsi="Times New Roman"/>
          <w:sz w:val="18"/>
          <w:szCs w:val="18"/>
          <w:b w:val="1"/>
          <w:bCs w:val="1"/>
          <w:i w:val="1"/>
          <w:iCs w:val="1"/>
          <w:color w:val="auto"/>
        </w:rPr>
      </w:pPr>
    </w:p>
    <w:p>
      <w:pPr>
        <w:ind w:left="660" w:right="8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has revised the Proxy Statement to disclose all of the analyses that Jefferies presented to the PAGP GP board, as well as to identify which of such analyses Jefferies used for purposes of its fairness opinion. Please note that we have also added a cross reference to such disclosure noting that such analyses (the public companies analysis and discounted cash flow analysis) are summarized later in the Proxy Statement. Please see page 63 of the Revised Proxy Statement.</w:t>
      </w:r>
    </w:p>
    <w:p>
      <w:pPr>
        <w:spacing w:after="0" w:line="176" w:lineRule="exact"/>
        <w:rPr>
          <w:rFonts w:ascii="Times New Roman" w:cs="Times New Roman" w:eastAsia="Times New Roman" w:hAnsi="Times New Roman"/>
          <w:sz w:val="18"/>
          <w:szCs w:val="18"/>
          <w:b w:val="1"/>
          <w:bCs w:val="1"/>
          <w:i w:val="1"/>
          <w:iCs w:val="1"/>
          <w:color w:val="auto"/>
        </w:rPr>
      </w:pPr>
    </w:p>
    <w:p>
      <w:pPr>
        <w:ind w:left="660" w:right="180" w:hanging="652"/>
        <w:spacing w:after="0" w:line="262" w:lineRule="auto"/>
        <w:tabs>
          <w:tab w:leader="none" w:pos="66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At page 63, you state that the advisor “may have given various analyses more or less weight than other analyses, and may have deemed various assumptions more or less probable than other assumptions, so that the range of valuations resulting from any particular analysis described below should not be taken to be Jefferies’ view of the actual value.” If the advisor weighted any summarized analysis less than any other analysis, expand the disclosure to briefly identify such analysis or analyses and explain why the advisor weighted it (or them) differently.</w:t>
      </w:r>
    </w:p>
    <w:p>
      <w:pPr>
        <w:spacing w:after="0" w:line="180" w:lineRule="exact"/>
        <w:rPr>
          <w:rFonts w:ascii="Times New Roman" w:cs="Times New Roman" w:eastAsia="Times New Roman" w:hAnsi="Times New Roman"/>
          <w:sz w:val="18"/>
          <w:szCs w:val="18"/>
          <w:b w:val="1"/>
          <w:bCs w:val="1"/>
          <w:i w:val="1"/>
          <w:iCs w:val="1"/>
          <w:color w:val="auto"/>
        </w:rPr>
      </w:pPr>
    </w:p>
    <w:p>
      <w:pPr>
        <w:ind w:left="660" w:right="40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has revised the Proxy Statement to clarify that Jefferies did not weight differently the analyses that provide the primary bases for Jefferies’ fairness opinion. Please see page 63 of the Revised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September 21, 2016</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4"/>
          <w:szCs w:val="24"/>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Please direct any questions that you have with respect to the foregoing or if any additional supplemental information is required by the Staff, please contact Alan Beck of Vinson &amp; Elkins L.L.P. at (713) 758-3638.</w:t>
      </w:r>
    </w:p>
    <w:p>
      <w:pPr>
        <w:spacing w:after="0" w:line="162" w:lineRule="exact"/>
        <w:rPr>
          <w:sz w:val="24"/>
          <w:szCs w:val="24"/>
          <w:color w:val="auto"/>
        </w:rPr>
      </w:pPr>
    </w:p>
    <w:p>
      <w:pPr>
        <w:ind w:left="57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4"/>
          <w:szCs w:val="24"/>
          <w:color w:val="auto"/>
        </w:rPr>
      </w:pPr>
    </w:p>
    <w:p>
      <w:pPr>
        <w:ind w:left="5780"/>
        <w:spacing w:after="0"/>
        <w:rPr>
          <w:sz w:val="20"/>
          <w:szCs w:val="20"/>
          <w:color w:val="auto"/>
        </w:rPr>
      </w:pPr>
      <w:r>
        <w:rPr>
          <w:rFonts w:ascii="Times New Roman" w:cs="Times New Roman" w:eastAsia="Times New Roman" w:hAnsi="Times New Roman"/>
          <w:sz w:val="18"/>
          <w:szCs w:val="18"/>
          <w:color w:val="auto"/>
        </w:rPr>
        <w:t>PLAINS GP HOLDINGS, L.P.</w:t>
      </w:r>
    </w:p>
    <w:p>
      <w:pPr>
        <w:spacing w:after="0" w:line="225" w:lineRule="exact"/>
        <w:rPr>
          <w:sz w:val="24"/>
          <w:szCs w:val="24"/>
          <w:color w:val="auto"/>
        </w:rPr>
      </w:pPr>
    </w:p>
    <w:p>
      <w:pPr>
        <w:ind w:left="5780"/>
        <w:spacing w:after="0"/>
        <w:rPr>
          <w:sz w:val="20"/>
          <w:szCs w:val="20"/>
          <w:color w:val="auto"/>
        </w:rPr>
      </w:pPr>
      <w:r>
        <w:rPr>
          <w:rFonts w:ascii="Times New Roman" w:cs="Times New Roman" w:eastAsia="Times New Roman" w:hAnsi="Times New Roman"/>
          <w:sz w:val="18"/>
          <w:szCs w:val="18"/>
          <w:color w:val="auto"/>
        </w:rPr>
        <w:t>By: PAA GP HOLDINGS LLC, its general partner</w:t>
      </w:r>
    </w:p>
    <w:p>
      <w:pPr>
        <w:spacing w:after="0" w:line="225" w:lineRule="exact"/>
        <w:rPr>
          <w:sz w:val="24"/>
          <w:szCs w:val="24"/>
          <w:color w:val="auto"/>
        </w:rPr>
      </w:pPr>
    </w:p>
    <w:tbl>
      <w:tblPr>
        <w:tblLayout w:type="fixed"/>
        <w:tblInd w:w="578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General Counsel</w:t>
            </w:r>
          </w:p>
        </w:tc>
      </w:tr>
    </w:tbl>
    <w:p>
      <w:pPr>
        <w:spacing w:after="0" w:line="198" w:lineRule="exact"/>
        <w:rPr>
          <w:sz w:val="24"/>
          <w:szCs w:val="24"/>
          <w:color w:val="auto"/>
        </w:rPr>
      </w:pPr>
    </w:p>
    <w:p>
      <w:pPr>
        <w:ind w:left="720" w:hanging="712"/>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Alan Beck, Vinson &amp; Elkins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445" w:right="239" w:bottom="106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2020-01-21T10:27:10Z</dcterms:created>
  <dcterms:modified xsi:type="dcterms:W3CDTF">2020-01-21T10:27:10Z</dcterms:modified>
</cp:coreProperties>
</file>