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-232410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5255895</wp:posOffset>
            </wp:positionH>
            <wp:positionV relativeFrom="paragraph">
              <wp:posOffset>-587375</wp:posOffset>
            </wp:positionV>
            <wp:extent cx="8255" cy="5880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8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3944620</wp:posOffset>
            </wp:positionH>
            <wp:positionV relativeFrom="paragraph">
              <wp:posOffset>-595630</wp:posOffset>
            </wp:positionV>
            <wp:extent cx="8255" cy="596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-571500</wp:posOffset>
            </wp:positionV>
            <wp:extent cx="1271905" cy="548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-1675765</wp:posOffset>
            </wp:positionH>
            <wp:positionV relativeFrom="paragraph">
              <wp:posOffset>32385</wp:posOffset>
            </wp:positionV>
            <wp:extent cx="6972300" cy="1565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56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Herbold Chris</w:t>
        </w:r>
      </w:hyperlink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PAGP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700" w:hanging="3"/>
        <w:spacing w:after="0" w:line="251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3"/>
        <w:spacing w:after="0"/>
        <w:tabs>
          <w:tab w:leader="none" w:pos="20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203"/>
        <w:spacing w:after="0"/>
        <w:tabs>
          <w:tab w:leader="none" w:pos="502" w:val="left"/>
          <w:tab w:leader="none" w:pos="20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Sr. VP and Chief Acctg Officer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7" w:space="720"/>
            <w:col w:w="3343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77002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8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-2475865</wp:posOffset>
            </wp:positionH>
            <wp:positionV relativeFrom="paragraph">
              <wp:posOffset>144145</wp:posOffset>
            </wp:positionV>
            <wp:extent cx="6972300" cy="8509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5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-15240</wp:posOffset>
            </wp:positionV>
            <wp:extent cx="7035800" cy="2130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48,939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48,939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6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B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46,068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46,068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8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138,204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200" w:hanging="2"/>
        <w:spacing w:after="0" w:line="231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limited partnership agreement of Plains AAP, L.P. ("AAP"), a holder of vested Class B Units of AAP (the "Class B Units") may convert (the "Conversion Right"), at any time and from time to time, such Class B Units into an equal number of Class A Units of AAP (the "Class A Units") and Class B Shares (the "Class B Shares") of Plains GP Holdings, L.P. ("PAGP"), at a conversion ratio of approximately 0.941 Class A Units and Class B Shares for each Class B Unit. The Conversion Right does not expire. On January 18, 2021, the Reporting Person exercised his right to convert 48,939 vested Class B Units into 46,068 Class A Units and Class B Shares.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hanging="2"/>
        <w:spacing w:after="0" w:line="243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limited partnership agreement of AAP, Reporting Person has the right, at any time and from time to time, to exchange (the "Exchange Right") his Class A Units, together with a like number of Class B Shares, for Class A Shares of PAGP on a one-for-one basis. Reporting Person has not yet exercised the Exchange Right; the Exchange Right does not expire.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Chris Herbold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01/19/2021</w:t>
            </w: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6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7929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2021-01-19T15:56:07Z</dcterms:created>
  <dcterms:modified xsi:type="dcterms:W3CDTF">2021-01-19T15:56:07Z</dcterms:modified>
</cp:coreProperties>
</file>