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February 8, 2016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124"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124"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713-646-4100</w:t>
      </w:r>
    </w:p>
    <w:p>
      <w:pPr>
        <w:sectPr>
          <w:pgSz w:w="11900" w:h="16838" w:orient="portrait"/>
          <w:cols w:equalWidth="0" w:num="1">
            <w:col w:w="11400"/>
          </w:cols>
          <w:pgMar w:left="240" w:top="544" w:right="259" w:bottom="124" w:gutter="0" w:footer="0" w:header="0"/>
          <w:type w:val="continuous"/>
        </w:sectPr>
      </w:pP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 99.1 — Press Release dated February 8,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20" w:firstLine="648"/>
        <w:spacing w:after="0" w:line="255" w:lineRule="auto"/>
        <w:rPr>
          <w:sz w:val="20"/>
          <w:szCs w:val="20"/>
          <w:color w:val="auto"/>
        </w:rPr>
      </w:pPr>
      <w:r>
        <w:rPr>
          <w:rFonts w:ascii="Arial" w:cs="Arial" w:eastAsia="Arial" w:hAnsi="Arial"/>
          <w:sz w:val="18"/>
          <w:szCs w:val="18"/>
          <w:color w:val="auto"/>
        </w:rPr>
        <w:t>Plains All American Pipeline, L.P. (the “Partnership”) today issued a press release reporting its fourth-quarter and full-year 2015 results. We are furnishing the press release, attached as Exhibit 99.1, pursuant to Item 2.02 and Item 7.01 of Form 8-K. Pursuant to Item 7.01, we are also providing detailed guidance of financial performance for the first quarter and full year of 2016.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Disclosure of First-Quarter and Full-Year 2016 Guidance</w:t>
      </w:r>
    </w:p>
    <w:p>
      <w:pPr>
        <w:spacing w:after="0" w:line="229" w:lineRule="exact"/>
        <w:rPr>
          <w:sz w:val="24"/>
          <w:szCs w:val="24"/>
          <w:color w:val="auto"/>
        </w:rPr>
      </w:pPr>
    </w:p>
    <w:p>
      <w:pPr>
        <w:ind w:firstLine="648"/>
        <w:spacing w:after="0" w:line="287" w:lineRule="auto"/>
        <w:rPr>
          <w:sz w:val="20"/>
          <w:szCs w:val="20"/>
          <w:color w:val="auto"/>
        </w:rPr>
      </w:pPr>
      <w:r>
        <w:rPr>
          <w:rFonts w:ascii="Arial" w:cs="Arial" w:eastAsia="Arial" w:hAnsi="Arial"/>
          <w:sz w:val="16"/>
          <w:szCs w:val="16"/>
          <w:color w:val="auto"/>
        </w:rPr>
        <w:t>We based our guidance for the three-month period ending March 31, 2016 and twelve-month period ending December 31, 2016 on assumptions and estimates that we believe are reasonable, given our assessment of historical trends (modified for changes in market conditions, including an assumption that U.S. onshore oil production continues to decline in 2016 as well as a continuation of a competitive crude oil market), business cycles and other reasonably available information. Projections covering multi-quarter periods contemplate inter-period changes in future performance resulting from new expansion projects, seasonal operational changes (such as NGL sales) and acquisition synergies. Our assumptions and future performance, however, are both subject to a wide range of business risks and uncertainties, so we can provide no assurance that actual performance will fall within the guidance ranges. In particular, in response to recent price fluctuations, many producers are still developing their 2016 capital plans and production forecasts and others are modifying previously disclosed plans, which adds a fairly significant element of uncertainty to our 2016 quarterly and annual guidance given the impact that producer capital activity and production levels can have on our performance. Please refer to information under the caption “Forward-Looking Statements and Associated Risks” on page 10. These risks and uncertainties, as well as other unforeseeable risks and uncertainties, could cause our actual results to differ materially from those in the following table. The operating and financial guidance provided in the following pages is given as of the date hereof, based on information known to us as of February 7, 2016. We undertake no obligation to publicly update or revise any forward-looking statements.</w:t>
      </w:r>
    </w:p>
    <w:p>
      <w:pPr>
        <w:sectPr>
          <w:pgSz w:w="11900" w:h="16838" w:orient="portrait"/>
          <w:cols w:equalWidth="0" w:num="1">
            <w:col w:w="11400"/>
          </w:cols>
          <w:pgMar w:left="240" w:top="544" w:right="259" w:bottom="124" w:gutter="0" w:footer="0" w:header="0"/>
          <w:type w:val="continuous"/>
        </w:sectPr>
      </w:pPr>
    </w:p>
    <w:bookmarkStart w:id="1" w:name="page2"/>
    <w:bookmarkEnd w:id="1"/>
    <w:p>
      <w:pPr>
        <w:ind w:right="80" w:firstLine="648"/>
        <w:spacing w:after="0" w:line="267" w:lineRule="auto"/>
        <w:rPr>
          <w:sz w:val="20"/>
          <w:szCs w:val="20"/>
          <w:color w:val="auto"/>
        </w:rPr>
      </w:pPr>
      <w:r>
        <w:rPr>
          <w:rFonts w:ascii="Arial" w:cs="Arial" w:eastAsia="Arial" w:hAnsi="Arial"/>
          <w:sz w:val="17"/>
          <w:szCs w:val="17"/>
          <w:color w:val="auto"/>
        </w:rPr>
        <w:t xml:space="preserve">To supplement our financial information presented in accordance with GAAP, management uses additional measures known as “non-GAAP financial measures”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EBITDA (as defined in Note 1 to the “Operating and Financial Guidance” table) is a non-GAAP financial measure. Net income represents one of the two most directly comparable GAAP measures to EBITDA. In Note 10, we reconcile net income to EBITDA and adjusted EBITDA for the 2016 guidance periods presented. Cash flows from operating activities is the other most comparable GAAP measure. We do not, however, reconcile cash flows from operating activities to EBITDA, because such reconciliations are impractical for forecasted periods. We encourage you to visit our website at </w:t>
      </w:r>
      <w:r>
        <w:rPr>
          <w:rFonts w:ascii="Arial" w:cs="Arial" w:eastAsia="Arial" w:hAnsi="Arial"/>
          <w:sz w:val="17"/>
          <w:szCs w:val="17"/>
          <w:i w:val="1"/>
          <w:iCs w:val="1"/>
          <w:color w:val="auto"/>
        </w:rPr>
        <w:t xml:space="preserve">www.plainsallamerican.com </w:t>
      </w:r>
      <w:r>
        <w:rPr>
          <w:rFonts w:ascii="Arial" w:cs="Arial" w:eastAsia="Arial" w:hAnsi="Arial"/>
          <w:sz w:val="17"/>
          <w:szCs w:val="17"/>
          <w:color w:val="auto"/>
        </w:rPr>
        <w:t>(in particular the section under and Financial Information entitled “Non-GAAP Reconciliations” within the “Investor Relations”</w:t>
      </w:r>
      <w:r>
        <w:rPr>
          <w:rFonts w:ascii="Arial" w:cs="Arial" w:eastAsia="Arial" w:hAnsi="Arial"/>
          <w:sz w:val="17"/>
          <w:szCs w:val="17"/>
          <w:i w:val="1"/>
          <w:iCs w:val="1"/>
          <w:color w:val="auto"/>
        </w:rPr>
        <w:t xml:space="preserve"> </w:t>
      </w:r>
      <w:r>
        <w:rPr>
          <w:rFonts w:ascii="Arial" w:cs="Arial" w:eastAsia="Arial" w:hAnsi="Arial"/>
          <w:sz w:val="17"/>
          <w:szCs w:val="17"/>
          <w:color w:val="auto"/>
        </w:rPr>
        <w:t>tab), which presents a historical reconciliation of EBITDA as well as certain other commonly used non-GAAP and supplemental financial measures.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consider an understanding of these selected items impacting comparability to be material to the evaluation of our operating results and prospects.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Operating and Financial Guidance</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(in millions, except per unit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Guidance (a)</w:t>
            </w: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gridSpan w:val="3"/>
          </w:tcPr>
          <w:p>
            <w:pPr>
              <w:jc w:val="right"/>
              <w:ind w:right="491"/>
              <w:spacing w:after="0" w:line="119" w:lineRule="exact"/>
              <w:rPr>
                <w:sz w:val="20"/>
                <w:szCs w:val="20"/>
                <w:color w:val="auto"/>
              </w:rPr>
            </w:pPr>
            <w:r>
              <w:rPr>
                <w:rFonts w:ascii="Arial" w:cs="Arial" w:eastAsia="Arial" w:hAnsi="Arial"/>
                <w:sz w:val="13"/>
                <w:szCs w:val="13"/>
                <w:b w:val="1"/>
                <w:bCs w:val="1"/>
                <w:color w:val="auto"/>
              </w:rPr>
              <w:t>3 Months Ending</w:t>
            </w: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12 Months Ending</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611"/>
              <w:spacing w:after="0"/>
              <w:rPr>
                <w:sz w:val="20"/>
                <w:szCs w:val="20"/>
                <w:color w:val="auto"/>
              </w:rPr>
            </w:pPr>
            <w:r>
              <w:rPr>
                <w:rFonts w:ascii="Arial" w:cs="Arial" w:eastAsia="Arial" w:hAnsi="Arial"/>
                <w:sz w:val="14"/>
                <w:szCs w:val="14"/>
                <w:b w:val="1"/>
                <w:bCs w:val="1"/>
                <w:color w:val="auto"/>
              </w:rPr>
              <w:t>Mar 31, 2016</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 31, 2016</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ind w:right="5"/>
              <w:spacing w:after="0" w:line="142" w:lineRule="exact"/>
              <w:rPr>
                <w:sz w:val="20"/>
                <w:szCs w:val="20"/>
                <w:color w:val="auto"/>
              </w:rPr>
            </w:pPr>
            <w:r>
              <w:rPr>
                <w:rFonts w:ascii="Arial" w:cs="Arial" w:eastAsia="Arial" w:hAnsi="Arial"/>
                <w:sz w:val="14"/>
                <w:szCs w:val="14"/>
                <w:b w:val="1"/>
                <w:bCs w:val="1"/>
                <w:color w:val="auto"/>
              </w:rPr>
              <w:t>Low</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12"/>
                <w:szCs w:val="12"/>
                <w:color w:val="auto"/>
              </w:rPr>
            </w:pPr>
          </w:p>
        </w:tc>
        <w:tc>
          <w:tcPr>
            <w:tcW w:w="880" w:type="dxa"/>
            <w:vAlign w:val="bottom"/>
          </w:tcPr>
          <w:p>
            <w:pPr>
              <w:jc w:val="right"/>
              <w:ind w:right="451"/>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top w:val="single" w:sz="8" w:color="CCEEFF"/>
              <w:lef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 Profit</w:t>
            </w:r>
          </w:p>
        </w:tc>
        <w:tc>
          <w:tcPr>
            <w:tcW w:w="3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7"/>
              </w:rPr>
              <w:t>Net revenues (including equity earnings in unconsolidated</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tcPr>
          <w:p>
            <w:pPr>
              <w:ind w:left="360"/>
              <w:spacing w:after="0"/>
              <w:rPr>
                <w:sz w:val="20"/>
                <w:szCs w:val="20"/>
                <w:color w:val="auto"/>
              </w:rPr>
            </w:pPr>
            <w:r>
              <w:rPr>
                <w:rFonts w:ascii="Arial" w:cs="Arial" w:eastAsia="Arial" w:hAnsi="Arial"/>
                <w:sz w:val="18"/>
                <w:szCs w:val="18"/>
                <w:color w:val="auto"/>
              </w:rPr>
              <w:t>entities)</w:t>
            </w:r>
          </w:p>
        </w:tc>
        <w:tc>
          <w:tcPr>
            <w:tcW w:w="1200" w:type="dxa"/>
            <w:vAlign w:val="bottom"/>
            <w:gridSpan w:val="2"/>
          </w:tcPr>
          <w:p>
            <w:pPr>
              <w:jc w:val="right"/>
              <w:ind w:right="74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934</w:t>
            </w:r>
          </w:p>
        </w:tc>
        <w:tc>
          <w:tcPr>
            <w:tcW w:w="960" w:type="dxa"/>
            <w:vAlign w:val="bottom"/>
          </w:tcPr>
          <w:p>
            <w:pPr>
              <w:jc w:val="right"/>
              <w:ind w:right="771"/>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982</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3,717</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3,877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Field operating costs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(74)</w:t>
            </w:r>
          </w:p>
        </w:tc>
        <w:tc>
          <w:tcPr>
            <w:tcW w:w="9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(283)</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left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(114)</w:t>
            </w:r>
          </w:p>
        </w:tc>
        <w:tc>
          <w:tcPr>
            <w:tcW w:w="9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(446)</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9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 (expense), net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272</w:t>
            </w:r>
          </w:p>
        </w:tc>
        <w:tc>
          <w:tcPr>
            <w:tcW w:w="3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1,137</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Income Attributable to PAA</w:t>
            </w:r>
          </w:p>
        </w:tc>
        <w:tc>
          <w:tcPr>
            <w:tcW w:w="30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745"/>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w:t>
            </w:r>
          </w:p>
        </w:tc>
        <w:tc>
          <w:tcPr>
            <w:tcW w:w="30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771"/>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1,132</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1,380</w:t>
            </w:r>
          </w:p>
        </w:tc>
        <w:tc>
          <w:tcPr>
            <w:tcW w:w="10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Borders>
              <w:left w:val="single" w:sz="8" w:color="CCEEFF"/>
            </w:tcBorders>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Net income attributable to common unitholders </w:t>
            </w:r>
            <w:r>
              <w:rPr>
                <w:rFonts w:ascii="Arial" w:cs="Arial" w:eastAsia="Arial" w:hAnsi="Arial"/>
                <w:sz w:val="23"/>
                <w:szCs w:val="23"/>
                <w:color w:val="auto"/>
                <w:vertAlign w:val="superscript"/>
              </w:rPr>
              <w:t>(b)</w:t>
            </w:r>
          </w:p>
        </w:tc>
        <w:tc>
          <w:tcPr>
            <w:tcW w:w="1200" w:type="dxa"/>
            <w:vAlign w:val="bottom"/>
            <w:gridSpan w:val="2"/>
          </w:tcPr>
          <w:p>
            <w:pPr>
              <w:jc w:val="right"/>
              <w:ind w:right="745"/>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8"/>
                <w:szCs w:val="18"/>
                <w:color w:val="auto"/>
              </w:rPr>
            </w:pPr>
          </w:p>
        </w:tc>
        <w:tc>
          <w:tcPr>
            <w:tcW w:w="960" w:type="dxa"/>
            <w:vAlign w:val="bottom"/>
          </w:tcPr>
          <w:p>
            <w:pPr>
              <w:jc w:val="right"/>
              <w:ind w:right="771"/>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167</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401</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left w:val="single" w:sz="8" w:color="CCEEFF"/>
            </w:tcBorders>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Basic net income per common unit </w:t>
            </w:r>
            <w:r>
              <w:rPr>
                <w:rFonts w:ascii="Arial" w:cs="Arial" w:eastAsia="Arial" w:hAnsi="Arial"/>
                <w:sz w:val="23"/>
                <w:szCs w:val="23"/>
                <w:color w:val="auto"/>
                <w:vertAlign w:val="superscript"/>
              </w:rPr>
              <w:t>(b)</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80"/>
              <w:spacing w:after="0"/>
              <w:rPr>
                <w:sz w:val="20"/>
                <w:szCs w:val="20"/>
                <w:color w:val="auto"/>
              </w:rPr>
            </w:pPr>
            <w:r>
              <w:rPr>
                <w:rFonts w:ascii="Arial" w:cs="Arial" w:eastAsia="Arial" w:hAnsi="Arial"/>
                <w:sz w:val="18"/>
                <w:szCs w:val="18"/>
                <w:color w:val="auto"/>
              </w:rPr>
              <w:t>Weighted average common units outstanding</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398</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398</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 per common unit</w:t>
            </w:r>
          </w:p>
        </w:tc>
        <w:tc>
          <w:tcPr>
            <w:tcW w:w="1200" w:type="dxa"/>
            <w:vAlign w:val="bottom"/>
            <w:gridSpan w:val="2"/>
            <w:shd w:val="clear" w:color="auto" w:fill="CCEEFF"/>
          </w:tcPr>
          <w:p>
            <w:pPr>
              <w:jc w:val="right"/>
              <w:ind w:right="74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0.24</w:t>
            </w:r>
          </w:p>
        </w:tc>
        <w:tc>
          <w:tcPr>
            <w:tcW w:w="9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0.42</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Borders>
              <w:left w:val="single" w:sz="8" w:color="CCEEFF"/>
            </w:tcBorders>
            <w:gridSpan w:val="2"/>
            <w:shd w:val="clear" w:color="auto" w:fill="CCEEFF"/>
          </w:tcPr>
          <w:p>
            <w:pPr>
              <w:spacing w:after="0" w:line="216" w:lineRule="exact"/>
              <w:rPr>
                <w:sz w:val="20"/>
                <w:szCs w:val="20"/>
                <w:color w:val="auto"/>
              </w:rPr>
            </w:pPr>
            <w:r>
              <w:rPr>
                <w:rFonts w:ascii="Arial" w:cs="Arial" w:eastAsia="Arial" w:hAnsi="Arial"/>
                <w:sz w:val="18"/>
                <w:szCs w:val="18"/>
                <w:color w:val="auto"/>
              </w:rPr>
              <w:t>Diluted net income per common unit</w:t>
            </w:r>
            <w:r>
              <w:rPr>
                <w:rFonts w:ascii="Arial" w:cs="Arial" w:eastAsia="Arial" w:hAnsi="Arial"/>
                <w:sz w:val="23"/>
                <w:szCs w:val="23"/>
                <w:color w:val="auto"/>
                <w:vertAlign w:val="superscript"/>
              </w:rPr>
              <w:t>(b)(c)</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80"/>
              <w:spacing w:after="0" w:line="216" w:lineRule="exact"/>
              <w:rPr>
                <w:sz w:val="20"/>
                <w:szCs w:val="20"/>
                <w:color w:val="auto"/>
              </w:rPr>
            </w:pPr>
            <w:r>
              <w:rPr>
                <w:rFonts w:ascii="Arial" w:cs="Arial" w:eastAsia="Arial" w:hAnsi="Arial"/>
                <w:sz w:val="18"/>
                <w:szCs w:val="18"/>
                <w:color w:val="auto"/>
              </w:rPr>
              <w:t xml:space="preserve">Weighted average common units outstanding </w:t>
            </w:r>
            <w:r>
              <w:rPr>
                <w:rFonts w:ascii="Arial" w:cs="Arial" w:eastAsia="Arial" w:hAnsi="Arial"/>
                <w:sz w:val="23"/>
                <w:szCs w:val="23"/>
                <w:color w:val="auto"/>
                <w:vertAlign w:val="superscript"/>
              </w:rPr>
              <w:t>(c)</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400</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lef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 per common unit</w:t>
            </w:r>
          </w:p>
        </w:tc>
        <w:tc>
          <w:tcPr>
            <w:tcW w:w="1200" w:type="dxa"/>
            <w:vAlign w:val="bottom"/>
            <w:gridSpan w:val="2"/>
            <w:shd w:val="clear" w:color="auto" w:fill="CCEEFF"/>
          </w:tcPr>
          <w:p>
            <w:pPr>
              <w:jc w:val="right"/>
              <w:ind w:right="74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0.24</w:t>
            </w:r>
          </w:p>
        </w:tc>
        <w:tc>
          <w:tcPr>
            <w:tcW w:w="9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0.42</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200" w:type="dxa"/>
            <w:vAlign w:val="bottom"/>
            <w:gridSpan w:val="2"/>
            <w:shd w:val="clear" w:color="auto" w:fill="CCEEFF"/>
          </w:tcPr>
          <w:p>
            <w:pPr>
              <w:jc w:val="right"/>
              <w:ind w:right="745"/>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531</w:t>
            </w:r>
          </w:p>
        </w:tc>
        <w:tc>
          <w:tcPr>
            <w:tcW w:w="960" w:type="dxa"/>
            <w:vAlign w:val="bottom"/>
            <w:shd w:val="clear" w:color="auto" w:fill="CCEEFF"/>
          </w:tcPr>
          <w:p>
            <w:pPr>
              <w:jc w:val="right"/>
              <w:ind w:right="771"/>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591</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2,145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000000"/>
          </w:tcPr>
          <w:p>
            <w:pPr>
              <w:spacing w:after="0"/>
              <w:rPr>
                <w:sz w:val="18"/>
                <w:szCs w:val="18"/>
                <w:color w:val="auto"/>
              </w:rPr>
            </w:pPr>
          </w:p>
        </w:tc>
        <w:tc>
          <w:tcPr>
            <w:tcW w:w="4680" w:type="dxa"/>
            <w:vAlign w:val="bottom"/>
            <w:tcBorders>
              <w:left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Selected items impacting comparability- income / (loss)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468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Equity-indexed compensation expense</w:t>
            </w:r>
          </w:p>
        </w:tc>
        <w:tc>
          <w:tcPr>
            <w:tcW w:w="1200" w:type="dxa"/>
            <w:vAlign w:val="bottom"/>
            <w:gridSpan w:val="2"/>
          </w:tcPr>
          <w:p>
            <w:pPr>
              <w:jc w:val="right"/>
              <w:ind w:right="74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960" w:type="dxa"/>
            <w:vAlign w:val="bottom"/>
          </w:tcPr>
          <w:p>
            <w:pPr>
              <w:jc w:val="right"/>
              <w:ind w:right="771"/>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4680" w:type="dxa"/>
            <w:vAlign w:val="bottom"/>
            <w:tcBorders>
              <w:left w:val="single" w:sz="8" w:color="auto"/>
            </w:tcBorders>
            <w:gridSpan w:val="2"/>
            <w:vMerge w:val="restart"/>
            <w:shd w:val="clear" w:color="auto" w:fill="CCEEFF"/>
          </w:tcPr>
          <w:p>
            <w:pPr>
              <w:ind w:left="180"/>
              <w:spacing w:after="0" w:line="201" w:lineRule="exact"/>
              <w:rPr>
                <w:sz w:val="20"/>
                <w:szCs w:val="20"/>
                <w:color w:val="auto"/>
              </w:rPr>
            </w:pPr>
            <w:r>
              <w:rPr>
                <w:rFonts w:ascii="Arial" w:cs="Arial" w:eastAsia="Arial" w:hAnsi="Arial"/>
                <w:sz w:val="18"/>
                <w:szCs w:val="18"/>
                <w:color w:val="auto"/>
              </w:rPr>
              <w:t>Selected items impacting comparability of net income</w:t>
            </w:r>
          </w:p>
        </w:tc>
        <w:tc>
          <w:tcPr>
            <w:tcW w:w="3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shd w:val="clear" w:color="auto" w:fill="000000"/>
          </w:tcPr>
          <w:p>
            <w:pPr>
              <w:spacing w:after="0"/>
              <w:rPr>
                <w:sz w:val="15"/>
                <w:szCs w:val="15"/>
                <w:color w:val="auto"/>
              </w:rPr>
            </w:pPr>
          </w:p>
        </w:tc>
        <w:tc>
          <w:tcPr>
            <w:tcW w:w="4680" w:type="dxa"/>
            <w:vAlign w:val="bottom"/>
            <w:tcBorders>
              <w:left w:val="single" w:sz="8" w:color="auto"/>
            </w:tcBorders>
            <w:gridSpan w:val="2"/>
            <w:vMerge w:val="continue"/>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745"/>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960" w:type="dxa"/>
            <w:vAlign w:val="bottom"/>
            <w:vMerge w:val="restart"/>
            <w:shd w:val="clear" w:color="auto" w:fill="CCEEFF"/>
          </w:tcPr>
          <w:p>
            <w:pPr>
              <w:jc w:val="right"/>
              <w:ind w:right="771"/>
              <w:spacing w:after="0"/>
              <w:rPr>
                <w:sz w:val="20"/>
                <w:szCs w:val="20"/>
                <w:color w:val="auto"/>
              </w:rPr>
            </w:pPr>
            <w:r>
              <w:rPr>
                <w:rFonts w:ascii="Arial" w:cs="Arial" w:eastAsia="Arial" w:hAnsi="Arial"/>
                <w:sz w:val="18"/>
                <w:szCs w:val="18"/>
                <w:color w:val="auto"/>
                <w:w w:val="79"/>
              </w:rPr>
              <w:t>$</w:t>
            </w:r>
          </w:p>
        </w:tc>
        <w:tc>
          <w:tcPr>
            <w:tcW w:w="6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480" w:type="dxa"/>
            <w:vAlign w:val="bottom"/>
            <w:gridSpan w:val="2"/>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auto"/>
            </w:tcBorders>
            <w:shd w:val="clear" w:color="auto" w:fill="000000"/>
          </w:tcPr>
          <w:p>
            <w:pPr>
              <w:spacing w:after="0"/>
              <w:rPr>
                <w:sz w:val="22"/>
                <w:szCs w:val="22"/>
                <w:color w:val="auto"/>
              </w:rPr>
            </w:pPr>
          </w:p>
        </w:tc>
        <w:tc>
          <w:tcPr>
            <w:tcW w:w="4680" w:type="dxa"/>
            <w:vAlign w:val="bottom"/>
            <w:tcBorders>
              <w:left w:val="single" w:sz="8" w:color="auto"/>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attributable to PAA</w:t>
            </w:r>
          </w:p>
        </w:tc>
        <w:tc>
          <w:tcPr>
            <w:tcW w:w="1200" w:type="dxa"/>
            <w:vAlign w:val="bottom"/>
            <w:tcBorders>
              <w:bottom w:val="single" w:sz="8" w:color="auto"/>
            </w:tcBorders>
            <w:gridSpan w:val="2"/>
            <w:vMerge w:val="continue"/>
            <w:shd w:val="clear" w:color="auto" w:fill="CCEEFF"/>
          </w:tcPr>
          <w:p>
            <w:pPr>
              <w:spacing w:after="0"/>
              <w:rPr>
                <w:sz w:val="22"/>
                <w:szCs w:val="22"/>
                <w:color w:val="auto"/>
              </w:rPr>
            </w:pPr>
          </w:p>
        </w:tc>
        <w:tc>
          <w:tcPr>
            <w:tcW w:w="760" w:type="dxa"/>
            <w:vAlign w:val="bottom"/>
            <w:tcBorders>
              <w:bottom w:val="single" w:sz="8" w:color="auto"/>
            </w:tcBorders>
            <w:gridSpan w:val="2"/>
            <w:vMerge w:val="continue"/>
            <w:shd w:val="clear" w:color="auto" w:fill="CCEEFF"/>
          </w:tcPr>
          <w:p>
            <w:pPr>
              <w:spacing w:after="0"/>
              <w:rPr>
                <w:sz w:val="22"/>
                <w:szCs w:val="22"/>
                <w:color w:val="auto"/>
              </w:rPr>
            </w:pPr>
          </w:p>
        </w:tc>
        <w:tc>
          <w:tcPr>
            <w:tcW w:w="960" w:type="dxa"/>
            <w:vAlign w:val="bottom"/>
            <w:tcBorders>
              <w:bottom w:val="single" w:sz="8" w:color="auto"/>
            </w:tcBorders>
            <w:vMerge w:val="continue"/>
            <w:shd w:val="clear" w:color="auto" w:fill="CCEEFF"/>
          </w:tcPr>
          <w:p>
            <w:pPr>
              <w:spacing w:after="0"/>
              <w:rPr>
                <w:sz w:val="22"/>
                <w:szCs w:val="22"/>
                <w:color w:val="auto"/>
              </w:rPr>
            </w:pPr>
          </w:p>
        </w:tc>
        <w:tc>
          <w:tcPr>
            <w:tcW w:w="600" w:type="dxa"/>
            <w:vAlign w:val="bottom"/>
            <w:tcBorders>
              <w:bottom w:val="single" w:sz="8" w:color="auto"/>
            </w:tcBorders>
            <w:gridSpan w:val="2"/>
            <w:vMerge w:val="continue"/>
            <w:shd w:val="clear" w:color="auto" w:fill="CCEEFF"/>
          </w:tcPr>
          <w:p>
            <w:pPr>
              <w:spacing w:after="0"/>
              <w:rPr>
                <w:sz w:val="22"/>
                <w:szCs w:val="22"/>
                <w:color w:val="auto"/>
              </w:rPr>
            </w:pPr>
          </w:p>
        </w:tc>
        <w:tc>
          <w:tcPr>
            <w:tcW w:w="480" w:type="dxa"/>
            <w:vAlign w:val="bottom"/>
            <w:tcBorders>
              <w:bottom w:val="single" w:sz="8" w:color="auto"/>
            </w:tcBorders>
            <w:gridSpan w:val="2"/>
            <w:vMerge w:val="continue"/>
            <w:shd w:val="clear" w:color="auto" w:fill="CCEEFF"/>
          </w:tcPr>
          <w:p>
            <w:pPr>
              <w:spacing w:after="0"/>
              <w:rPr>
                <w:sz w:val="22"/>
                <w:szCs w:val="22"/>
                <w:color w:val="auto"/>
              </w:rPr>
            </w:pPr>
          </w:p>
        </w:tc>
        <w:tc>
          <w:tcPr>
            <w:tcW w:w="1260" w:type="dxa"/>
            <w:vAlign w:val="bottom"/>
            <w:tcBorders>
              <w:bottom w:val="single" w:sz="8" w:color="auto"/>
            </w:tcBorders>
            <w:gridSpan w:val="2"/>
            <w:vMerge w:val="continue"/>
            <w:shd w:val="clear" w:color="auto" w:fill="CCEEFF"/>
          </w:tcPr>
          <w:p>
            <w:pPr>
              <w:spacing w:after="0"/>
              <w:rPr>
                <w:sz w:val="22"/>
                <w:szCs w:val="22"/>
                <w:color w:val="auto"/>
              </w:rPr>
            </w:pPr>
          </w:p>
        </w:tc>
        <w:tc>
          <w:tcPr>
            <w:tcW w:w="480" w:type="dxa"/>
            <w:vAlign w:val="bottom"/>
            <w:tcBorders>
              <w:bottom w:val="single" w:sz="8" w:color="auto"/>
            </w:tcBorders>
            <w:vMerge w:val="continue"/>
            <w:shd w:val="clear" w:color="auto" w:fill="CCEEFF"/>
          </w:tcPr>
          <w:p>
            <w:pPr>
              <w:spacing w:after="0"/>
              <w:rPr>
                <w:sz w:val="22"/>
                <w:szCs w:val="22"/>
                <w:color w:val="auto"/>
              </w:rPr>
            </w:pPr>
          </w:p>
        </w:tc>
        <w:tc>
          <w:tcPr>
            <w:tcW w:w="980" w:type="dxa"/>
            <w:vAlign w:val="bottom"/>
            <w:tcBorders>
              <w:bottom w:val="single" w:sz="8" w:color="auto"/>
            </w:tcBorders>
            <w:gridSpan w:val="2"/>
            <w:vMerge w:val="continue"/>
            <w:shd w:val="clear" w:color="auto" w:fill="CCEEFF"/>
          </w:tcPr>
          <w:p>
            <w:pPr>
              <w:spacing w:after="0"/>
              <w:rPr>
                <w:sz w:val="22"/>
                <w:szCs w:val="22"/>
                <w:color w:val="auto"/>
              </w:rPr>
            </w:pPr>
          </w:p>
        </w:tc>
        <w:tc>
          <w:tcPr>
            <w:tcW w:w="20" w:type="dxa"/>
            <w:vAlign w:val="bottom"/>
            <w:tcBorders>
              <w:bottom w:val="single" w:sz="8" w:color="auto"/>
            </w:tcBorders>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auto"/>
            </w:tcBorders>
            <w:shd w:val="clear" w:color="auto" w:fill="000000"/>
          </w:tcPr>
          <w:p>
            <w:pPr>
              <w:spacing w:after="0"/>
              <w:rPr>
                <w:sz w:val="17"/>
                <w:szCs w:val="17"/>
                <w:color w:val="auto"/>
              </w:rPr>
            </w:pPr>
          </w:p>
        </w:tc>
        <w:tc>
          <w:tcPr>
            <w:tcW w:w="2860" w:type="dxa"/>
            <w:vAlign w:val="bottom"/>
            <w:tcBorders>
              <w:left w:val="single" w:sz="8" w:color="auto"/>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000000"/>
          </w:tcPr>
          <w:p>
            <w:pPr>
              <w:spacing w:after="0"/>
              <w:rPr>
                <w:sz w:val="18"/>
                <w:szCs w:val="18"/>
                <w:color w:val="auto"/>
              </w:rPr>
            </w:pPr>
          </w:p>
        </w:tc>
        <w:tc>
          <w:tcPr>
            <w:tcW w:w="4680" w:type="dxa"/>
            <w:vAlign w:val="bottom"/>
            <w:tcBorders>
              <w:left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Excluding selected items impacting comparability</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4680" w:type="dxa"/>
            <w:vAlign w:val="bottom"/>
            <w:tcBorders>
              <w:left w:val="single" w:sz="8" w:color="auto"/>
            </w:tcBorders>
            <w:gridSpan w:val="2"/>
          </w:tcPr>
          <w:p>
            <w:pPr>
              <w:spacing w:after="0"/>
              <w:rPr>
                <w:sz w:val="20"/>
                <w:szCs w:val="20"/>
                <w:color w:val="auto"/>
              </w:rPr>
            </w:pPr>
            <w:r>
              <w:rPr>
                <w:rFonts w:ascii="Arial" w:cs="Arial" w:eastAsia="Arial" w:hAnsi="Arial"/>
                <w:sz w:val="18"/>
                <w:szCs w:val="18"/>
                <w:color w:val="auto"/>
              </w:rPr>
              <w:t>Adjusted segment profit</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4680" w:type="dxa"/>
            <w:vAlign w:val="bottom"/>
            <w:tcBorders>
              <w:left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1200" w:type="dxa"/>
            <w:vAlign w:val="bottom"/>
            <w:gridSpan w:val="2"/>
            <w:shd w:val="clear" w:color="auto" w:fill="CCEEFF"/>
          </w:tcPr>
          <w:p>
            <w:pPr>
              <w:jc w:val="right"/>
              <w:ind w:right="74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w:t>
            </w:r>
          </w:p>
        </w:tc>
        <w:tc>
          <w:tcPr>
            <w:tcW w:w="9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468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Facilities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139</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595</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4680" w:type="dxa"/>
            <w:vAlign w:val="bottom"/>
            <w:tcBorders>
              <w:left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Supply and Logistics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000000"/>
          </w:tcPr>
          <w:p>
            <w:pPr>
              <w:spacing w:after="0"/>
              <w:rPr>
                <w:sz w:val="18"/>
                <w:szCs w:val="18"/>
                <w:color w:val="auto"/>
              </w:rPr>
            </w:pPr>
          </w:p>
        </w:tc>
        <w:tc>
          <w:tcPr>
            <w:tcW w:w="468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Other income / (expense), net</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4680" w:type="dxa"/>
            <w:vAlign w:val="bottom"/>
            <w:tcBorders>
              <w:top w:val="single" w:sz="8" w:color="CCEEFF"/>
              <w:left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4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shd w:val="clear" w:color="auto" w:fill="000000"/>
          </w:tcPr>
          <w:p>
            <w:pPr>
              <w:spacing w:after="0" w:line="20" w:lineRule="exact"/>
              <w:rPr>
                <w:sz w:val="1"/>
                <w:szCs w:val="1"/>
                <w:color w:val="auto"/>
              </w:rPr>
            </w:pPr>
          </w:p>
        </w:tc>
        <w:tc>
          <w:tcPr>
            <w:tcW w:w="4680" w:type="dxa"/>
            <w:vAlign w:val="bottom"/>
            <w:tcBorders>
              <w:left w:val="single" w:sz="8" w:color="auto"/>
            </w:tcBorders>
            <w:gridSpan w:val="2"/>
            <w:vMerge w:val="restart"/>
          </w:tcPr>
          <w:p>
            <w:pPr>
              <w:spacing w:after="0"/>
              <w:rPr>
                <w:sz w:val="20"/>
                <w:szCs w:val="20"/>
                <w:color w:val="auto"/>
              </w:rPr>
            </w:pPr>
            <w:r>
              <w:rPr>
                <w:rFonts w:ascii="Arial" w:cs="Arial" w:eastAsia="Arial" w:hAnsi="Arial"/>
                <w:sz w:val="18"/>
                <w:szCs w:val="18"/>
                <w:color w:val="auto"/>
              </w:rPr>
              <w:t>Adjusted net income attributable to PAA</w:t>
            </w:r>
          </w:p>
        </w:tc>
        <w:tc>
          <w:tcPr>
            <w:tcW w:w="30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shd w:val="clear" w:color="auto" w:fill="000000"/>
          </w:tcPr>
          <w:p>
            <w:pPr>
              <w:spacing w:after="0"/>
              <w:rPr>
                <w:sz w:val="20"/>
                <w:szCs w:val="20"/>
                <w:color w:val="auto"/>
              </w:rPr>
            </w:pPr>
          </w:p>
        </w:tc>
        <w:tc>
          <w:tcPr>
            <w:tcW w:w="4680" w:type="dxa"/>
            <w:vAlign w:val="bottom"/>
            <w:tcBorders>
              <w:left w:val="single" w:sz="8" w:color="auto"/>
              <w:bottom w:val="single" w:sz="8" w:color="CCEEFF"/>
            </w:tcBorders>
            <w:gridSpan w:val="2"/>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900" w:type="dxa"/>
            <w:vAlign w:val="bottom"/>
            <w:tcBorders>
              <w:bottom w:val="single" w:sz="8" w:color="auto"/>
            </w:tcBorders>
          </w:tcPr>
          <w:p>
            <w:pPr>
              <w:jc w:val="right"/>
              <w:ind w:right="74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280</w:t>
            </w:r>
          </w:p>
        </w:tc>
        <w:tc>
          <w:tcPr>
            <w:tcW w:w="30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auto"/>
            </w:tcBorders>
          </w:tcPr>
          <w:p>
            <w:pPr>
              <w:jc w:val="right"/>
              <w:ind w:right="771"/>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352</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1,162</w:t>
            </w:r>
          </w:p>
        </w:tc>
        <w:tc>
          <w:tcPr>
            <w:tcW w:w="28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1,410</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auto"/>
            </w:tcBorders>
            <w:shd w:val="clear" w:color="auto" w:fill="000000"/>
          </w:tcPr>
          <w:p>
            <w:pPr>
              <w:spacing w:after="0"/>
              <w:rPr>
                <w:sz w:val="17"/>
                <w:szCs w:val="17"/>
                <w:color w:val="auto"/>
              </w:rPr>
            </w:pPr>
          </w:p>
        </w:tc>
        <w:tc>
          <w:tcPr>
            <w:tcW w:w="4680" w:type="dxa"/>
            <w:vAlign w:val="bottom"/>
            <w:tcBorders>
              <w:left w:val="single" w:sz="8" w:color="auto"/>
              <w:bottom w:val="single" w:sz="8" w:color="CCEEFF"/>
            </w:tcBorders>
            <w:gridSpan w:val="2"/>
            <w:shd w:val="clear" w:color="auto" w:fill="CCEEFF"/>
          </w:tcPr>
          <w:p>
            <w:pPr>
              <w:spacing w:after="0" w:line="197" w:lineRule="exact"/>
              <w:rPr>
                <w:sz w:val="20"/>
                <w:szCs w:val="20"/>
                <w:color w:val="auto"/>
              </w:rPr>
            </w:pPr>
            <w:r>
              <w:rPr>
                <w:rFonts w:ascii="Arial" w:cs="Arial" w:eastAsia="Arial" w:hAnsi="Arial"/>
                <w:sz w:val="17"/>
                <w:szCs w:val="17"/>
                <w:color w:val="auto"/>
              </w:rPr>
              <w:t xml:space="preserve">Basic adjusted net income per common unit </w:t>
            </w:r>
            <w:r>
              <w:rPr>
                <w:rFonts w:ascii="Arial" w:cs="Arial" w:eastAsia="Arial" w:hAnsi="Arial"/>
                <w:sz w:val="22"/>
                <w:szCs w:val="22"/>
                <w:color w:val="auto"/>
                <w:vertAlign w:val="superscript"/>
              </w:rPr>
              <w:t>(b)</w:t>
            </w: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74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0.26</w:t>
            </w: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71"/>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0.44</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w:t>
            </w:r>
          </w:p>
        </w:tc>
        <w:tc>
          <w:tcPr>
            <w:tcW w:w="2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shd w:val="clear" w:color="auto" w:fill="000000"/>
          </w:tcPr>
          <w:p>
            <w:pPr>
              <w:spacing w:after="0" w:line="20" w:lineRule="exact"/>
              <w:rPr>
                <w:sz w:val="1"/>
                <w:szCs w:val="1"/>
                <w:color w:val="auto"/>
              </w:rPr>
            </w:pPr>
          </w:p>
        </w:tc>
        <w:tc>
          <w:tcPr>
            <w:tcW w:w="4680" w:type="dxa"/>
            <w:vAlign w:val="bottom"/>
            <w:tcBorders>
              <w:left w:val="single" w:sz="8" w:color="auto"/>
            </w:tcBorders>
            <w:gridSpan w:val="2"/>
            <w:vMerge w:val="restart"/>
          </w:tcPr>
          <w:p>
            <w:pPr>
              <w:spacing w:after="0" w:line="236" w:lineRule="exact"/>
              <w:rPr>
                <w:sz w:val="20"/>
                <w:szCs w:val="20"/>
                <w:color w:val="auto"/>
              </w:rPr>
            </w:pPr>
            <w:r>
              <w:rPr>
                <w:rFonts w:ascii="Arial" w:cs="Arial" w:eastAsia="Arial" w:hAnsi="Arial"/>
                <w:sz w:val="18"/>
                <w:szCs w:val="18"/>
                <w:color w:val="auto"/>
              </w:rPr>
              <w:t xml:space="preserve">Diluted adjusted net income per common unit </w:t>
            </w:r>
            <w:r>
              <w:rPr>
                <w:rFonts w:ascii="Arial" w:cs="Arial" w:eastAsia="Arial" w:hAnsi="Arial"/>
                <w:sz w:val="23"/>
                <w:szCs w:val="23"/>
                <w:color w:val="auto"/>
                <w:vertAlign w:val="superscript"/>
              </w:rPr>
              <w:t>(b)(c)</w:t>
            </w:r>
          </w:p>
        </w:tc>
        <w:tc>
          <w:tcPr>
            <w:tcW w:w="30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auto"/>
            </w:tcBorders>
            <w:shd w:val="clear" w:color="auto" w:fill="000000"/>
          </w:tcPr>
          <w:p>
            <w:pPr>
              <w:spacing w:after="0"/>
              <w:rPr>
                <w:sz w:val="20"/>
                <w:szCs w:val="20"/>
                <w:color w:val="auto"/>
              </w:rPr>
            </w:pPr>
          </w:p>
        </w:tc>
        <w:tc>
          <w:tcPr>
            <w:tcW w:w="4680" w:type="dxa"/>
            <w:vAlign w:val="bottom"/>
            <w:tcBorders>
              <w:left w:val="single" w:sz="8" w:color="auto"/>
              <w:bottom w:val="single" w:sz="8" w:color="auto"/>
            </w:tcBorders>
            <w:gridSpan w:val="2"/>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tcPr>
          <w:p>
            <w:pPr>
              <w:jc w:val="right"/>
              <w:ind w:right="74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0.26</w:t>
            </w:r>
          </w:p>
        </w:tc>
        <w:tc>
          <w:tcPr>
            <w:tcW w:w="3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tcPr>
          <w:p>
            <w:pPr>
              <w:jc w:val="right"/>
              <w:ind w:right="771"/>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0.44</w:t>
            </w:r>
          </w:p>
        </w:tc>
        <w:tc>
          <w:tcPr>
            <w:tcW w:w="1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w:t>
            </w:r>
          </w:p>
        </w:tc>
        <w:tc>
          <w:tcPr>
            <w:tcW w:w="28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125" w:right="219" w:bottom="0" w:gutter="0" w:footer="0" w:header="0"/>
        </w:sectPr>
      </w:pPr>
    </w:p>
    <w:bookmarkStart w:id="2" w:name="page3"/>
    <w:bookmarkEnd w:id="2"/>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1"/>
          <w:szCs w:val="11"/>
          <w:color w:val="auto"/>
        </w:rPr>
        <w:t>(b)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2"/>
          <w:szCs w:val="12"/>
          <w:color w:val="auto"/>
        </w:rPr>
        <w:t>(c)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jc w:val="both"/>
        <w:ind w:left="20" w:hanging="4"/>
        <w:spacing w:after="0" w:line="259" w:lineRule="auto"/>
        <w:rPr>
          <w:sz w:val="20"/>
          <w:szCs w:val="20"/>
          <w:color w:val="auto"/>
        </w:rPr>
      </w:pPr>
      <w:r>
        <w:rPr>
          <w:rFonts w:ascii="Arial" w:cs="Arial" w:eastAsia="Arial" w:hAnsi="Arial"/>
          <w:sz w:val="18"/>
          <w:szCs w:val="18"/>
          <w:color w:val="auto"/>
        </w:rPr>
        <w:t>The assumed average foreign exchange rate is $1.40 Canadian dollar (CAD) to $1.00 U.S. dollar (USD) for the three-month period ending March 31, 2016 and the twelve month period ending December 31, 2016. The rate as of February 5, 2016 was $1.39 CAD to $1.00 USD. We do not anticipate that fluctuations in the foreign exchange rate will have a significant impact on aggregate reported financial results, but such fluctuations will result in variations between segments.</w:t>
      </w:r>
    </w:p>
    <w:p>
      <w:pPr>
        <w:spacing w:after="0" w:line="187" w:lineRule="exact"/>
        <w:rPr>
          <w:sz w:val="20"/>
          <w:szCs w:val="20"/>
          <w:color w:val="auto"/>
        </w:rPr>
      </w:pPr>
    </w:p>
    <w:p>
      <w:pPr>
        <w:ind w:left="20" w:right="60" w:hanging="11"/>
        <w:spacing w:after="0" w:line="255" w:lineRule="auto"/>
        <w:rPr>
          <w:sz w:val="20"/>
          <w:szCs w:val="20"/>
          <w:color w:val="auto"/>
        </w:rPr>
      </w:pPr>
      <w:r>
        <w:rPr>
          <w:rFonts w:ascii="Arial" w:cs="Arial" w:eastAsia="Arial" w:hAnsi="Arial"/>
          <w:sz w:val="18"/>
          <w:szCs w:val="18"/>
          <w:color w:val="auto"/>
        </w:rPr>
        <w:t>We allocate Net Income Attributable to PAA among our Series A Preferred Unitholders, Common Unitholders and General Partner interest using the two-class method in accordance with applicable authoritative accounting guidance. Under the two-class method, we allocate Net Income Attributable to PAA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the partnership agreement and as further prescribed under the two-class method.</w:t>
      </w:r>
    </w:p>
    <w:p>
      <w:pPr>
        <w:spacing w:after="0" w:line="193" w:lineRule="exact"/>
        <w:rPr>
          <w:sz w:val="20"/>
          <w:szCs w:val="20"/>
          <w:color w:val="auto"/>
        </w:rPr>
      </w:pPr>
    </w:p>
    <w:p>
      <w:pPr>
        <w:ind w:left="20" w:right="340" w:hanging="4"/>
        <w:spacing w:after="0" w:line="308" w:lineRule="auto"/>
        <w:rPr>
          <w:sz w:val="20"/>
          <w:szCs w:val="20"/>
          <w:color w:val="auto"/>
        </w:rPr>
      </w:pPr>
      <w:r>
        <w:rPr>
          <w:rFonts w:ascii="Arial" w:cs="Arial" w:eastAsia="Arial" w:hAnsi="Arial"/>
          <w:sz w:val="17"/>
          <w:szCs w:val="17"/>
          <w:color w:val="auto"/>
        </w:rPr>
        <w:t>Diluted net income per common unit is computed based on the weighted average number of common units outstanding plus the effect of dilutive potential units outstanding during the period using the two-class method, unless the effects of such units are anti-dilutive.</w:t>
      </w:r>
    </w:p>
    <w:p>
      <w:pPr>
        <w:spacing w:after="0" w:line="14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70" w:orient="portrait"/>
          <w:cols w:equalWidth="0" w:num="2">
            <w:col w:w="140" w:space="500"/>
            <w:col w:w="10780"/>
          </w:cols>
          <w:pgMar w:left="240" w:top="125" w:right="239" w:bottom="0" w:gutter="0" w:footer="0" w:header="0"/>
        </w:sect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Notes and Significant Assumptions: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i w:val="1"/>
          <w:iCs w:val="1"/>
          <w:color w:val="auto"/>
        </w:rPr>
        <w:t>Definitions.</w:t>
      </w:r>
    </w:p>
    <w:p>
      <w:pPr>
        <w:spacing w:after="0" w:line="225"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EBITDA</w:t>
      </w:r>
      <w:r>
        <w:rPr>
          <w:sz w:val="20"/>
          <w:szCs w:val="20"/>
          <w:color w:val="auto"/>
        </w:rPr>
        <w:tab/>
      </w:r>
      <w:r>
        <w:rPr>
          <w:rFonts w:ascii="Arial" w:cs="Arial" w:eastAsia="Arial" w:hAnsi="Arial"/>
          <w:sz w:val="18"/>
          <w:szCs w:val="18"/>
          <w:color w:val="auto"/>
        </w:rPr>
        <w:t>Earnings before interest, taxes and depreciation and amortization</w:t>
      </w:r>
    </w:p>
    <w:p>
      <w:pPr>
        <w:spacing w:after="0" w:line="23"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Segment Profit</w:t>
      </w:r>
      <w:r>
        <w:rPr>
          <w:sz w:val="20"/>
          <w:szCs w:val="20"/>
          <w:color w:val="auto"/>
        </w:rPr>
        <w:tab/>
      </w:r>
      <w:r>
        <w:rPr>
          <w:rFonts w:ascii="Arial" w:cs="Arial" w:eastAsia="Arial" w:hAnsi="Arial"/>
          <w:sz w:val="16"/>
          <w:szCs w:val="16"/>
          <w:color w:val="auto"/>
        </w:rPr>
        <w:t>Net revenues (including equity earnings in unconsolidated entities, as applicable) less segment field operating costs and general</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and administrative expenses</w:t>
      </w:r>
    </w:p>
    <w:p>
      <w:pPr>
        <w:spacing w:after="0" w:line="9"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DCF</w:t>
      </w:r>
      <w:r>
        <w:rPr>
          <w:sz w:val="20"/>
          <w:szCs w:val="20"/>
          <w:color w:val="auto"/>
        </w:rPr>
        <w:tab/>
      </w:r>
      <w:r>
        <w:rPr>
          <w:rFonts w:ascii="Arial" w:cs="Arial" w:eastAsia="Arial" w:hAnsi="Arial"/>
          <w:sz w:val="18"/>
          <w:szCs w:val="18"/>
          <w:color w:val="auto"/>
        </w:rPr>
        <w:t>Distributable cash flow</w:t>
      </w:r>
    </w:p>
    <w:p>
      <w:pPr>
        <w:spacing w:after="0" w:line="9"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Bbls/d</w:t>
      </w:r>
      <w:r>
        <w:rPr>
          <w:sz w:val="20"/>
          <w:szCs w:val="20"/>
          <w:color w:val="auto"/>
        </w:rPr>
        <w:tab/>
      </w:r>
      <w:r>
        <w:rPr>
          <w:rFonts w:ascii="Arial" w:cs="Arial" w:eastAsia="Arial" w:hAnsi="Arial"/>
          <w:sz w:val="18"/>
          <w:szCs w:val="18"/>
          <w:color w:val="auto"/>
        </w:rPr>
        <w:t>Barrels per day</w:t>
      </w:r>
    </w:p>
    <w:p>
      <w:pPr>
        <w:spacing w:after="0" w:line="9"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Mcf</w:t>
      </w:r>
      <w:r>
        <w:rPr>
          <w:sz w:val="20"/>
          <w:szCs w:val="20"/>
          <w:color w:val="auto"/>
        </w:rPr>
        <w:tab/>
      </w:r>
      <w:r>
        <w:rPr>
          <w:rFonts w:ascii="Arial" w:cs="Arial" w:eastAsia="Arial" w:hAnsi="Arial"/>
          <w:sz w:val="18"/>
          <w:szCs w:val="18"/>
          <w:color w:val="auto"/>
        </w:rPr>
        <w:t>Thousand cubic feet</w:t>
      </w:r>
    </w:p>
    <w:p>
      <w:pPr>
        <w:spacing w:after="0" w:line="9"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Bcf</w:t>
      </w:r>
      <w:r>
        <w:rPr>
          <w:sz w:val="20"/>
          <w:szCs w:val="20"/>
          <w:color w:val="auto"/>
        </w:rPr>
        <w:tab/>
      </w:r>
      <w:r>
        <w:rPr>
          <w:rFonts w:ascii="Arial" w:cs="Arial" w:eastAsia="Arial" w:hAnsi="Arial"/>
          <w:sz w:val="18"/>
          <w:szCs w:val="18"/>
          <w:color w:val="auto"/>
        </w:rPr>
        <w:t>Billion cubic feet</w:t>
      </w:r>
    </w:p>
    <w:p>
      <w:pPr>
        <w:spacing w:after="0" w:line="9"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LTIP</w:t>
      </w:r>
      <w:r>
        <w:rPr>
          <w:sz w:val="20"/>
          <w:szCs w:val="20"/>
          <w:color w:val="auto"/>
        </w:rPr>
        <w:tab/>
      </w:r>
      <w:r>
        <w:rPr>
          <w:rFonts w:ascii="Arial" w:cs="Arial" w:eastAsia="Arial" w:hAnsi="Arial"/>
          <w:sz w:val="18"/>
          <w:szCs w:val="18"/>
          <w:color w:val="auto"/>
        </w:rPr>
        <w:t>Long-term incentive plan</w:t>
      </w:r>
    </w:p>
    <w:p>
      <w:pPr>
        <w:spacing w:after="0" w:line="9" w:lineRule="exact"/>
        <w:rPr>
          <w:sz w:val="20"/>
          <w:szCs w:val="20"/>
          <w:color w:val="auto"/>
        </w:rPr>
      </w:pPr>
    </w:p>
    <w:p>
      <w:pPr>
        <w:spacing w:after="0"/>
        <w:tabs>
          <w:tab w:leader="none" w:pos="2080" w:val="left"/>
        </w:tabs>
        <w:rPr>
          <w:sz w:val="20"/>
          <w:szCs w:val="20"/>
          <w:color w:val="auto"/>
        </w:rPr>
      </w:pPr>
      <w:r>
        <w:rPr>
          <w:rFonts w:ascii="Arial" w:cs="Arial" w:eastAsia="Arial" w:hAnsi="Arial"/>
          <w:sz w:val="16"/>
          <w:szCs w:val="16"/>
          <w:color w:val="auto"/>
        </w:rPr>
        <w:t>NGL</w:t>
      </w:r>
      <w:r>
        <w:rPr>
          <w:sz w:val="20"/>
          <w:szCs w:val="20"/>
          <w:color w:val="auto"/>
        </w:rPr>
        <w:tab/>
      </w:r>
      <w:r>
        <w:rPr>
          <w:rFonts w:ascii="Arial" w:cs="Arial" w:eastAsia="Arial" w:hAnsi="Arial"/>
          <w:sz w:val="16"/>
          <w:szCs w:val="16"/>
          <w:color w:val="auto"/>
        </w:rPr>
        <w:t>Natural gas liquids, including ethane and natural gasoline products as well as propane and butane, which are often referred to as</w:t>
      </w:r>
    </w:p>
    <w:p>
      <w:pPr>
        <w:spacing w:after="0" w:line="3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liquefied petroleum gas (LPG). When used in this document NGL refers to all NGL products including LPG.</w:t>
      </w:r>
    </w:p>
    <w:p>
      <w:pPr>
        <w:spacing w:after="0" w:line="9"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FX</w:t>
      </w:r>
      <w:r>
        <w:rPr>
          <w:sz w:val="20"/>
          <w:szCs w:val="20"/>
          <w:color w:val="auto"/>
        </w:rPr>
        <w:tab/>
      </w:r>
      <w:r>
        <w:rPr>
          <w:rFonts w:ascii="Arial" w:cs="Arial" w:eastAsia="Arial" w:hAnsi="Arial"/>
          <w:sz w:val="18"/>
          <w:szCs w:val="18"/>
          <w:color w:val="auto"/>
        </w:rPr>
        <w:t>Foreign currency exchange</w:t>
      </w:r>
    </w:p>
    <w:p>
      <w:pPr>
        <w:spacing w:after="0" w:line="9"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G&amp;A</w:t>
      </w:r>
      <w:r>
        <w:rPr>
          <w:sz w:val="20"/>
          <w:szCs w:val="20"/>
          <w:color w:val="auto"/>
        </w:rPr>
        <w:tab/>
      </w:r>
      <w:r>
        <w:rPr>
          <w:rFonts w:ascii="Arial" w:cs="Arial" w:eastAsia="Arial" w:hAnsi="Arial"/>
          <w:sz w:val="18"/>
          <w:szCs w:val="18"/>
          <w:color w:val="auto"/>
        </w:rPr>
        <w:t>General and administrative</w:t>
      </w:r>
    </w:p>
    <w:p>
      <w:pPr>
        <w:spacing w:after="0" w:line="9" w:lineRule="exact"/>
        <w:rPr>
          <w:sz w:val="20"/>
          <w:szCs w:val="20"/>
          <w:color w:val="auto"/>
        </w:rPr>
      </w:pPr>
    </w:p>
    <w:p>
      <w:pPr>
        <w:spacing w:after="0"/>
        <w:tabs>
          <w:tab w:leader="none" w:pos="2080" w:val="left"/>
        </w:tabs>
        <w:rPr>
          <w:sz w:val="20"/>
          <w:szCs w:val="20"/>
          <w:color w:val="auto"/>
        </w:rPr>
      </w:pPr>
      <w:r>
        <w:rPr>
          <w:rFonts w:ascii="Arial" w:cs="Arial" w:eastAsia="Arial" w:hAnsi="Arial"/>
          <w:sz w:val="18"/>
          <w:szCs w:val="18"/>
          <w:color w:val="auto"/>
        </w:rPr>
        <w:t>General partner (GP)</w:t>
      </w:r>
      <w:r>
        <w:rPr>
          <w:sz w:val="20"/>
          <w:szCs w:val="20"/>
          <w:color w:val="auto"/>
        </w:rPr>
        <w:tab/>
      </w:r>
      <w:r>
        <w:rPr>
          <w:rFonts w:ascii="Arial" w:cs="Arial" w:eastAsia="Arial" w:hAnsi="Arial"/>
          <w:sz w:val="16"/>
          <w:szCs w:val="16"/>
          <w:color w:val="auto"/>
        </w:rPr>
        <w:t>As the context requires, “general partner” or “GP” refers to any or all of (i) PAA GP LLC, the owner of our 2% general partner</w:t>
      </w:r>
    </w:p>
    <w:p>
      <w:pPr>
        <w:spacing w:after="0" w:line="9" w:lineRule="exact"/>
        <w:rPr>
          <w:sz w:val="20"/>
          <w:szCs w:val="20"/>
          <w:color w:val="auto"/>
        </w:rPr>
      </w:pPr>
    </w:p>
    <w:p>
      <w:pPr>
        <w:ind w:left="2100" w:right="20"/>
        <w:spacing w:after="0" w:line="261" w:lineRule="auto"/>
        <w:rPr>
          <w:sz w:val="20"/>
          <w:szCs w:val="20"/>
          <w:color w:val="auto"/>
        </w:rPr>
      </w:pPr>
      <w:r>
        <w:rPr>
          <w:rFonts w:ascii="Arial" w:cs="Arial" w:eastAsia="Arial" w:hAnsi="Arial"/>
          <w:sz w:val="18"/>
          <w:szCs w:val="18"/>
          <w:color w:val="auto"/>
        </w:rPr>
        <w:t>interest, (ii) Plains AAP, L.P., the sole member of PAA GP LLC and owner of our incentive distribution rights and (iii) Plains All American GP LLC, the general partner of Plains AAP, L.P.</w:t>
      </w:r>
    </w:p>
    <w:p>
      <w:pPr>
        <w:spacing w:after="0" w:line="184" w:lineRule="exact"/>
        <w:rPr>
          <w:sz w:val="20"/>
          <w:szCs w:val="20"/>
          <w:color w:val="auto"/>
        </w:rPr>
      </w:pPr>
    </w:p>
    <w:p>
      <w:pPr>
        <w:ind w:left="340" w:right="8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Operating Segments</w:t>
      </w:r>
      <w:r>
        <w:rPr>
          <w:rFonts w:ascii="Arial" w:cs="Arial" w:eastAsia="Arial" w:hAnsi="Arial"/>
          <w:sz w:val="18"/>
          <w:szCs w:val="18"/>
          <w:color w:val="auto"/>
        </w:rPr>
        <w:t>. We manage our operations through three operating segments: Transportation, Facilities and Supply and Logistics. The following is</w:t>
      </w:r>
      <w:r>
        <w:rPr>
          <w:rFonts w:ascii="Arial" w:cs="Arial" w:eastAsia="Arial" w:hAnsi="Arial"/>
          <w:sz w:val="18"/>
          <w:szCs w:val="18"/>
          <w:i w:val="1"/>
          <w:iCs w:val="1"/>
          <w:color w:val="auto"/>
        </w:rPr>
        <w:t xml:space="preserve"> </w:t>
      </w:r>
      <w:r>
        <w:rPr>
          <w:rFonts w:ascii="Arial" w:cs="Arial" w:eastAsia="Arial" w:hAnsi="Arial"/>
          <w:sz w:val="18"/>
          <w:szCs w:val="18"/>
          <w:color w:val="auto"/>
        </w:rPr>
        <w:t>a brief explanation of the operating activities for each segment as well as key metrics.</w:t>
      </w:r>
    </w:p>
    <w:p>
      <w:pPr>
        <w:spacing w:after="0" w:line="170" w:lineRule="exact"/>
        <w:rPr>
          <w:rFonts w:ascii="Arial" w:cs="Arial" w:eastAsia="Arial" w:hAnsi="Arial"/>
          <w:sz w:val="18"/>
          <w:szCs w:val="18"/>
          <w:color w:val="auto"/>
        </w:rPr>
      </w:pPr>
    </w:p>
    <w:p>
      <w:pPr>
        <w:ind w:left="980" w:right="20" w:hanging="324"/>
        <w:spacing w:after="0" w:line="297" w:lineRule="auto"/>
        <w:tabs>
          <w:tab w:leader="none" w:pos="970" w:val="left"/>
        </w:tabs>
        <w:numPr>
          <w:ilvl w:val="1"/>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Transportation. </w:t>
      </w:r>
      <w:r>
        <w:rPr>
          <w:rFonts w:ascii="Arial" w:cs="Arial" w:eastAsia="Arial" w:hAnsi="Arial"/>
          <w:sz w:val="16"/>
          <w:szCs w:val="16"/>
          <w:color w:val="auto"/>
        </w:rPr>
        <w:t>Our Transportation segment operations generally consist of fee-based activities associated with transporting crude oil and NGL</w:t>
      </w:r>
      <w:r>
        <w:rPr>
          <w:rFonts w:ascii="Arial" w:cs="Arial" w:eastAsia="Arial" w:hAnsi="Arial"/>
          <w:sz w:val="16"/>
          <w:szCs w:val="16"/>
          <w:i w:val="1"/>
          <w:iCs w:val="1"/>
          <w:color w:val="auto"/>
        </w:rPr>
        <w:t xml:space="preserve"> </w:t>
      </w:r>
      <w:r>
        <w:rPr>
          <w:rFonts w:ascii="Arial" w:cs="Arial" w:eastAsia="Arial" w:hAnsi="Arial"/>
          <w:sz w:val="16"/>
          <w:szCs w:val="16"/>
          <w:color w:val="auto"/>
        </w:rPr>
        <w:t>on pipelines, gathering systems, trucks and barges. The Transportation segment generates revenue through a combination of tariffs, third-party pipeline capacity agreements and other transportation fees. Our transportation segment also includes equity earnings from our investments in the entities that own BridgeTex, Caddo, Eagle Ford, Frontier, Saddlehorn, White Cliffs, and Butte pipeline systems as well as Settoon Towing, in which we own interests ranging from 22% to 50%. We account for these investments under the equity method of accounting.</w:t>
      </w:r>
    </w:p>
    <w:p>
      <w:pPr>
        <w:spacing w:after="0" w:line="158" w:lineRule="exact"/>
        <w:rPr>
          <w:rFonts w:ascii="Arial" w:cs="Arial" w:eastAsia="Arial" w:hAnsi="Arial"/>
          <w:sz w:val="16"/>
          <w:szCs w:val="16"/>
          <w:color w:val="auto"/>
        </w:rPr>
      </w:pPr>
    </w:p>
    <w:p>
      <w:pPr>
        <w:ind w:left="980" w:right="60"/>
        <w:spacing w:after="0" w:line="270" w:lineRule="auto"/>
        <w:rPr>
          <w:rFonts w:ascii="Arial" w:cs="Arial" w:eastAsia="Arial" w:hAnsi="Arial"/>
          <w:sz w:val="16"/>
          <w:szCs w:val="16"/>
          <w:color w:val="auto"/>
        </w:rPr>
      </w:pPr>
      <w:r>
        <w:rPr>
          <w:rFonts w:ascii="Arial" w:cs="Arial" w:eastAsia="Arial" w:hAnsi="Arial"/>
          <w:sz w:val="17"/>
          <w:szCs w:val="17"/>
          <w:color w:val="auto"/>
        </w:rPr>
        <w:t>Pipeline volume estimates are based on historical trends, anticipated future operating performance and assumed completion of capital projects. Actual volumes will be influenced by maintenance schedules at refineries, drilling and completion activity levels, production trends, weather and other natural occurrences including hurricanes, changes in the quantity of inventory held in tanks, variations due to market structure and other external factors beyond our control. We forecast adjusted segment profit using the volume assumptions following in the table, priced at forecasted tariff rates, less estimated field operating costs and G&amp;A expenses. Field operating costs do not include depreciation. Actual segment profit could vary materially depending on the level and mix of volumes transported or expenses incurred during the period, as well as the extent of any cash we receive with respect to minimum ship or pay commitments for which revenue recognition is required to be deferred until the associated transportation credits are used or expire. The following table summarizes our total transportation volumes and broken down by crude oil geographic area as well as total NGL and trucking volumes.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84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w w:val="93"/>
              </w:rPr>
              <w:t>Guidance</w:t>
            </w:r>
          </w:p>
        </w:tc>
        <w:tc>
          <w:tcPr>
            <w:tcW w:w="11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19"/>
        </w:trPr>
        <w:tc>
          <w:tcPr>
            <w:tcW w:w="5040" w:type="dxa"/>
            <w:vAlign w:val="bottom"/>
          </w:tcPr>
          <w:p>
            <w:pPr>
              <w:spacing w:after="0"/>
              <w:rPr>
                <w:sz w:val="10"/>
                <w:szCs w:val="10"/>
                <w:color w:val="auto"/>
              </w:rPr>
            </w:pPr>
          </w:p>
        </w:tc>
        <w:tc>
          <w:tcPr>
            <w:tcW w:w="184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Three Months</w:t>
            </w:r>
          </w:p>
        </w:tc>
        <w:tc>
          <w:tcPr>
            <w:tcW w:w="118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w w:val="98"/>
              </w:rPr>
              <w:t>Twelve Months</w:t>
            </w:r>
          </w:p>
        </w:tc>
        <w:tc>
          <w:tcPr>
            <w:tcW w:w="260" w:type="dxa"/>
            <w:vAlign w:val="bottom"/>
          </w:tcPr>
          <w:p>
            <w:pPr>
              <w:spacing w:after="0"/>
              <w:rPr>
                <w:sz w:val="10"/>
                <w:szCs w:val="10"/>
                <w:color w:val="auto"/>
              </w:rPr>
            </w:pPr>
          </w:p>
        </w:tc>
      </w:tr>
      <w:tr>
        <w:trPr>
          <w:trHeight w:val="149"/>
        </w:trPr>
        <w:tc>
          <w:tcPr>
            <w:tcW w:w="5040" w:type="dxa"/>
            <w:vAlign w:val="bottom"/>
          </w:tcPr>
          <w:p>
            <w:pPr>
              <w:spacing w:after="0"/>
              <w:rPr>
                <w:sz w:val="12"/>
                <w:szCs w:val="12"/>
                <w:color w:val="auto"/>
              </w:rPr>
            </w:pPr>
          </w:p>
        </w:tc>
        <w:tc>
          <w:tcPr>
            <w:tcW w:w="18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Ending</w:t>
            </w: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Ending</w:t>
            </w:r>
          </w:p>
        </w:tc>
      </w:tr>
      <w:tr>
        <w:trPr>
          <w:trHeight w:val="171"/>
        </w:trPr>
        <w:tc>
          <w:tcPr>
            <w:tcW w:w="5040" w:type="dxa"/>
            <w:vAlign w:val="bottom"/>
          </w:tcPr>
          <w:p>
            <w:pPr>
              <w:spacing w:after="0"/>
              <w:rPr>
                <w:sz w:val="14"/>
                <w:szCs w:val="14"/>
                <w:color w:val="auto"/>
              </w:rPr>
            </w:pPr>
          </w:p>
        </w:tc>
        <w:tc>
          <w:tcPr>
            <w:tcW w:w="18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8"/>
              </w:rPr>
              <w:t>Mar 31, 2016</w:t>
            </w: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Dec 31, 2016</w:t>
            </w: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daily volumes (MBbls/d)</w:t>
            </w:r>
          </w:p>
        </w:tc>
        <w:tc>
          <w:tcPr>
            <w:tcW w:w="1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Volumes from tariff activities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pipelines (by region):</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040" w:type="dxa"/>
            <w:vAlign w:val="bottom"/>
          </w:tcPr>
          <w:p>
            <w:pPr>
              <w:ind w:left="36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(1)</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2,125</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2,380</w:t>
            </w:r>
          </w:p>
        </w:tc>
      </w:tr>
      <w:tr>
        <w:trPr>
          <w:trHeight w:val="216"/>
        </w:trPr>
        <w:tc>
          <w:tcPr>
            <w:tcW w:w="504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(1)</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Western</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230</w:t>
            </w:r>
          </w:p>
        </w:tc>
      </w:tr>
      <w:tr>
        <w:trPr>
          <w:trHeight w:val="216"/>
        </w:trPr>
        <w:tc>
          <w:tcPr>
            <w:tcW w:w="504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(1)</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470</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Gulf Coast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470</w:t>
            </w: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Central</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405</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Canada</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395</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410</w:t>
            </w:r>
          </w:p>
        </w:tc>
      </w:tr>
      <w:tr>
        <w:trPr>
          <w:trHeight w:val="210"/>
        </w:trPr>
        <w:tc>
          <w:tcPr>
            <w:tcW w:w="50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Crude oil pipelines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260" w:type="dxa"/>
            <w:vAlign w:val="bottom"/>
            <w:tcBorders>
              <w:top w:val="single" w:sz="8" w:color="CCEEFF"/>
            </w:tcBorders>
            <w:shd w:val="clear" w:color="auto" w:fill="CCEEFF"/>
          </w:tcPr>
          <w:p>
            <w:pPr>
              <w:spacing w:after="0"/>
              <w:rPr>
                <w:sz w:val="18"/>
                <w:szCs w:val="18"/>
                <w:color w:val="auto"/>
              </w:rPr>
            </w:pPr>
          </w:p>
        </w:tc>
      </w:tr>
    </w:tbl>
    <w:p>
      <w:pPr>
        <w:sectPr>
          <w:pgSz w:w="11900" w:h="16870" w:orient="portrait"/>
          <w:cols w:equalWidth="0" w:num="1">
            <w:col w:w="11420"/>
          </w:cols>
          <w:pgMar w:left="240" w:top="125" w:right="239" w:bottom="0" w:gutter="0" w:footer="0" w:header="0"/>
          <w:type w:val="continuous"/>
        </w:sectPr>
      </w:pPr>
    </w:p>
    <w:bookmarkStart w:id="3" w:name="page4"/>
    <w:bookmarkEnd w:id="3"/>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NGL pipelines</w:t>
            </w:r>
          </w:p>
        </w:tc>
        <w:tc>
          <w:tcPr>
            <w:tcW w:w="54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165</w:t>
            </w:r>
          </w:p>
        </w:tc>
        <w:tc>
          <w:tcPr>
            <w:tcW w:w="5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155</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volumes from tariff activities</w:t>
            </w: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Trucking</w:t>
            </w: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5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120</w:t>
            </w:r>
          </w:p>
        </w:tc>
      </w:tr>
      <w:tr>
        <w:trPr>
          <w:trHeight w:val="210"/>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Transportation segment volumes</w:t>
            </w: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7"/>
        </w:trPr>
        <w:tc>
          <w:tcPr>
            <w:tcW w:w="5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Adjusted segment profit per barrel ($/Bbl)</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0.59</w:t>
            </w:r>
            <w:r>
              <w:rPr>
                <w:rFonts w:ascii="Arial" w:cs="Arial" w:eastAsia="Arial" w:hAnsi="Arial"/>
                <w:sz w:val="11"/>
                <w:szCs w:val="11"/>
                <w:color w:val="auto"/>
              </w:rPr>
              <w:t>(2)</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0.64</w:t>
            </w:r>
            <w:r>
              <w:rPr>
                <w:rFonts w:ascii="Arial" w:cs="Arial" w:eastAsia="Arial" w:hAnsi="Arial"/>
                <w:sz w:val="11"/>
                <w:szCs w:val="11"/>
                <w:color w:val="auto"/>
              </w:rPr>
              <w:t>(2)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1" w:lineRule="exact"/>
        <w:rPr>
          <w:sz w:val="20"/>
          <w:szCs w:val="20"/>
          <w:color w:val="auto"/>
        </w:rPr>
      </w:pPr>
    </w:p>
    <w:p>
      <w:pPr>
        <w:ind w:left="1300" w:hanging="320"/>
        <w:spacing w:after="0"/>
        <w:tabs>
          <w:tab w:leader="none" w:pos="1300" w:val="left"/>
        </w:tabs>
        <w:numPr>
          <w:ilvl w:val="1"/>
          <w:numId w:val="3"/>
        </w:numPr>
        <w:rPr>
          <w:rFonts w:ascii="Arial" w:cs="Arial" w:eastAsia="Arial" w:hAnsi="Arial"/>
          <w:sz w:val="23"/>
          <w:szCs w:val="23"/>
          <w:color w:val="auto"/>
          <w:vertAlign w:val="superscript"/>
        </w:rPr>
      </w:pPr>
      <w:r>
        <w:rPr>
          <w:rFonts w:ascii="Arial" w:cs="Arial" w:eastAsia="Arial" w:hAnsi="Arial"/>
          <w:sz w:val="18"/>
          <w:szCs w:val="18"/>
          <w:color w:val="auto"/>
        </w:rPr>
        <w:t>Area systems include volumes (attributable to our interest) from pipelines owned by unconsolidated entities.</w:t>
      </w:r>
    </w:p>
    <w:p>
      <w:pPr>
        <w:spacing w:after="0" w:line="1" w:lineRule="exact"/>
        <w:rPr>
          <w:rFonts w:ascii="Arial" w:cs="Arial" w:eastAsia="Arial" w:hAnsi="Arial"/>
          <w:sz w:val="23"/>
          <w:szCs w:val="23"/>
          <w:color w:val="auto"/>
          <w:vertAlign w:val="superscript"/>
        </w:rPr>
      </w:pPr>
    </w:p>
    <w:p>
      <w:pPr>
        <w:ind w:left="1300" w:hanging="320"/>
        <w:spacing w:after="0" w:line="194" w:lineRule="auto"/>
        <w:tabs>
          <w:tab w:leader="none" w:pos="1300" w:val="left"/>
        </w:tabs>
        <w:numPr>
          <w:ilvl w:val="1"/>
          <w:numId w:val="3"/>
        </w:numPr>
        <w:rPr>
          <w:rFonts w:ascii="Arial" w:cs="Arial" w:eastAsia="Arial" w:hAnsi="Arial"/>
          <w:sz w:val="23"/>
          <w:szCs w:val="23"/>
          <w:color w:val="auto"/>
          <w:vertAlign w:val="superscript"/>
        </w:rPr>
      </w:pPr>
      <w:r>
        <w:rPr>
          <w:rFonts w:ascii="Arial" w:cs="Arial" w:eastAsia="Arial" w:hAnsi="Arial"/>
          <w:sz w:val="18"/>
          <w:szCs w:val="18"/>
          <w:color w:val="auto"/>
        </w:rPr>
        <w:t>Represents the midpoint of guidance.</w:t>
      </w:r>
    </w:p>
    <w:p>
      <w:pPr>
        <w:spacing w:after="0" w:line="202" w:lineRule="exact"/>
        <w:rPr>
          <w:rFonts w:ascii="Arial" w:cs="Arial" w:eastAsia="Arial" w:hAnsi="Arial"/>
          <w:sz w:val="23"/>
          <w:szCs w:val="23"/>
          <w:color w:val="auto"/>
          <w:vertAlign w:val="superscript"/>
        </w:rPr>
      </w:pPr>
    </w:p>
    <w:p>
      <w:pPr>
        <w:ind w:left="980" w:right="260" w:hanging="324"/>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Facilities</w:t>
      </w:r>
      <w:r>
        <w:rPr>
          <w:rFonts w:ascii="Arial" w:cs="Arial" w:eastAsia="Arial" w:hAnsi="Arial"/>
          <w:sz w:val="18"/>
          <w:szCs w:val="18"/>
          <w:color w:val="auto"/>
        </w:rPr>
        <w:t>. Our Facilities segment operations generally consist of fee-based activities associated with providing storage, terminalling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86" w:lineRule="exact"/>
        <w:rPr>
          <w:rFonts w:ascii="Arial" w:cs="Arial" w:eastAsia="Arial" w:hAnsi="Arial"/>
          <w:sz w:val="18"/>
          <w:szCs w:val="18"/>
          <w:color w:val="auto"/>
        </w:rPr>
      </w:pPr>
    </w:p>
    <w:p>
      <w:pPr>
        <w:ind w:left="980"/>
        <w:spacing w:after="0" w:line="293" w:lineRule="auto"/>
        <w:rPr>
          <w:rFonts w:ascii="Arial" w:cs="Arial" w:eastAsia="Arial" w:hAnsi="Arial"/>
          <w:sz w:val="18"/>
          <w:szCs w:val="18"/>
          <w:color w:val="auto"/>
        </w:rPr>
      </w:pPr>
      <w:r>
        <w:rPr>
          <w:rFonts w:ascii="Arial" w:cs="Arial" w:eastAsia="Arial" w:hAnsi="Arial"/>
          <w:sz w:val="16"/>
          <w:szCs w:val="16"/>
          <w:color w:val="auto"/>
        </w:rPr>
        <w:t>Revenues generated in this segment primarily include (i) fees that are generated from storage capacity agreements, (ii) terminal throughput fees that are generated when we receive crude oil, refined products or NGL from one connecting source and deliver the applicable product to another connecting carrier, (iii) loading and unloading fees at our rail terminals, (iv) fees from NGL fractionation and isomerization services, (v) fees from natural gas and condensate processing services and (vi) fees associated with natural gas park and loan activities, interruptible storage services and wheeling and balancing services. Adjusted segment profit is forecasted using the volume assumptions in the following table, priced at forecasted rates, less estimated field operating costs and G&amp;A expenses. Field operating costs do not include depreciation.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Operating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-121920</wp:posOffset>
            </wp:positionV>
            <wp:extent cx="579755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520" w:hanging="181"/>
        <w:spacing w:after="0" w:line="245" w:lineRule="auto"/>
        <w:rPr>
          <w:sz w:val="20"/>
          <w:szCs w:val="20"/>
          <w:color w:val="auto"/>
        </w:rPr>
      </w:pPr>
      <w:r>
        <w:rPr>
          <w:rFonts w:ascii="Arial" w:cs="Arial" w:eastAsia="Arial" w:hAnsi="Arial"/>
          <w:sz w:val="18"/>
          <w:szCs w:val="18"/>
          <w:color w:val="auto"/>
        </w:rPr>
        <w:t>Crude oil, refined products and NGL terminalling and storage capacity (MMBbls/Mo.)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Guidance</w:t>
            </w:r>
          </w:p>
        </w:tc>
      </w:tr>
      <w:tr>
        <w:trPr>
          <w:trHeight w:val="119"/>
        </w:trPr>
        <w:tc>
          <w:tcPr>
            <w:tcW w:w="1160" w:type="dxa"/>
            <w:vAlign w:val="bottom"/>
          </w:tcPr>
          <w:p>
            <w:pPr>
              <w:jc w:val="center"/>
              <w:ind w:left="150"/>
              <w:spacing w:after="0" w:line="119" w:lineRule="exact"/>
              <w:rPr>
                <w:sz w:val="20"/>
                <w:szCs w:val="20"/>
                <w:color w:val="auto"/>
              </w:rPr>
            </w:pPr>
            <w:r>
              <w:rPr>
                <w:rFonts w:ascii="Arial" w:cs="Arial" w:eastAsia="Arial" w:hAnsi="Arial"/>
                <w:sz w:val="13"/>
                <w:szCs w:val="13"/>
                <w:b w:val="1"/>
                <w:bCs w:val="1"/>
                <w:color w:val="auto"/>
              </w:rPr>
              <w:t>Three Months</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Twelve Months</w:t>
            </w:r>
          </w:p>
        </w:tc>
      </w:tr>
      <w:tr>
        <w:trPr>
          <w:trHeight w:val="149"/>
        </w:trPr>
        <w:tc>
          <w:tcPr>
            <w:tcW w:w="1160" w:type="dxa"/>
            <w:vAlign w:val="bottom"/>
          </w:tcPr>
          <w:p>
            <w:pPr>
              <w:jc w:val="center"/>
              <w:ind w:left="150"/>
              <w:spacing w:after="0" w:line="149" w:lineRule="exact"/>
              <w:rPr>
                <w:sz w:val="20"/>
                <w:szCs w:val="20"/>
                <w:color w:val="auto"/>
              </w:rPr>
            </w:pPr>
            <w:r>
              <w:rPr>
                <w:rFonts w:ascii="Arial" w:cs="Arial" w:eastAsia="Arial" w:hAnsi="Arial"/>
                <w:sz w:val="14"/>
                <w:szCs w:val="14"/>
                <w:b w:val="1"/>
                <w:bCs w:val="1"/>
                <w:color w:val="auto"/>
                <w:w w:val="96"/>
              </w:rPr>
              <w:t>Ending</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Ending</w:t>
            </w:r>
          </w:p>
        </w:tc>
      </w:tr>
      <w:tr>
        <w:trPr>
          <w:trHeight w:val="171"/>
        </w:trPr>
        <w:tc>
          <w:tcPr>
            <w:tcW w:w="1160" w:type="dxa"/>
            <w:vAlign w:val="bottom"/>
            <w:tcBorders>
              <w:bottom w:val="single" w:sz="8" w:color="auto"/>
            </w:tcBorders>
          </w:tcPr>
          <w:p>
            <w:pPr>
              <w:jc w:val="center"/>
              <w:ind w:left="150"/>
              <w:spacing w:after="0"/>
              <w:rPr>
                <w:sz w:val="20"/>
                <w:szCs w:val="20"/>
                <w:color w:val="auto"/>
              </w:rPr>
            </w:pPr>
            <w:r>
              <w:rPr>
                <w:rFonts w:ascii="Arial" w:cs="Arial" w:eastAsia="Arial" w:hAnsi="Arial"/>
                <w:sz w:val="14"/>
                <w:szCs w:val="14"/>
                <w:b w:val="1"/>
                <w:bCs w:val="1"/>
                <w:color w:val="auto"/>
                <w:w w:val="98"/>
              </w:rPr>
              <w:t>Mar 31, 2016</w:t>
            </w:r>
          </w:p>
        </w:tc>
        <w:tc>
          <w:tcPr>
            <w:tcW w:w="2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 31, 2016</w:t>
            </w:r>
          </w:p>
        </w:tc>
      </w:tr>
    </w:tbl>
    <w:p>
      <w:pPr>
        <w:spacing w:after="0" w:line="391" w:lineRule="exact"/>
        <w:rPr>
          <w:sz w:val="20"/>
          <w:szCs w:val="20"/>
          <w:color w:val="auto"/>
        </w:rPr>
      </w:pPr>
    </w:p>
    <w:p>
      <w:pPr>
        <w:jc w:val="both"/>
        <w:ind w:left="1100"/>
        <w:spacing w:after="0"/>
        <w:tabs>
          <w:tab w:leader="none" w:pos="27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105</w:t>
      </w:r>
    </w:p>
    <w:p>
      <w:pPr>
        <w:spacing w:after="0" w:line="28" w:lineRule="exact"/>
        <w:rPr>
          <w:sz w:val="20"/>
          <w:szCs w:val="20"/>
          <w:color w:val="auto"/>
        </w:rPr>
      </w:pPr>
    </w:p>
    <w:p>
      <w:pPr>
        <w:sectPr>
          <w:pgSz w:w="11900" w:h="16838" w:orient="portrait"/>
          <w:cols w:equalWidth="0" w:num="2">
            <w:col w:w="6440" w:space="440"/>
            <w:col w:w="4540"/>
          </w:cols>
          <w:pgMar w:left="240" w:top="125" w:right="239" w:bottom="0" w:gutter="0" w:footer="0" w:header="0"/>
          <w:type w:val="continuous"/>
        </w:sectPr>
      </w:pPr>
    </w:p>
    <w:tbl>
      <w:tblPr>
        <w:tblLayout w:type="fixed"/>
        <w:tblInd w:w="980" w:type="dxa"/>
        <w:tblCellMar>
          <w:top w:w="0" w:type="dxa"/>
          <w:left w:w="0" w:type="dxa"/>
          <w:bottom w:w="0" w:type="dxa"/>
          <w:right w:w="0" w:type="dxa"/>
        </w:tblCellMar>
      </w:tblPr>
      <w:tr>
        <w:trPr>
          <w:trHeight w:val="233"/>
        </w:trPr>
        <w:tc>
          <w:tcPr>
            <w:tcW w:w="45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Rail load / unload volumes (MBbls/d)</w:t>
            </w:r>
          </w:p>
        </w:tc>
        <w:tc>
          <w:tcPr>
            <w:tcW w:w="134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360"/>
              <w:spacing w:after="0"/>
              <w:rPr>
                <w:sz w:val="20"/>
                <w:szCs w:val="20"/>
                <w:color w:val="auto"/>
              </w:rPr>
            </w:pPr>
            <w:r>
              <w:rPr>
                <w:rFonts w:ascii="Arial" w:cs="Arial" w:eastAsia="Arial" w:hAnsi="Arial"/>
                <w:sz w:val="18"/>
                <w:szCs w:val="18"/>
                <w:color w:val="auto"/>
              </w:rPr>
              <w:t>Natural gas storage capacity (Bcf/Mo.)</w:t>
            </w:r>
          </w:p>
        </w:tc>
        <w:tc>
          <w:tcPr>
            <w:tcW w:w="1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tcBorders>
              <w:bottom w:val="single" w:sz="8" w:color="CCEEFF"/>
            </w:tcBorders>
            <w:vMerge w:val="continue"/>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80" w:type="dxa"/>
            <w:vAlign w:val="bottom"/>
            <w:tcBorders>
              <w:bottom w:val="single" w:sz="8" w:color="CCEEFF"/>
            </w:tcBorders>
            <w:vMerge w:val="continue"/>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560" w:type="dxa"/>
            <w:vAlign w:val="bottom"/>
            <w:tcBorders>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NGL fractionation volumes (MBbls/d)</w:t>
            </w:r>
          </w:p>
        </w:tc>
        <w:tc>
          <w:tcPr>
            <w:tcW w:w="13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c>
          <w:tcPr>
            <w:tcW w:w="2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360"/>
              <w:spacing w:after="0"/>
              <w:rPr>
                <w:sz w:val="20"/>
                <w:szCs w:val="20"/>
                <w:color w:val="auto"/>
              </w:rPr>
            </w:pPr>
            <w:r>
              <w:rPr>
                <w:rFonts w:ascii="Arial" w:cs="Arial" w:eastAsia="Arial" w:hAnsi="Arial"/>
                <w:sz w:val="18"/>
                <w:szCs w:val="18"/>
                <w:color w:val="auto"/>
              </w:rPr>
              <w:t>Total Facilities segment volumes</w:t>
            </w:r>
          </w:p>
        </w:tc>
        <w:tc>
          <w:tcPr>
            <w:tcW w:w="1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56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line="216" w:lineRule="exact"/>
              <w:rPr>
                <w:sz w:val="20"/>
                <w:szCs w:val="20"/>
                <w:color w:val="auto"/>
              </w:rPr>
            </w:pPr>
            <w:r>
              <w:rPr>
                <w:rFonts w:ascii="Arial" w:cs="Arial" w:eastAsia="Arial" w:hAnsi="Arial"/>
                <w:sz w:val="18"/>
                <w:szCs w:val="18"/>
                <w:color w:val="auto"/>
              </w:rPr>
              <w:t xml:space="preserve">Avg. Capacity (MMBbls/Mo.) </w:t>
            </w:r>
            <w:r>
              <w:rPr>
                <w:rFonts w:ascii="Arial" w:cs="Arial" w:eastAsia="Arial" w:hAnsi="Arial"/>
                <w:sz w:val="23"/>
                <w:szCs w:val="23"/>
                <w:color w:val="auto"/>
                <w:vertAlign w:val="superscript"/>
              </w:rPr>
              <w:t>(1)</w:t>
            </w:r>
          </w:p>
        </w:tc>
        <w:tc>
          <w:tcPr>
            <w:tcW w:w="1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segment profit per barrel ($/Bbl)</w:t>
            </w: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0.38</w:t>
            </w:r>
            <w:r>
              <w:rPr>
                <w:rFonts w:ascii="Arial" w:cs="Arial" w:eastAsia="Arial" w:hAnsi="Arial"/>
                <w:sz w:val="11"/>
                <w:szCs w:val="11"/>
                <w:color w:val="auto"/>
              </w:rPr>
              <w:t>(2)</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0.40</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right="20" w:hanging="320"/>
        <w:spacing w:after="0"/>
        <w:tabs>
          <w:tab w:leader="none" w:pos="1287" w:val="left"/>
        </w:tabs>
        <w:numPr>
          <w:ilvl w:val="2"/>
          <w:numId w:val="5"/>
        </w:numPr>
        <w:rPr>
          <w:rFonts w:ascii="Arial" w:cs="Arial" w:eastAsia="Arial" w:hAnsi="Arial"/>
          <w:sz w:val="23"/>
          <w:szCs w:val="23"/>
          <w:color w:val="auto"/>
          <w:vertAlign w:val="superscript"/>
        </w:rPr>
      </w:pPr>
      <w:r>
        <w:rPr>
          <w:rFonts w:ascii="Arial" w:cs="Arial" w:eastAsia="Arial" w:hAnsi="Arial"/>
          <w:sz w:val="18"/>
          <w:szCs w:val="18"/>
          <w:color w:val="auto"/>
        </w:rPr>
        <w:t>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2" w:lineRule="exact"/>
        <w:rPr>
          <w:rFonts w:ascii="Arial" w:cs="Arial" w:eastAsia="Arial" w:hAnsi="Arial"/>
          <w:sz w:val="23"/>
          <w:szCs w:val="23"/>
          <w:color w:val="auto"/>
          <w:vertAlign w:val="superscript"/>
        </w:rPr>
      </w:pPr>
    </w:p>
    <w:p>
      <w:pPr>
        <w:ind w:left="1300" w:hanging="320"/>
        <w:spacing w:after="0" w:line="196" w:lineRule="auto"/>
        <w:tabs>
          <w:tab w:leader="none" w:pos="1300" w:val="left"/>
        </w:tabs>
        <w:numPr>
          <w:ilvl w:val="2"/>
          <w:numId w:val="5"/>
        </w:numPr>
        <w:rPr>
          <w:rFonts w:ascii="Arial" w:cs="Arial" w:eastAsia="Arial" w:hAnsi="Arial"/>
          <w:sz w:val="23"/>
          <w:szCs w:val="23"/>
          <w:color w:val="auto"/>
          <w:vertAlign w:val="superscript"/>
        </w:rPr>
      </w:pPr>
      <w:r>
        <w:rPr>
          <w:rFonts w:ascii="Arial" w:cs="Arial" w:eastAsia="Arial" w:hAnsi="Arial"/>
          <w:sz w:val="18"/>
          <w:szCs w:val="18"/>
          <w:color w:val="auto"/>
        </w:rPr>
        <w:t>Represents the mid-point of guidance.</w:t>
      </w:r>
    </w:p>
    <w:p>
      <w:pPr>
        <w:spacing w:after="0" w:line="201"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18"/>
          <w:szCs w:val="18"/>
          <w:color w:val="auto"/>
        </w:rPr>
        <w:t>c.</w:t>
      </w:r>
      <w:r>
        <w:rPr>
          <w:rFonts w:ascii="Arial" w:cs="Arial" w:eastAsia="Arial" w:hAnsi="Arial"/>
          <w:sz w:val="16"/>
          <w:szCs w:val="16"/>
          <w:i w:val="1"/>
          <w:iCs w:val="1"/>
          <w:color w:val="auto"/>
        </w:rPr>
        <w:t>Supply and Logistics</w:t>
      </w:r>
      <w:r>
        <w:rPr>
          <w:rFonts w:ascii="Arial" w:cs="Arial" w:eastAsia="Arial" w:hAnsi="Arial"/>
          <w:sz w:val="16"/>
          <w:szCs w:val="16"/>
          <w:color w:val="auto"/>
        </w:rPr>
        <w:t>. Our Supply and Logistics segment operations generally consist of the following merchant-related activities:</w:t>
      </w:r>
    </w:p>
    <w:p>
      <w:pPr>
        <w:spacing w:after="0" w:line="225" w:lineRule="exact"/>
        <w:rPr>
          <w:rFonts w:ascii="Arial" w:cs="Arial" w:eastAsia="Arial" w:hAnsi="Arial"/>
          <w:sz w:val="23"/>
          <w:szCs w:val="23"/>
          <w:color w:val="auto"/>
          <w:vertAlign w:val="superscript"/>
        </w:rPr>
      </w:pPr>
    </w:p>
    <w:p>
      <w:pPr>
        <w:ind w:left="1220" w:right="380" w:hanging="321"/>
        <w:spacing w:after="0" w:line="277" w:lineRule="auto"/>
        <w:tabs>
          <w:tab w:leader="none" w:pos="1184"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purchase of U.S. and Canadian crude oil at the wellhead, the bulk purchase of crude oil at pipeline, terminal and rail facilities and the purchase of cargos at their load port and various other locations in transit;</w:t>
      </w:r>
    </w:p>
    <w:p>
      <w:pPr>
        <w:spacing w:after="0" w:line="170" w:lineRule="exact"/>
        <w:rPr>
          <w:rFonts w:ascii="Arial" w:cs="Arial" w:eastAsia="Arial" w:hAnsi="Arial"/>
          <w:sz w:val="18"/>
          <w:szCs w:val="18"/>
          <w:color w:val="auto"/>
        </w:rPr>
      </w:pPr>
    </w:p>
    <w:p>
      <w:pPr>
        <w:ind w:left="1180" w:hanging="281"/>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 and natural gas;</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purchase of NGL from producers, refiners, processors and other marketers;</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resale or exchange of crude oil and NGL at various points along the distribution chain to refiners or other resellers;</w:t>
      </w:r>
    </w:p>
    <w:p>
      <w:pPr>
        <w:spacing w:after="0" w:line="225" w:lineRule="exact"/>
        <w:rPr>
          <w:rFonts w:ascii="Arial" w:cs="Arial" w:eastAsia="Arial" w:hAnsi="Arial"/>
          <w:sz w:val="18"/>
          <w:szCs w:val="18"/>
          <w:color w:val="auto"/>
        </w:rPr>
      </w:pPr>
    </w:p>
    <w:p>
      <w:pPr>
        <w:ind w:left="1220" w:right="280" w:hanging="321"/>
        <w:spacing w:after="0" w:line="277" w:lineRule="auto"/>
        <w:tabs>
          <w:tab w:leader="none" w:pos="1184"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transportation of crude oil and NGL on trucks, barges, railcars, pipelines and ocean-going vessels from various delivery points, market hub locations or directly to end users such as refineries, processors and fractionation facilities; and</w:t>
      </w:r>
    </w:p>
    <w:p>
      <w:pPr>
        <w:spacing w:after="0" w:line="170" w:lineRule="exact"/>
        <w:rPr>
          <w:rFonts w:ascii="Arial" w:cs="Arial" w:eastAsia="Arial" w:hAnsi="Arial"/>
          <w:sz w:val="18"/>
          <w:szCs w:val="18"/>
          <w:color w:val="auto"/>
        </w:rPr>
      </w:pPr>
    </w:p>
    <w:p>
      <w:pPr>
        <w:ind w:left="1180" w:hanging="281"/>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purchase and sale of natural gas.</w:t>
      </w:r>
    </w:p>
    <w:p>
      <w:pPr>
        <w:spacing w:after="0" w:line="225" w:lineRule="exact"/>
        <w:rPr>
          <w:sz w:val="20"/>
          <w:szCs w:val="20"/>
          <w:color w:val="auto"/>
        </w:rPr>
      </w:pPr>
    </w:p>
    <w:p>
      <w:pPr>
        <w:ind w:left="980" w:right="60"/>
        <w:spacing w:after="0" w:line="270" w:lineRule="auto"/>
        <w:rPr>
          <w:sz w:val="20"/>
          <w:szCs w:val="20"/>
          <w:color w:val="auto"/>
        </w:rPr>
      </w:pPr>
      <w:r>
        <w:rPr>
          <w:rFonts w:ascii="Arial" w:cs="Arial" w:eastAsia="Arial" w:hAnsi="Arial"/>
          <w:sz w:val="17"/>
          <w:szCs w:val="17"/>
          <w:color w:val="auto"/>
        </w:rPr>
        <w:t>We characterize a substantial portion of our baseline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and carrying costs for hedged inventory as well as any operating and G&amp;A expenses. The level of profit associated with a portion of the other activities we conduct in the Supply and Logistics segment is influenced by overall market structure and the degree of market volatility as well as variable operating expenses. Forecasted operating results for the three-month period ending March 31, 2016 and for the twelve-month period ending December 31, 2016 reflect current market structure as well as seasonal, and weather-related and other anticipated variations in crude oil, NGL and natural gas sales. Variations in weather, market structure or volatility could cause actual results to differ materially from forecasted results.</w:t>
      </w:r>
    </w:p>
    <w:p>
      <w:pPr>
        <w:sectPr>
          <w:pgSz w:w="11900" w:h="16838" w:orient="portrait"/>
          <w:cols w:equalWidth="0" w:num="1">
            <w:col w:w="11420"/>
          </w:cols>
          <w:pgMar w:left="240" w:top="125" w:right="239" w:bottom="0" w:gutter="0" w:footer="0" w:header="0"/>
          <w:type w:val="continuous"/>
        </w:sectPr>
      </w:pPr>
    </w:p>
    <w:bookmarkStart w:id="4" w:name="page5"/>
    <w:bookmarkEnd w:id="4"/>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72"/>
        <w:spacing w:after="0" w:line="293" w:lineRule="auto"/>
        <w:rPr>
          <w:sz w:val="20"/>
          <w:szCs w:val="20"/>
          <w:color w:val="auto"/>
        </w:rPr>
      </w:pPr>
      <w:r>
        <w:rPr>
          <w:rFonts w:ascii="Arial" w:cs="Arial" w:eastAsia="Arial" w:hAnsi="Arial"/>
          <w:sz w:val="16"/>
          <w:szCs w:val="16"/>
          <w:color w:val="auto"/>
        </w:rPr>
        <w:t>We forecast adjusted segment profit using the volume assumptions stated below, as well as estimates of unit margins, field operating costs, G&amp;A expenses and carrying costs for hedged inventory, based on current and anticipated market conditions. Actual volumes are influenced by temporary market-driven storage and withdrawal of crude oil, maintenance schedules at refineries, actual production levels, weather, and other external factors beyond our control. Field operating costs do not include depreciation. Realized unit margins for any given lease-gathered barrel could vary significantly based on a variety of factors including location and quality differentials as well as contract structure. Accordingly, the projected adjusted segment profit per barrel can vary significantly even if aggregate volumes are in line with the forecasted levels.</w:t>
      </w:r>
    </w:p>
    <w:p>
      <w:pPr>
        <w:spacing w:after="0" w:line="157" w:lineRule="exact"/>
        <w:rPr>
          <w:sz w:val="20"/>
          <w:szCs w:val="20"/>
          <w:color w:val="auto"/>
        </w:rPr>
      </w:pPr>
    </w:p>
    <w:tbl>
      <w:tblPr>
        <w:tblLayout w:type="fixed"/>
        <w:tblInd w:w="1432"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Guidance</w:t>
            </w:r>
          </w:p>
        </w:tc>
        <w:tc>
          <w:tcPr>
            <w:tcW w:w="1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19"/>
        </w:trPr>
        <w:tc>
          <w:tcPr>
            <w:tcW w:w="4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Three Months</w:t>
            </w:r>
          </w:p>
        </w:tc>
        <w:tc>
          <w:tcPr>
            <w:tcW w:w="180" w:type="dxa"/>
            <w:vAlign w:val="bottom"/>
          </w:tcPr>
          <w:p>
            <w:pPr>
              <w:spacing w:after="0"/>
              <w:rPr>
                <w:sz w:val="10"/>
                <w:szCs w:val="10"/>
                <w:color w:val="auto"/>
              </w:rPr>
            </w:pPr>
          </w:p>
        </w:tc>
        <w:tc>
          <w:tcPr>
            <w:tcW w:w="11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Twelve Months</w:t>
            </w:r>
          </w:p>
        </w:tc>
        <w:tc>
          <w:tcPr>
            <w:tcW w:w="260" w:type="dxa"/>
            <w:vAlign w:val="bottom"/>
          </w:tcPr>
          <w:p>
            <w:pPr>
              <w:spacing w:after="0"/>
              <w:rPr>
                <w:sz w:val="10"/>
                <w:szCs w:val="10"/>
                <w:color w:val="auto"/>
              </w:rPr>
            </w:pPr>
          </w:p>
        </w:tc>
      </w:tr>
      <w:tr>
        <w:trPr>
          <w:trHeight w:val="149"/>
        </w:trPr>
        <w:tc>
          <w:tcPr>
            <w:tcW w:w="4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Ending</w:t>
            </w:r>
          </w:p>
        </w:tc>
        <w:tc>
          <w:tcPr>
            <w:tcW w:w="180" w:type="dxa"/>
            <w:vAlign w:val="bottom"/>
          </w:tcPr>
          <w:p>
            <w:pPr>
              <w:spacing w:after="0"/>
              <w:rPr>
                <w:sz w:val="12"/>
                <w:szCs w:val="12"/>
                <w:color w:val="auto"/>
              </w:rPr>
            </w:pPr>
          </w:p>
        </w:tc>
        <w:tc>
          <w:tcPr>
            <w:tcW w:w="14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Ending</w:t>
            </w:r>
          </w:p>
        </w:tc>
      </w:tr>
      <w:tr>
        <w:trPr>
          <w:trHeight w:val="171"/>
        </w:trPr>
        <w:tc>
          <w:tcPr>
            <w:tcW w:w="4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Mar 31, 2016</w:t>
            </w:r>
          </w:p>
        </w:tc>
        <w:tc>
          <w:tcPr>
            <w:tcW w:w="180" w:type="dxa"/>
            <w:vAlign w:val="bottom"/>
          </w:tcPr>
          <w:p>
            <w:pPr>
              <w:spacing w:after="0"/>
              <w:rPr>
                <w:sz w:val="14"/>
                <w:szCs w:val="14"/>
                <w:color w:val="auto"/>
              </w:rPr>
            </w:pPr>
          </w:p>
        </w:tc>
        <w:tc>
          <w:tcPr>
            <w:tcW w:w="14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Dec 31, 2016</w:t>
            </w:r>
          </w:p>
        </w:tc>
      </w:tr>
      <w:tr>
        <w:trPr>
          <w:trHeight w:val="196"/>
        </w:trPr>
        <w:tc>
          <w:tcPr>
            <w:tcW w:w="4080" w:type="dxa"/>
            <w:vAlign w:val="bottom"/>
            <w:tcBorders>
              <w:top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Average daily volumes (MBbls/d)</w:t>
            </w:r>
          </w:p>
        </w:tc>
        <w:tc>
          <w:tcPr>
            <w:tcW w:w="8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Crude oil lease gathering purchases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935</w:t>
            </w:r>
          </w:p>
        </w:tc>
        <w:tc>
          <w:tcPr>
            <w:tcW w:w="260" w:type="dxa"/>
            <w:vAlign w:val="bottom"/>
          </w:tcPr>
          <w:p>
            <w:pPr>
              <w:spacing w:after="0"/>
              <w:rPr>
                <w:sz w:val="18"/>
                <w:szCs w:val="18"/>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NGL sales</w:t>
            </w:r>
          </w:p>
        </w:tc>
        <w:tc>
          <w:tcPr>
            <w:tcW w:w="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CEEFF"/>
          </w:tcPr>
          <w:p>
            <w:pPr>
              <w:spacing w:after="0"/>
              <w:rPr>
                <w:sz w:val="18"/>
                <w:szCs w:val="18"/>
                <w:color w:val="auto"/>
              </w:rPr>
            </w:pPr>
          </w:p>
        </w:tc>
      </w:tr>
      <w:tr>
        <w:trPr>
          <w:trHeight w:val="250"/>
        </w:trPr>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Supply and Logistics segment volumes</w:t>
            </w:r>
          </w:p>
        </w:tc>
        <w:tc>
          <w:tcPr>
            <w:tcW w:w="8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1,185</w:t>
            </w:r>
          </w:p>
        </w:tc>
        <w:tc>
          <w:tcPr>
            <w:tcW w:w="260" w:type="dxa"/>
            <w:vAlign w:val="bottom"/>
            <w:tcBorders>
              <w:bottom w:val="single" w:sz="8" w:color="CCEEFF"/>
            </w:tcBorders>
          </w:tcPr>
          <w:p>
            <w:pPr>
              <w:spacing w:after="0"/>
              <w:rPr>
                <w:sz w:val="21"/>
                <w:szCs w:val="21"/>
                <w:color w:val="auto"/>
              </w:rPr>
            </w:pPr>
          </w:p>
        </w:tc>
      </w:tr>
      <w:tr>
        <w:trPr>
          <w:trHeight w:val="197"/>
        </w:trPr>
        <w:tc>
          <w:tcPr>
            <w:tcW w:w="40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Adjusted segment profit per barrel ($/Bbl)</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r>
              <w:rPr>
                <w:rFonts w:ascii="Arial" w:cs="Arial" w:eastAsia="Arial" w:hAnsi="Arial"/>
                <w:sz w:val="11"/>
                <w:szCs w:val="11"/>
                <w:color w:val="auto"/>
              </w:rPr>
              <w:t>(1)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1.13</w:t>
            </w:r>
            <w:r>
              <w:rPr>
                <w:rFonts w:ascii="Arial" w:cs="Arial" w:eastAsia="Arial" w:hAnsi="Arial"/>
                <w:sz w:val="11"/>
                <w:szCs w:val="11"/>
                <w:color w:val="auto"/>
              </w:rPr>
              <w:t>(1)</w:t>
            </w:r>
          </w:p>
        </w:tc>
      </w:tr>
      <w:tr>
        <w:trPr>
          <w:trHeight w:val="20"/>
        </w:trPr>
        <w:tc>
          <w:tcPr>
            <w:tcW w:w="4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1292" w:hanging="320"/>
        <w:spacing w:after="0"/>
        <w:tabs>
          <w:tab w:leader="none" w:pos="1292" w:val="left"/>
        </w:tabs>
        <w:numPr>
          <w:ilvl w:val="1"/>
          <w:numId w:val="6"/>
        </w:numPr>
        <w:rPr>
          <w:rFonts w:ascii="Arial" w:cs="Arial" w:eastAsia="Arial" w:hAnsi="Arial"/>
          <w:sz w:val="23"/>
          <w:szCs w:val="23"/>
          <w:color w:val="auto"/>
          <w:vertAlign w:val="superscript"/>
        </w:rPr>
      </w:pPr>
      <w:r>
        <w:rPr>
          <w:rFonts w:ascii="Arial" w:cs="Arial" w:eastAsia="Arial" w:hAnsi="Arial"/>
          <w:sz w:val="18"/>
          <w:szCs w:val="18"/>
          <w:color w:val="auto"/>
        </w:rPr>
        <w:t>Represents the mid-point of guidance.</w:t>
      </w:r>
    </w:p>
    <w:p>
      <w:pPr>
        <w:spacing w:after="0" w:line="201" w:lineRule="exact"/>
        <w:rPr>
          <w:rFonts w:ascii="Arial" w:cs="Arial" w:eastAsia="Arial" w:hAnsi="Arial"/>
          <w:sz w:val="23"/>
          <w:szCs w:val="23"/>
          <w:color w:val="auto"/>
          <w:vertAlign w:val="superscript"/>
        </w:rPr>
      </w:pPr>
    </w:p>
    <w:p>
      <w:pPr>
        <w:ind w:left="332" w:right="140" w:hanging="332"/>
        <w:spacing w:after="0" w:line="264" w:lineRule="auto"/>
        <w:tabs>
          <w:tab w:leader="none" w:pos="332"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We forecast depreciation and amortization based on our existing depreciable assets, forecasted capital expenditures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projected in-service dates. Depreciation may also vary due to gains and losses on intermittent sales of assets, asset retirement obligations, asset impairments, acceleration of depreciation or foreign exchange rates.</w:t>
      </w:r>
    </w:p>
    <w:p>
      <w:pPr>
        <w:spacing w:after="0" w:line="181" w:lineRule="exact"/>
        <w:rPr>
          <w:rFonts w:ascii="Arial" w:cs="Arial" w:eastAsia="Arial" w:hAnsi="Arial"/>
          <w:sz w:val="18"/>
          <w:szCs w:val="18"/>
          <w:color w:val="auto"/>
        </w:rPr>
      </w:pPr>
    </w:p>
    <w:p>
      <w:pPr>
        <w:ind w:left="332" w:right="20" w:hanging="332"/>
        <w:spacing w:after="0" w:line="279" w:lineRule="auto"/>
        <w:tabs>
          <w:tab w:leader="none" w:pos="332"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Capital Expenditures and Acquisitions. </w:t>
      </w:r>
      <w:r>
        <w:rPr>
          <w:rFonts w:ascii="Arial" w:cs="Arial" w:eastAsia="Arial" w:hAnsi="Arial"/>
          <w:sz w:val="17"/>
          <w:szCs w:val="17"/>
          <w:color w:val="auto"/>
        </w:rPr>
        <w:t>Although acquisitions constitute a key element of our growth strategy, the forecasted results and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do not include any forecasts for acquisitions that we may commit to after the date hereof. We forecast capital expenditures during calendar year 2016 to be approximately $1.5 billion for expansion projects with an additional $190 million to $210 million for maintenance capital projects. The following are some of the more notable projects and forecasted expenditures for the year ending December 31, 2016:</w:t>
      </w:r>
    </w:p>
    <w:p>
      <w:pPr>
        <w:spacing w:after="0" w:line="163" w:lineRule="exact"/>
        <w:rPr>
          <w:sz w:val="20"/>
          <w:szCs w:val="20"/>
          <w:color w:val="auto"/>
        </w:rPr>
      </w:pPr>
    </w:p>
    <w:tbl>
      <w:tblPr>
        <w:tblLayout w:type="fixed"/>
        <w:tblInd w:w="143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8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Calendar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7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Expansion Capital</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 Red River Pipeline (Cushing to Longview)</w:t>
            </w:r>
          </w:p>
        </w:tc>
        <w:tc>
          <w:tcPr>
            <w:tcW w:w="1760" w:type="dxa"/>
            <w:vAlign w:val="bottom"/>
            <w:gridSpan w:val="3"/>
          </w:tcPr>
          <w:p>
            <w:pPr>
              <w:jc w:val="center"/>
              <w:spacing w:after="0"/>
              <w:rPr>
                <w:sz w:val="20"/>
                <w:szCs w:val="20"/>
                <w:color w:val="auto"/>
              </w:rPr>
            </w:pPr>
            <w:r>
              <w:rPr>
                <w:rFonts w:ascii="Arial" w:cs="Arial" w:eastAsia="Arial" w:hAnsi="Arial"/>
                <w:sz w:val="18"/>
                <w:szCs w:val="18"/>
                <w:color w:val="auto"/>
                <w:w w:val="89"/>
              </w:rPr>
              <w:t>$290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 Diamond Pipeline</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260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 Permian Basin Area Pipeline Projects</w:t>
            </w:r>
          </w:p>
        </w:tc>
        <w:tc>
          <w:tcPr>
            <w:tcW w:w="74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6"/>
              </w:rPr>
              <w:t>185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 Fort Saskatchewan Facility Projects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190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 Saddlehorn Pipeline</w:t>
            </w:r>
          </w:p>
        </w:tc>
        <w:tc>
          <w:tcPr>
            <w:tcW w:w="74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6"/>
              </w:rPr>
              <w:t>155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 Cushing Terminal Expansions</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 St. James Terminal Expansions</w:t>
            </w:r>
          </w:p>
        </w:tc>
        <w:tc>
          <w:tcPr>
            <w:tcW w:w="74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 Caddo Pipeline</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 Cactus Pipeline</w:t>
            </w:r>
          </w:p>
        </w:tc>
        <w:tc>
          <w:tcPr>
            <w:tcW w:w="74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 Eagle Ford JV Project</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Other Projects</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280</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bottom w:val="single" w:sz="8" w:color="CCEEFF"/>
            </w:tcBorders>
          </w:tcPr>
          <w:p>
            <w:pPr>
              <w:spacing w:after="0" w:line="216" w:lineRule="exact"/>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23"/>
                <w:szCs w:val="23"/>
                <w:color w:val="auto"/>
                <w:vertAlign w:val="superscript"/>
              </w:rPr>
              <w:t>(1)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$100</w:t>
            </w:r>
          </w:p>
        </w:tc>
        <w:tc>
          <w:tcPr>
            <w:tcW w:w="10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 $100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Projected Expansion Capital Expenditures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 Expenditures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1292" w:hanging="320"/>
        <w:spacing w:after="0"/>
        <w:tabs>
          <w:tab w:leader="none" w:pos="1292"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Potential variation to current capital costs estimates may result from (i) changes to project design, (ii) final cost of materials and labor and</w:t>
      </w:r>
    </w:p>
    <w:p>
      <w:pPr>
        <w:spacing w:after="0" w:line="1" w:lineRule="exact"/>
        <w:rPr>
          <w:rFonts w:ascii="Arial" w:cs="Arial" w:eastAsia="Arial" w:hAnsi="Arial"/>
          <w:sz w:val="21"/>
          <w:szCs w:val="21"/>
          <w:color w:val="auto"/>
          <w:vertAlign w:val="superscript"/>
        </w:rPr>
      </w:pPr>
    </w:p>
    <w:p>
      <w:pPr>
        <w:ind w:left="1612" w:hanging="315"/>
        <w:spacing w:after="0"/>
        <w:tabs>
          <w:tab w:leader="none" w:pos="1612" w:val="left"/>
        </w:tabs>
        <w:numPr>
          <w:ilvl w:val="1"/>
          <w:numId w:val="8"/>
        </w:numPr>
        <w:rPr>
          <w:rFonts w:ascii="Arial" w:cs="Arial" w:eastAsia="Arial" w:hAnsi="Arial"/>
          <w:sz w:val="18"/>
          <w:szCs w:val="18"/>
          <w:color w:val="auto"/>
        </w:rPr>
      </w:pPr>
      <w:r>
        <w:rPr>
          <w:rFonts w:ascii="Arial" w:cs="Arial" w:eastAsia="Arial" w:hAnsi="Arial"/>
          <w:sz w:val="18"/>
          <w:szCs w:val="18"/>
          <w:color w:val="auto"/>
        </w:rPr>
        <w:t>timing of incurrence of costs due to uncontrollable factors such as receipt of permits, or regulatory approvals and weather.</w:t>
      </w:r>
    </w:p>
    <w:p>
      <w:pPr>
        <w:spacing w:after="0" w:line="2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332" w:right="220" w:hanging="332"/>
        <w:spacing w:after="0" w:line="264" w:lineRule="auto"/>
        <w:tabs>
          <w:tab w:leader="none" w:pos="33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Asset Sales. </w:t>
      </w:r>
      <w:r>
        <w:rPr>
          <w:rFonts w:ascii="Arial" w:cs="Arial" w:eastAsia="Arial" w:hAnsi="Arial"/>
          <w:sz w:val="18"/>
          <w:szCs w:val="18"/>
          <w:color w:val="auto"/>
        </w:rPr>
        <w:t>This guidance takes into account the sale of non-core assets for total proceeds of $200 million to $400 million which are assumed to close</w:t>
      </w:r>
      <w:r>
        <w:rPr>
          <w:rFonts w:ascii="Arial" w:cs="Arial" w:eastAsia="Arial" w:hAnsi="Arial"/>
          <w:sz w:val="18"/>
          <w:szCs w:val="18"/>
          <w:i w:val="1"/>
          <w:iCs w:val="1"/>
          <w:color w:val="auto"/>
        </w:rPr>
        <w:t xml:space="preserve"> </w:t>
      </w:r>
      <w:r>
        <w:rPr>
          <w:rFonts w:ascii="Arial" w:cs="Arial" w:eastAsia="Arial" w:hAnsi="Arial"/>
          <w:sz w:val="18"/>
          <w:szCs w:val="18"/>
          <w:color w:val="auto"/>
        </w:rPr>
        <w:t>mid-year 2016. We do not expect that in the aggregate any gain or loss from these asset sales will be material and thus, we have not included any such estimate in our guidance.</w:t>
      </w:r>
    </w:p>
    <w:p>
      <w:pPr>
        <w:spacing w:after="0" w:line="181" w:lineRule="exact"/>
        <w:rPr>
          <w:rFonts w:ascii="Arial" w:cs="Arial" w:eastAsia="Arial" w:hAnsi="Arial"/>
          <w:sz w:val="18"/>
          <w:szCs w:val="18"/>
          <w:color w:val="auto"/>
        </w:rPr>
      </w:pPr>
    </w:p>
    <w:p>
      <w:pPr>
        <w:ind w:left="332" w:right="600" w:hanging="332"/>
        <w:spacing w:after="0" w:line="308" w:lineRule="auto"/>
        <w:tabs>
          <w:tab w:leader="none" w:pos="332"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Capital Structure. </w:t>
      </w:r>
      <w:r>
        <w:rPr>
          <w:rFonts w:ascii="Arial" w:cs="Arial" w:eastAsia="Arial" w:hAnsi="Arial"/>
          <w:sz w:val="17"/>
          <w:szCs w:val="17"/>
          <w:color w:val="auto"/>
        </w:rPr>
        <w:t>This guidance is based on our capital structure as of December 31, 2015, adjusted for the issuance of approximately 61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Series A Convertible Preferred Units for net proceeds of approximately $1.6 billion which closed late January 2016.</w:t>
      </w:r>
    </w:p>
    <w:p>
      <w:pPr>
        <w:spacing w:after="0" w:line="146" w:lineRule="exact"/>
        <w:rPr>
          <w:rFonts w:ascii="Arial" w:cs="Arial" w:eastAsia="Arial" w:hAnsi="Arial"/>
          <w:sz w:val="17"/>
          <w:szCs w:val="17"/>
          <w:color w:val="auto"/>
        </w:rPr>
      </w:pPr>
    </w:p>
    <w:p>
      <w:pPr>
        <w:ind w:left="332" w:right="60" w:hanging="332"/>
        <w:spacing w:after="0" w:line="259" w:lineRule="auto"/>
        <w:tabs>
          <w:tab w:leader="none" w:pos="332"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Debt balances are projected based on estimated cash flows, estimated distribution rates, estimated capital expenditures for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expansion projects, anticipated equity proceeds from the continuous offering program, expected timing of collections and payments and forecasted levels of inventory and other working capital sources and uses. Interest rate assumptions for variable-rate debt are based on the LIBOR curve as of late January 2016.</w:t>
      </w:r>
    </w:p>
    <w:p>
      <w:pPr>
        <w:sectPr>
          <w:pgSz w:w="11900" w:h="16838" w:orient="portrait"/>
          <w:cols w:equalWidth="0" w:num="1">
            <w:col w:w="11392"/>
          </w:cols>
          <w:pgMar w:left="248" w:top="341" w:right="259" w:bottom="0" w:gutter="0" w:footer="0" w:header="0"/>
        </w:sectPr>
      </w:pPr>
    </w:p>
    <w:bookmarkStart w:id="5" w:name="page6"/>
    <w:bookmarkEnd w:id="5"/>
    <w:p>
      <w:pPr>
        <w:ind w:left="340" w:right="260"/>
        <w:spacing w:after="0" w:line="342" w:lineRule="auto"/>
        <w:rPr>
          <w:sz w:val="20"/>
          <w:szCs w:val="20"/>
          <w:color w:val="auto"/>
        </w:rPr>
      </w:pPr>
      <w:r>
        <w:rPr>
          <w:rFonts w:ascii="Arial" w:cs="Arial" w:eastAsia="Arial" w:hAnsi="Arial"/>
          <w:sz w:val="16"/>
          <w:szCs w:val="16"/>
          <w:color w:val="auto"/>
        </w:rPr>
        <w:t>Interest expense is net of amounts capitalized for expansion capital projects and does not include interest on borrowings for hedged inventory. We treat interest on hedged inventory borrowings as carrying costs of crude oil, NGL, and natural gas and include it in purchases and related costs.</w:t>
      </w:r>
    </w:p>
    <w:p>
      <w:pPr>
        <w:spacing w:after="0" w:line="124" w:lineRule="exact"/>
        <w:rPr>
          <w:sz w:val="20"/>
          <w:szCs w:val="20"/>
          <w:color w:val="auto"/>
        </w:rPr>
      </w:pPr>
    </w:p>
    <w:p>
      <w:pPr>
        <w:ind w:left="340" w:right="160" w:hanging="314"/>
        <w:spacing w:after="0" w:line="279" w:lineRule="auto"/>
        <w:tabs>
          <w:tab w:leader="none" w:pos="344" w:val="left"/>
        </w:tabs>
        <w:numPr>
          <w:ilvl w:val="1"/>
          <w:numId w:val="10"/>
        </w:numPr>
        <w:rPr>
          <w:rFonts w:ascii="Arial" w:cs="Arial" w:eastAsia="Arial" w:hAnsi="Arial"/>
          <w:sz w:val="17"/>
          <w:szCs w:val="17"/>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expect our Canadian income tax expense to be approximately $31 million and $106 million for the three-month period ending</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2016 and twelve-month period ending December 31, 2016, respectively, of which approximately $23 million and $80 million, respectively, is classified as a current income tax expense. For the twelve-month period ending December 31, 2016 we expect to have a deferred tax expense of $26 million. All or part of the annual income tax expense of $106 million may result in a tax credit to our equity holders.</w:t>
      </w:r>
    </w:p>
    <w:p>
      <w:pPr>
        <w:spacing w:after="0" w:line="171" w:lineRule="exact"/>
        <w:rPr>
          <w:rFonts w:ascii="Arial" w:cs="Arial" w:eastAsia="Arial" w:hAnsi="Arial"/>
          <w:sz w:val="17"/>
          <w:szCs w:val="17"/>
          <w:color w:val="auto"/>
        </w:rPr>
      </w:pPr>
    </w:p>
    <w:p>
      <w:pPr>
        <w:ind w:left="340" w:right="100" w:hanging="332"/>
        <w:spacing w:after="0" w:line="30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Equity-Indexed Compensation Plans. </w:t>
      </w:r>
      <w:r>
        <w:rPr>
          <w:rFonts w:ascii="Arial" w:cs="Arial" w:eastAsia="Arial" w:hAnsi="Arial"/>
          <w:sz w:val="16"/>
          <w:szCs w:val="16"/>
          <w:color w:val="auto"/>
        </w:rPr>
        <w:t>The majority of grants outstanding under our various equity-indexed compensation plans contain vesting criteria</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based on a combination of performance benchmarks and service periods. The grants will vest in various percentages, typically on the later to occur of specified vesting dates and the dates on which minimum distribution levels are reached. Among the various grants outstanding as of February 7, 2016, estimated vesting dates range from May 2016 to August 2024 and annualized benchmark distribution levels range from $2.075 to $3.50.</w:t>
      </w:r>
    </w:p>
    <w:p>
      <w:pPr>
        <w:spacing w:after="0" w:line="154" w:lineRule="exact"/>
        <w:rPr>
          <w:rFonts w:ascii="Arial" w:cs="Arial" w:eastAsia="Arial" w:hAnsi="Arial"/>
          <w:sz w:val="16"/>
          <w:szCs w:val="16"/>
          <w:color w:val="auto"/>
        </w:rPr>
      </w:pPr>
    </w:p>
    <w:p>
      <w:pPr>
        <w:ind w:left="340" w:right="120"/>
        <w:spacing w:after="0" w:line="271" w:lineRule="auto"/>
        <w:rPr>
          <w:rFonts w:ascii="Arial" w:cs="Arial" w:eastAsia="Arial" w:hAnsi="Arial"/>
          <w:sz w:val="16"/>
          <w:szCs w:val="16"/>
          <w:color w:val="auto"/>
        </w:rPr>
      </w:pPr>
      <w:r>
        <w:rPr>
          <w:rFonts w:ascii="Arial" w:cs="Arial" w:eastAsia="Arial" w:hAnsi="Arial"/>
          <w:sz w:val="17"/>
          <w:szCs w:val="17"/>
          <w:color w:val="auto"/>
        </w:rPr>
        <w:t>On January 12, 2016, we declared an annualized distribution of $2.80 per unit payable on February 12, 2016 to our unitholders of record as of January 29, 2016. We have made the assessment that an annualized $2.90 distribution level is probable in the reasonably foreseeable future, and accordingly, guidance includes an accrual over the applicable service period at an assumed market price of $23 per unit as well as an accrual associated with awards that will vest on a certain date. The actual amount of equity-indexed compensation expense in any given period will be directly influenced by (i) our unit price at the end of each reporting period, (ii) our unit price on the vesting date, (iii) our then current probability assessment regarding distributions, and (iv) new equity-indexed compensation award grants, including the timing of such grant issuances. For example, a $2 change in the unit price would change the first-quarter equity-indexed compensation expense by approximately $4 million and the full year equity-indexed compensation expense by approximately $5 million. Therefore, actual net income could differ from our projections.</w:t>
      </w:r>
    </w:p>
    <w:p>
      <w:pPr>
        <w:spacing w:after="0" w:line="178" w:lineRule="exact"/>
        <w:rPr>
          <w:rFonts w:ascii="Arial" w:cs="Arial" w:eastAsia="Arial" w:hAnsi="Arial"/>
          <w:sz w:val="16"/>
          <w:szCs w:val="16"/>
          <w:color w:val="auto"/>
        </w:rPr>
      </w:pPr>
    </w:p>
    <w:p>
      <w:pPr>
        <w:ind w:left="340" w:right="280" w:hanging="332"/>
        <w:spacing w:after="0" w:line="277"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Reconciliation of Net Income to EBITDA and Adjusted EBITDA. </w:t>
      </w:r>
      <w:r>
        <w:rPr>
          <w:rFonts w:ascii="Arial" w:cs="Arial" w:eastAsia="Arial" w:hAnsi="Arial"/>
          <w:sz w:val="18"/>
          <w:szCs w:val="18"/>
          <w:color w:val="auto"/>
        </w:rPr>
        <w:t>The following table reconciles net income to EBITDA and Adjusted EBITDA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 periods.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Guidance</w:t>
            </w: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3 Months Ending</w:t>
            </w: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gridSpan w:val="4"/>
          </w:tcPr>
          <w:p>
            <w:pPr>
              <w:jc w:val="right"/>
              <w:spacing w:after="0" w:line="119" w:lineRule="exact"/>
              <w:rPr>
                <w:sz w:val="20"/>
                <w:szCs w:val="20"/>
                <w:color w:val="auto"/>
              </w:rPr>
            </w:pPr>
            <w:r>
              <w:rPr>
                <w:rFonts w:ascii="Arial" w:cs="Arial" w:eastAsia="Arial" w:hAnsi="Arial"/>
                <w:sz w:val="13"/>
                <w:szCs w:val="13"/>
                <w:b w:val="1"/>
                <w:bCs w:val="1"/>
                <w:color w:val="auto"/>
              </w:rPr>
              <w:t>12 Months Ending</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8"/>
              </w:rPr>
              <w:t>Mar 31, 2016</w:t>
            </w: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Dec 31, 2016</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High</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Low</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ind w:right="372"/>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 w:type="dxa"/>
            <w:vAlign w:val="bottom"/>
            <w:vMerge w:val="continue"/>
          </w:tcPr>
          <w:p>
            <w:pPr>
              <w:spacing w:after="0"/>
              <w:rPr>
                <w:sz w:val="17"/>
                <w:szCs w:val="17"/>
                <w:color w:val="auto"/>
              </w:rPr>
            </w:pPr>
          </w:p>
        </w:tc>
        <w:tc>
          <w:tcPr>
            <w:tcW w:w="35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Reconciliation to EBITDA and Adjusted</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EBITDA</w:t>
            </w: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646"/>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272</w:t>
            </w:r>
          </w:p>
        </w:tc>
        <w:tc>
          <w:tcPr>
            <w:tcW w:w="5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344</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1,137</w:t>
            </w:r>
          </w:p>
        </w:tc>
        <w:tc>
          <w:tcPr>
            <w:tcW w:w="5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1,385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79"/>
              </w:rPr>
              <w:t>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64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531</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79"/>
              </w:rPr>
              <w:t>591</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2,145</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100" w:type="dxa"/>
            <w:vAlign w:val="bottom"/>
            <w:tcBorders>
              <w:bottom w:val="single" w:sz="8" w:color="CCEEFF"/>
            </w:tcBorders>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540" w:type="dxa"/>
            <w:vAlign w:val="bottom"/>
          </w:tcPr>
          <w:p>
            <w:pPr>
              <w:ind w:left="180"/>
              <w:spacing w:after="0" w:line="201" w:lineRule="exact"/>
              <w:rPr>
                <w:sz w:val="20"/>
                <w:szCs w:val="20"/>
                <w:color w:val="auto"/>
              </w:rPr>
            </w:pPr>
            <w:r>
              <w:rPr>
                <w:rFonts w:ascii="Arial" w:cs="Arial" w:eastAsia="Arial" w:hAnsi="Arial"/>
                <w:sz w:val="18"/>
                <w:szCs w:val="18"/>
                <w:color w:val="auto"/>
              </w:rPr>
              <w:t>Selected items impacting comparability of</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540" w:type="dxa"/>
            <w:vAlign w:val="bottom"/>
          </w:tcPr>
          <w:p>
            <w:pPr>
              <w:ind w:left="360"/>
              <w:spacing w:after="0"/>
              <w:rPr>
                <w:sz w:val="20"/>
                <w:szCs w:val="20"/>
                <w:color w:val="auto"/>
              </w:rPr>
            </w:pPr>
            <w:r>
              <w:rPr>
                <w:rFonts w:ascii="Arial" w:cs="Arial" w:eastAsia="Arial" w:hAnsi="Arial"/>
                <w:sz w:val="18"/>
                <w:szCs w:val="18"/>
                <w:color w:val="auto"/>
              </w:rPr>
              <w:t>EBITDA</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46"/>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540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b w:val="1"/>
                <w:bCs w:val="1"/>
                <w:color w:val="auto"/>
                <w:w w:val="79"/>
              </w:rPr>
              <w:t>600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35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Implied DCF.</w:t>
      </w:r>
      <w:r>
        <w:rPr>
          <w:rFonts w:ascii="Arial" w:cs="Arial" w:eastAsia="Arial" w:hAnsi="Arial"/>
          <w:sz w:val="18"/>
          <w:szCs w:val="18"/>
          <w:color w:val="auto"/>
        </w:rPr>
        <w:t xml:space="preserve"> The following table reconciles adjusted EBITDA to implied DCF for the indicated periods.</w:t>
      </w:r>
    </w:p>
    <w:p>
      <w:pPr>
        <w:spacing w:after="0" w:line="217" w:lineRule="exact"/>
        <w:rPr>
          <w:sz w:val="20"/>
          <w:szCs w:val="20"/>
          <w:color w:val="auto"/>
        </w:rPr>
      </w:pPr>
    </w:p>
    <w:tbl>
      <w:tblPr>
        <w:tblLayout w:type="fixed"/>
        <w:tblInd w:w="228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Mid-Point Guidance</w:t>
            </w:r>
          </w:p>
        </w:tc>
      </w:tr>
      <w:tr>
        <w:trPr>
          <w:trHeight w:val="119"/>
        </w:trPr>
        <w:tc>
          <w:tcPr>
            <w:tcW w:w="2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Three Months</w:t>
            </w: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37"/>
              <w:spacing w:after="0" w:line="119" w:lineRule="exact"/>
              <w:rPr>
                <w:sz w:val="20"/>
                <w:szCs w:val="20"/>
                <w:color w:val="auto"/>
              </w:rPr>
            </w:pPr>
            <w:r>
              <w:rPr>
                <w:rFonts w:ascii="Arial" w:cs="Arial" w:eastAsia="Arial" w:hAnsi="Arial"/>
                <w:sz w:val="13"/>
                <w:szCs w:val="13"/>
                <w:b w:val="1"/>
                <w:bCs w:val="1"/>
                <w:color w:val="auto"/>
              </w:rPr>
              <w:t>Twelve Months</w:t>
            </w:r>
          </w:p>
        </w:tc>
        <w:tc>
          <w:tcPr>
            <w:tcW w:w="120" w:type="dxa"/>
            <w:vAlign w:val="bottom"/>
            <w:gridSpan w:val="2"/>
          </w:tcPr>
          <w:p>
            <w:pPr>
              <w:spacing w:after="0"/>
              <w:rPr>
                <w:sz w:val="10"/>
                <w:szCs w:val="10"/>
                <w:color w:val="auto"/>
              </w:rPr>
            </w:pPr>
          </w:p>
        </w:tc>
      </w:tr>
      <w:tr>
        <w:trPr>
          <w:trHeight w:val="149"/>
        </w:trPr>
        <w:tc>
          <w:tcPr>
            <w:tcW w:w="2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Ending</w:t>
            </w:r>
          </w:p>
        </w:tc>
        <w:tc>
          <w:tcPr>
            <w:tcW w:w="120" w:type="dxa"/>
            <w:vAlign w:val="bottom"/>
          </w:tcPr>
          <w:p>
            <w:pPr>
              <w:spacing w:after="0"/>
              <w:rPr>
                <w:sz w:val="12"/>
                <w:szCs w:val="12"/>
                <w:color w:val="auto"/>
              </w:rPr>
            </w:pPr>
          </w:p>
        </w:tc>
        <w:tc>
          <w:tcPr>
            <w:tcW w:w="12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Ending</w:t>
            </w:r>
          </w:p>
        </w:tc>
      </w:tr>
      <w:tr>
        <w:trPr>
          <w:trHeight w:val="171"/>
        </w:trPr>
        <w:tc>
          <w:tcPr>
            <w:tcW w:w="2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Mar 31, 2016</w:t>
            </w:r>
          </w:p>
        </w:tc>
        <w:tc>
          <w:tcPr>
            <w:tcW w:w="120" w:type="dxa"/>
            <w:vAlign w:val="bottom"/>
          </w:tcPr>
          <w:p>
            <w:pPr>
              <w:spacing w:after="0"/>
              <w:rPr>
                <w:sz w:val="14"/>
                <w:szCs w:val="14"/>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Dec 31, 2016</w:t>
            </w:r>
          </w:p>
        </w:tc>
      </w:tr>
      <w:tr>
        <w:trPr>
          <w:trHeight w:val="210"/>
        </w:trPr>
        <w:tc>
          <w:tcPr>
            <w:tcW w:w="2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2,275</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spacing w:after="0" w:line="216"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(423)</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Maintenance capital expenditures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(80)</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r>
      <w:tr>
        <w:trPr>
          <w:trHeight w:val="210"/>
        </w:trPr>
        <w:tc>
          <w:tcPr>
            <w:tcW w:w="2820" w:type="dxa"/>
            <w:vAlign w:val="bottom"/>
          </w:tcPr>
          <w:p>
            <w:pPr>
              <w:spacing w:after="0"/>
              <w:rPr>
                <w:sz w:val="20"/>
                <w:szCs w:val="20"/>
                <w:color w:val="auto"/>
              </w:rPr>
            </w:pPr>
            <w:r>
              <w:rPr>
                <w:rFonts w:ascii="Arial" w:cs="Arial" w:eastAsia="Arial" w:hAnsi="Arial"/>
                <w:sz w:val="18"/>
                <w:szCs w:val="18"/>
                <w:color w:val="auto"/>
              </w:rPr>
              <w:t>Implied DCF</w:t>
            </w:r>
          </w:p>
        </w:tc>
        <w:tc>
          <w:tcPr>
            <w:tcW w:w="4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60" w:right="740" w:hanging="4680"/>
        <w:spacing w:after="0" w:line="461" w:lineRule="auto"/>
        <w:tabs>
          <w:tab w:leader="none" w:pos="1283"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Excludes non-cash items impacting interest expense such as amortization of debt issuance costs and terminated interest rate swaps.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Associated Risks</w:t>
      </w:r>
    </w:p>
    <w:p>
      <w:pPr>
        <w:spacing w:after="0" w:line="229" w:lineRule="exact"/>
        <w:rPr>
          <w:sz w:val="20"/>
          <w:szCs w:val="20"/>
          <w:color w:val="auto"/>
        </w:rPr>
      </w:pPr>
    </w:p>
    <w:p>
      <w:pPr>
        <w:ind w:right="80" w:firstLine="285"/>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ectPr>
          <w:pgSz w:w="11900" w:h="16838" w:orient="portrait"/>
          <w:cols w:equalWidth="0" w:num="1">
            <w:col w:w="11460"/>
          </w:cols>
          <w:pgMar w:left="240" w:top="125" w:right="199" w:bottom="66" w:gutter="0" w:footer="0" w:header="0"/>
        </w:sectPr>
      </w:pPr>
    </w:p>
    <w:bookmarkStart w:id="6" w:name="page7"/>
    <w:bookmarkEnd w:id="6"/>
    <w:p>
      <w:pPr>
        <w:jc w:val="both"/>
        <w:ind w:left="340" w:right="40" w:hanging="332"/>
        <w:spacing w:after="0" w:line="286" w:lineRule="auto"/>
        <w:tabs>
          <w:tab w:leader="none" w:pos="304"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65" w:lineRule="exact"/>
        <w:rPr>
          <w:rFonts w:ascii="Arial" w:cs="Arial" w:eastAsia="Arial" w:hAnsi="Arial"/>
          <w:sz w:val="17"/>
          <w:szCs w:val="17"/>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25" w:lineRule="exact"/>
        <w:rPr>
          <w:rFonts w:ascii="Arial" w:cs="Arial" w:eastAsia="Arial" w:hAnsi="Arial"/>
          <w:sz w:val="18"/>
          <w:szCs w:val="18"/>
          <w:color w:val="auto"/>
        </w:rPr>
      </w:pPr>
    </w:p>
    <w:p>
      <w:pPr>
        <w:ind w:left="340" w:right="200" w:hanging="332"/>
        <w:spacing w:after="0" w:line="277" w:lineRule="auto"/>
        <w:tabs>
          <w:tab w:leader="none" w:pos="3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or other event, including attacks on our electronic and computer systems;</w:t>
      </w:r>
    </w:p>
    <w:p>
      <w:pPr>
        <w:spacing w:after="0" w:line="225" w:lineRule="exact"/>
        <w:rPr>
          <w:rFonts w:ascii="Arial" w:cs="Arial" w:eastAsia="Arial" w:hAnsi="Arial"/>
          <w:sz w:val="18"/>
          <w:szCs w:val="18"/>
          <w:color w:val="auto"/>
        </w:rPr>
      </w:pPr>
    </w:p>
    <w:p>
      <w:pPr>
        <w:ind w:left="340" w:right="260" w:hanging="332"/>
        <w:spacing w:after="0" w:line="308" w:lineRule="auto"/>
        <w:tabs>
          <w:tab w:leader="none" w:pos="30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46" w:lineRule="exact"/>
        <w:rPr>
          <w:rFonts w:ascii="Arial" w:cs="Arial" w:eastAsia="Arial" w:hAnsi="Arial"/>
          <w:sz w:val="17"/>
          <w:szCs w:val="17"/>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continued creditworthiness of, and performance by, our counterparties, including financial institutions and trading companies with which we do business;</w:t>
      </w:r>
    </w:p>
    <w:p>
      <w:pPr>
        <w:spacing w:after="0" w:line="248" w:lineRule="exact"/>
        <w:rPr>
          <w:rFonts w:ascii="Arial" w:cs="Arial" w:eastAsia="Arial" w:hAnsi="Arial"/>
          <w:sz w:val="16"/>
          <w:szCs w:val="16"/>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rFonts w:ascii="Arial" w:cs="Arial" w:eastAsia="Arial" w:hAnsi="Arial"/>
          <w:sz w:val="18"/>
          <w:szCs w:val="18"/>
          <w:color w:val="auto"/>
        </w:rPr>
      </w:pPr>
    </w:p>
    <w:p>
      <w:pPr>
        <w:ind w:left="340" w:right="320" w:hanging="332"/>
        <w:spacing w:after="0" w:line="277" w:lineRule="auto"/>
        <w:tabs>
          <w:tab w:leader="none" w:pos="3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assets, including our ability to satisfy our contractual obligations to our customers;</w:t>
      </w:r>
    </w:p>
    <w:p>
      <w:pPr>
        <w:spacing w:after="0" w:line="225" w:lineRule="exact"/>
        <w:rPr>
          <w:rFonts w:ascii="Arial" w:cs="Arial" w:eastAsia="Arial" w:hAnsi="Arial"/>
          <w:sz w:val="18"/>
          <w:szCs w:val="18"/>
          <w:color w:val="auto"/>
        </w:rPr>
      </w:pPr>
    </w:p>
    <w:p>
      <w:pPr>
        <w:ind w:left="340" w:right="620" w:hanging="332"/>
        <w:spacing w:after="0" w:line="277" w:lineRule="auto"/>
        <w:tabs>
          <w:tab w:leader="none" w:pos="3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25" w:lineRule="exact"/>
        <w:rPr>
          <w:rFonts w:ascii="Arial" w:cs="Arial" w:eastAsia="Arial" w:hAnsi="Arial"/>
          <w:sz w:val="18"/>
          <w:szCs w:val="18"/>
          <w:color w:val="auto"/>
        </w:rPr>
      </w:pPr>
    </w:p>
    <w:p>
      <w:pPr>
        <w:ind w:left="340" w:right="640" w:hanging="332"/>
        <w:spacing w:after="0" w:line="277" w:lineRule="auto"/>
        <w:tabs>
          <w:tab w:leader="none" w:pos="3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70" w:lineRule="exact"/>
        <w:rPr>
          <w:rFonts w:ascii="Arial" w:cs="Arial" w:eastAsia="Arial" w:hAnsi="Arial"/>
          <w:sz w:val="18"/>
          <w:szCs w:val="18"/>
          <w:color w:val="auto"/>
        </w:rPr>
      </w:pPr>
    </w:p>
    <w:p>
      <w:pPr>
        <w:ind w:left="340" w:right="440" w:hanging="332"/>
        <w:spacing w:after="0" w:line="277" w:lineRule="auto"/>
        <w:tabs>
          <w:tab w:leader="none" w:pos="3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60" w:firstLine="28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ectPr>
          <w:pgSz w:w="11900" w:h="16838" w:orient="portrait"/>
          <w:cols w:equalWidth="0" w:num="1">
            <w:col w:w="11340"/>
          </w:cols>
          <w:pgMar w:left="240" w:top="125" w:right="31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620" w:type="dxa"/>
            <w:vAlign w:val="bottom"/>
          </w:tcPr>
          <w:p>
            <w:pPr>
              <w:ind w:left="2060"/>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2620" w:type="dxa"/>
            <w:vAlign w:val="bottom"/>
          </w:tcPr>
          <w:p>
            <w:pPr>
              <w:ind w:left="2060"/>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PLAINS AAP, L. P., its sole member</w:t>
            </w:r>
          </w:p>
        </w:tc>
        <w:tc>
          <w:tcPr>
            <w:tcW w:w="40" w:type="dxa"/>
            <w:vAlign w:val="bottom"/>
          </w:tcPr>
          <w:p>
            <w:pPr>
              <w:spacing w:after="0"/>
              <w:rPr>
                <w:sz w:val="24"/>
                <w:szCs w:val="24"/>
                <w:color w:val="auto"/>
              </w:rPr>
            </w:pPr>
          </w:p>
        </w:tc>
      </w:tr>
      <w:tr>
        <w:trPr>
          <w:trHeight w:val="432"/>
        </w:trPr>
        <w:tc>
          <w:tcPr>
            <w:tcW w:w="3660" w:type="dxa"/>
            <w:vAlign w:val="bottom"/>
          </w:tcPr>
          <w:p>
            <w:pPr>
              <w:spacing w:after="0"/>
              <w:rPr>
                <w:sz w:val="24"/>
                <w:szCs w:val="24"/>
                <w:color w:val="auto"/>
              </w:rPr>
            </w:pPr>
          </w:p>
        </w:tc>
        <w:tc>
          <w:tcPr>
            <w:tcW w:w="2620" w:type="dxa"/>
            <w:vAlign w:val="bottom"/>
          </w:tcPr>
          <w:p>
            <w:pPr>
              <w:ind w:left="2060"/>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February 8, 2016</w:t>
            </w:r>
          </w:p>
        </w:tc>
        <w:tc>
          <w:tcPr>
            <w:tcW w:w="2620" w:type="dxa"/>
            <w:vAlign w:val="bottom"/>
          </w:tcPr>
          <w:p>
            <w:pPr>
              <w:ind w:left="20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Sharon Spurlin</w:t>
            </w:r>
          </w:p>
        </w:tc>
        <w:tc>
          <w:tcPr>
            <w:tcW w:w="4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600" w:type="dxa"/>
            <w:vAlign w:val="bottom"/>
          </w:tcPr>
          <w:p>
            <w:pPr>
              <w:ind w:left="60"/>
              <w:spacing w:after="0" w:line="195" w:lineRule="exact"/>
              <w:rPr>
                <w:sz w:val="20"/>
                <w:szCs w:val="20"/>
                <w:color w:val="auto"/>
              </w:rPr>
            </w:pPr>
            <w:r>
              <w:rPr>
                <w:rFonts w:ascii="Arial" w:cs="Arial" w:eastAsia="Arial" w:hAnsi="Arial"/>
                <w:sz w:val="18"/>
                <w:szCs w:val="18"/>
                <w:color w:val="auto"/>
              </w:rPr>
              <w:t>Sharon Spurlin</w:t>
            </w:r>
          </w:p>
        </w:tc>
        <w:tc>
          <w:tcPr>
            <w:tcW w:w="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00" w:type="dxa"/>
            <w:vAlign w:val="bottom"/>
          </w:tcPr>
          <w:p>
            <w:pPr>
              <w:ind w:left="60"/>
              <w:spacing w:after="0"/>
              <w:rPr>
                <w:sz w:val="20"/>
                <w:szCs w:val="20"/>
                <w:color w:val="auto"/>
              </w:rPr>
            </w:pPr>
            <w:r>
              <w:rPr>
                <w:rFonts w:ascii="Arial" w:cs="Arial" w:eastAsia="Arial" w:hAnsi="Arial"/>
                <w:sz w:val="18"/>
                <w:szCs w:val="18"/>
                <w:i w:val="1"/>
                <w:iCs w:val="1"/>
                <w:color w:val="auto"/>
              </w:rPr>
              <w:t>Vice President and Treasurer</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2620" w:type="dxa"/>
            <w:vAlign w:val="bottom"/>
          </w:tcPr>
          <w:p>
            <w:pPr>
              <w:ind w:left="196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60" w:type="dxa"/>
            <w:vAlign w:val="bottom"/>
            <w:tcBorders>
              <w:bottom w:val="single" w:sz="8" w:color="808080"/>
            </w:tcBorders>
          </w:tcPr>
          <w:p>
            <w:pPr>
              <w:spacing w:after="0"/>
              <w:rPr>
                <w:sz w:val="11"/>
                <w:szCs w:val="11"/>
                <w:color w:val="auto"/>
              </w:rPr>
            </w:pPr>
          </w:p>
        </w:tc>
        <w:tc>
          <w:tcPr>
            <w:tcW w:w="26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8" w:name="page9"/>
    <w:bookmarkEnd w:id="8"/>
    <w:p>
      <w:pPr>
        <w:spacing w:after="0" w:line="6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154940</wp:posOffset>
            </wp:positionV>
            <wp:extent cx="6182995" cy="763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8299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Fourth-Quarter and Full-Year 2015 Results</w:t>
      </w:r>
    </w:p>
    <w:p>
      <w:pPr>
        <w:spacing w:after="0" w:line="229" w:lineRule="exact"/>
        <w:rPr>
          <w:sz w:val="20"/>
          <w:szCs w:val="20"/>
          <w:color w:val="auto"/>
        </w:rPr>
      </w:pPr>
    </w:p>
    <w:p>
      <w:pPr>
        <w:ind w:right="320" w:firstLine="695"/>
        <w:spacing w:after="0" w:line="277" w:lineRule="auto"/>
        <w:rPr>
          <w:sz w:val="20"/>
          <w:szCs w:val="20"/>
          <w:color w:val="auto"/>
        </w:rPr>
      </w:pPr>
      <w:r>
        <w:rPr>
          <w:rFonts w:ascii="Arial" w:cs="Arial" w:eastAsia="Arial" w:hAnsi="Arial"/>
          <w:sz w:val="18"/>
          <w:szCs w:val="18"/>
          <w:color w:val="auto"/>
        </w:rPr>
        <w:t>(Houston — February 8, 2016) Plains All American Pipeline, L.P. (NYSE: PAA) and Plains GP Holdings (NYSE: PAGP) today reported fourth-quarter and full-year 2015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Twelve Months Ended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78"/>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8"/>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2"/>
                <w:szCs w:val="12"/>
                <w:color w:val="auto"/>
              </w:rPr>
            </w:pPr>
          </w:p>
        </w:tc>
        <w:tc>
          <w:tcPr>
            <w:tcW w:w="104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8"/>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2"/>
                <w:szCs w:val="12"/>
                <w:color w:val="auto"/>
              </w:rPr>
            </w:pPr>
          </w:p>
        </w:tc>
        <w:tc>
          <w:tcPr>
            <w:tcW w:w="114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0.67</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(64)%</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 common units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outstanding</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664</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Twelve Months Ended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78"/>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8"/>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2"/>
                <w:szCs w:val="12"/>
                <w:color w:val="auto"/>
              </w:rPr>
            </w:pPr>
          </w:p>
        </w:tc>
        <w:tc>
          <w:tcPr>
            <w:tcW w:w="1040" w:type="dxa"/>
            <w:vAlign w:val="bottom"/>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8"/>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2"/>
                <w:szCs w:val="12"/>
                <w:color w:val="auto"/>
              </w:rPr>
            </w:pPr>
          </w:p>
        </w:tc>
        <w:tc>
          <w:tcPr>
            <w:tcW w:w="114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w:t>
            </w:r>
          </w:p>
        </w:tc>
        <w:tc>
          <w:tcPr>
            <w:tcW w:w="4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Distribution per common unit declared for the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0.700</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0.675</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3.7%</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20" w:hanging="332"/>
        <w:spacing w:after="0"/>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204" w:lineRule="exact"/>
        <w:rPr>
          <w:sz w:val="20"/>
          <w:szCs w:val="20"/>
          <w:color w:val="auto"/>
        </w:rPr>
      </w:pPr>
    </w:p>
    <w:p>
      <w:pPr>
        <w:ind w:right="140" w:firstLine="654"/>
        <w:spacing w:after="0" w:line="261" w:lineRule="auto"/>
        <w:rPr>
          <w:sz w:val="20"/>
          <w:szCs w:val="20"/>
          <w:color w:val="auto"/>
        </w:rPr>
      </w:pPr>
      <w:r>
        <w:rPr>
          <w:rFonts w:ascii="Arial" w:cs="Arial" w:eastAsia="Arial" w:hAnsi="Arial"/>
          <w:sz w:val="18"/>
          <w:szCs w:val="18"/>
          <w:color w:val="auto"/>
        </w:rPr>
        <w:t xml:space="preserve">“PAA reported fourth-quarter and full-year 2015 results with adjusted EBITDA of $563 million and $2.17 billion, respectively, which were slightly below the low end of our guidance ranges issued last November,” said Greg Armstrong, Chairman and CEO of Plains All American. “Our fourth-quarter results were negatively impacted by approximately $15 million associated with deficiencies on </w:t>
      </w:r>
      <w:r>
        <w:rPr>
          <w:rFonts w:ascii="Arial" w:cs="Arial" w:eastAsia="Arial" w:hAnsi="Arial"/>
          <w:sz w:val="17"/>
          <w:szCs w:val="17"/>
          <w:color w:val="auto"/>
        </w:rPr>
        <w:t>minimum volume commitments and an approximate $15</w:t>
      </w:r>
      <w:r>
        <w:rPr>
          <w:rFonts w:ascii="Arial" w:cs="Arial" w:eastAsia="Arial" w:hAnsi="Arial"/>
          <w:sz w:val="18"/>
          <w:szCs w:val="18"/>
          <w:color w:val="auto"/>
        </w:rPr>
        <w:t xml:space="preserve"> </w:t>
      </w:r>
      <w:r>
        <w:rPr>
          <w:rFonts w:ascii="Arial" w:cs="Arial" w:eastAsia="Arial" w:hAnsi="Arial"/>
          <w:sz w:val="17"/>
          <w:szCs w:val="17"/>
          <w:color w:val="auto"/>
        </w:rPr>
        <w:t>million shift in earnings recognition on certain NGL sales activities from the fourth quarter of 2015 to the first quarter of 2016. This earnings shift is primarily the result of delayed inventory draws due to unseasonably warm temperatures in certain parts of the U.S. and Canada as well as impacts of inventory pricing during the fourth quarter. Additionally, severe weather in West Texas and the Mid-continent resulted in volume shortfalls impacting results by approximately $5 million.”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Armstrong stated that the partnership is well positioned to manage through near-term challenges and to grow meaningfully in the intermediate and long-term as industry conditions improve.</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$1.6 billion of proceeds from our recent preferred equity placement satisfies PAA’s equity financing needs for 2016 and substantially all of 2017 and enables PAA to complete its multi-year, multi-billion dollar capital expansion program, while maintaining substantial liquidity and a solid balance sheet.”</w:t>
      </w:r>
    </w:p>
    <w:p>
      <w:pPr>
        <w:spacing w:after="0" w:line="1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Armstrong continued, “PAA has visibility for incremental cash flow contributions over the next 24 months from the completion of these projects, the majority of which are backed by minimum volume commitments and other contractual support. These projects enhance PAA’s existing footprint and provide further significant leverage to a sustained increase in U.S. production levels with little to no incremental investment.”</w:t>
      </w:r>
    </w:p>
    <w:p>
      <w:pPr>
        <w:sectPr>
          <w:pgSz w:w="11900" w:h="16907" w:orient="portrait"/>
          <w:cols w:equalWidth="0" w:num="1">
            <w:col w:w="11420"/>
          </w:cols>
          <w:pgMar w:left="240" w:top="121" w:right="239" w:bottom="0" w:gutter="0" w:footer="0" w:header="0"/>
        </w:sectPr>
      </w:pPr>
    </w:p>
    <w:bookmarkStart w:id="9" w:name="page10"/>
    <w:bookmarkEnd w:id="9"/>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selected PAA financial information by segment for the fourth quarter and full year of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5"/>
          </w:tcPr>
          <w:p>
            <w:pPr>
              <w:jc w:val="center"/>
              <w:ind w:left="836"/>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6"/>
          </w:tcPr>
          <w:p>
            <w:pPr>
              <w:jc w:val="center"/>
              <w:ind w:left="859"/>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1"/>
              </w:rPr>
              <w:t>December 31, 2015</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center"/>
              <w:ind w:left="859"/>
              <w:spacing w:after="0"/>
              <w:rPr>
                <w:sz w:val="20"/>
                <w:szCs w:val="20"/>
                <w:color w:val="auto"/>
              </w:rPr>
            </w:pPr>
            <w:r>
              <w:rPr>
                <w:rFonts w:ascii="Arial" w:cs="Arial" w:eastAsia="Arial" w:hAnsi="Arial"/>
                <w:sz w:val="14"/>
                <w:szCs w:val="14"/>
                <w:b w:val="1"/>
                <w:bCs w:val="1"/>
                <w:color w:val="auto"/>
                <w:w w:val="91"/>
              </w:rPr>
              <w:t>December 31, 2014</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7"/>
              </w:rPr>
              <w:t>Transportation</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Transportation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Selected items impacting comparability</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of segment profit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i w:val="1"/>
                <w:iCs w:val="1"/>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256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i w:val="1"/>
                <w:iCs w:val="1"/>
                <w:color w:val="auto"/>
              </w:rPr>
              <w:t>150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99"/>
              </w:rPr>
              <w:t>$</w:t>
            </w:r>
          </w:p>
        </w:tc>
        <w:tc>
          <w:tcPr>
            <w:tcW w:w="12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i w:val="1"/>
                <w:iCs w:val="1"/>
                <w:color w:val="auto"/>
              </w:rPr>
              <w:t>157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270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151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right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88"/>
              </w:rPr>
              <w:t>Percentage change in adjusted segment</w:t>
            </w:r>
          </w:p>
        </w:tc>
        <w:tc>
          <w:tcPr>
            <w:tcW w:w="160" w:type="dxa"/>
            <w:vAlign w:val="bottom"/>
            <w:shd w:val="clear" w:color="auto" w:fill="CCEEFF"/>
          </w:tcPr>
          <w:p>
            <w:pPr>
              <w:spacing w:after="0"/>
              <w:rPr>
                <w:sz w:val="17"/>
                <w:szCs w:val="17"/>
                <w:color w:val="auto"/>
              </w:rPr>
            </w:pPr>
          </w:p>
        </w:tc>
        <w:tc>
          <w:tcPr>
            <w:tcW w:w="1560" w:type="dxa"/>
            <w:vAlign w:val="bottom"/>
            <w:gridSpan w:val="2"/>
            <w:vMerge w:val="restart"/>
            <w:shd w:val="clear" w:color="auto" w:fill="CCEEFF"/>
          </w:tcPr>
          <w:p>
            <w:pPr>
              <w:jc w:val="right"/>
              <w:ind w:right="59"/>
              <w:spacing w:after="0"/>
              <w:rPr>
                <w:sz w:val="20"/>
                <w:szCs w:val="20"/>
                <w:color w:val="auto"/>
              </w:rPr>
            </w:pPr>
            <w:r>
              <w:rPr>
                <w:rFonts w:ascii="Arial" w:cs="Arial" w:eastAsia="Arial" w:hAnsi="Arial"/>
                <w:sz w:val="18"/>
                <w:szCs w:val="18"/>
                <w:b w:val="1"/>
                <w:bCs w:val="1"/>
                <w:i w:val="1"/>
                <w:iCs w:val="1"/>
                <w:color w:val="auto"/>
              </w:rPr>
              <w:t>(5)%</w:t>
            </w:r>
          </w:p>
        </w:tc>
        <w:tc>
          <w:tcPr>
            <w:tcW w:w="14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i w:val="1"/>
                <w:iCs w:val="1"/>
                <w:color w:val="auto"/>
              </w:rPr>
              <w:t>(9)%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2014 period</w:t>
            </w:r>
          </w:p>
        </w:tc>
        <w:tc>
          <w:tcPr>
            <w:tcW w:w="160" w:type="dxa"/>
            <w:vAlign w:val="bottom"/>
            <w:shd w:val="clear" w:color="auto" w:fill="CCEEFF"/>
          </w:tcPr>
          <w:p>
            <w:pPr>
              <w:spacing w:after="0"/>
              <w:rPr>
                <w:sz w:val="18"/>
                <w:szCs w:val="18"/>
                <w:color w:val="auto"/>
              </w:rPr>
            </w:pPr>
          </w:p>
        </w:tc>
        <w:tc>
          <w:tcPr>
            <w:tcW w:w="15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5"/>
          </w:tcPr>
          <w:p>
            <w:pPr>
              <w:jc w:val="center"/>
              <w:ind w:left="836"/>
              <w:spacing w:after="0"/>
              <w:rPr>
                <w:sz w:val="20"/>
                <w:szCs w:val="20"/>
                <w:color w:val="auto"/>
              </w:rPr>
            </w:pPr>
            <w:r>
              <w:rPr>
                <w:rFonts w:ascii="Arial" w:cs="Arial" w:eastAsia="Arial" w:hAnsi="Arial"/>
                <w:sz w:val="14"/>
                <w:szCs w:val="14"/>
                <w:b w:val="1"/>
                <w:bCs w:val="1"/>
                <w:color w:val="auto"/>
                <w:w w:val="93"/>
              </w:rPr>
              <w:t>Twelve Months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jc w:val="center"/>
              <w:ind w:left="859"/>
              <w:spacing w:after="0"/>
              <w:rPr>
                <w:sz w:val="20"/>
                <w:szCs w:val="20"/>
                <w:color w:val="auto"/>
              </w:rPr>
            </w:pPr>
            <w:r>
              <w:rPr>
                <w:rFonts w:ascii="Arial" w:cs="Arial" w:eastAsia="Arial" w:hAnsi="Arial"/>
                <w:sz w:val="14"/>
                <w:szCs w:val="14"/>
                <w:b w:val="1"/>
                <w:bCs w:val="1"/>
                <w:color w:val="auto"/>
                <w:w w:val="92"/>
              </w:rPr>
              <w:t>Twelve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1"/>
              </w:rPr>
              <w:t>December 31, 2015</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center"/>
              <w:ind w:left="859"/>
              <w:spacing w:after="0"/>
              <w:rPr>
                <w:sz w:val="20"/>
                <w:szCs w:val="20"/>
                <w:color w:val="auto"/>
              </w:rPr>
            </w:pPr>
            <w:r>
              <w:rPr>
                <w:rFonts w:ascii="Arial" w:cs="Arial" w:eastAsia="Arial" w:hAnsi="Arial"/>
                <w:sz w:val="14"/>
                <w:szCs w:val="14"/>
                <w:b w:val="1"/>
                <w:bCs w:val="1"/>
                <w:color w:val="auto"/>
                <w:w w:val="91"/>
              </w:rPr>
              <w:t>December 31, 2014</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7"/>
              </w:rPr>
              <w:t>Transportation</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Facilities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Transportation</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34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Selected items impacting comparability</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of segment profit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i w:val="1"/>
                <w:iCs w:val="1"/>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1,011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i w:val="1"/>
                <w:iCs w:val="1"/>
                <w:color w:val="auto"/>
              </w:rPr>
              <w:t>588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99"/>
              </w:rPr>
              <w:t>$</w:t>
            </w:r>
          </w:p>
        </w:tc>
        <w:tc>
          <w:tcPr>
            <w:tcW w:w="12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i w:val="1"/>
                <w:iCs w:val="1"/>
                <w:color w:val="auto"/>
              </w:rPr>
              <w:t>568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950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597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right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88"/>
              </w:rPr>
              <w:t>Percentage change in adjusted segment</w:t>
            </w:r>
          </w:p>
        </w:tc>
        <w:tc>
          <w:tcPr>
            <w:tcW w:w="160" w:type="dxa"/>
            <w:vAlign w:val="bottom"/>
            <w:shd w:val="clear" w:color="auto" w:fill="CCEEFF"/>
          </w:tcPr>
          <w:p>
            <w:pPr>
              <w:spacing w:after="0"/>
              <w:rPr>
                <w:sz w:val="17"/>
                <w:szCs w:val="17"/>
                <w:color w:val="auto"/>
              </w:rPr>
            </w:pPr>
          </w:p>
        </w:tc>
        <w:tc>
          <w:tcPr>
            <w:tcW w:w="156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8"/>
                <w:szCs w:val="18"/>
                <w:b w:val="1"/>
                <w:bCs w:val="1"/>
                <w:i w:val="1"/>
                <w:iCs w:val="1"/>
                <w:color w:val="auto"/>
              </w:rPr>
              <w:t>6%</w:t>
            </w:r>
          </w:p>
        </w:tc>
        <w:tc>
          <w:tcPr>
            <w:tcW w:w="14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i w:val="1"/>
                <w:iCs w:val="1"/>
                <w:color w:val="auto"/>
              </w:rPr>
              <w:t>(13)%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2014 period</w:t>
            </w:r>
          </w:p>
        </w:tc>
        <w:tc>
          <w:tcPr>
            <w:tcW w:w="160" w:type="dxa"/>
            <w:vAlign w:val="bottom"/>
            <w:shd w:val="clear" w:color="auto" w:fill="CCEEFF"/>
          </w:tcPr>
          <w:p>
            <w:pPr>
              <w:spacing w:after="0"/>
              <w:rPr>
                <w:sz w:val="18"/>
                <w:szCs w:val="18"/>
                <w:color w:val="auto"/>
              </w:rPr>
            </w:pPr>
          </w:p>
        </w:tc>
        <w:tc>
          <w:tcPr>
            <w:tcW w:w="15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auto"/>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60" w:hanging="332"/>
        <w:spacing w:after="0" w:line="238" w:lineRule="auto"/>
        <w:tabs>
          <w:tab w:leader="none" w:pos="328"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PAA’s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PAA believes impact comparability of financial results between reporting periods.</w:t>
      </w:r>
    </w:p>
    <w:p>
      <w:pPr>
        <w:ind w:left="320" w:hanging="312"/>
        <w:spacing w:after="0" w:line="196" w:lineRule="auto"/>
        <w:tabs>
          <w:tab w:leader="none" w:pos="32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Fourth-quarter 2015 Transportation adjusted segment profit decreased 5% versus comparable 2014 results. This decrease was primarily driven by lower pipeline loss allowance revenue due to a lower realized average price per barrel during fourth-quarter 2015, partially offset by higher equity earnings from our 50% interest in the BridgeTex pipeline.</w:t>
      </w:r>
    </w:p>
    <w:p>
      <w:pPr>
        <w:spacing w:after="0" w:line="181"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Fourth-quarter 2015 Facilities adjusted segment profit decreased 1% versus comparable 2014 results. This decrease was primarily due to lower revenues associated with our rail and natural gas storage activities, partially offset by increased storage revenue at our west coast terminals.</w:t>
      </w:r>
    </w:p>
    <w:p>
      <w:pPr>
        <w:spacing w:after="0" w:line="12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Fourth-quarter 2015 Supply and Logistics adjusted segment profit decreased by 9% relative to comparable 2014 results. This decrease was primarily driven by lower volumes and margins associated with our crude oil lease gathering due to less favorable market conditions as a result of increased competition. This decrease was partially offset by increased margins on NGL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included at the end of this release. Information regarding PAGP’s distributions is reflected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336"/>
              <w:spacing w:after="0"/>
              <w:rPr>
                <w:sz w:val="20"/>
                <w:szCs w:val="20"/>
                <w:color w:val="auto"/>
              </w:rPr>
            </w:pPr>
            <w:r>
              <w:rPr>
                <w:rFonts w:ascii="Arial" w:cs="Arial" w:eastAsia="Arial" w:hAnsi="Arial"/>
                <w:sz w:val="14"/>
                <w:szCs w:val="14"/>
                <w:b w:val="1"/>
                <w:bCs w:val="1"/>
                <w:color w:val="auto"/>
              </w:rPr>
              <w:t>Q4 2015</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Q3 2015</w:t>
            </w:r>
          </w:p>
        </w:tc>
        <w:tc>
          <w:tcPr>
            <w:tcW w:w="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Q4 2014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Distribution per Class A share declared for the period</w:t>
            </w:r>
          </w:p>
        </w:tc>
        <w:tc>
          <w:tcPr>
            <w:tcW w:w="2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8"/>
                <w:szCs w:val="18"/>
                <w:b w:val="1"/>
                <w:bCs w:val="1"/>
                <w:color w:val="auto"/>
                <w:w w:val="92"/>
              </w:rPr>
              <w:t>Q4 2015 distribution percentage growth from prior periods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00" w:type="dxa"/>
            <w:vAlign w:val="bottom"/>
            <w:vMerge w:val="restart"/>
          </w:tcPr>
          <w:p>
            <w:pPr>
              <w:ind w:left="760"/>
              <w:spacing w:after="0"/>
              <w:rPr>
                <w:sz w:val="20"/>
                <w:szCs w:val="20"/>
                <w:color w:val="auto"/>
              </w:rPr>
            </w:pPr>
            <w:r>
              <w:rPr>
                <w:rFonts w:ascii="Arial" w:cs="Arial" w:eastAsia="Arial" w:hAnsi="Arial"/>
                <w:sz w:val="18"/>
                <w:szCs w:val="18"/>
                <w:color w:val="auto"/>
              </w:rPr>
              <w:t>– more –</w:t>
            </w: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40" w:type="dxa"/>
            <w:vAlign w:val="bottom"/>
          </w:tcPr>
          <w:p>
            <w:pPr>
              <w:ind w:left="2200"/>
              <w:spacing w:after="0"/>
              <w:rPr>
                <w:sz w:val="20"/>
                <w:szCs w:val="20"/>
                <w:color w:val="auto"/>
              </w:rPr>
            </w:pPr>
            <w:r>
              <w:rPr>
                <w:rFonts w:ascii="Arial" w:cs="Arial" w:eastAsia="Arial" w:hAnsi="Arial"/>
                <w:sz w:val="18"/>
                <w:szCs w:val="18"/>
                <w:b w:val="1"/>
                <w:bCs w:val="1"/>
                <w:color w:val="auto"/>
              </w:rPr>
              <w:t>333 Clay Street, Suite 1600</w:t>
            </w:r>
          </w:p>
        </w:tc>
        <w:tc>
          <w:tcPr>
            <w:tcW w:w="2000" w:type="dxa"/>
            <w:vAlign w:val="bottom"/>
          </w:tcPr>
          <w:p>
            <w:pPr>
              <w:ind w:left="80"/>
              <w:spacing w:after="0"/>
              <w:rPr>
                <w:sz w:val="20"/>
                <w:szCs w:val="20"/>
                <w:color w:val="auto"/>
              </w:rPr>
            </w:pPr>
            <w:r>
              <w:rPr>
                <w:rFonts w:ascii="Arial" w:cs="Arial" w:eastAsia="Arial" w:hAnsi="Arial"/>
                <w:sz w:val="18"/>
                <w:szCs w:val="18"/>
                <w:b w:val="1"/>
                <w:bCs w:val="1"/>
                <w:color w:val="auto"/>
              </w:rPr>
              <w:t>Houston, Texas 77002</w:t>
            </w:r>
          </w:p>
        </w:tc>
        <w:tc>
          <w:tcPr>
            <w:tcW w:w="140" w:type="dxa"/>
            <w:vAlign w:val="bottom"/>
          </w:tcPr>
          <w:p>
            <w:pPr>
              <w:spacing w:after="0"/>
              <w:rPr>
                <w:sz w:val="19"/>
                <w:szCs w:val="19"/>
                <w:color w:val="auto"/>
              </w:rPr>
            </w:pPr>
          </w:p>
        </w:tc>
        <w:tc>
          <w:tcPr>
            <w:tcW w:w="2840" w:type="dxa"/>
            <w:vAlign w:val="bottom"/>
            <w:gridSpan w:val="4"/>
          </w:tcPr>
          <w:p>
            <w:pPr>
              <w:jc w:val="right"/>
              <w:ind w:right="316"/>
              <w:spacing w:after="0"/>
              <w:rPr>
                <w:sz w:val="20"/>
                <w:szCs w:val="20"/>
                <w:color w:val="auto"/>
              </w:rPr>
            </w:pPr>
            <w:r>
              <w:rPr>
                <w:rFonts w:ascii="Arial" w:cs="Arial" w:eastAsia="Arial" w:hAnsi="Arial"/>
                <w:sz w:val="18"/>
                <w:szCs w:val="18"/>
                <w:b w:val="1"/>
                <w:bCs w:val="1"/>
                <w:color w:val="auto"/>
                <w:w w:val="92"/>
              </w:rPr>
              <w:t>(713) 646-4100 / (866) 809-1291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464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4</w:t>
      </w:r>
    </w:p>
    <w:p>
      <w:pPr>
        <w:sectPr>
          <w:pgSz w:w="11900" w:h="16847" w:orient="portrait"/>
          <w:cols w:equalWidth="0" w:num="1">
            <w:col w:w="11460"/>
          </w:cols>
          <w:pgMar w:left="240" w:top="341" w:right="199" w:bottom="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PAA and PAGP will hold a conference call on February 9, 2016 (see details below). Prior to this conference call, PAA will furnish a current report on Form 8-K, which will include material in this news release as well as PAA’s financial and operational guidance for the first quarter and full year of 2016. A copy of the Form 8-K will be available at www.plainsallamerican.com, where PAA and PAGP routinely post important information.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PAA and PAGP conference call will be held at 11:00 a.m. ET on Tuesday, February 9, 2016 to discuss the following items:</w:t>
      </w:r>
    </w:p>
    <w:p>
      <w:pPr>
        <w:spacing w:after="0" w:line="225"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PAA’s fourth-quarter and full-year 2015 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status of major expansion projects;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and operating guidance for the first quarter and full year of 2016;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PAA’s and PAGP’s outlook for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Access Instructions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To access the Internet webcast of the conference call, please go to www.plainsallamerican.com, under the “Investor Relations” section of the website (Navigate to: Investor Relations / either “PAA” or “PAGP” / News &amp; Events / Quarterly Earnings). Following the live webcast, the call will be archived for a period of sixty (60) days on the website.</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Alternatively, access to the live conference call is available by dialing toll free (800) 230-1092. International callers should dial (612) 288-0329. No password is required. The slide presentation accompanying the conference call will be available a few minutes prior to the call under the “Events and Presentations” tab of the PAA and PAGP Investor Relations sections of the above referenced website.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Telephonic Replay Instructions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To listen to a telephonic replay of the conference call, please dial (800) 475-6701, or (320) 365-3844 for international callers, and enter replay access code 383078. The replay will be available beginning Tuesday, February 9, 2016, at approximately 1:00 p.m. ET and will continue until 11:59 p.m. ET on March 9, 2016.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that are known as “non-GAAP financial measures” (such as adjusted EBITDA and implied distributable cash flow (“DCF”))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We have defined all such items as “Selected Items Impacting Comparability.” We consider an understanding of these selected items impacting comparability to be material to the evaluation of our operating results and prospects.</w:t>
      </w:r>
    </w:p>
    <w:p>
      <w:pPr>
        <w:spacing w:after="0" w:line="18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Annual Report on Form 10-K.</w:t>
      </w:r>
    </w:p>
    <w:p>
      <w:pPr>
        <w:spacing w:after="0" w:line="154" w:lineRule="exact"/>
        <w:rPr>
          <w:sz w:val="20"/>
          <w:szCs w:val="20"/>
          <w:color w:val="auto"/>
        </w:rPr>
      </w:pPr>
    </w:p>
    <w:p>
      <w:pPr>
        <w:jc w:val="both"/>
        <w:ind w:right="120" w:firstLine="648"/>
        <w:spacing w:after="0" w:line="297" w:lineRule="auto"/>
        <w:rPr>
          <w:sz w:val="20"/>
          <w:szCs w:val="20"/>
          <w:color w:val="auto"/>
        </w:rPr>
      </w:pPr>
      <w:r>
        <w:rPr>
          <w:rFonts w:ascii="Arial" w:cs="Arial" w:eastAsia="Arial" w:hAnsi="Arial"/>
          <w:sz w:val="16"/>
          <w:szCs w:val="16"/>
          <w:color w:val="auto"/>
        </w:rPr>
        <w:t>Adjusted EBITDA and other non-GAAP financial measures are reconciled to the most comparable measures as reported in accordance with GAAP for the periods presented in the tables attached to this release, and should be viewed in addition to, and not in lieu of, our Consolidated Financial Statements and notes thereto. In addition, PAA maintains on its website (www.plainsallamerican.com) a reconciliation of adjusted EBITDA and certain commonly used non-GAAP financial information to the most comparable GAAP measures. To access the information, investors should click on “PAA” under the “Investor Relations” tab on the home page, select the “Financial Information” tab and navigate to the “Non-GAAP Reconciliations” link.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468" w:gutter="0" w:footer="0" w:header="0"/>
        </w:sectPr>
      </w:pPr>
    </w:p>
    <w:bookmarkStart w:id="11" w:name="page12"/>
    <w:bookmarkEnd w:id="11"/>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 the effects of competition; failure to implement or capitalize, or delays in implementing or capitalizing, on expansion projects; unanticipated changes in crude oil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currency exchange rate of the Canadian dollar; continued creditworthiness of, and performance by, our counterparties, including financial institutions and trading companies with which we do business; maintenance of our credit rating and ability to receive open credit from our suppliers and trade counterparties; non-utilization of our assets and facilities; weather interference with business operations or project construction, including the impact of extreme weather events or conditions; the availability of, and our ability to consummate, acquisition or combination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opportunities; the successful integration and future performance of acquired assets or businesses and the risks associated with operating in lines of business that are distinct and separate from our historical operations; increased costs, or lack of availability, of insurance;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 vesting under our long-term incentive plans; risks related to the development and operation of our assets, including our ability to satisfy our contractual obligations to our customers; inability to recognize current revenue attributable to deficiency payments received from customers who fail to ship or move more than minimum contracted volumes until the related credits expire or are used;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8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4.4 million barrels per day of crude oil and NGL in its Transportation segment. PAA is headquartered in Houston, Texas.</w:t>
      </w:r>
    </w:p>
    <w:p>
      <w:pPr>
        <w:spacing w:after="0" w:line="18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Plains GP Holdings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160" w:type="dxa"/>
            <w:vAlign w:val="bottom"/>
            <w:gridSpan w:val="4"/>
          </w:tcPr>
          <w:p>
            <w:pPr>
              <w:jc w:val="center"/>
              <w:ind w:left="347"/>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259"/>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457"/>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4,996</w:t>
            </w: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9,459</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23,152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4,135</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8,384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19,726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w:t>
            </w: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341" w:right="239" w:bottom="0" w:gutter="0" w:footer="0" w:header="0"/>
        </w:sectPr>
      </w:pPr>
    </w:p>
    <w:bookmarkStart w:id="12" w:name="page13"/>
    <w:bookmarkEnd w:id="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42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4,652</w:t>
            </w: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8,927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21,890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41,665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344</w:t>
            </w:r>
          </w:p>
        </w:tc>
        <w:tc>
          <w:tcPr>
            <w:tcW w:w="4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4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UNIT:</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INCOME ATTRIBUTABLE TO COMMON UNITHOLDERS</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BASIC NET INCOME PER COMMON UNIT</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0.67</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0.78</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DILUTED NET INCOME PER COMMON UNIT</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0.67</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0.77</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BASIC WEIGHTED AVERAGE COMMON UNITS OUTSTANDING</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b w:val="1"/>
                <w:bCs w:val="1"/>
                <w:color w:val="auto"/>
              </w:rPr>
              <w:t>DILUTED WEIGHTED AVERAGE COMMON UNITS</w:t>
            </w:r>
          </w:p>
        </w:tc>
        <w:tc>
          <w:tcPr>
            <w:tcW w:w="4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4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OUTSTANDING</w:t>
            </w:r>
          </w:p>
        </w:tc>
        <w:tc>
          <w:tcPr>
            <w:tcW w:w="42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40" w:hanging="332"/>
        <w:spacing w:after="0" w:line="267" w:lineRule="auto"/>
        <w:tabs>
          <w:tab w:leader="none" w:pos="328"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The 2014 periods have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ind w:left="320"/>
              <w:spacing w:after="0"/>
              <w:rPr>
                <w:sz w:val="20"/>
                <w:szCs w:val="20"/>
                <w:color w:val="auto"/>
              </w:rPr>
            </w:pPr>
            <w:r>
              <w:rPr>
                <w:rFonts w:ascii="Arial" w:cs="Arial" w:eastAsia="Arial" w:hAnsi="Arial"/>
                <w:sz w:val="14"/>
                <w:szCs w:val="14"/>
                <w:b w:val="1"/>
                <w:bCs w:val="1"/>
                <w:color w:val="auto"/>
              </w:rPr>
              <w:t>Twelve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6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w:t>
            </w: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15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0.38</w:t>
            </w: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6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563</w:t>
            </w:r>
          </w:p>
        </w:tc>
        <w:tc>
          <w:tcPr>
            <w:tcW w:w="76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568"/>
              <w:spacing w:after="0"/>
              <w:rPr>
                <w:sz w:val="20"/>
                <w:szCs w:val="20"/>
                <w:color w:val="auto"/>
              </w:rPr>
            </w:pPr>
            <w:r>
              <w:rPr>
                <w:rFonts w:ascii="Arial" w:cs="Arial" w:eastAsia="Arial" w:hAnsi="Arial"/>
                <w:sz w:val="18"/>
                <w:szCs w:val="18"/>
                <w:color w:val="auto"/>
              </w:rPr>
              <w:t>– more –</w:t>
            </w: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00" w:type="dxa"/>
            <w:vAlign w:val="bottom"/>
          </w:tcPr>
          <w:p>
            <w:pPr>
              <w:ind w:left="2180"/>
              <w:spacing w:after="0"/>
              <w:rPr>
                <w:sz w:val="20"/>
                <w:szCs w:val="20"/>
                <w:color w:val="auto"/>
              </w:rPr>
            </w:pPr>
            <w:r>
              <w:rPr>
                <w:rFonts w:ascii="Arial" w:cs="Arial" w:eastAsia="Arial" w:hAnsi="Arial"/>
                <w:sz w:val="18"/>
                <w:szCs w:val="18"/>
                <w:b w:val="1"/>
                <w:bCs w:val="1"/>
                <w:color w:val="auto"/>
              </w:rPr>
              <w:t>333 Clay Street, Suite 1600</w:t>
            </w:r>
          </w:p>
        </w:tc>
        <w:tc>
          <w:tcPr>
            <w:tcW w:w="2160" w:type="dxa"/>
            <w:vAlign w:val="bottom"/>
            <w:gridSpan w:val="3"/>
          </w:tcPr>
          <w:p>
            <w:pPr>
              <w:jc w:val="right"/>
              <w:ind w:right="228"/>
              <w:spacing w:after="0"/>
              <w:rPr>
                <w:sz w:val="20"/>
                <w:szCs w:val="20"/>
                <w:color w:val="auto"/>
              </w:rPr>
            </w:pPr>
            <w:r>
              <w:rPr>
                <w:rFonts w:ascii="Arial" w:cs="Arial" w:eastAsia="Arial" w:hAnsi="Arial"/>
                <w:sz w:val="18"/>
                <w:szCs w:val="18"/>
                <w:b w:val="1"/>
                <w:bCs w:val="1"/>
                <w:color w:val="auto"/>
                <w:w w:val="97"/>
              </w:rPr>
              <w:t>Houston, Texas 77002</w:t>
            </w:r>
          </w:p>
        </w:tc>
        <w:tc>
          <w:tcPr>
            <w:tcW w:w="3220" w:type="dxa"/>
            <w:vAlign w:val="bottom"/>
            <w:gridSpan w:val="8"/>
          </w:tcPr>
          <w:p>
            <w:pPr>
              <w:jc w:val="right"/>
              <w:ind w:right="599"/>
              <w:spacing w:after="0"/>
              <w:rPr>
                <w:sz w:val="20"/>
                <w:szCs w:val="20"/>
                <w:color w:val="auto"/>
              </w:rPr>
            </w:pPr>
            <w:r>
              <w:rPr>
                <w:rFonts w:ascii="Arial" w:cs="Arial" w:eastAsia="Arial" w:hAnsi="Arial"/>
                <w:sz w:val="18"/>
                <w:szCs w:val="18"/>
                <w:b w:val="1"/>
                <w:bCs w:val="1"/>
                <w:color w:val="auto"/>
                <w:w w:val="96"/>
              </w:rPr>
              <w:t>(713) 646-4100 / (866) 809-1291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6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Current assets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2,969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13,474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Goodwill</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2,405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Linefill and base gas</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898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long-term assets, net</w:t>
            </w: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4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Current liabilities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3,407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70"/>
        </w:trPr>
        <w:tc>
          <w:tcPr>
            <w:tcW w:w="20" w:type="dxa"/>
            <w:vAlign w:val="bottom"/>
            <w:shd w:val="clear" w:color="auto" w:fill="CCEEFF"/>
          </w:tcPr>
          <w:p>
            <w:pPr>
              <w:spacing w:after="0"/>
              <w:rPr>
                <w:sz w:val="6"/>
                <w:szCs w:val="6"/>
                <w:color w:val="auto"/>
              </w:rPr>
            </w:pPr>
          </w:p>
        </w:tc>
        <w:tc>
          <w:tcPr>
            <w:tcW w:w="5860" w:type="dxa"/>
            <w:vAlign w:val="bottom"/>
            <w:shd w:val="clear" w:color="auto" w:fill="CCEEFF"/>
          </w:tcPr>
          <w:p>
            <w:pPr>
              <w:spacing w:after="0"/>
              <w:rPr>
                <w:sz w:val="6"/>
                <w:szCs w:val="6"/>
                <w:color w:val="auto"/>
              </w:rPr>
            </w:pPr>
          </w:p>
        </w:tc>
        <w:tc>
          <w:tcPr>
            <w:tcW w:w="24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25" w:right="199" w:bottom="0" w:gutter="0" w:footer="0" w:header="0"/>
        </w:sectPr>
      </w:pPr>
    </w:p>
    <w:bookmarkStart w:id="13" w:name="page14"/>
    <w:bookmarkEnd w:id="1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discounts and debt issuance costs</w:t>
            </w:r>
          </w:p>
        </w:tc>
        <w:tc>
          <w:tcPr>
            <w:tcW w:w="1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9,698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long-term debt</w:t>
            </w:r>
          </w:p>
        </w:tc>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677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1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17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14,349</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Partners’ capital excluding noncontrolling interests</w:t>
            </w:r>
          </w:p>
        </w:tc>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7,881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partners’ capital</w:t>
            </w:r>
          </w:p>
        </w:tc>
        <w:tc>
          <w:tcPr>
            <w:tcW w:w="176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7,939</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17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22,288</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CAPITALIZATION RATIOS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Long-term debt</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10,375</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9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Partners’ capital</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7,939</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18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tcBorders>
              <w:bottom w:val="single" w:sz="8" w:color="CCEEFF"/>
            </w:tcBorders>
            <w:vMerge w:val="continue"/>
          </w:tcPr>
          <w:p>
            <w:pPr>
              <w:spacing w:after="0"/>
              <w:rPr>
                <w:sz w:val="20"/>
                <w:szCs w:val="20"/>
                <w:color w:val="auto"/>
              </w:rPr>
            </w:pPr>
          </w:p>
        </w:tc>
        <w:tc>
          <w:tcPr>
            <w:tcW w:w="18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19,313</w:t>
            </w:r>
          </w:p>
        </w:tc>
        <w:tc>
          <w:tcPr>
            <w:tcW w:w="2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18,182</w:t>
            </w: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Long-term debt-to-total book capitalization</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debt-to-total book capitalization, including short-term debt</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80" w:hanging="332"/>
        <w:spacing w:after="0" w:line="267" w:lineRule="auto"/>
        <w:tabs>
          <w:tab w:leader="none" w:pos="328"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The 2014 period has been retroactively adjusted to reflect the reclassification of certain debt issuance costs from “Other long-term assets, net” to “Senior notes, net of unamortized discounts and debt issuance costs” as a result of our adoption of revised debt issuance costs guidance issued by the FASB.</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1"/>
              </w:rPr>
              <w:t>December 31, 2015</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2014</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vMerge w:val="restart"/>
          </w:tcPr>
          <w:p>
            <w:pPr>
              <w:jc w:val="right"/>
              <w:ind w:right="168"/>
              <w:spacing w:after="0"/>
              <w:rPr>
                <w:sz w:val="20"/>
                <w:szCs w:val="20"/>
                <w:color w:val="auto"/>
              </w:rPr>
            </w:pPr>
            <w:r>
              <w:rPr>
                <w:rFonts w:ascii="Arial" w:cs="Arial" w:eastAsia="Arial" w:hAnsi="Arial"/>
                <w:sz w:val="14"/>
                <w:szCs w:val="14"/>
                <w:b w:val="1"/>
                <w:bCs w:val="1"/>
                <w:color w:val="auto"/>
                <w:w w:val="97"/>
              </w:rPr>
              <w:t>Transportation</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Supply and</w:t>
            </w:r>
          </w:p>
        </w:tc>
        <w:tc>
          <w:tcPr>
            <w:tcW w:w="30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w w:val="95"/>
              </w:rPr>
              <w:t>Transportation</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4"/>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7"/>
              </w:rPr>
              <w:t>Logistics</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4,706</w:t>
            </w:r>
          </w:p>
        </w:tc>
        <w:tc>
          <w:tcPr>
            <w:tcW w:w="16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(4,464)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rPr>
              <w:t>Equity-indexed compensation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(expense)/benefit - operations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w w:val="91"/>
              </w:rPr>
              <w:t>Equity-indexed compensation expense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earnings in unconsolidated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entities</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123</w:t>
            </w:r>
          </w:p>
        </w:tc>
        <w:tc>
          <w:tcPr>
            <w:tcW w:w="1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Selected items impacting</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w w:val="96"/>
              </w:rPr>
              <w:t xml:space="preserve">comparability of segment profit </w:t>
            </w:r>
            <w:r>
              <w:rPr>
                <w:rFonts w:ascii="Arial" w:cs="Arial" w:eastAsia="Arial" w:hAnsi="Arial"/>
                <w:sz w:val="23"/>
                <w:szCs w:val="23"/>
                <w:color w:val="auto"/>
                <w:w w:val="96"/>
                <w:vertAlign w:val="superscript"/>
              </w:rPr>
              <w:t>(4)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6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segment profit</w:t>
            </w:r>
          </w:p>
        </w:tc>
        <w:tc>
          <w:tcPr>
            <w:tcW w:w="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256</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157</w:t>
            </w:r>
          </w:p>
        </w:tc>
        <w:tc>
          <w:tcPr>
            <w:tcW w:w="160" w:type="dxa"/>
            <w:vAlign w:val="bottom"/>
            <w:tcBorders>
              <w:bottom w:val="single" w:sz="8" w:color="CCEEFF"/>
              <w:right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Maintenance capital</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8"/>
              <w:spacing w:after="0"/>
              <w:rPr>
                <w:sz w:val="20"/>
                <w:szCs w:val="20"/>
                <w:color w:val="auto"/>
              </w:rPr>
            </w:pPr>
            <w:r>
              <w:rPr>
                <w:rFonts w:ascii="Arial" w:cs="Arial" w:eastAsia="Arial" w:hAnsi="Arial"/>
                <w:sz w:val="18"/>
                <w:szCs w:val="18"/>
                <w:color w:val="auto"/>
              </w:rPr>
              <w:t>43</w:t>
            </w:r>
          </w:p>
        </w:tc>
        <w:tc>
          <w:tcPr>
            <w:tcW w:w="34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Twelve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Twelve Months Ended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1"/>
              </w:rPr>
              <w:t>December 31, 2015</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2014</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w w:val="95"/>
              </w:rPr>
              <w:t>Transportation</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Facilities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center"/>
              <w:ind w:right="94"/>
              <w:spacing w:after="0" w:line="119" w:lineRule="exact"/>
              <w:rPr>
                <w:sz w:val="20"/>
                <w:szCs w:val="20"/>
                <w:color w:val="auto"/>
              </w:rPr>
            </w:pPr>
            <w:r>
              <w:rPr>
                <w:rFonts w:ascii="Arial" w:cs="Arial" w:eastAsia="Arial" w:hAnsi="Arial"/>
                <w:sz w:val="13"/>
                <w:szCs w:val="13"/>
                <w:b w:val="1"/>
                <w:bCs w:val="1"/>
                <w:color w:val="auto"/>
                <w:w w:val="99"/>
              </w:rPr>
              <w:t>Supply and</w:t>
            </w:r>
          </w:p>
        </w:tc>
        <w:tc>
          <w:tcPr>
            <w:tcW w:w="320" w:type="dxa"/>
            <w:vAlign w:val="bottom"/>
            <w:gridSpan w:val="3"/>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w w:val="95"/>
              </w:rPr>
              <w:t>Transportation</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Facilities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4"/>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7"/>
              </w:rPr>
              <w:t>Logistics</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21,945</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(21,018)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(40,752)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 (2)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w w:val="91"/>
              </w:rPr>
              <w:t>Equity-indexed compensation expense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9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operations</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14" w:name="page15"/>
    <w:bookmarkEnd w:id="14"/>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Segment general and administrative</w:t>
            </w:r>
          </w:p>
        </w:tc>
        <w:tc>
          <w:tcPr>
            <w:tcW w:w="4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48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3"/>
                <w:szCs w:val="23"/>
                <w:color w:val="auto"/>
                <w:vertAlign w:val="superscript"/>
              </w:rPr>
              <w:t>(2) (3)</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tcPr>
          <w:p>
            <w:pPr>
              <w:spacing w:after="0" w:line="201" w:lineRule="exact"/>
              <w:rPr>
                <w:sz w:val="20"/>
                <w:szCs w:val="20"/>
                <w:color w:val="auto"/>
              </w:rPr>
            </w:pPr>
            <w:r>
              <w:rPr>
                <w:rFonts w:ascii="Arial" w:cs="Arial" w:eastAsia="Arial" w:hAnsi="Arial"/>
                <w:sz w:val="18"/>
                <w:szCs w:val="18"/>
                <w:color w:val="auto"/>
                <w:w w:val="91"/>
              </w:rPr>
              <w:t>Equity-indexed compensation expense -</w:t>
            </w: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4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earnings in unconsolidated</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entities</w:t>
            </w:r>
          </w:p>
        </w:tc>
        <w:tc>
          <w:tcPr>
            <w:tcW w:w="4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4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480" w:type="dxa"/>
            <w:vAlign w:val="bottom"/>
            <w:tcBorders>
              <w:top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18"/>
                <w:szCs w:val="18"/>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200" w:type="dxa"/>
            <w:vAlign w:val="bottom"/>
          </w:tcPr>
          <w:p>
            <w:pPr>
              <w:spacing w:after="0"/>
              <w:rPr>
                <w:sz w:val="18"/>
                <w:szCs w:val="18"/>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Selected items impacting</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w w:val="96"/>
              </w:rPr>
              <w:t xml:space="preserve">comparability of segment profit </w:t>
            </w:r>
            <w:r>
              <w:rPr>
                <w:rFonts w:ascii="Arial" w:cs="Arial" w:eastAsia="Arial" w:hAnsi="Arial"/>
                <w:sz w:val="23"/>
                <w:szCs w:val="23"/>
                <w:color w:val="auto"/>
                <w:w w:val="96"/>
                <w:vertAlign w:val="superscript"/>
              </w:rPr>
              <w:t>(4)</w:t>
            </w: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segment profit</w:t>
            </w: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80" w:type="dxa"/>
            <w:vAlign w:val="bottom"/>
            <w:tcBorders>
              <w:bottom w:val="single" w:sz="8" w:color="CCEEFF"/>
              <w:right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2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Maintenance capital</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56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440" w:type="dxa"/>
            <w:vAlign w:val="bottom"/>
            <w:gridSpan w:val="2"/>
          </w:tcPr>
          <w:p>
            <w:pPr>
              <w:jc w:val="right"/>
              <w:ind w:right="31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ind w:left="340" w:right="180" w:hanging="332"/>
        <w:spacing w:after="0" w:line="219" w:lineRule="auto"/>
        <w:tabs>
          <w:tab w:leader="none" w:pos="328"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ind w:left="340" w:right="280" w:hanging="332"/>
        <w:spacing w:after="0" w:line="243" w:lineRule="auto"/>
        <w:tabs>
          <w:tab w:leader="none" w:pos="328"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16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3"/>
              </w:rPr>
              <w:t>Three Months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gridSpan w:val="2"/>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Transportation segment (average daily volumes in thousands of barrels per</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day):</w:t>
            </w: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Volumes from tariff activities</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 (by region):</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(2)</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1,963</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1,552</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1,849</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(2)</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331</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Western</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190</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265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215</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340"/>
              <w:spacing w:after="0" w:line="216"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(2)</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433</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Gulf Coast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537</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587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532</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Central</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362</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Canada</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377</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419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392</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4,193</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4,002</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rPr>
              <w:t>NGL pipelines</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189</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190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193</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volumes from tariff activities</w:t>
            </w: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4,382</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4,192</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rPr>
              <w:t>Trucking</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122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Transportation segment volumes</w:t>
            </w: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4,491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Facilities segment (average monthly volumes):</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 storage (average</w:t>
            </w: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103</w:t>
            </w:r>
          </w:p>
        </w:tc>
        <w:tc>
          <w:tcPr>
            <w:tcW w:w="720" w:type="dxa"/>
            <w:vAlign w:val="bottom"/>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7"/>
                <w:szCs w:val="17"/>
                <w:color w:val="auto"/>
              </w:rPr>
            </w:pP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7"/>
                <w:szCs w:val="17"/>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monthly capacity in millions of barrels)</w:t>
            </w:r>
          </w:p>
        </w:tc>
        <w:tc>
          <w:tcPr>
            <w:tcW w:w="720" w:type="dxa"/>
            <w:vAlign w:val="bottom"/>
            <w:gridSpan w:val="2"/>
            <w:vMerge w:val="continue"/>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w w:val="92"/>
              </w:rPr>
              <w:t>Rail load / unload volumes (average volumes in thousands of barrels per day)</w:t>
            </w: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vMerge w:val="restart"/>
          </w:tcPr>
          <w:p>
            <w:pPr>
              <w:ind w:left="160"/>
              <w:spacing w:after="0" w:line="195" w:lineRule="exact"/>
              <w:rPr>
                <w:sz w:val="20"/>
                <w:szCs w:val="20"/>
                <w:color w:val="auto"/>
              </w:rPr>
            </w:pPr>
            <w:r>
              <w:rPr>
                <w:rFonts w:ascii="Arial" w:cs="Arial" w:eastAsia="Arial" w:hAnsi="Arial"/>
                <w:sz w:val="18"/>
                <w:szCs w:val="18"/>
                <w:color w:val="auto"/>
                <w:w w:val="97"/>
              </w:rPr>
              <w:t>Natural gas storage (average monthly working capacity in billions of cubic</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88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feet)</w:t>
            </w:r>
          </w:p>
        </w:tc>
        <w:tc>
          <w:tcPr>
            <w:tcW w:w="42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NGL fractionation (average volumes in thousands of barrels per day)</w:t>
            </w: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vMerge w:val="restart"/>
          </w:tcPr>
          <w:p>
            <w:pPr>
              <w:ind w:left="160"/>
              <w:spacing w:after="0" w:line="195" w:lineRule="exact"/>
              <w:rPr>
                <w:sz w:val="20"/>
                <w:szCs w:val="20"/>
                <w:color w:val="auto"/>
              </w:rPr>
            </w:pPr>
            <w:r>
              <w:rPr>
                <w:rFonts w:ascii="Arial" w:cs="Arial" w:eastAsia="Arial" w:hAnsi="Arial"/>
                <w:sz w:val="18"/>
                <w:szCs w:val="18"/>
                <w:color w:val="auto"/>
                <w:w w:val="98"/>
              </w:rPr>
              <w:t>Total Facilities segment volumes (average monthly volumes in millions of</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88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128</w:t>
            </w:r>
          </w:p>
        </w:tc>
        <w:tc>
          <w:tcPr>
            <w:tcW w:w="720" w:type="dxa"/>
            <w:vAlign w:val="bottom"/>
          </w:tcPr>
          <w:p>
            <w:pPr>
              <w:spacing w:after="0"/>
              <w:rPr>
                <w:sz w:val="13"/>
                <w:szCs w:val="13"/>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122</w:t>
            </w:r>
          </w:p>
        </w:tc>
        <w:tc>
          <w:tcPr>
            <w:tcW w:w="14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126</w:t>
            </w:r>
          </w:p>
        </w:tc>
        <w:tc>
          <w:tcPr>
            <w:tcW w:w="340" w:type="dxa"/>
            <w:vAlign w:val="bottom"/>
          </w:tcPr>
          <w:p>
            <w:pPr>
              <w:spacing w:after="0"/>
              <w:rPr>
                <w:sz w:val="13"/>
                <w:szCs w:val="13"/>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0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3"/>
                <w:szCs w:val="23"/>
                <w:color w:val="auto"/>
                <w:vertAlign w:val="superscript"/>
              </w:rPr>
              <w:t>(3)</w:t>
            </w:r>
          </w:p>
        </w:tc>
        <w:tc>
          <w:tcPr>
            <w:tcW w:w="720" w:type="dxa"/>
            <w:vAlign w:val="bottom"/>
            <w:gridSpan w:val="2"/>
            <w:vMerge w:val="continue"/>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gridSpan w:val="2"/>
            <w:vMerge w:val="continue"/>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Supply and Logistics segment (average daily volumes in thousands of</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b w:val="1"/>
                <w:bCs w:val="1"/>
                <w:color w:val="auto"/>
              </w:rPr>
              <w:t>barrels per day):</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lease gathering purchases</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899</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999</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943</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rPr>
              <w:t>NGL sales</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266</w:t>
            </w:r>
          </w:p>
        </w:tc>
        <w:tc>
          <w:tcPr>
            <w:tcW w:w="7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268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223</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Waterborne cargos</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Total Supply and Logistics segment volumes</w:t>
            </w: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1,167</w:t>
            </w:r>
          </w:p>
        </w:tc>
        <w:tc>
          <w:tcPr>
            <w:tcW w:w="300" w:type="dxa"/>
            <w:vAlign w:val="bottom"/>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1,267</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Average volumes are calculated as total volumes for the period (attributable to our interest) divided by the number of days or months in the period.</w:t>
      </w:r>
    </w:p>
    <w:p>
      <w:pPr>
        <w:spacing w:after="0" w:line="1"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Area systems include volumes (attributable to our interest) from pipelines owned by unconsolidated entities.</w:t>
      </w:r>
    </w:p>
    <w:p>
      <w:pPr>
        <w:sectPr>
          <w:pgSz w:w="11900" w:h="16883" w:orient="portrait"/>
          <w:cols w:equalWidth="0" w:num="1">
            <w:col w:w="11420"/>
          </w:cols>
          <w:pgMar w:left="240" w:top="134" w:right="239" w:bottom="0" w:gutter="0" w:footer="0" w:header="0"/>
        </w:sectPr>
      </w:pPr>
    </w:p>
    <w:bookmarkStart w:id="15" w:name="page16"/>
    <w:bookmarkEnd w:id="15"/>
    <w:p>
      <w:pPr>
        <w:ind w:left="340" w:right="320" w:hanging="332"/>
        <w:spacing w:after="0" w:line="273" w:lineRule="auto"/>
        <w:tabs>
          <w:tab w:leader="none" w:pos="328"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ind w:right="4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COMMON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16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w w:val="98"/>
              </w:rPr>
              <w:t>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Common Unit</w:t>
            </w: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247</w:t>
            </w:r>
          </w:p>
        </w:tc>
        <w:tc>
          <w:tcPr>
            <w:tcW w:w="86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389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903</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Less: Distributions to general partner </w:t>
            </w:r>
            <w:r>
              <w:rPr>
                <w:rFonts w:ascii="Arial" w:cs="Arial" w:eastAsia="Arial" w:hAnsi="Arial"/>
                <w:sz w:val="23"/>
                <w:szCs w:val="23"/>
                <w:color w:val="auto"/>
                <w:vertAlign w:val="superscript"/>
              </w:rPr>
              <w:t>(1)</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(155)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Less: Distributions to participating securities </w:t>
            </w:r>
            <w:r>
              <w:rPr>
                <w:rFonts w:ascii="Arial" w:cs="Arial" w:eastAsia="Arial" w:hAnsi="Arial"/>
                <w:sz w:val="23"/>
                <w:szCs w:val="23"/>
                <w:color w:val="auto"/>
                <w:vertAlign w:val="superscript"/>
              </w:rPr>
              <w:t>(1)</w:t>
            </w:r>
          </w:p>
        </w:tc>
        <w:tc>
          <w:tcPr>
            <w:tcW w:w="7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Less: Undistributed (earnings)/loss allocated to general partner and</w:t>
            </w: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shd w:val="clear" w:color="auto" w:fill="CCEEFF"/>
          </w:tcPr>
          <w:p>
            <w:pPr>
              <w:ind w:left="360"/>
              <w:spacing w:after="0" w:line="231" w:lineRule="exact"/>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23"/>
                <w:szCs w:val="23"/>
                <w:color w:val="auto"/>
                <w:vertAlign w:val="superscript"/>
              </w:rPr>
              <w:t>(1)</w:t>
            </w: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tcPr>
          <w:p>
            <w:pPr>
              <w:spacing w:after="0" w:line="201" w:lineRule="exact"/>
              <w:rPr>
                <w:sz w:val="20"/>
                <w:szCs w:val="20"/>
                <w:color w:val="auto"/>
              </w:rPr>
            </w:pPr>
            <w:r>
              <w:rPr>
                <w:rFonts w:ascii="Arial" w:cs="Arial" w:eastAsia="Arial" w:hAnsi="Arial"/>
                <w:sz w:val="18"/>
                <w:szCs w:val="18"/>
                <w:color w:val="auto"/>
                <w:w w:val="97"/>
              </w:rPr>
              <w:t>Net income attributable to common unitholders in accordance with application</w:t>
            </w: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vMerge w:val="continue"/>
          </w:tcPr>
          <w:p>
            <w:pPr>
              <w:spacing w:after="0"/>
              <w:rPr>
                <w:sz w:val="15"/>
                <w:szCs w:val="15"/>
                <w:color w:val="auto"/>
              </w:rPr>
            </w:pPr>
          </w:p>
        </w:tc>
        <w:tc>
          <w:tcPr>
            <w:tcW w:w="780" w:type="dxa"/>
            <w:vAlign w:val="bottom"/>
            <w:vMerge w:val="restart"/>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5"/>
                <w:szCs w:val="15"/>
                <w:color w:val="auto"/>
              </w:rPr>
            </w:pPr>
          </w:p>
        </w:tc>
        <w:tc>
          <w:tcPr>
            <w:tcW w:w="80" w:type="dxa"/>
            <w:vAlign w:val="bottom"/>
            <w:vMerge w:val="restart"/>
          </w:tcPr>
          <w:p>
            <w:pPr>
              <w:spacing w:after="0"/>
              <w:rPr>
                <w:sz w:val="15"/>
                <w:szCs w:val="15"/>
                <w:color w:val="auto"/>
              </w:rPr>
            </w:pPr>
          </w:p>
        </w:tc>
        <w:tc>
          <w:tcPr>
            <w:tcW w:w="780" w:type="dxa"/>
            <w:vAlign w:val="bottom"/>
            <w:vMerge w:val="restart"/>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251</w:t>
            </w:r>
          </w:p>
        </w:tc>
        <w:tc>
          <w:tcPr>
            <w:tcW w:w="200" w:type="dxa"/>
            <w:vAlign w:val="bottom"/>
            <w:vMerge w:val="restart"/>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305</w:t>
            </w:r>
          </w:p>
        </w:tc>
        <w:tc>
          <w:tcPr>
            <w:tcW w:w="4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of the two-class method for MLPs</w:t>
            </w:r>
          </w:p>
        </w:tc>
        <w:tc>
          <w:tcPr>
            <w:tcW w:w="780" w:type="dxa"/>
            <w:vAlign w:val="bottom"/>
            <w:vMerge w:val="continue"/>
          </w:tcPr>
          <w:p>
            <w:pPr>
              <w:spacing w:after="0"/>
              <w:rPr>
                <w:sz w:val="22"/>
                <w:szCs w:val="22"/>
                <w:color w:val="auto"/>
              </w:rPr>
            </w:pPr>
          </w:p>
        </w:tc>
        <w:tc>
          <w:tcPr>
            <w:tcW w:w="3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400" w:type="dxa"/>
            <w:vAlign w:val="bottom"/>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7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373</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net income per common unit</w:t>
            </w: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86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0.67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0.78</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Diluted Net Income per Common Unit</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903</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Less: Distributions to general partner </w:t>
            </w:r>
            <w:r>
              <w:rPr>
                <w:rFonts w:ascii="Arial" w:cs="Arial" w:eastAsia="Arial" w:hAnsi="Arial"/>
                <w:sz w:val="23"/>
                <w:szCs w:val="23"/>
                <w:color w:val="auto"/>
                <w:vertAlign w:val="superscript"/>
              </w:rPr>
              <w:t>(1)</w:t>
            </w:r>
          </w:p>
        </w:tc>
        <w:tc>
          <w:tcPr>
            <w:tcW w:w="7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(155)</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Less: Distributions to participating securities </w:t>
            </w:r>
            <w:r>
              <w:rPr>
                <w:rFonts w:ascii="Arial" w:cs="Arial" w:eastAsia="Arial" w:hAnsi="Arial"/>
                <w:sz w:val="23"/>
                <w:szCs w:val="23"/>
                <w:color w:val="auto"/>
                <w:vertAlign w:val="superscript"/>
              </w:rPr>
              <w:t>(1)</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180"/>
              <w:spacing w:after="0" w:line="201" w:lineRule="exact"/>
              <w:rPr>
                <w:sz w:val="20"/>
                <w:szCs w:val="20"/>
                <w:color w:val="auto"/>
              </w:rPr>
            </w:pPr>
            <w:r>
              <w:rPr>
                <w:rFonts w:ascii="Arial" w:cs="Arial" w:eastAsia="Arial" w:hAnsi="Arial"/>
                <w:sz w:val="18"/>
                <w:szCs w:val="18"/>
                <w:color w:val="auto"/>
              </w:rPr>
              <w:t>Less: Undistributed (earnings)/loss allocated to general partner and</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360"/>
              <w:spacing w:after="0" w:line="231" w:lineRule="exact"/>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23"/>
                <w:szCs w:val="23"/>
                <w:color w:val="auto"/>
                <w:vertAlign w:val="superscript"/>
              </w:rPr>
              <w:t>(1)</w:t>
            </w:r>
          </w:p>
        </w:tc>
        <w:tc>
          <w:tcPr>
            <w:tcW w:w="7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7"/>
              </w:rPr>
              <w:t>Net income attributable to common unitholders in accordance with application</w:t>
            </w: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vMerge w:val="continue"/>
            <w:shd w:val="clear" w:color="auto" w:fill="CCEEFF"/>
          </w:tcPr>
          <w:p>
            <w:pPr>
              <w:spacing w:after="0"/>
              <w:rPr>
                <w:sz w:val="15"/>
                <w:szCs w:val="15"/>
                <w:color w:val="auto"/>
              </w:rPr>
            </w:pPr>
          </w:p>
        </w:tc>
        <w:tc>
          <w:tcPr>
            <w:tcW w:w="780" w:type="dxa"/>
            <w:vAlign w:val="bottom"/>
            <w:vMerge w:val="restart"/>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15"/>
                <w:szCs w:val="15"/>
                <w:color w:val="auto"/>
              </w:rPr>
            </w:pPr>
          </w:p>
        </w:tc>
        <w:tc>
          <w:tcPr>
            <w:tcW w:w="780" w:type="dxa"/>
            <w:vAlign w:val="bottom"/>
            <w:vMerge w:val="restart"/>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vMerge w:val="restart"/>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305</w:t>
            </w:r>
          </w:p>
        </w:tc>
        <w:tc>
          <w:tcPr>
            <w:tcW w:w="4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the two-class method for MLPs</w:t>
            </w:r>
          </w:p>
        </w:tc>
        <w:tc>
          <w:tcPr>
            <w:tcW w:w="7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units outstanding</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Effect of dilutive securities: Weighted average LTIP units </w:t>
            </w:r>
            <w:r>
              <w:rPr>
                <w:rFonts w:ascii="Arial" w:cs="Arial" w:eastAsia="Arial" w:hAnsi="Arial"/>
                <w:sz w:val="23"/>
                <w:szCs w:val="23"/>
                <w:color w:val="auto"/>
                <w:vertAlign w:val="superscript"/>
              </w:rPr>
              <w:t>(2)</w:t>
            </w:r>
          </w:p>
        </w:tc>
        <w:tc>
          <w:tcPr>
            <w:tcW w:w="7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unit</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0.77</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20" w:hanging="332"/>
        <w:spacing w:after="0" w:line="238" w:lineRule="auto"/>
        <w:tabs>
          <w:tab w:leader="none" w:pos="3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We calculate net income attributable to common unitholders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the partnership agreement and as further prescribed under the two-class method.</w:t>
      </w:r>
    </w:p>
    <w:p>
      <w:pPr>
        <w:ind w:left="340" w:right="20" w:hanging="332"/>
        <w:spacing w:after="0" w:line="234" w:lineRule="auto"/>
        <w:tabs>
          <w:tab w:leader="none" w:pos="328"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ectPr>
          <w:pgSz w:w="11900" w:h="16838" w:orient="portrait"/>
          <w:cols w:equalWidth="0" w:num="1">
            <w:col w:w="11420"/>
          </w:cols>
          <w:pgMar w:left="240" w:top="125" w:right="239" w:bottom="0" w:gutter="0" w:footer="0" w:header="0"/>
        </w:sectPr>
      </w:pPr>
    </w:p>
    <w:p>
      <w:pPr>
        <w:spacing w:after="0" w:line="202" w:lineRule="exact"/>
        <w:rPr>
          <w:sz w:val="20"/>
          <w:szCs w:val="20"/>
          <w:color w:val="auto"/>
        </w:rPr>
      </w:pPr>
    </w:p>
    <w:p>
      <w:pPr>
        <w:ind w:left="6680"/>
        <w:spacing w:after="0"/>
        <w:tabs>
          <w:tab w:leader="none" w:pos="936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3"/>
          <w:szCs w:val="13"/>
          <w:b w:val="1"/>
          <w:bCs w:val="1"/>
          <w:color w:val="auto"/>
        </w:rPr>
        <w:t>Twelve Months Ended</w:t>
      </w:r>
    </w:p>
    <w:p>
      <w:pPr>
        <w:sectPr>
          <w:pgSz w:w="11900" w:h="16838" w:orient="portrait"/>
          <w:cols w:equalWidth="0" w:num="1">
            <w:col w:w="11420"/>
          </w:cols>
          <w:pgMar w:left="240" w:top="125" w:right="239" w:bottom="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 Income/(Loss)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line="216" w:lineRule="exact"/>
              <w:rPr>
                <w:sz w:val="20"/>
                <w:szCs w:val="20"/>
                <w:color w:val="auto"/>
              </w:rPr>
            </w:pPr>
            <w:r>
              <w:rPr>
                <w:rFonts w:ascii="Arial" w:cs="Arial" w:eastAsia="Arial" w:hAnsi="Arial"/>
                <w:sz w:val="18"/>
                <w:szCs w:val="18"/>
                <w:color w:val="auto"/>
                <w:w w:val="92"/>
              </w:rPr>
              <w:t xml:space="preserve">Gains/(losses) from derivative activities net of inventory valuation adjustments </w:t>
            </w:r>
            <w:r>
              <w:rPr>
                <w:rFonts w:ascii="Arial" w:cs="Arial" w:eastAsia="Arial" w:hAnsi="Arial"/>
                <w:sz w:val="23"/>
                <w:szCs w:val="23"/>
                <w:color w:val="auto"/>
                <w:w w:val="92"/>
                <w:vertAlign w:val="superscript"/>
              </w:rPr>
              <w:t>(2)</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Line 901 incident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line="216" w:lineRule="exact"/>
              <w:rPr>
                <w:sz w:val="20"/>
                <w:szCs w:val="20"/>
                <w:color w:val="auto"/>
              </w:rPr>
            </w:pPr>
            <w:r>
              <w:rPr>
                <w:rFonts w:ascii="Arial" w:cs="Arial" w:eastAsia="Arial" w:hAnsi="Arial"/>
                <w:sz w:val="18"/>
                <w:szCs w:val="18"/>
                <w:color w:val="auto"/>
              </w:rPr>
              <w:t xml:space="preserve">Deferred income tax expense </w:t>
            </w:r>
            <w:r>
              <w:rPr>
                <w:rFonts w:ascii="Arial" w:cs="Arial" w:eastAsia="Arial" w:hAnsi="Arial"/>
                <w:sz w:val="23"/>
                <w:szCs w:val="23"/>
                <w:color w:val="auto"/>
                <w:vertAlign w:val="superscript"/>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gain/(loss) on foreign currency revaluation</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9"/>
              </w:rPr>
              <w:t>Selected items impacting comparability of net income attributable to PAA</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Impact to basic net income per common unit</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(0.71)</w:t>
            </w: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Impact to diluted net income per common unit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(0.14</w:t>
            </w:r>
          </w:p>
        </w:tc>
        <w:tc>
          <w:tcPr>
            <w:tcW w:w="22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0.07</w:t>
            </w:r>
          </w:p>
        </w:tc>
        <w:tc>
          <w:tcPr>
            <w:tcW w:w="2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(0.71</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60" w:hanging="332"/>
        <w:spacing w:after="0" w:line="228" w:lineRule="auto"/>
        <w:tabs>
          <w:tab w:leader="none" w:pos="32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Includes mark-to-market and other gains and losses resulting from derivative instruments that are related to underlying activities in another period (or the reversal of mark-to-market gains and losses from a prior period), gains and losses on derivatives that are related to investing activities (such as the purchase of linefill) and inventory valuation adjustments, as applicable.</w:t>
      </w:r>
    </w:p>
    <w:p>
      <w:pPr>
        <w:spacing w:after="0" w:line="2" w:lineRule="exact"/>
        <w:rPr>
          <w:rFonts w:ascii="Arial" w:cs="Arial" w:eastAsia="Arial" w:hAnsi="Arial"/>
          <w:sz w:val="23"/>
          <w:szCs w:val="23"/>
          <w:color w:val="auto"/>
          <w:vertAlign w:val="superscript"/>
        </w:rPr>
      </w:pPr>
    </w:p>
    <w:p>
      <w:pPr>
        <w:ind w:left="340" w:right="20" w:hanging="332"/>
        <w:spacing w:after="0" w:line="237" w:lineRule="auto"/>
        <w:tabs>
          <w:tab w:leader="none" w:pos="328"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Includes the impact of changes in the average cost of long-term inventory that result from fluctuations in market prices and writedowns of such inventory that result from price declines. Long-term inventory consists of minimum working inventory requirements in third-party assets and other working inventory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w:t>
      </w:r>
    </w:p>
    <w:p>
      <w:pPr>
        <w:spacing w:after="0" w:line="1" w:lineRule="exact"/>
        <w:rPr>
          <w:rFonts w:ascii="Arial" w:cs="Arial" w:eastAsia="Arial" w:hAnsi="Arial"/>
          <w:sz w:val="23"/>
          <w:szCs w:val="23"/>
          <w:color w:val="auto"/>
          <w:vertAlign w:val="superscript"/>
        </w:rPr>
      </w:pPr>
    </w:p>
    <w:p>
      <w:pPr>
        <w:ind w:left="340" w:right="700" w:hanging="332"/>
        <w:spacing w:after="0" w:line="243" w:lineRule="auto"/>
        <w:tabs>
          <w:tab w:leader="none" w:pos="328"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Includes equity-indexed compensation expense associated with LTIP awards that will or may be settled in units, as the dilutive impact of these outstanding awards is included in our diluted net income per unit calculation and the majority of these awards are expected to be settled in units.</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Includes the initial cumulative effect of the recent change in Canadian tax legislation.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3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ADJUSTED BASIC AND DILUTED NET INCOME PER COMMON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16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w w:val="98"/>
              </w:rPr>
              <w:t>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Common Unit</w:t>
            </w: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247</w:t>
            </w:r>
          </w:p>
        </w:tc>
        <w:tc>
          <w:tcPr>
            <w:tcW w:w="86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389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903</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w w:val="97"/>
              </w:rPr>
              <w:t xml:space="preserve">Selected items impacting comparability of net income attributable to PAA </w:t>
            </w:r>
            <w:r>
              <w:rPr>
                <w:rFonts w:ascii="Arial" w:cs="Arial" w:eastAsia="Arial" w:hAnsi="Arial"/>
                <w:sz w:val="23"/>
                <w:szCs w:val="23"/>
                <w:color w:val="auto"/>
                <w:w w:val="97"/>
                <w:vertAlign w:val="superscript"/>
              </w:rPr>
              <w:t>(1)</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7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to general partner </w:t>
            </w:r>
            <w:r>
              <w:rPr>
                <w:rFonts w:ascii="Arial" w:cs="Arial" w:eastAsia="Arial" w:hAnsi="Arial"/>
                <w:sz w:val="23"/>
                <w:szCs w:val="23"/>
                <w:color w:val="auto"/>
                <w:vertAlign w:val="superscript"/>
              </w:rPr>
              <w:t>(2)</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(155)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Distributions to participating securities </w:t>
            </w:r>
            <w:r>
              <w:rPr>
                <w:rFonts w:ascii="Arial" w:cs="Arial" w:eastAsia="Arial" w:hAnsi="Arial"/>
                <w:sz w:val="23"/>
                <w:szCs w:val="23"/>
                <w:color w:val="auto"/>
                <w:vertAlign w:val="superscript"/>
              </w:rPr>
              <w:t>(2)</w:t>
            </w:r>
          </w:p>
        </w:tc>
        <w:tc>
          <w:tcPr>
            <w:tcW w:w="7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Less: Undistributed (earnings)/loss allocated to general partner and</w:t>
            </w: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23"/>
                <w:szCs w:val="23"/>
                <w:color w:val="auto"/>
                <w:vertAlign w:val="superscript"/>
              </w:rPr>
              <w:t>(2)</w:t>
            </w: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tcPr>
          <w:p>
            <w:pPr>
              <w:spacing w:after="0" w:line="201" w:lineRule="exact"/>
              <w:rPr>
                <w:sz w:val="20"/>
                <w:szCs w:val="20"/>
                <w:color w:val="auto"/>
              </w:rPr>
            </w:pPr>
            <w:r>
              <w:rPr>
                <w:rFonts w:ascii="Arial" w:cs="Arial" w:eastAsia="Arial" w:hAnsi="Arial"/>
                <w:sz w:val="18"/>
                <w:szCs w:val="18"/>
                <w:color w:val="auto"/>
              </w:rPr>
              <w:t>Adjusted net income attributable to common unitholders in accordance with</w:t>
            </w: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vMerge w:val="continue"/>
          </w:tcPr>
          <w:p>
            <w:pPr>
              <w:spacing w:after="0"/>
              <w:rPr>
                <w:sz w:val="15"/>
                <w:szCs w:val="15"/>
                <w:color w:val="auto"/>
              </w:rPr>
            </w:pPr>
          </w:p>
        </w:tc>
        <w:tc>
          <w:tcPr>
            <w:tcW w:w="780" w:type="dxa"/>
            <w:vAlign w:val="bottom"/>
            <w:vMerge w:val="restart"/>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14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780" w:type="dxa"/>
            <w:vAlign w:val="bottom"/>
            <w:vMerge w:val="restart"/>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225</w:t>
            </w:r>
          </w:p>
        </w:tc>
        <w:tc>
          <w:tcPr>
            <w:tcW w:w="200" w:type="dxa"/>
            <w:vAlign w:val="bottom"/>
            <w:vMerge w:val="restart"/>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588</w:t>
            </w:r>
          </w:p>
        </w:tc>
        <w:tc>
          <w:tcPr>
            <w:tcW w:w="4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tcPr>
          <w:p>
            <w:pPr>
              <w:ind w:left="160"/>
              <w:spacing w:after="0"/>
              <w:rPr>
                <w:sz w:val="20"/>
                <w:szCs w:val="20"/>
                <w:color w:val="auto"/>
              </w:rPr>
            </w:pPr>
            <w:r>
              <w:rPr>
                <w:rFonts w:ascii="Arial" w:cs="Arial" w:eastAsia="Arial" w:hAnsi="Arial"/>
                <w:sz w:val="18"/>
                <w:szCs w:val="18"/>
                <w:color w:val="auto"/>
              </w:rPr>
              <w:t>application of the two-class method for MLPs</w:t>
            </w:r>
          </w:p>
        </w:tc>
        <w:tc>
          <w:tcPr>
            <w:tcW w:w="780" w:type="dxa"/>
            <w:vAlign w:val="bottom"/>
            <w:vMerge w:val="continue"/>
          </w:tcPr>
          <w:p>
            <w:pPr>
              <w:spacing w:after="0"/>
              <w:rPr>
                <w:sz w:val="22"/>
                <w:szCs w:val="22"/>
                <w:color w:val="auto"/>
              </w:rPr>
            </w:pPr>
          </w:p>
        </w:tc>
        <w:tc>
          <w:tcPr>
            <w:tcW w:w="380" w:type="dxa"/>
            <w:vAlign w:val="bottom"/>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400" w:type="dxa"/>
            <w:vAlign w:val="bottom"/>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8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weighted average common units outstanding</w:t>
            </w:r>
          </w:p>
        </w:tc>
        <w:tc>
          <w:tcPr>
            <w:tcW w:w="7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398</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373</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Basic adjusted net income per common unit</w:t>
            </w: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0.38</w:t>
            </w:r>
          </w:p>
        </w:tc>
        <w:tc>
          <w:tcPr>
            <w:tcW w:w="86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0.60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Diluted Adjusted Net Income per Common Unit</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PAA</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903</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line="216" w:lineRule="exact"/>
              <w:rPr>
                <w:sz w:val="20"/>
                <w:szCs w:val="20"/>
                <w:color w:val="auto"/>
              </w:rPr>
            </w:pPr>
            <w:r>
              <w:rPr>
                <w:rFonts w:ascii="Arial" w:cs="Arial" w:eastAsia="Arial" w:hAnsi="Arial"/>
                <w:sz w:val="18"/>
                <w:szCs w:val="18"/>
                <w:color w:val="auto"/>
                <w:w w:val="97"/>
              </w:rPr>
              <w:t xml:space="preserve">Selected items impacting comparability of net income attributable to PAA </w:t>
            </w:r>
            <w:r>
              <w:rPr>
                <w:rFonts w:ascii="Arial" w:cs="Arial" w:eastAsia="Arial" w:hAnsi="Arial"/>
                <w:sz w:val="23"/>
                <w:szCs w:val="23"/>
                <w:color w:val="auto"/>
                <w:w w:val="97"/>
                <w:vertAlign w:val="superscript"/>
              </w:rPr>
              <w:t>(1)</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 attributable to PAA</w:t>
            </w: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Distributions to general partner </w:t>
            </w:r>
            <w:r>
              <w:rPr>
                <w:rFonts w:ascii="Arial" w:cs="Arial" w:eastAsia="Arial" w:hAnsi="Arial"/>
                <w:sz w:val="23"/>
                <w:szCs w:val="23"/>
                <w:color w:val="auto"/>
                <w:vertAlign w:val="superscript"/>
              </w:rPr>
              <w:t>(2)</w:t>
            </w:r>
          </w:p>
        </w:tc>
        <w:tc>
          <w:tcPr>
            <w:tcW w:w="7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(155)</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Distributions to participating securities </w:t>
            </w:r>
            <w:r>
              <w:rPr>
                <w:rFonts w:ascii="Arial" w:cs="Arial" w:eastAsia="Arial" w:hAnsi="Arial"/>
                <w:sz w:val="23"/>
                <w:szCs w:val="23"/>
                <w:color w:val="auto"/>
                <w:vertAlign w:val="superscript"/>
              </w:rPr>
              <w:t>(2)</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160"/>
              <w:spacing w:after="0" w:line="201" w:lineRule="exact"/>
              <w:rPr>
                <w:sz w:val="20"/>
                <w:szCs w:val="20"/>
                <w:color w:val="auto"/>
              </w:rPr>
            </w:pPr>
            <w:r>
              <w:rPr>
                <w:rFonts w:ascii="Arial" w:cs="Arial" w:eastAsia="Arial" w:hAnsi="Arial"/>
                <w:sz w:val="18"/>
                <w:szCs w:val="18"/>
                <w:color w:val="auto"/>
              </w:rPr>
              <w:t>Less: Undistributed (earnings)/loss allocated to general partner and</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23"/>
                <w:szCs w:val="23"/>
                <w:color w:val="auto"/>
                <w:vertAlign w:val="superscript"/>
              </w:rPr>
              <w:t>(2)</w:t>
            </w:r>
          </w:p>
        </w:tc>
        <w:tc>
          <w:tcPr>
            <w:tcW w:w="7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Adjusted net income attributable to common unitholders in accordance with</w:t>
            </w: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vMerge w:val="continue"/>
            <w:shd w:val="clear" w:color="auto" w:fill="CCEEFF"/>
          </w:tcPr>
          <w:p>
            <w:pPr>
              <w:spacing w:after="0"/>
              <w:rPr>
                <w:sz w:val="15"/>
                <w:szCs w:val="15"/>
                <w:color w:val="auto"/>
              </w:rPr>
            </w:pPr>
          </w:p>
        </w:tc>
        <w:tc>
          <w:tcPr>
            <w:tcW w:w="780" w:type="dxa"/>
            <w:vAlign w:val="bottom"/>
            <w:vMerge w:val="restart"/>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vMerge w:val="restart"/>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15"/>
                <w:szCs w:val="15"/>
                <w:color w:val="auto"/>
              </w:rPr>
            </w:pPr>
          </w:p>
        </w:tc>
        <w:tc>
          <w:tcPr>
            <w:tcW w:w="780" w:type="dxa"/>
            <w:vAlign w:val="bottom"/>
            <w:vMerge w:val="restart"/>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0" w:type="dxa"/>
            <w:vAlign w:val="bottom"/>
            <w:vMerge w:val="restart"/>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588</w:t>
            </w:r>
          </w:p>
        </w:tc>
        <w:tc>
          <w:tcPr>
            <w:tcW w:w="4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application of the two-class method for MLPs</w:t>
            </w:r>
          </w:p>
        </w:tc>
        <w:tc>
          <w:tcPr>
            <w:tcW w:w="7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units outstanding</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common unit</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0.38</w:t>
            </w:r>
          </w:p>
        </w:tc>
        <w:tc>
          <w:tcPr>
            <w:tcW w:w="8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8" w:right="239" w:bottom="0" w:gutter="0" w:footer="0" w:header="0"/>
        </w:sectPr>
      </w:pPr>
    </w:p>
    <w:bookmarkStart w:id="17" w:name="page18"/>
    <w:bookmarkEnd w:id="17"/>
    <w:p>
      <w:pPr>
        <w:ind w:left="320" w:hanging="312"/>
        <w:spacing w:after="0"/>
        <w:tabs>
          <w:tab w:leader="none" w:pos="320"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t>Certain of our non-GAAP financial measures may not be impacted by each of the selected items impacting comparability.</w:t>
      </w:r>
    </w:p>
    <w:p>
      <w:pPr>
        <w:spacing w:after="0" w:line="1" w:lineRule="exact"/>
        <w:rPr>
          <w:rFonts w:ascii="Arial" w:cs="Arial" w:eastAsia="Arial" w:hAnsi="Arial"/>
          <w:sz w:val="23"/>
          <w:szCs w:val="23"/>
          <w:color w:val="auto"/>
          <w:vertAlign w:val="superscript"/>
        </w:rPr>
      </w:pPr>
    </w:p>
    <w:p>
      <w:pPr>
        <w:ind w:left="340" w:right="160" w:hanging="332"/>
        <w:spacing w:after="0" w:line="233" w:lineRule="auto"/>
        <w:tabs>
          <w:tab w:leader="none" w:pos="328" w:val="left"/>
        </w:tabs>
        <w:numPr>
          <w:ilvl w:val="0"/>
          <w:numId w:val="25"/>
        </w:numPr>
        <w:rPr>
          <w:rFonts w:ascii="Arial" w:cs="Arial" w:eastAsia="Arial" w:hAnsi="Arial"/>
          <w:sz w:val="23"/>
          <w:szCs w:val="23"/>
          <w:color w:val="auto"/>
          <w:vertAlign w:val="superscript"/>
        </w:rPr>
      </w:pPr>
      <w:r>
        <w:rPr>
          <w:rFonts w:ascii="Arial" w:cs="Arial" w:eastAsia="Arial" w:hAnsi="Arial"/>
          <w:sz w:val="18"/>
          <w:szCs w:val="18"/>
          <w:color w:val="auto"/>
        </w:rPr>
        <w:t>We calculate adjusted net income attributable to common unitholders based on the distributions pertaining to the current period’s net income. After adjusting for the appropriate period’s distributions, the remaining undistributed earnings or excess distributions over earnings, if any, are allocated to the general partner, common unitholders and participating securities in accordance with the contractual terms of the partnership agreement and as further prescribed under the two-class method.</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00" w:type="dxa"/>
            <w:vAlign w:val="bottom"/>
            <w:gridSpan w:val="5"/>
          </w:tcPr>
          <w:p>
            <w:pPr>
              <w:jc w:val="right"/>
              <w:ind w:right="19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Twelve Months Ended</w:t>
            </w:r>
          </w:p>
        </w:tc>
      </w:tr>
      <w:tr>
        <w:trPr>
          <w:trHeight w:val="171"/>
        </w:trPr>
        <w:tc>
          <w:tcPr>
            <w:tcW w:w="60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w w:val="98"/>
              </w:rPr>
              <w:t>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0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8"/>
        </w:trPr>
        <w:tc>
          <w:tcPr>
            <w:tcW w:w="60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Income to Earnings Before Interest, Taxes, Depreciation and</w:t>
            </w:r>
          </w:p>
        </w:tc>
        <w:tc>
          <w:tcPr>
            <w:tcW w:w="7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Amortization (“EBITDA”) and Excluding Selected Items Impacting</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Comparability (“Adjusted EBITDA”) Reconciliations</w:t>
            </w: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tcPr>
          <w:p>
            <w:pPr>
              <w:jc w:val="right"/>
              <w:ind w:right="626"/>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9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390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906</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1,386</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Interest expense, net</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8"/>
                <w:szCs w:val="18"/>
                <w:color w:val="auto"/>
              </w:rPr>
            </w:pPr>
          </w:p>
        </w:tc>
      </w:tr>
      <w:tr>
        <w:trPr>
          <w:trHeight w:val="216"/>
        </w:trPr>
        <w:tc>
          <w:tcPr>
            <w:tcW w:w="6060" w:type="dxa"/>
            <w:vAlign w:val="bottom"/>
          </w:tcPr>
          <w:p>
            <w:pPr>
              <w:ind w:left="200"/>
              <w:spacing w:after="0"/>
              <w:rPr>
                <w:sz w:val="20"/>
                <w:szCs w:val="20"/>
                <w:color w:val="auto"/>
              </w:rPr>
            </w:pPr>
            <w:r>
              <w:rPr>
                <w:rFonts w:ascii="Arial" w:cs="Arial" w:eastAsia="Arial" w:hAnsi="Arial"/>
                <w:sz w:val="18"/>
                <w:szCs w:val="18"/>
                <w:color w:val="auto"/>
              </w:rPr>
              <w:t>Add: Income tax expense</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Depreciation and amortization</w:t>
            </w:r>
          </w:p>
        </w:tc>
        <w:tc>
          <w:tcPr>
            <w:tcW w:w="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18"/>
                <w:szCs w:val="18"/>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EBITDA</w:t>
            </w:r>
          </w:p>
        </w:tc>
        <w:tc>
          <w:tcPr>
            <w:tcW w:w="780" w:type="dxa"/>
            <w:vAlign w:val="bottom"/>
            <w:tcBorders>
              <w:top w:val="single" w:sz="8" w:color="auto"/>
            </w:tcBorders>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Selected items impacting comparability of EBITDA </w:t>
            </w:r>
            <w:r>
              <w:rPr>
                <w:rFonts w:ascii="Arial" w:cs="Arial" w:eastAsia="Arial" w:hAnsi="Arial"/>
                <w:sz w:val="23"/>
                <w:szCs w:val="23"/>
                <w:color w:val="auto"/>
                <w:vertAlign w:val="superscript"/>
              </w:rPr>
              <w:t>(1)</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Adjusted EBITDA</w:t>
            </w:r>
          </w:p>
        </w:tc>
        <w:tc>
          <w:tcPr>
            <w:tcW w:w="780" w:type="dxa"/>
            <w:vAlign w:val="bottom"/>
            <w:tcBorders>
              <w:top w:val="single" w:sz="8" w:color="auto"/>
              <w:bottom w:val="single" w:sz="8" w:color="auto"/>
            </w:tcBorders>
          </w:tcPr>
          <w:p>
            <w:pPr>
              <w:jc w:val="right"/>
              <w:ind w:right="62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200" w:type="dxa"/>
            <w:vAlign w:val="bottom"/>
            <w:gridSpan w:val="5"/>
          </w:tcPr>
          <w:p>
            <w:pPr>
              <w:jc w:val="right"/>
              <w:ind w:right="19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Twelve Months Ended</w:t>
            </w:r>
          </w:p>
        </w:tc>
      </w:tr>
      <w:tr>
        <w:trPr>
          <w:trHeight w:val="171"/>
        </w:trPr>
        <w:tc>
          <w:tcPr>
            <w:tcW w:w="60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w w:val="98"/>
              </w:rPr>
              <w:t>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0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5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8"/>
        </w:trPr>
        <w:tc>
          <w:tcPr>
            <w:tcW w:w="60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Adjusted EBITDA to Implied Distributable Cash Flow (“DCF”)</w:t>
            </w:r>
          </w:p>
        </w:tc>
        <w:tc>
          <w:tcPr>
            <w:tcW w:w="7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4"/>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Reconciliation</w:t>
            </w: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Adjusted EBITDA</w:t>
            </w: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563</w:t>
            </w: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594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2,168</w:t>
            </w: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2,200</w:t>
            </w:r>
          </w:p>
        </w:tc>
        <w:tc>
          <w:tcPr>
            <w:tcW w:w="80" w:type="dxa"/>
            <w:vAlign w:val="bottom"/>
          </w:tcPr>
          <w:p>
            <w:pPr>
              <w:spacing w:after="0"/>
              <w:rPr>
                <w:sz w:val="18"/>
                <w:szCs w:val="18"/>
                <w:color w:val="auto"/>
              </w:rPr>
            </w:pPr>
          </w:p>
        </w:tc>
      </w:tr>
      <w:tr>
        <w:trPr>
          <w:trHeight w:val="216"/>
        </w:trPr>
        <w:tc>
          <w:tcPr>
            <w:tcW w:w="606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3"/>
                <w:szCs w:val="23"/>
                <w:color w:val="auto"/>
                <w:vertAlign w:val="superscript"/>
              </w:rPr>
              <w:t>(1)</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(107)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r>
      <w:tr>
        <w:trPr>
          <w:trHeight w:val="216"/>
        </w:trPr>
        <w:tc>
          <w:tcPr>
            <w:tcW w:w="606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78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(224)</w:t>
            </w:r>
          </w:p>
        </w:tc>
      </w:tr>
      <w:tr>
        <w:trPr>
          <w:trHeight w:val="216"/>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r>
      <w:tr>
        <w:trPr>
          <w:trHeight w:val="216"/>
        </w:trPr>
        <w:tc>
          <w:tcPr>
            <w:tcW w:w="6060" w:type="dxa"/>
            <w:vAlign w:val="bottom"/>
          </w:tcPr>
          <w:p>
            <w:pPr>
              <w:ind w:left="200"/>
              <w:spacing w:after="0"/>
              <w:rPr>
                <w:sz w:val="20"/>
                <w:szCs w:val="20"/>
                <w:color w:val="auto"/>
              </w:rPr>
            </w:pPr>
            <w:r>
              <w:rPr>
                <w:rFonts w:ascii="Arial" w:cs="Arial" w:eastAsia="Arial" w:hAnsi="Arial"/>
                <w:sz w:val="18"/>
                <w:szCs w:val="18"/>
                <w:color w:val="auto"/>
              </w:rPr>
              <w:t>Equity earnings in unconsolidated entities, net of distributions</w:t>
            </w:r>
          </w:p>
        </w:tc>
        <w:tc>
          <w:tcPr>
            <w:tcW w:w="7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6060" w:type="dxa"/>
            <w:vAlign w:val="bottom"/>
            <w:shd w:val="clear" w:color="auto" w:fill="CCEEFF"/>
          </w:tcPr>
          <w:p>
            <w:pPr>
              <w:ind w:left="20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(2)</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0"/>
        </w:trPr>
        <w:tc>
          <w:tcPr>
            <w:tcW w:w="6060" w:type="dxa"/>
            <w:vAlign w:val="bottom"/>
          </w:tcPr>
          <w:p>
            <w:pPr>
              <w:spacing w:after="0" w:line="210"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3"/>
                <w:szCs w:val="23"/>
                <w:color w:val="auto"/>
                <w:vertAlign w:val="superscript"/>
              </w:rPr>
              <w:t>(3)</w:t>
            </w:r>
          </w:p>
        </w:tc>
        <w:tc>
          <w:tcPr>
            <w:tcW w:w="78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1" w:lineRule="exact"/>
        <w:rPr>
          <w:rFonts w:ascii="Arial" w:cs="Arial" w:eastAsia="Arial" w:hAnsi="Arial"/>
          <w:sz w:val="22"/>
          <w:szCs w:val="22"/>
          <w:color w:val="auto"/>
          <w:vertAlign w:val="superscript"/>
        </w:rPr>
      </w:pPr>
    </w:p>
    <w:p>
      <w:pPr>
        <w:ind w:left="320" w:hanging="312"/>
        <w:spacing w:after="0" w:line="194" w:lineRule="auto"/>
        <w:tabs>
          <w:tab w:leader="none" w:pos="32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that pertain to the current period’s net income, which are paid in the subsequent period.</w:t>
      </w:r>
    </w:p>
    <w:p>
      <w:pPr>
        <w:spacing w:after="0" w:line="2" w:lineRule="exact"/>
        <w:rPr>
          <w:rFonts w:ascii="Arial" w:cs="Arial" w:eastAsia="Arial" w:hAnsi="Arial"/>
          <w:sz w:val="23"/>
          <w:szCs w:val="23"/>
          <w:color w:val="auto"/>
          <w:vertAlign w:val="superscript"/>
        </w:rPr>
      </w:pPr>
    </w:p>
    <w:p>
      <w:pPr>
        <w:ind w:left="340" w:right="240" w:hanging="332"/>
        <w:spacing w:after="0" w:line="219" w:lineRule="auto"/>
        <w:tabs>
          <w:tab w:leader="none" w:pos="32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Including costs related to our Line 901 incident that occurred during May 2015, Implied DCF would have been $365 million and $1,391 million for the three and twelve months ended December 31, 2015,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0" w:type="dxa"/>
            <w:vAlign w:val="bottom"/>
            <w:gridSpan w:val="5"/>
          </w:tcPr>
          <w:p>
            <w:pPr>
              <w:jc w:val="right"/>
              <w:ind w:right="19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Twelve Months Ended</w:t>
            </w:r>
          </w:p>
        </w:tc>
        <w:tc>
          <w:tcPr>
            <w:tcW w:w="40" w:type="dxa"/>
            <w:vAlign w:val="bottom"/>
          </w:tcPr>
          <w:p>
            <w:pPr>
              <w:spacing w:after="0"/>
              <w:rPr>
                <w:sz w:val="14"/>
                <w:szCs w:val="14"/>
                <w:color w:val="auto"/>
              </w:rPr>
            </w:pPr>
          </w:p>
        </w:tc>
      </w:tr>
      <w:tr>
        <w:trPr>
          <w:trHeight w:val="171"/>
        </w:trPr>
        <w:tc>
          <w:tcPr>
            <w:tcW w:w="4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ind w:right="336"/>
              <w:spacing w:after="0" w:line="142"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3"/>
              </w:rPr>
              <w:t>Net Cash Provided by Operating Activities Reconciliation</w:t>
            </w:r>
          </w:p>
        </w:tc>
        <w:tc>
          <w:tcPr>
            <w:tcW w:w="14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EBITDA</w:t>
            </w:r>
          </w:p>
        </w:tc>
        <w:tc>
          <w:tcPr>
            <w:tcW w:w="2220" w:type="dxa"/>
            <w:vAlign w:val="bottom"/>
            <w:gridSpan w:val="2"/>
          </w:tcPr>
          <w:p>
            <w:pPr>
              <w:jc w:val="right"/>
              <w:ind w:right="587"/>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c>
          <w:tcPr>
            <w:tcW w:w="10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664</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1,870</w:t>
            </w:r>
          </w:p>
        </w:tc>
        <w:tc>
          <w:tcPr>
            <w:tcW w:w="44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2,289</w:t>
            </w:r>
          </w:p>
        </w:tc>
        <w:tc>
          <w:tcPr>
            <w:tcW w:w="40" w:type="dxa"/>
            <w:vAlign w:val="bottom"/>
          </w:tcPr>
          <w:p>
            <w:pPr>
              <w:spacing w:after="0"/>
              <w:rPr>
                <w:sz w:val="18"/>
                <w:szCs w:val="18"/>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76"/>
              <w:spacing w:after="0"/>
              <w:rPr>
                <w:sz w:val="20"/>
                <w:szCs w:val="20"/>
                <w:color w:val="auto"/>
              </w:rPr>
            </w:pPr>
            <w:r>
              <w:rPr>
                <w:rFonts w:ascii="Arial" w:cs="Arial" w:eastAsia="Arial" w:hAnsi="Arial"/>
                <w:sz w:val="18"/>
                <w:szCs w:val="18"/>
                <w:color w:val="auto"/>
              </w:rPr>
              <w:t>(12)</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8"/>
                <w:szCs w:val="18"/>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gridSpan w:val="3"/>
          </w:tcPr>
          <w:p>
            <w:pPr>
              <w:jc w:val="right"/>
              <w:ind w:right="76"/>
              <w:spacing w:after="0"/>
              <w:rPr>
                <w:sz w:val="20"/>
                <w:szCs w:val="20"/>
                <w:color w:val="auto"/>
              </w:rPr>
            </w:pPr>
            <w:r>
              <w:rPr>
                <w:rFonts w:ascii="Arial" w:cs="Arial" w:eastAsia="Arial" w:hAnsi="Arial"/>
                <w:sz w:val="18"/>
                <w:szCs w:val="18"/>
                <w:color w:val="auto"/>
              </w:rPr>
              <w:t>(111)</w:t>
            </w:r>
          </w:p>
        </w:tc>
        <w:tc>
          <w:tcPr>
            <w:tcW w:w="8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(348)</w:t>
            </w:r>
          </w:p>
        </w:tc>
        <w:tc>
          <w:tcPr>
            <w:tcW w:w="40" w:type="dxa"/>
            <w:vAlign w:val="bottom"/>
          </w:tcPr>
          <w:p>
            <w:pPr>
              <w:spacing w:after="0"/>
              <w:rPr>
                <w:sz w:val="18"/>
                <w:szCs w:val="18"/>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assets and liabilities, net of acquisitions</w:t>
            </w: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76"/>
              <w:spacing w:after="0"/>
              <w:rPr>
                <w:sz w:val="20"/>
                <w:szCs w:val="20"/>
                <w:color w:val="auto"/>
              </w:rPr>
            </w:pPr>
            <w:r>
              <w:rPr>
                <w:rFonts w:ascii="Arial" w:cs="Arial" w:eastAsia="Arial" w:hAnsi="Arial"/>
                <w:sz w:val="18"/>
                <w:szCs w:val="18"/>
                <w:color w:val="auto"/>
              </w:rPr>
              <w:t>(261)</w:t>
            </w: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r>
      <w:tr>
        <w:trPr>
          <w:trHeight w:val="216"/>
        </w:trPr>
        <w:tc>
          <w:tcPr>
            <w:tcW w:w="6800" w:type="dxa"/>
            <w:vAlign w:val="bottom"/>
            <w:gridSpan w:val="3"/>
          </w:tcPr>
          <w:p>
            <w:pPr>
              <w:spacing w:after="0"/>
              <w:rPr>
                <w:sz w:val="20"/>
                <w:szCs w:val="20"/>
                <w:color w:val="auto"/>
              </w:rPr>
            </w:pPr>
            <w:r>
              <w:rPr>
                <w:rFonts w:ascii="Arial" w:cs="Arial" w:eastAsia="Arial" w:hAnsi="Arial"/>
                <w:sz w:val="18"/>
                <w:szCs w:val="18"/>
                <w:color w:val="auto"/>
              </w:rPr>
              <w:t>Other items to reconcile to net cash provided by operating activities: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Equity-indexed compensation expense</w:t>
            </w:r>
          </w:p>
        </w:tc>
        <w:tc>
          <w:tcPr>
            <w:tcW w:w="1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18"/>
                <w:szCs w:val="18"/>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4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5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ind w:right="687"/>
              <w:spacing w:after="0"/>
              <w:rPr>
                <w:sz w:val="20"/>
                <w:szCs w:val="20"/>
                <w:color w:val="auto"/>
              </w:rPr>
            </w:pPr>
            <w:r>
              <w:rPr>
                <w:rFonts w:ascii="Arial" w:cs="Arial" w:eastAsia="Arial" w:hAnsi="Arial"/>
                <w:sz w:val="18"/>
                <w:szCs w:val="18"/>
                <w:color w:val="auto"/>
              </w:rPr>
              <w:t>– more –</w:t>
            </w: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4580" w:type="dxa"/>
            <w:vAlign w:val="bottom"/>
          </w:tcPr>
          <w:p>
            <w:pPr>
              <w:ind w:left="2200"/>
              <w:spacing w:after="0"/>
              <w:rPr>
                <w:sz w:val="20"/>
                <w:szCs w:val="20"/>
                <w:color w:val="auto"/>
              </w:rPr>
            </w:pPr>
            <w:r>
              <w:rPr>
                <w:rFonts w:ascii="Arial" w:cs="Arial" w:eastAsia="Arial" w:hAnsi="Arial"/>
                <w:sz w:val="18"/>
                <w:szCs w:val="18"/>
                <w:b w:val="1"/>
                <w:bCs w:val="1"/>
                <w:color w:val="auto"/>
              </w:rPr>
              <w:t>333 Clay Street, Suite 1600</w:t>
            </w:r>
          </w:p>
        </w:tc>
        <w:tc>
          <w:tcPr>
            <w:tcW w:w="2220" w:type="dxa"/>
            <w:vAlign w:val="bottom"/>
            <w:gridSpan w:val="2"/>
          </w:tcPr>
          <w:p>
            <w:pPr>
              <w:jc w:val="right"/>
              <w:ind w:right="347"/>
              <w:spacing w:after="0"/>
              <w:rPr>
                <w:sz w:val="20"/>
                <w:szCs w:val="20"/>
                <w:color w:val="auto"/>
              </w:rPr>
            </w:pPr>
            <w:r>
              <w:rPr>
                <w:rFonts w:ascii="Arial" w:cs="Arial" w:eastAsia="Arial" w:hAnsi="Arial"/>
                <w:sz w:val="18"/>
                <w:szCs w:val="18"/>
                <w:b w:val="1"/>
                <w:bCs w:val="1"/>
                <w:color w:val="auto"/>
                <w:w w:val="94"/>
              </w:rPr>
              <w:t>Houston, Texas 77002</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(713)</w:t>
            </w:r>
          </w:p>
        </w:tc>
        <w:tc>
          <w:tcPr>
            <w:tcW w:w="200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646-4100 / (866) 809-1291</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45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ectPr>
          <w:pgSz w:w="11900" w:h="16838" w:orient="portrait"/>
          <w:cols w:equalWidth="0" w:num="1">
            <w:col w:w="11460"/>
          </w:cols>
          <w:pgMar w:left="240" w:top="213" w:right="199" w:bottom="0" w:gutter="0" w:footer="0" w:header="0"/>
        </w:sectPr>
      </w:pPr>
    </w:p>
    <w:bookmarkStart w:id="18" w:name="page19"/>
    <w:bookmarkEnd w:id="18"/>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2015</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2014</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right w:val="single" w:sz="8" w:color="auto"/>
            </w:tcBorders>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PAGP</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right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9,459</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4,135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4,135</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4,653</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360"/>
              <w:spacing w:after="0"/>
              <w:rPr>
                <w:sz w:val="20"/>
                <w:szCs w:val="20"/>
                <w:color w:val="auto"/>
              </w:rPr>
            </w:pPr>
            <w:r>
              <w:rPr>
                <w:rFonts w:ascii="Arial" w:cs="Arial" w:eastAsia="Arial" w:hAnsi="Arial"/>
                <w:sz w:val="18"/>
                <w:szCs w:val="18"/>
                <w:color w:val="auto"/>
              </w:rPr>
              <w:t>interests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BASIC NET INCOME PER CLASS A SHARE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560" w:hanging="332"/>
        <w:spacing w:after="0" w:line="251" w:lineRule="auto"/>
        <w:tabs>
          <w:tab w:leader="none" w:pos="328"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The 2014 periods have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Twelve Months Ended</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Twelve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w w:val="91"/>
              </w:rPr>
              <w:t>December 31, 2015</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December 31, 2014</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PAA</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w w:val="96"/>
              </w:rPr>
              <w:t>Consolidating</w:t>
            </w:r>
          </w:p>
        </w:tc>
        <w:tc>
          <w:tcPr>
            <w:tcW w:w="1020" w:type="dxa"/>
            <w:vAlign w:val="bottom"/>
            <w:tcBorders>
              <w:right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PAGP</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PAA</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center"/>
              <w:ind w:right="54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1020" w:type="dxa"/>
            <w:vAlign w:val="bottom"/>
            <w:tcBorders>
              <w:right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50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19,726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19,726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39,500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281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21,894</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41,665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4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1,262</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1,258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 expense, net</w:t>
            </w:r>
          </w:p>
        </w:tc>
        <w:tc>
          <w:tcPr>
            <w:tcW w:w="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(348)</w:t>
            </w: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ind w:left="18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360"/>
              <w:spacing w:after="0"/>
              <w:rPr>
                <w:sz w:val="20"/>
                <w:szCs w:val="20"/>
                <w:color w:val="auto"/>
              </w:rPr>
            </w:pPr>
            <w:r>
              <w:rPr>
                <w:rFonts w:ascii="Arial" w:cs="Arial" w:eastAsia="Arial" w:hAnsi="Arial"/>
                <w:sz w:val="18"/>
                <w:szCs w:val="18"/>
                <w:color w:val="auto"/>
              </w:rPr>
              <w:t>interests</w:t>
            </w:r>
          </w:p>
        </w:tc>
        <w:tc>
          <w:tcPr>
            <w:tcW w:w="4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(688)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(691)</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(1,256)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640" w:type="dxa"/>
            <w:vAlign w:val="bottom"/>
            <w:vMerge w:val="continue"/>
            <w:shd w:val="clear" w:color="auto" w:fill="CCEEFF"/>
          </w:tcPr>
          <w:p>
            <w:pPr>
              <w:spacing w:after="0"/>
              <w:rPr>
                <w:sz w:val="15"/>
                <w:szCs w:val="15"/>
                <w:color w:val="auto"/>
              </w:rPr>
            </w:pPr>
          </w:p>
        </w:tc>
        <w:tc>
          <w:tcPr>
            <w:tcW w:w="44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903</w:t>
            </w:r>
          </w:p>
        </w:tc>
        <w:tc>
          <w:tcPr>
            <w:tcW w:w="900" w:type="dxa"/>
            <w:vAlign w:val="bottom"/>
            <w:gridSpan w:val="2"/>
            <w:vMerge w:val="restart"/>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0"/>
              </w:rPr>
              <w:t>(785)</w:t>
            </w:r>
          </w:p>
        </w:tc>
        <w:tc>
          <w:tcPr>
            <w:tcW w:w="4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0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(1,314)</w:t>
            </w:r>
          </w:p>
        </w:tc>
        <w:tc>
          <w:tcPr>
            <w:tcW w:w="4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440" w:type="dxa"/>
            <w:vAlign w:val="bottom"/>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BASIC NET INCOME PER CLASS A SHARE</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gridSpan w:val="2"/>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gridSpan w:val="3"/>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gridSpan w:val="3"/>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w w:val="99"/>
              </w:rPr>
              <w:t>DILUTED WEIGHTED AVERAGE CLASS A SHARES OUTSTANDING</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560" w:hanging="332"/>
        <w:spacing w:after="0" w:line="251" w:lineRule="auto"/>
        <w:tabs>
          <w:tab w:leader="none" w:pos="328"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The 2014 periods have been retroactively adjusted to reflect the reclassification of the amortization of debt issuance costs from “Depreciation and amortization” to “Interest expense, net” as a result of our adoption of revised debt issuance costs guidance issued by the FASB.</w:t>
      </w:r>
    </w:p>
    <w:p>
      <w:pPr>
        <w:spacing w:after="0" w:line="1" w:lineRule="exact"/>
        <w:rPr>
          <w:rFonts w:ascii="Arial" w:cs="Arial" w:eastAsia="Arial" w:hAnsi="Arial"/>
          <w:sz w:val="21"/>
          <w:szCs w:val="21"/>
          <w:color w:val="auto"/>
          <w:vertAlign w:val="superscript"/>
        </w:rPr>
      </w:pPr>
    </w:p>
    <w:p>
      <w:pPr>
        <w:ind w:left="320" w:hanging="312"/>
        <w:spacing w:after="0" w:line="196" w:lineRule="auto"/>
        <w:tabs>
          <w:tab w:leader="none" w:pos="320"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2014</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Consolidating</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right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PAGP</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Consolidating</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6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right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20"/>
              <w:spacing w:after="0" w:line="172"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17"/>
                <w:szCs w:val="17"/>
                <w:b w:val="1"/>
                <w:bCs w:val="1"/>
                <w:color w:val="auto"/>
                <w:w w:val="89"/>
                <w:vertAlign w:val="superscript"/>
              </w:rPr>
              <w:t>(2)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2,969</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2,972</w:t>
            </w:r>
          </w:p>
        </w:tc>
        <w:tc>
          <w:tcPr>
            <w:tcW w:w="1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13,493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2,405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Deferred tax asset</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1,835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Long-term inventory</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200" w:type="dxa"/>
            <w:vAlign w:val="bottom"/>
            <w:tcBorders>
              <w:bottom w:val="single" w:sz="8" w:color="CCEEFF"/>
              <w:right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22,198</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w w:val="96"/>
              </w:rPr>
              <w:t>Senior notes, net of unamortized discounts and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9,698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9,698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8,699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Other long-term debt, net of unamortized debt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issuance costs</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1,234</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w w:val="99"/>
              </w:rPr>
              <w:t>Other long-term liabilities and deferred credits</w:t>
            </w:r>
          </w:p>
        </w:tc>
        <w:tc>
          <w:tcPr>
            <w:tcW w:w="2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14,908</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Partners’ capital excluding noncontrolling</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(6,476)</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7,414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7,472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7,666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partners’ capital</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w:t>
            </w: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gridSpan w:val="2"/>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24,142</w:t>
            </w: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20" w:name="page21"/>
    <w:bookmarkEnd w:id="20"/>
    <w:p>
      <w:pPr>
        <w:spacing w:after="0" w:line="62" w:lineRule="exact"/>
        <w:rPr>
          <w:sz w:val="20"/>
          <w:szCs w:val="20"/>
          <w:color w:val="auto"/>
        </w:rPr>
      </w:pPr>
    </w:p>
    <w:p>
      <w:pPr>
        <w:ind w:left="340" w:right="40" w:hanging="332"/>
        <w:spacing w:after="0" w:line="234" w:lineRule="auto"/>
        <w:tabs>
          <w:tab w:leader="none" w:pos="328"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The 2014 period has been retroactively adjusted to reflect the reclassification of certain debt issuance costs from “Other long-term assets, net” to “Senior notes, net of unamortized discounts and debt issuance costs” and “Other long-term debt, net of unamortized debt issuance costs” as a result of our adoption of revised debt issuance costs guidance issued by the FASB.</w:t>
      </w:r>
    </w:p>
    <w:p>
      <w:pPr>
        <w:spacing w:after="0" w:line="1"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30"/>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DISTRIBUTION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Q4 2015 PAGP DISTRIBUTION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xml:space="preserve">Q4 2015 </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PAA Distribution/Common Unit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GP Distribution/Common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0.3885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Distribution/Common Unit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PAA Common Units Outstanding at 1/29/16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Gross GP Distribution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Less: IDR Reduction</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Net Distribution from PAA to AAP </w:t>
            </w:r>
            <w:r>
              <w:rPr>
                <w:rFonts w:ascii="Arial" w:cs="Arial" w:eastAsia="Arial" w:hAnsi="Arial"/>
                <w:sz w:val="23"/>
                <w:szCs w:val="23"/>
                <w:color w:val="auto"/>
                <w:vertAlign w:val="superscript"/>
              </w:rPr>
              <w:t>(2)</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Less: Debt Service</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G&amp;A Expense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Available for Distribution by AAP</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b w:val="1"/>
                <w:bCs w:val="1"/>
                <w:color w:val="auto"/>
              </w:rPr>
              <w:t>Distributions to AAP Partners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AAP Owners &amp; AAP Management (63% economic interest)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80"/>
              <w:spacing w:after="0"/>
              <w:rPr>
                <w:sz w:val="20"/>
                <w:szCs w:val="20"/>
                <w:color w:val="auto"/>
              </w:rPr>
            </w:pPr>
            <w:r>
              <w:rPr>
                <w:rFonts w:ascii="Arial" w:cs="Arial" w:eastAsia="Arial" w:hAnsi="Arial"/>
                <w:sz w:val="18"/>
                <w:szCs w:val="18"/>
                <w:color w:val="auto"/>
              </w:rPr>
              <w:t>PAGP (37% economic interest)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distributions to AAP Partners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PAGP Investors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PAGP Class A Shares Outstanding at 1/29/16</w:t>
            </w: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PAGP Distribution/Class A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Amounts may not recalculate due to rounding.</w:t>
      </w:r>
    </w:p>
    <w:p>
      <w:pPr>
        <w:spacing w:after="0"/>
        <w:rPr>
          <w:sz w:val="20"/>
          <w:szCs w:val="20"/>
          <w:color w:val="auto"/>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Plains AAP, L.P. (“AAP”) is the general partner of PAA.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200"/>
        <w:spacing w:after="0"/>
        <w:tabs>
          <w:tab w:leader="none" w:pos="4700" w:val="left"/>
          <w:tab w:leader="none" w:pos="68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 646-4100 /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478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6"/>
          </w:tcPr>
          <w:p>
            <w:pPr>
              <w:ind w:left="30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w w:val="96"/>
              </w:rPr>
              <w:t>December 31,</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Class A Share</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112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net income per Class A share</w:t>
            </w:r>
          </w:p>
        </w:tc>
        <w:tc>
          <w:tcPr>
            <w:tcW w:w="112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w:t>
            </w:r>
          </w:p>
        </w:tc>
        <w:tc>
          <w:tcPr>
            <w:tcW w:w="78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112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780" w:type="dxa"/>
            <w:vAlign w:val="bottom"/>
          </w:tcPr>
          <w:p>
            <w:pPr>
              <w:jc w:val="right"/>
              <w:ind w:right="594"/>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Incremental net income attributable to PAGP resulting from assumed</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exchange of AAP units and AAP Management Units</w:t>
            </w: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vMerge w:val="restart"/>
          </w:tcPr>
          <w:p>
            <w:pPr>
              <w:ind w:left="180"/>
              <w:spacing w:after="0" w:line="201" w:lineRule="exact"/>
              <w:rPr>
                <w:sz w:val="20"/>
                <w:szCs w:val="20"/>
                <w:color w:val="auto"/>
              </w:rPr>
            </w:pPr>
            <w:r>
              <w:rPr>
                <w:rFonts w:ascii="Arial" w:cs="Arial" w:eastAsia="Arial" w:hAnsi="Arial"/>
                <w:sz w:val="18"/>
                <w:szCs w:val="18"/>
                <w:color w:val="auto"/>
                <w:w w:val="97"/>
              </w:rPr>
              <w:t>Net income attributable to PAGP including incremental net income from</w:t>
            </w: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720" w:type="dxa"/>
            <w:vAlign w:val="bottom"/>
            <w:vMerge w:val="continue"/>
          </w:tcPr>
          <w:p>
            <w:pPr>
              <w:spacing w:after="0"/>
              <w:rPr>
                <w:sz w:val="15"/>
                <w:szCs w:val="15"/>
                <w:color w:val="auto"/>
              </w:rPr>
            </w:pPr>
          </w:p>
        </w:tc>
        <w:tc>
          <w:tcPr>
            <w:tcW w:w="1120" w:type="dxa"/>
            <w:vAlign w:val="bottom"/>
            <w:gridSpan w:val="2"/>
            <w:vMerge w:val="restart"/>
          </w:tcPr>
          <w:p>
            <w:pPr>
              <w:jc w:val="right"/>
              <w:ind w:right="628"/>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25</w:t>
            </w:r>
          </w:p>
        </w:tc>
        <w:tc>
          <w:tcPr>
            <w:tcW w:w="780" w:type="dxa"/>
            <w:vAlign w:val="bottom"/>
            <w:vMerge w:val="restart"/>
          </w:tcPr>
          <w:p>
            <w:pPr>
              <w:jc w:val="right"/>
              <w:ind w:right="594"/>
              <w:spacing w:after="0"/>
              <w:rPr>
                <w:sz w:val="20"/>
                <w:szCs w:val="20"/>
                <w:color w:val="auto"/>
              </w:rPr>
            </w:pPr>
            <w:r>
              <w:rPr>
                <w:rFonts w:ascii="Arial" w:cs="Arial" w:eastAsia="Arial" w:hAnsi="Arial"/>
                <w:sz w:val="18"/>
                <w:szCs w:val="18"/>
                <w:color w:val="auto"/>
                <w:w w:val="79"/>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118</w:t>
            </w:r>
          </w:p>
        </w:tc>
        <w:tc>
          <w:tcPr>
            <w:tcW w:w="4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tcPr>
          <w:p>
            <w:pPr>
              <w:ind w:left="360"/>
              <w:spacing w:after="0"/>
              <w:rPr>
                <w:sz w:val="20"/>
                <w:szCs w:val="20"/>
                <w:color w:val="auto"/>
              </w:rPr>
            </w:pPr>
            <w:r>
              <w:rPr>
                <w:rFonts w:ascii="Arial" w:cs="Arial" w:eastAsia="Arial" w:hAnsi="Arial"/>
                <w:sz w:val="18"/>
                <w:szCs w:val="18"/>
                <w:color w:val="auto"/>
              </w:rPr>
              <w:t>assumed exchange of AAP units and AAP Management Units</w:t>
            </w:r>
          </w:p>
        </w:tc>
        <w:tc>
          <w:tcPr>
            <w:tcW w:w="1120" w:type="dxa"/>
            <w:vAlign w:val="bottom"/>
            <w:gridSpan w:val="2"/>
            <w:vMerge w:val="continue"/>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5"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40" w:type="dxa"/>
            <w:vAlign w:val="bottom"/>
          </w:tcPr>
          <w:p>
            <w:pPr>
              <w:ind w:left="200"/>
              <w:spacing w:after="0"/>
              <w:rPr>
                <w:sz w:val="20"/>
                <w:szCs w:val="20"/>
                <w:color w:val="auto"/>
              </w:rPr>
            </w:pPr>
            <w:r>
              <w:rPr>
                <w:rFonts w:ascii="Arial" w:cs="Arial" w:eastAsia="Arial" w:hAnsi="Arial"/>
                <w:sz w:val="18"/>
                <w:szCs w:val="18"/>
                <w:color w:val="auto"/>
              </w:rPr>
              <w:t>Basic weighted average Class A shares outstanding</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4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4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4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r>
      <w:tr>
        <w:trPr>
          <w:trHeight w:val="202"/>
        </w:trPr>
        <w:tc>
          <w:tcPr>
            <w:tcW w:w="5840" w:type="dxa"/>
            <w:vAlign w:val="bottom"/>
            <w:shd w:val="clear" w:color="auto" w:fill="CCEEFF"/>
          </w:tcPr>
          <w:p>
            <w:pPr>
              <w:ind w:left="380"/>
              <w:spacing w:after="0" w:line="201" w:lineRule="exact"/>
              <w:rPr>
                <w:sz w:val="20"/>
                <w:szCs w:val="20"/>
                <w:color w:val="auto"/>
              </w:rPr>
            </w:pPr>
            <w:r>
              <w:rPr>
                <w:rFonts w:ascii="Arial" w:cs="Arial" w:eastAsia="Arial" w:hAnsi="Arial"/>
                <w:sz w:val="18"/>
                <w:szCs w:val="18"/>
                <w:color w:val="auto"/>
                <w:w w:val="94"/>
              </w:rPr>
              <w:t>Dilutive shares resulting from assumed exchange of AAP units and AAP</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Management Units</w:t>
            </w: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w:t>
            </w:r>
          </w:p>
        </w:tc>
        <w:tc>
          <w:tcPr>
            <w:tcW w:w="4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w:t>
            </w:r>
          </w:p>
        </w:tc>
        <w:tc>
          <w:tcPr>
            <w:tcW w:w="80" w:type="dxa"/>
            <w:vAlign w:val="bottom"/>
            <w:shd w:val="clear" w:color="auto" w:fill="CCEEFF"/>
          </w:tcPr>
          <w:p>
            <w:pPr>
              <w:spacing w:after="0"/>
              <w:rPr>
                <w:sz w:val="20"/>
                <w:szCs w:val="20"/>
                <w:color w:val="auto"/>
              </w:rPr>
            </w:pPr>
          </w:p>
        </w:tc>
      </w:tr>
      <w:tr>
        <w:trPr>
          <w:trHeight w:val="250"/>
        </w:trPr>
        <w:tc>
          <w:tcPr>
            <w:tcW w:w="58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Diluted weighted average Class A shares outstanding</w:t>
            </w:r>
          </w:p>
        </w:tc>
        <w:tc>
          <w:tcPr>
            <w:tcW w:w="24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20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7"/>
        </w:trPr>
        <w:tc>
          <w:tcPr>
            <w:tcW w:w="5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840" w:type="dxa"/>
            <w:vAlign w:val="bottom"/>
          </w:tcPr>
          <w:p>
            <w:pPr>
              <w:ind w:left="200"/>
              <w:spacing w:after="0"/>
              <w:rPr>
                <w:sz w:val="20"/>
                <w:szCs w:val="20"/>
                <w:color w:val="auto"/>
              </w:rPr>
            </w:pPr>
            <w:r>
              <w:rPr>
                <w:rFonts w:ascii="Arial" w:cs="Arial" w:eastAsia="Arial" w:hAnsi="Arial"/>
                <w:sz w:val="18"/>
                <w:szCs w:val="18"/>
                <w:color w:val="auto"/>
              </w:rPr>
              <w:t>Diluted net income per Class A share</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0.53</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28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8"/>
        </w:trPr>
        <w:tc>
          <w:tcPr>
            <w:tcW w:w="4500" w:type="dxa"/>
            <w:vAlign w:val="bottom"/>
            <w:gridSpan w:val="2"/>
          </w:tcPr>
          <w:p>
            <w:pPr>
              <w:spacing w:after="0"/>
              <w:rPr>
                <w:sz w:val="20"/>
                <w:szCs w:val="20"/>
                <w:color w:val="auto"/>
              </w:rPr>
            </w:pPr>
            <w:r>
              <w:rPr>
                <w:rFonts w:ascii="Arial" w:cs="Arial" w:eastAsia="Arial" w:hAnsi="Arial"/>
                <w:sz w:val="18"/>
                <w:szCs w:val="18"/>
                <w:color w:val="auto"/>
              </w:rPr>
              <w:t>Ryan Smith</w:t>
            </w:r>
          </w:p>
        </w:tc>
        <w:tc>
          <w:tcPr>
            <w:tcW w:w="2280" w:type="dxa"/>
            <w:vAlign w:val="bottom"/>
          </w:tcPr>
          <w:p>
            <w:pPr>
              <w:ind w:left="1340"/>
              <w:spacing w:after="0"/>
              <w:rPr>
                <w:sz w:val="20"/>
                <w:szCs w:val="20"/>
                <w:color w:val="auto"/>
              </w:rPr>
            </w:pPr>
            <w:r>
              <w:rPr>
                <w:rFonts w:ascii="Arial" w:cs="Arial" w:eastAsia="Arial" w:hAnsi="Arial"/>
                <w:sz w:val="18"/>
                <w:szCs w:val="18"/>
                <w:color w:val="auto"/>
                <w:w w:val="96"/>
              </w:rPr>
              <w:t>Al Swanson</w:t>
            </w:r>
          </w:p>
        </w:tc>
        <w:tc>
          <w:tcPr>
            <w:tcW w:w="4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Director, Investor Relations</w:t>
            </w:r>
          </w:p>
        </w:tc>
        <w:tc>
          <w:tcPr>
            <w:tcW w:w="6920" w:type="dxa"/>
            <w:vAlign w:val="bottom"/>
            <w:gridSpan w:val="2"/>
          </w:tcPr>
          <w:p>
            <w:pPr>
              <w:ind w:left="1340"/>
              <w:spacing w:after="0"/>
              <w:rPr>
                <w:sz w:val="20"/>
                <w:szCs w:val="20"/>
                <w:color w:val="auto"/>
              </w:rPr>
            </w:pPr>
            <w:r>
              <w:rPr>
                <w:rFonts w:ascii="Arial" w:cs="Arial" w:eastAsia="Arial" w:hAnsi="Arial"/>
                <w:sz w:val="18"/>
                <w:szCs w:val="18"/>
                <w:color w:val="auto"/>
              </w:rPr>
              <w:t>Executive Vice President, CFO</w:t>
            </w:r>
          </w:p>
        </w:tc>
        <w:tc>
          <w:tcPr>
            <w:tcW w:w="40" w:type="dxa"/>
            <w:vAlign w:val="bottom"/>
          </w:tcPr>
          <w:p>
            <w:pPr>
              <w:spacing w:after="0"/>
              <w:rPr>
                <w:sz w:val="18"/>
                <w:szCs w:val="18"/>
                <w:color w:val="auto"/>
              </w:rPr>
            </w:pPr>
          </w:p>
        </w:tc>
      </w:tr>
      <w:tr>
        <w:trPr>
          <w:trHeight w:val="230"/>
        </w:trPr>
        <w:tc>
          <w:tcPr>
            <w:tcW w:w="450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6920" w:type="dxa"/>
            <w:vAlign w:val="bottom"/>
            <w:gridSpan w:val="2"/>
          </w:tcPr>
          <w:p>
            <w:pPr>
              <w:ind w:left="1340"/>
              <w:spacing w:after="0"/>
              <w:rPr>
                <w:sz w:val="20"/>
                <w:szCs w:val="20"/>
                <w:color w:val="auto"/>
              </w:rPr>
            </w:pPr>
            <w:r>
              <w:rPr>
                <w:rFonts w:ascii="Arial" w:cs="Arial" w:eastAsia="Arial" w:hAnsi="Arial"/>
                <w:sz w:val="18"/>
                <w:szCs w:val="18"/>
                <w:color w:val="auto"/>
              </w:rPr>
              <w:t>(800) 564-3036</w:t>
            </w:r>
          </w:p>
        </w:tc>
        <w:tc>
          <w:tcPr>
            <w:tcW w:w="40" w:type="dxa"/>
            <w:vAlign w:val="bottom"/>
          </w:tcPr>
          <w:p>
            <w:pPr>
              <w:spacing w:after="0"/>
              <w:rPr>
                <w:sz w:val="20"/>
                <w:szCs w:val="20"/>
                <w:color w:val="auto"/>
              </w:rPr>
            </w:pPr>
          </w:p>
        </w:tc>
      </w:tr>
      <w:tr>
        <w:trPr>
          <w:trHeight w:val="432"/>
        </w:trPr>
        <w:tc>
          <w:tcPr>
            <w:tcW w:w="6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4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640" w:type="dxa"/>
            <w:vAlign w:val="bottom"/>
          </w:tcPr>
          <w:p>
            <w:pPr>
              <w:spacing w:after="0"/>
              <w:rPr>
                <w:sz w:val="19"/>
                <w:szCs w:val="19"/>
                <w:color w:val="auto"/>
              </w:rPr>
            </w:pPr>
          </w:p>
        </w:tc>
        <w:tc>
          <w:tcPr>
            <w:tcW w:w="3860" w:type="dxa"/>
            <w:vAlign w:val="bottom"/>
          </w:tcPr>
          <w:p>
            <w:pPr>
              <w:ind w:left="1560"/>
              <w:spacing w:after="0"/>
              <w:rPr>
                <w:sz w:val="20"/>
                <w:szCs w:val="20"/>
                <w:color w:val="auto"/>
              </w:rPr>
            </w:pPr>
            <w:r>
              <w:rPr>
                <w:rFonts w:ascii="Arial" w:cs="Arial" w:eastAsia="Arial" w:hAnsi="Arial"/>
                <w:sz w:val="18"/>
                <w:szCs w:val="18"/>
                <w:b w:val="1"/>
                <w:bCs w:val="1"/>
                <w:color w:val="auto"/>
                <w:w w:val="99"/>
              </w:rPr>
              <w:t>333 Clay Street, Suite 1600</w:t>
            </w:r>
          </w:p>
        </w:tc>
        <w:tc>
          <w:tcPr>
            <w:tcW w:w="2280" w:type="dxa"/>
            <w:vAlign w:val="bottom"/>
          </w:tcPr>
          <w:p>
            <w:pPr>
              <w:ind w:left="220"/>
              <w:spacing w:after="0"/>
              <w:rPr>
                <w:sz w:val="20"/>
                <w:szCs w:val="20"/>
                <w:color w:val="auto"/>
              </w:rPr>
            </w:pPr>
            <w:r>
              <w:rPr>
                <w:rFonts w:ascii="Arial" w:cs="Arial" w:eastAsia="Arial" w:hAnsi="Arial"/>
                <w:sz w:val="18"/>
                <w:szCs w:val="18"/>
                <w:b w:val="1"/>
                <w:bCs w:val="1"/>
                <w:color w:val="auto"/>
              </w:rPr>
              <w:t>Houston, Texas 77002</w:t>
            </w:r>
          </w:p>
        </w:tc>
        <w:tc>
          <w:tcPr>
            <w:tcW w:w="4640" w:type="dxa"/>
            <w:vAlign w:val="bottom"/>
          </w:tcPr>
          <w:p>
            <w:pPr>
              <w:jc w:val="right"/>
              <w:ind w:right="2110"/>
              <w:spacing w:after="0"/>
              <w:rPr>
                <w:sz w:val="20"/>
                <w:szCs w:val="20"/>
                <w:color w:val="auto"/>
              </w:rPr>
            </w:pPr>
            <w:r>
              <w:rPr>
                <w:rFonts w:ascii="Arial" w:cs="Arial" w:eastAsia="Arial" w:hAnsi="Arial"/>
                <w:sz w:val="18"/>
                <w:szCs w:val="18"/>
                <w:b w:val="1"/>
                <w:bCs w:val="1"/>
                <w:color w:val="auto"/>
                <w:w w:val="92"/>
              </w:rPr>
              <w:t>(713) 646-4100 / (866) 809-1291</w:t>
            </w:r>
          </w:p>
        </w:tc>
        <w:tc>
          <w:tcPr>
            <w:tcW w:w="40" w:type="dxa"/>
            <w:vAlign w:val="bottom"/>
          </w:tcPr>
          <w:p>
            <w:pPr>
              <w:spacing w:after="0"/>
              <w:rPr>
                <w:sz w:val="19"/>
                <w:szCs w:val="19"/>
                <w:color w:val="auto"/>
              </w:rPr>
            </w:pPr>
          </w:p>
        </w:tc>
      </w:tr>
      <w:tr>
        <w:trPr>
          <w:trHeight w:val="343"/>
        </w:trPr>
        <w:tc>
          <w:tcPr>
            <w:tcW w:w="640" w:type="dxa"/>
            <w:vAlign w:val="bottom"/>
            <w:tcBorders>
              <w:bottom w:val="single" w:sz="8" w:color="808080"/>
            </w:tcBorders>
          </w:tcPr>
          <w:p>
            <w:pPr>
              <w:spacing w:after="0"/>
              <w:rPr>
                <w:sz w:val="24"/>
                <w:szCs w:val="24"/>
                <w:color w:val="auto"/>
              </w:rPr>
            </w:pPr>
          </w:p>
        </w:tc>
        <w:tc>
          <w:tcPr>
            <w:tcW w:w="386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4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o"/>
      <w:numFmt w:val="bullet"/>
      <w:start w:val="1"/>
    </w:lvl>
  </w:abstractNum>
  <w:abstractNum w:abstractNumId="1">
    <w:nsid w:val="6B68079A"/>
    <w:multiLevelType w:val="hybridMultilevel"/>
    <w:lvl w:ilvl="0">
      <w:lvlJc w:val="left"/>
      <w:lvlText w:val="%1."/>
      <w:numFmt w:val="decimal"/>
      <w:start w:val="2"/>
    </w:lvl>
    <w:lvl w:ilvl="1">
      <w:lvlJc w:val="left"/>
      <w:lvlText w:val="%2."/>
      <w:numFmt w:val="lowerLetter"/>
      <w:start w:val="1"/>
    </w:lvl>
  </w:abstractNum>
  <w:abstractNum w:abstractNumId="2">
    <w:nsid w:val="4E6AFB66"/>
    <w:multiLevelType w:val="hybridMultilevel"/>
    <w:lvl w:ilvl="0">
      <w:lvlJc w:val="left"/>
      <w:lvlText w:val="%1"/>
      <w:numFmt w:val="lowerLetter"/>
      <w:start w:val="1"/>
    </w:lvl>
    <w:lvl w:ilvl="1">
      <w:lvlJc w:val="left"/>
      <w:lvlText w:val="(%2)"/>
      <w:numFmt w:val="decimal"/>
      <w:start w:val="1"/>
    </w:lvl>
  </w:abstractNum>
  <w:abstractNum w:abstractNumId="3">
    <w:nsid w:val="25E45D32"/>
    <w:multiLevelType w:val="hybridMultilevel"/>
    <w:lvl w:ilvl="0">
      <w:lvlJc w:val="left"/>
      <w:lvlText w:val="%1."/>
      <w:numFmt w:val="lowerLetter"/>
      <w:start w:val="2"/>
    </w:lvl>
    <w:lvl w:ilvl="1">
      <w:lvlJc w:val="left"/>
      <w:lvlText w:val="%2"/>
      <w:numFmt w:val="decimal"/>
      <w:start w:val="1"/>
    </w:lvl>
  </w:abstractNum>
  <w:abstractNum w:abstractNumId="4">
    <w:nsid w:val="519B500D"/>
    <w:multiLevelType w:val="hybridMultilevel"/>
    <w:lvl w:ilvl="0">
      <w:lvlJc w:val="left"/>
      <w:lvlText w:val="%1"/>
      <w:numFmt w:val="lowerLetter"/>
      <w:start w:val="1"/>
    </w:lvl>
    <w:lvl w:ilvl="1">
      <w:lvlJc w:val="left"/>
      <w:lvlText w:val="·"/>
      <w:numFmt w:val="bullet"/>
      <w:start w:val="1"/>
    </w:lvl>
    <w:lvl w:ilvl="2">
      <w:lvlJc w:val="left"/>
      <w:lvlText w:val="(%3)"/>
      <w:numFmt w:val="decimal"/>
      <w:start w:val="1"/>
    </w:lvl>
  </w:abstractNum>
  <w:abstractNum w:abstractNumId="5">
    <w:nsid w:val="431BD7B7"/>
    <w:multiLevelType w:val="hybridMultilevel"/>
    <w:lvl w:ilvl="0">
      <w:lvlJc w:val="left"/>
      <w:lvlText w:val="%1"/>
      <w:numFmt w:val="decimal"/>
      <w:start w:val="1"/>
    </w:lvl>
    <w:lvl w:ilvl="1">
      <w:lvlJc w:val="left"/>
      <w:lvlText w:val="(%2)"/>
      <w:numFmt w:val="decimal"/>
      <w:start w:val="1"/>
    </w:lvl>
  </w:abstractNum>
  <w:abstractNum w:abstractNumId="6">
    <w:nsid w:val="3F2DBA31"/>
    <w:multiLevelType w:val="hybridMultilevel"/>
    <w:lvl w:ilvl="0">
      <w:lvlJc w:val="left"/>
      <w:lvlText w:val="%1."/>
      <w:numFmt w:val="decimal"/>
      <w:start w:val="3"/>
    </w:lvl>
    <w:lvl w:ilvl="1">
      <w:lvlJc w:val="left"/>
      <w:lvlText w:val="%2"/>
      <w:numFmt w:val="decimal"/>
      <w:start w:val="1"/>
    </w:lvl>
  </w:abstractNum>
  <w:abstractNum w:abstractNumId="7">
    <w:nsid w:val="7C83E458"/>
    <w:multiLevelType w:val="hybridMultilevel"/>
    <w:lvl w:ilvl="0">
      <w:lvlJc w:val="left"/>
      <w:lvlText w:val="(%1)"/>
      <w:numFmt w:val="decimal"/>
      <w:start w:val="1"/>
    </w:lvl>
    <w:lvl w:ilvl="1">
      <w:lvlJc w:val="left"/>
      <w:lvlText w:val="(%2)"/>
      <w:numFmt w:val="lowerRoman"/>
      <w:start w:val="3"/>
    </w:lvl>
  </w:abstractNum>
  <w:abstractNum w:abstractNumId="8">
    <w:nsid w:val="257130A3"/>
    <w:multiLevelType w:val="hybridMultilevel"/>
    <w:lvl w:ilvl="0">
      <w:lvlJc w:val="left"/>
      <w:lvlText w:val="%1."/>
      <w:numFmt w:val="decimal"/>
      <w:start w:val="5"/>
    </w:lvl>
  </w:abstractNum>
  <w:abstractNum w:abstractNumId="9">
    <w:nsid w:val="62BBD95A"/>
    <w:multiLevelType w:val="hybridMultilevel"/>
    <w:lvl w:ilvl="0">
      <w:lvlJc w:val="left"/>
      <w:lvlText w:val="%1"/>
      <w:numFmt w:val="decimal"/>
      <w:start w:val="1"/>
    </w:lvl>
    <w:lvl w:ilvl="1">
      <w:lvlJc w:val="left"/>
      <w:lvlText w:val="%2."/>
      <w:numFmt w:val="decimal"/>
      <w:start w:val="8"/>
    </w:lvl>
  </w:abstractNum>
  <w:abstractNum w:abstractNumId="10">
    <w:nsid w:val="436C6125"/>
    <w:multiLevelType w:val="hybridMultilevel"/>
    <w:lvl w:ilvl="0">
      <w:lvlJc w:val="left"/>
      <w:lvlText w:val="%1."/>
      <w:numFmt w:val="decimal"/>
      <w:start w:val="9"/>
    </w:lvl>
    <w:lvl w:ilvl="1">
      <w:lvlJc w:val="left"/>
      <w:lvlText w:val="%2"/>
      <w:numFmt w:val="decimal"/>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3"/>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2020-01-19T12:38:14Z</dcterms:created>
  <dcterms:modified xsi:type="dcterms:W3CDTF">2020-01-19T12:38:14Z</dcterms:modified>
</cp:coreProperties>
</file>