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333-281967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13, 2025</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840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Final Term Sheet</w:t>
            </w:r>
          </w:p>
        </w:tc>
      </w:tr>
      <w:tr>
        <w:trPr>
          <w:trHeight w:val="238"/>
        </w:trPr>
        <w:tc>
          <w:tcPr>
            <w:tcW w:w="2840" w:type="dxa"/>
            <w:vAlign w:val="bottom"/>
          </w:tcPr>
          <w:p>
            <w:pPr>
              <w:spacing w:after="0"/>
              <w:rPr>
                <w:sz w:val="20"/>
                <w:szCs w:val="20"/>
                <w:color w:val="auto"/>
              </w:rPr>
            </w:pPr>
          </w:p>
        </w:tc>
        <w:tc>
          <w:tcPr>
            <w:tcW w:w="840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$1,000,000,000 5.950% Senior Notes due 2035</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Plains All American Pipeline, L.P. and PAA Finance Corp.</w:t>
            </w: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Moody’s: Baa2 (stable outlook)</w:t>
            </w:r>
          </w:p>
        </w:tc>
      </w:tr>
      <w:tr>
        <w:trPr>
          <w:trHeight w:val="216"/>
        </w:trPr>
        <w:tc>
          <w:tcPr>
            <w:tcW w:w="284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S&amp;P: BBB (stable outlook)</w:t>
            </w:r>
          </w:p>
        </w:tc>
      </w:tr>
      <w:tr>
        <w:trPr>
          <w:trHeight w:val="234"/>
        </w:trPr>
        <w:tc>
          <w:tcPr>
            <w:tcW w:w="2840" w:type="dxa"/>
            <w:vAlign w:val="bottom"/>
          </w:tcPr>
          <w:p>
            <w:pPr>
              <w:spacing w:after="0"/>
              <w:rPr>
                <w:sz w:val="20"/>
                <w:szCs w:val="20"/>
                <w:color w:val="auto"/>
              </w:rPr>
            </w:pP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Fitch: BBB (stable outlook)</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unsecured</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SEC-registered</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January 13, 2025</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(T+2):</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January 15, 2025</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15, 2035</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$1,000,000,000</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UST 4.25% due November 15, 2034</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4.782%</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+120 bps</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5.982%</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5.950%</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99.761%</w:t>
            </w: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(after deducting the</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$988.1 million</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estimated</w:t>
            </w:r>
          </w:p>
        </w:tc>
        <w:tc>
          <w:tcPr>
            <w:tcW w:w="84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8400" w:type="dxa"/>
            <w:vAlign w:val="bottom"/>
          </w:tcPr>
          <w:p>
            <w:pPr>
              <w:spacing w:after="0"/>
              <w:rPr>
                <w:sz w:val="20"/>
                <w:szCs w:val="20"/>
                <w:color w:val="auto"/>
              </w:rPr>
            </w:pP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+20 bps</w:t>
            </w: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8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 or after March 15, 2035</w:t>
            </w:r>
          </w:p>
        </w:tc>
      </w:tr>
      <w:tr>
        <w:trPr>
          <w:trHeight w:val="459"/>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15 and December 15, beginning on June 15, 2025</w:t>
      </w:r>
    </w:p>
    <w:p>
      <w:pPr>
        <w:spacing w:after="0" w:line="200" w:lineRule="exact"/>
        <w:rPr>
          <w:sz w:val="20"/>
          <w:szCs w:val="20"/>
          <w:color w:val="auto"/>
        </w:rPr>
      </w:pPr>
    </w:p>
    <w:p>
      <w:pPr>
        <w:sectPr>
          <w:pgSz w:w="11900" w:h="16838" w:orient="portrait"/>
          <w:cols w:equalWidth="0" w:num="2">
            <w:col w:w="2320" w:space="720"/>
            <w:col w:w="8200"/>
          </w:cols>
          <w:pgMar w:left="320" w:top="931"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72650RBQ4 / US72650RBQ48</w:t>
      </w:r>
    </w:p>
    <w:p>
      <w:pPr>
        <w:spacing w:after="0" w:line="211" w:lineRule="exact"/>
        <w:rPr>
          <w:sz w:val="20"/>
          <w:szCs w:val="20"/>
          <w:color w:val="auto"/>
        </w:rPr>
      </w:pPr>
    </w:p>
    <w:p>
      <w:pPr>
        <w:sectPr>
          <w:pgSz w:w="11900" w:h="16838" w:orient="portrait"/>
          <w:cols w:equalWidth="0" w:num="2">
            <w:col w:w="2320" w:space="720"/>
            <w:col w:w="8200"/>
          </w:cols>
          <w:pgMar w:left="320" w:top="93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0" w:lineRule="exact"/>
        <w:rPr>
          <w:sz w:val="20"/>
          <w:szCs w:val="20"/>
          <w:color w:val="auto"/>
        </w:rPr>
      </w:pPr>
    </w:p>
    <w:p>
      <w:pPr>
        <w:sectPr>
          <w:pgSz w:w="11900" w:h="16838" w:orient="portrait"/>
          <w:cols w:equalWidth="0" w:num="2">
            <w:col w:w="2320" w:space="720"/>
            <w:col w:w="8200"/>
          </w:cols>
          <w:pgMar w:left="320" w:top="931"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Zions Direct, Inc.</w:t>
      </w:r>
    </w:p>
    <w:p>
      <w:pPr>
        <w:spacing w:after="0" w:line="200" w:lineRule="exact"/>
        <w:rPr>
          <w:sz w:val="20"/>
          <w:szCs w:val="20"/>
          <w:color w:val="auto"/>
        </w:rPr>
      </w:pPr>
    </w:p>
    <w:p>
      <w:pPr>
        <w:sectPr>
          <w:pgSz w:w="11900" w:h="16838" w:orient="portrait"/>
          <w:cols w:equalWidth="0" w:num="2">
            <w:col w:w="2320" w:space="720"/>
            <w:col w:w="8200"/>
          </w:cols>
          <w:pgMar w:left="320" w:top="931" w:right="339" w:bottom="1440" w:gutter="0" w:footer="0" w:header="0"/>
          <w:type w:val="continuous"/>
        </w:sectPr>
      </w:pPr>
    </w:p>
    <w:p>
      <w:pPr>
        <w:spacing w:after="0" w:line="7"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Delivery of the notes is expected to be made against payment therefor on or about January 15, 2025, which is the second business day following the date of pricing of the notes (such settlement being referred to as “T+2”).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T+2, to specify an alternate settlement cycle at the time of any such trade to prevent failed settlement and should consult their own advisors.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collect at 212-834-4533, BMO Capital Markets Corp. toll-free at 1-866-864-7760, Mizuho Securities USA LLC toll-free at 1-866-271-7403 or Scotia Capital (USA) Inc. toll-free at 1-800-372-3930.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for retail investors in the European Economic Area (“EEA”) or the United Kingdom. No key information document (KID) as required by Regulation (EU) No 1286/2014 (as amended, the “PRIIPs Regulation”) or as required by the PRIIPs Regulation as it forms part of domestic UK law by virtue of the European Union (Withdrawal) Act 2018, as amended, has been prepared as not available to retail investors in the EEA or the United Kingdom,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2025-01-13T15:16:19Z</dcterms:created>
  <dcterms:modified xsi:type="dcterms:W3CDTF">2025-01-13T15:16:19Z</dcterms:modified>
</cp:coreProperties>
</file>