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color w:val="auto"/>
        </w:rPr>
        <w:t>SCHEDULE 13G*</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(Rule 13d-102)</w:t>
      </w: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INFORMATION TO BE INCLUDED</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RULES 13d-1(b), (c), AND</w:t>
      </w:r>
    </w:p>
    <w:p>
      <w:pPr>
        <w:spacing w:after="0" w:line="9" w:lineRule="exact"/>
        <w:rPr>
          <w:sz w:val="24"/>
          <w:szCs w:val="24"/>
          <w:color w:val="auto"/>
        </w:rPr>
      </w:pPr>
    </w:p>
    <w:p>
      <w:pPr>
        <w:jc w:val="both"/>
        <w:ind w:left="4240" w:right="4160" w:hanging="26"/>
        <w:spacing w:after="0" w:line="250" w:lineRule="auto"/>
        <w:tabs>
          <w:tab w:leader="none" w:pos="44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AMENDMENTS THERETO FILED PURSUANT TO RULE 13d-2</w:t>
      </w:r>
    </w:p>
    <w:p>
      <w:pPr>
        <w:ind w:left="4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SIX )*</w:t>
      </w:r>
    </w:p>
    <w:p>
      <w:pPr>
        <w:spacing w:after="0" w:line="1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Shares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color w:val="auto"/>
        </w:rPr>
        <w:t>7261A207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20" w:firstLine="8"/>
        <w:spacing w:after="0" w:line="232" w:lineRule="exact"/>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171"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Tortoise Capital Advisors,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right w:val="single" w:sz="8" w:color="auto"/>
            </w:tcBorders>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(b)[x]</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11,365,555 (See Item 4)</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11,538,084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11,538,084 (See Item 4)</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6"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333 Clay Street, Suite 1600, Houston, TX 77002</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Tortoise Capital Advisors, L.L.C.</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00" w:lineRule="exact"/>
        <w:rPr>
          <w:sz w:val="20"/>
          <w:szCs w:val="20"/>
          <w:color w:val="auto"/>
        </w:rPr>
      </w:pPr>
    </w:p>
    <w:p>
      <w:pPr>
        <w:spacing w:after="0" w:line="245"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The principal business address of TCA is 6363 College Boulevard, Suite 100A, Overland Park,, Kansas 66211</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TCA is a Delaware limited liability company</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Class A Shares Representing Limited Partner Interests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Sections 240.13d-1(b) or</w:t>
      </w:r>
    </w:p>
    <w:p>
      <w:pPr>
        <w:spacing w:after="0" w:line="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240.13d-2(b) or (c), Check Whether the Person Filing Is a(n):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TCA is an investment adviser in accordance with Rule 13d-1(b)(1)(ii)(E)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TCA acts as an investment adviser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adviser to certain managed accounts. Under contractual agreements with these managed account clients, TCA, with respect to the securities held in these client accounts, has investment and voting power with respect to certain of these client accounts, and has investment power but no voting power with respect to certain other of these client accounts. TCA has reported that it shares voting and/or investment power over the securities held by these client managed accounts despite a delegation of voting and/or investment power to TCA because the clients have the right to acquire investment and voting power through termination of their agreements with TCA. TCA may be deemed the beneficial owner of the securities covered by this statement under Rule 13d-3 of the Act.</w:t>
      </w:r>
    </w:p>
    <w:p>
      <w:pPr>
        <w:spacing w:after="0" w:line="194" w:lineRule="exact"/>
        <w:rPr>
          <w:sz w:val="20"/>
          <w:szCs w:val="20"/>
          <w:color w:val="auto"/>
        </w:rPr>
      </w:pPr>
    </w:p>
    <w:p>
      <w:pPr>
        <w:ind w:left="1300" w:right="782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11,538,084</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w:t>
      </w:r>
    </w:p>
    <w:p>
      <w:pPr>
        <w:spacing w:after="0" w:line="20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620" w:right="6700" w:hanging="316"/>
        <w:spacing w:after="0" w:line="282"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161" w:lineRule="exact"/>
        <w:rPr>
          <w:rFonts w:ascii="Times New Roman" w:cs="Times New Roman" w:eastAsia="Times New Roman" w:hAnsi="Times New Roman"/>
          <w:sz w:val="18"/>
          <w:szCs w:val="18"/>
          <w:color w:val="auto"/>
        </w:rPr>
      </w:pPr>
    </w:p>
    <w:p>
      <w:pPr>
        <w:ind w:left="1620" w:right="6520" w:hanging="316"/>
        <w:spacing w:after="0" w:line="282"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11,365,555</w:t>
      </w:r>
    </w:p>
    <w:p>
      <w:pPr>
        <w:spacing w:after="0" w:line="161" w:lineRule="exact"/>
        <w:rPr>
          <w:rFonts w:ascii="Times New Roman" w:cs="Times New Roman" w:eastAsia="Times New Roman" w:hAnsi="Times New Roman"/>
          <w:sz w:val="18"/>
          <w:szCs w:val="18"/>
          <w:color w:val="auto"/>
        </w:rPr>
      </w:pPr>
    </w:p>
    <w:p>
      <w:pPr>
        <w:ind w:left="1620" w:right="5780" w:hanging="316"/>
        <w:spacing w:after="0" w:line="282"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161" w:lineRule="exact"/>
        <w:rPr>
          <w:rFonts w:ascii="Times New Roman" w:cs="Times New Roman" w:eastAsia="Times New Roman" w:hAnsi="Times New Roman"/>
          <w:sz w:val="18"/>
          <w:szCs w:val="18"/>
          <w:color w:val="auto"/>
        </w:rPr>
      </w:pPr>
    </w:p>
    <w:p>
      <w:pPr>
        <w:ind w:left="1620" w:right="5600" w:hanging="316"/>
        <w:spacing w:after="0" w:line="282" w:lineRule="auto"/>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11,538,084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line="312" w:lineRule="auto"/>
        <w:rPr>
          <w:sz w:val="20"/>
          <w:szCs w:val="20"/>
          <w:color w:val="auto"/>
        </w:rPr>
      </w:pPr>
      <w:r>
        <w:rPr>
          <w:rFonts w:ascii="Times New Roman" w:cs="Times New Roman" w:eastAsia="Times New Roman" w:hAnsi="Times New Roman"/>
          <w:sz w:val="17"/>
          <w:szCs w:val="17"/>
          <w:color w:val="auto"/>
        </w:rPr>
        <w:t>The investment companies and the managed accounts discussed in Item 4 above have the right to receive all dividends from, and the proceeds from the sale securities held in their respective accounts. The interest of any one such person does not exceed 5% of the class of securities.</w:t>
      </w:r>
    </w:p>
    <w:p>
      <w:pPr>
        <w:spacing w:after="0" w:line="13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right="80" w:firstLine="97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09,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Diane Bono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Director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612140</wp:posOffset>
            </wp:positionV>
            <wp:extent cx="713613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sectPr>
      <w:pgSz w:w="11900" w:h="16838" w:orient="portrait"/>
      <w:cols w:equalWidth="0" w:num="1">
        <w:col w:w="11140"/>
      </w:cols>
      <w:pgMar w:left="32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4"/>
    </w:lvl>
  </w:abstractNum>
  <w:abstractNum w:abstractNumId="1">
    <w:nsid w:val="74B0DC51"/>
    <w:multiLevelType w:val="hybridMultilevel"/>
    <w:lvl w:ilvl="0">
      <w:lvlJc w:val="left"/>
      <w:lvlText w:val="[%1]"/>
      <w:numFmt w:val="lowerRoman"/>
      <w:start w:val="10"/>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2024-02-09T10:33:07Z</dcterms:created>
  <dcterms:modified xsi:type="dcterms:W3CDTF">2024-02-09T10:33:07Z</dcterms:modified>
</cp:coreProperties>
</file>