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24,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Plains All American Pipeline, L.P.</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760" w:type="dxa"/>
        <w:tblCellMar>
          <w:top w:w="0" w:type="dxa"/>
          <w:left w:w="0" w:type="dxa"/>
          <w:bottom w:w="0" w:type="dxa"/>
          <w:right w:w="0" w:type="dxa"/>
        </w:tblCellMar>
      </w:tblPr>
      <w:tr>
        <w:trPr>
          <w:trHeight w:val="214"/>
        </w:trPr>
        <w:tc>
          <w:tcPr>
            <w:tcW w:w="3520" w:type="dxa"/>
            <w:vAlign w:val="bottom"/>
          </w:tcPr>
          <w:p>
            <w:pPr>
              <w:jc w:val="center"/>
              <w:ind w:right="10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60" w:type="dxa"/>
            <w:vAlign w:val="bottom"/>
          </w:tcPr>
          <w:p>
            <w:pPr>
              <w:jc w:val="center"/>
              <w:ind w:right="162"/>
              <w:spacing w:after="0"/>
              <w:rPr>
                <w:sz w:val="20"/>
                <w:szCs w:val="20"/>
                <w:color w:val="auto"/>
              </w:rPr>
            </w:pPr>
            <w:r>
              <w:rPr>
                <w:rFonts w:ascii="Times New Roman" w:cs="Times New Roman" w:eastAsia="Times New Roman" w:hAnsi="Times New Roman"/>
                <w:sz w:val="18"/>
                <w:szCs w:val="18"/>
                <w:b w:val="1"/>
                <w:bCs w:val="1"/>
                <w:color w:val="auto"/>
                <w:w w:val="99"/>
              </w:rPr>
              <w:t>1-14569</w:t>
            </w:r>
          </w:p>
        </w:tc>
        <w:tc>
          <w:tcPr>
            <w:tcW w:w="252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76-0582150</w:t>
            </w:r>
          </w:p>
        </w:tc>
      </w:tr>
      <w:tr>
        <w:trPr>
          <w:trHeight w:val="149"/>
        </w:trPr>
        <w:tc>
          <w:tcPr>
            <w:tcW w:w="3520" w:type="dxa"/>
            <w:vAlign w:val="bottom"/>
          </w:tcPr>
          <w:p>
            <w:pPr>
              <w:jc w:val="center"/>
              <w:ind w:right="10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360" w:type="dxa"/>
            <w:vAlign w:val="bottom"/>
          </w:tcPr>
          <w:p>
            <w:pPr>
              <w:jc w:val="center"/>
              <w:ind w:right="16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20" w:type="dxa"/>
            <w:vAlign w:val="bottom"/>
          </w:tcPr>
          <w:p>
            <w:pPr>
              <w:jc w:val="center"/>
              <w:ind w:right="1079"/>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336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20" w:type="dxa"/>
            <w:vAlign w:val="bottom"/>
          </w:tcPr>
          <w:p>
            <w:pPr>
              <w:jc w:val="center"/>
              <w:ind w:right="1059"/>
              <w:spacing w:after="0"/>
              <w:rPr>
                <w:sz w:val="20"/>
                <w:szCs w:val="20"/>
                <w:color w:val="auto"/>
              </w:rPr>
            </w:pPr>
            <w:r>
              <w:rPr>
                <w:rFonts w:ascii="Times New Roman" w:cs="Times New Roman" w:eastAsia="Times New Roman" w:hAnsi="Times New Roman"/>
                <w:sz w:val="18"/>
                <w:szCs w:val="18"/>
                <w:b w:val="1"/>
                <w:bCs w:val="1"/>
                <w:color w:val="auto"/>
                <w:w w:val="99"/>
              </w:rPr>
              <w:t>333 Clay Street, Suite 1600</w:t>
            </w:r>
          </w:p>
        </w:tc>
        <w:tc>
          <w:tcPr>
            <w:tcW w:w="33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7"/>
        </w:trPr>
        <w:tc>
          <w:tcPr>
            <w:tcW w:w="3520" w:type="dxa"/>
            <w:vAlign w:val="bottom"/>
          </w:tcPr>
          <w:p>
            <w:pPr>
              <w:jc w:val="center"/>
              <w:ind w:right="1059"/>
              <w:spacing w:after="0"/>
              <w:rPr>
                <w:sz w:val="20"/>
                <w:szCs w:val="20"/>
                <w:color w:val="auto"/>
              </w:rPr>
            </w:pPr>
            <w:r>
              <w:rPr>
                <w:rFonts w:ascii="Times New Roman" w:cs="Times New Roman" w:eastAsia="Times New Roman" w:hAnsi="Times New Roman"/>
                <w:sz w:val="18"/>
                <w:szCs w:val="18"/>
                <w:b w:val="1"/>
                <w:bCs w:val="1"/>
                <w:color w:val="auto"/>
                <w:w w:val="99"/>
              </w:rPr>
              <w:t>Houston, Texas</w:t>
            </w:r>
          </w:p>
        </w:tc>
        <w:tc>
          <w:tcPr>
            <w:tcW w:w="336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77002</w:t>
            </w:r>
          </w:p>
        </w:tc>
      </w:tr>
      <w:tr>
        <w:trPr>
          <w:trHeight w:val="190"/>
        </w:trPr>
        <w:tc>
          <w:tcPr>
            <w:tcW w:w="3520" w:type="dxa"/>
            <w:vAlign w:val="bottom"/>
          </w:tcPr>
          <w:p>
            <w:pPr>
              <w:jc w:val="center"/>
              <w:ind w:right="10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36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 646-4100</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251460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On August 24, 2015, Plains All American Pipeline, L.P. (the “Partnership”) and PAA Finance Corp. (together with the Partnership, the “Issuers”) completed the public offering of $1.0 billion aggregate principal amount of the Issuers’ 4.65% Senior Notes due 2025 (the “Notes”).</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terms of the Notes are governed by the indenture (the “Base Indenture,” and as amended and supplemented by the Supplemental Indenture (defined below), the “Indenture”) dated as of September 25, 2002 by and among the Issuers and U.S. Bank National Association, as trustee (the “Trustee”), as supplemented by the Twenty-Ninth Supplemental Indenture dated as of August 24, 2015 by and among the Issuers and the Trustee (the “Supplemental Indenture”).</w:t>
      </w:r>
    </w:p>
    <w:p>
      <w:pPr>
        <w:spacing w:after="0" w:line="180"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The Notes will mature on October 15, 2025. Interest is payable on the Notes on each April 15 and October 15, commencing on April 15, 2016. The Issuers may redeem some or all of the Notes at any time and from time to time prior to maturity at the redemption prices specified in the Indenture.</w:t>
      </w:r>
    </w:p>
    <w:p>
      <w:pPr>
        <w:spacing w:after="0" w:line="162"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The Notes are the Partnership’s senior unsecured obligations, will rank equally in right of payment with all of the Partnership’s existing and future senior debt, and will rank senior in right of payment to all of the Partnership’s future subordinated debt. The Notes will be effectively subordinated to all of the Partnership’s existing and future secured debt to the extent of the value of the collateral securing such indebtedness.</w:t>
      </w:r>
    </w:p>
    <w:p>
      <w:pPr>
        <w:spacing w:after="0" w:line="176"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In certain circumstances, the Indenture restricts the Partnership’s ability and the ability of certain of its subsidiaries to: (i) enter into sale and leaseback transactions; (ii) incur liens; (iii) merge or consolidate with another company; and (iv) transfer and sell assets. These covenants are subject to a number of important exceptions and qualifications.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Indenture contains customary events of default with respect to the Notes, including:</w:t>
      </w:r>
    </w:p>
    <w:p>
      <w:pPr>
        <w:spacing w:after="0" w:line="131" w:lineRule="exact"/>
        <w:rPr>
          <w:sz w:val="20"/>
          <w:szCs w:val="20"/>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any payment of interest on any Note of that series when due, continued for 60 days;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or premium, if any, on any Note of that series when due;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Partnership to comply with its obligations under the Indenture, in certain cases subject to notice and grace periods;</w:t>
      </w:r>
    </w:p>
    <w:p>
      <w:pPr>
        <w:spacing w:after="0" w:line="130" w:lineRule="exact"/>
        <w:rPr>
          <w:rFonts w:ascii="Times New Roman" w:cs="Times New Roman" w:eastAsia="Times New Roman" w:hAnsi="Times New Roman"/>
          <w:sz w:val="18"/>
          <w:szCs w:val="18"/>
          <w:color w:val="auto"/>
        </w:rPr>
      </w:pPr>
    </w:p>
    <w:p>
      <w:pPr>
        <w:ind w:left="900" w:right="200" w:hanging="325"/>
        <w:spacing w:after="0" w:line="282"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defaults and accelerations with respect to other indebtedness of the Partnership and its Subsidiaries (as defined in the Indenture) in the aggregate principal amount of $25.0 million or more;</w:t>
      </w:r>
    </w:p>
    <w:p>
      <w:pPr>
        <w:spacing w:after="0" w:line="67" w:lineRule="exact"/>
        <w:rPr>
          <w:rFonts w:ascii="Times New Roman" w:cs="Times New Roman" w:eastAsia="Times New Roman" w:hAnsi="Times New Roman"/>
          <w:sz w:val="18"/>
          <w:szCs w:val="18"/>
          <w:color w:val="auto"/>
        </w:rPr>
      </w:pPr>
    </w:p>
    <w:p>
      <w:pPr>
        <w:ind w:left="900" w:right="420" w:hanging="325"/>
        <w:spacing w:after="0" w:line="282"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of the Partnership or, if and so long as the Notes of that series are guaranteed by a subsidiary guarantor, by such subsidiary guarantor;</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so long as the Notes of that series are guaranteed by a subsidiary guarantor:</w:t>
      </w:r>
    </w:p>
    <w:p>
      <w:pPr>
        <w:spacing w:after="0" w:line="13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by such subsidiary guarantor ceases to be in full force and effect, except as otherwise provided in the Indenture;</w:t>
      </w:r>
    </w:p>
    <w:p>
      <w:pPr>
        <w:spacing w:after="0" w:line="13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by such subsidiary guarantor is declared null and void in a judicial proceeding; or</w:t>
      </w:r>
    </w:p>
    <w:p>
      <w:pPr>
        <w:spacing w:after="0" w:line="13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subsidiary guarantor denies or disaffirms its obligations under the Indenture or its guarantee.</w:t>
      </w:r>
    </w:p>
    <w:p>
      <w:pPr>
        <w:spacing w:after="0" w:line="225" w:lineRule="exact"/>
        <w:rPr>
          <w:sz w:val="20"/>
          <w:szCs w:val="20"/>
          <w:color w:val="auto"/>
        </w:rPr>
      </w:pPr>
    </w:p>
    <w:p>
      <w:pPr>
        <w:jc w:val="both"/>
        <w:ind w:right="340" w:firstLine="456"/>
        <w:spacing w:after="0" w:line="266" w:lineRule="auto"/>
        <w:rPr>
          <w:sz w:val="20"/>
          <w:szCs w:val="20"/>
          <w:color w:val="auto"/>
        </w:rPr>
      </w:pPr>
      <w:r>
        <w:rPr>
          <w:rFonts w:ascii="Times New Roman" w:cs="Times New Roman" w:eastAsia="Times New Roman" w:hAnsi="Times New Roman"/>
          <w:sz w:val="18"/>
          <w:szCs w:val="18"/>
          <w:color w:val="auto"/>
        </w:rPr>
        <w:t>If an event of default under the Indenture occurs and is continuing, the Trustee or the holders of at least 25% in principal amount of the outstanding Notes may declare the principal of, premium, if any, and accrued and unpaid interest, if any, on the Notes to be due and payable, or, in the case of certain events of default relating to bankruptcy, insolvency or reorganization, those amounts will automatically become immediately due and payable.</w:t>
      </w:r>
    </w:p>
    <w:p>
      <w:pPr>
        <w:spacing w:after="0" w:line="176" w:lineRule="exact"/>
        <w:rPr>
          <w:sz w:val="20"/>
          <w:szCs w:val="20"/>
          <w:color w:val="auto"/>
        </w:rPr>
      </w:pPr>
    </w:p>
    <w:p>
      <w:pPr>
        <w:jc w:val="both"/>
        <w:ind w:right="180" w:firstLine="456"/>
        <w:spacing w:after="0" w:line="261" w:lineRule="auto"/>
        <w:rPr>
          <w:sz w:val="20"/>
          <w:szCs w:val="20"/>
          <w:color w:val="auto"/>
        </w:rPr>
      </w:pPr>
      <w:r>
        <w:rPr>
          <w:rFonts w:ascii="Times New Roman" w:cs="Times New Roman" w:eastAsia="Times New Roman" w:hAnsi="Times New Roman"/>
          <w:sz w:val="18"/>
          <w:szCs w:val="18"/>
          <w:color w:val="auto"/>
        </w:rPr>
        <w:t>Other material terms of the Notes, the Base Indenture and the Supplemental Indenture are described in the prospectus supplement, dated August 17, 2015, as filed by the Partnership with the Commission on August 19, 2015. The foregoing descriptions of the Indenture and the Notes are qualified in their entirety by reference to such Indenture (including the form of Notes attached thereto). A copy of the Supplemental Indenture is filed herewith as Exhibit 4.1 and is incorporated herein by reference.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266"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 Financial Statements and Exhibits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20" w:type="dxa"/>
            <w:vAlign w:val="bottom"/>
          </w:tcPr>
          <w:p>
            <w:pPr>
              <w:spacing w:after="0"/>
              <w:rPr>
                <w:sz w:val="13"/>
                <w:szCs w:val="13"/>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4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2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6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w w:val="99"/>
              </w:rPr>
              <w:t>Twenty-Ninth Supplemental Indenture, dated August 24, 2015, by and among Plains All American Pipeline, L.P., PAA Finance Corp., and</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06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U.S. Bank National Association, as trustee.</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6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Form of 4.65% Senior Notes due 2025 (included in Exhibit 4.1).</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5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266" w:right="5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2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PAA GP LLC, its general 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PLAINS AAP, L.P., its sole member</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GP LLC, its general</w:t>
            </w:r>
          </w:p>
        </w:tc>
      </w:tr>
      <w:tr>
        <w:trPr>
          <w:trHeight w:val="234"/>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r>
      <w:tr>
        <w:trPr>
          <w:trHeight w:val="54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Richard McGee</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26, 2015</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66"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06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2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4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2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6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w w:val="99"/>
              </w:rPr>
              <w:t>Twenty-Ninth Supplemental Indenture, dated August 24, 2015, by and among Plains All American Pipeline, L.P., PAA Finance Corp., and</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06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U.S. Bank National Association, as trustee.</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6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Form of 4.65% Senior Notes due 2025 (included in Exhibit 4.1).</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5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7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140"/>
          </w:cols>
          <w:pgMar w:left="240" w:top="266" w:right="5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182880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226060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PLAINS ALL AMERICAN PIPELINE, L.P.</w:t>
      </w:r>
    </w:p>
    <w:p>
      <w:pPr>
        <w:spacing w:after="0" w:line="3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PAA FINANCE CORP.</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as Issuers</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$1,000,000,000</w:t>
      </w:r>
    </w:p>
    <w:p>
      <w:pPr>
        <w:spacing w:after="0" w:line="20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4.65% SENIOR NOTES DUE 2025</w:t>
      </w:r>
    </w:p>
    <w:p>
      <w:pPr>
        <w:spacing w:after="0" w:line="22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TWENTY-NINTH</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SUPPLEMENTAL</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Dated as of August 24, 2015</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2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168910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211455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17"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1220" w:type="dxa"/>
            <w:vAlign w:val="bottom"/>
          </w:tcPr>
          <w:p>
            <w:pPr>
              <w:spacing w:after="0"/>
              <w:rPr>
                <w:sz w:val="17"/>
                <w:szCs w:val="17"/>
                <w:color w:val="auto"/>
              </w:rPr>
            </w:pPr>
          </w:p>
        </w:tc>
      </w:tr>
      <w:tr>
        <w:trPr>
          <w:trHeight w:val="461"/>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ARTICLE I</w:t>
            </w:r>
          </w:p>
        </w:tc>
        <w:tc>
          <w:tcPr>
            <w:tcW w:w="350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34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1.01</w:t>
            </w: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Establishment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 DEFINITIONS AND INCORPORATION BY REFERENCE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2.01</w:t>
            </w: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Definitions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2.02</w:t>
            </w: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Other Definitions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14"/>
        </w:trPr>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III THE NOTES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3.01</w:t>
            </w: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Form</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3.02</w:t>
            </w: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Issuance of Additional Notes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3.03</w:t>
            </w: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Global Security Legend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14"/>
        </w:trPr>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IV REDEMPTION AND PREPAYMENT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4.01</w:t>
            </w: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Optional Redemption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14"/>
        </w:trPr>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 COVENANTS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5.01.</w:t>
            </w: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Compliance Certificate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5.02.</w:t>
            </w: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Limitations on Liens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5.03.</w:t>
            </w: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Restriction of Sale-leaseback Transactions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5.04.</w:t>
            </w: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 Reports; Financial Statements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5.05.</w:t>
            </w: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Subsidiary Guarantees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14"/>
        </w:trPr>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 SUCCESSORS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6.01.</w:t>
            </w: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Consolidation and Mergers of the Issuers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6.02.</w:t>
            </w: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Rights and Duties of Successor</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14"/>
        </w:trPr>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VII DEFAULTS AND REMEDIES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7.01.</w:t>
            </w: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Events of Default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14"/>
        </w:trPr>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VIII LEGAL DEFEASANCE AND COVENANT DEFEASANCE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8.01.</w:t>
            </w: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Option to Effect Legal Defeasance or Covenant Defeasance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8.02.</w:t>
            </w: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Legal Defeasance and Discharge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8.03.</w:t>
            </w: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Covenant Defeasance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8.04.</w:t>
            </w: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Conditions to Legal or Covenant Defeasance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8.05.</w:t>
            </w: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Deposited Money and U.S. Government Obligations to be Held in Trust; Other Miscellaneous Provisions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8.06.</w:t>
            </w: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Repayment to Issuers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8.07.</w:t>
            </w: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Reinstatement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14"/>
        </w:trPr>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IX SUBSIDIARY GUARANTEES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9.01.</w:t>
            </w: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Subsidiary Guarantees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9.02.</w:t>
            </w: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Limitation on Liability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9.03.</w:t>
            </w: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Successors and Assigns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9.04.</w:t>
            </w: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No Waiver</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8"/>
          <w:szCs w:val="18"/>
          <w:color w:val="auto"/>
        </w:rPr>
        <w:t>- i -</w:t>
      </w:r>
    </w:p>
    <w:p>
      <w:pPr>
        <w:sectPr>
          <w:pgSz w:w="11900" w:h="16838" w:orient="portrait"/>
          <w:cols w:equalWidth="0" w:num="1">
            <w:col w:w="11320"/>
          </w:cols>
          <w:pgMar w:left="240" w:top="25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9.05.</w:t>
            </w:r>
          </w:p>
        </w:tc>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Modification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9.06.</w:t>
            </w:r>
          </w:p>
        </w:tc>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Execution of Supplemental Indenture for Future Subsidiary Guarantors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9.07.</w:t>
            </w:r>
          </w:p>
        </w:tc>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Release of Guarantee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14"/>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MISCELLANEOUS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10.01.</w:t>
            </w:r>
          </w:p>
        </w:tc>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Amendments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10.02.</w:t>
            </w:r>
          </w:p>
        </w:tc>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Integral Part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10.03.</w:t>
            </w:r>
          </w:p>
        </w:tc>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Adoption, Ratification and Confirmation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10.04.</w:t>
            </w:r>
          </w:p>
        </w:tc>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Counterparts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10.05.</w:t>
            </w:r>
          </w:p>
        </w:tc>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Governing Law</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1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Note</w:t>
            </w:r>
          </w:p>
        </w:tc>
        <w:tc>
          <w:tcPr>
            <w:tcW w:w="2460" w:type="dxa"/>
            <w:vAlign w:val="bottom"/>
          </w:tcPr>
          <w:p>
            <w:pPr>
              <w:spacing w:after="0"/>
              <w:rPr>
                <w:sz w:val="24"/>
                <w:szCs w:val="24"/>
                <w:color w:val="auto"/>
              </w:rPr>
            </w:pP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Supplemental Indenture</w:t>
            </w:r>
          </w:p>
        </w:tc>
        <w:tc>
          <w:tcPr>
            <w:tcW w:w="2460" w:type="dxa"/>
            <w:vAlign w:val="bottom"/>
          </w:tcPr>
          <w:p>
            <w:pPr>
              <w:spacing w:after="0"/>
              <w:rPr>
                <w:sz w:val="20"/>
                <w:szCs w:val="20"/>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8"/>
          <w:szCs w:val="18"/>
          <w:color w:val="auto"/>
        </w:rPr>
        <w:t>- ii -</w:t>
      </w:r>
    </w:p>
    <w:p>
      <w:pPr>
        <w:sectPr>
          <w:pgSz w:w="11900" w:h="16838" w:orient="portrait"/>
          <w:cols w:equalWidth="0" w:num="1">
            <w:col w:w="11320"/>
          </w:cols>
          <w:pgMar w:left="240" w:top="270" w:right="339" w:bottom="1440" w:gutter="0" w:footer="0" w:header="0"/>
        </w:sectPr>
      </w:pPr>
    </w:p>
    <w:bookmarkStart w:id="8" w:name="page9"/>
    <w:bookmarkEnd w:id="8"/>
    <w:p>
      <w:pPr>
        <w:ind w:firstLine="91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TWENTY-NINTH SUPPLEMENTAL INDENTURE dated as of August 24, 2015 (this “Supplemental Indenture”) among PLAINS ALL AMERICAN PIPELINE, L.P., a Delaware limited partnership (the “Partnership”), PAA FINANCE CORP., a wholly owned subsidiary of the Partnership and a Delaware corporation (“PAA Finance” and, together with the Partnership, the “Issuers”), and U.S. BANK NATIONAL ASSOCIATION, as trustee (the “Trustee”).</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right="200" w:firstLine="913"/>
        <w:spacing w:after="0" w:line="282" w:lineRule="auto"/>
        <w:rPr>
          <w:sz w:val="20"/>
          <w:szCs w:val="20"/>
          <w:color w:val="auto"/>
        </w:rPr>
      </w:pPr>
      <w:r>
        <w:rPr>
          <w:rFonts w:ascii="Times New Roman" w:cs="Times New Roman" w:eastAsia="Times New Roman" w:hAnsi="Times New Roman"/>
          <w:sz w:val="18"/>
          <w:szCs w:val="18"/>
          <w:color w:val="auto"/>
        </w:rPr>
        <w:t>WHEREAS, the Issuers have heretofore entered into an Indenture, dated as of September 25, 2002 (the “Original Indenture”), with U.S. Bank National Association (successor to Wachovia Bank, National Association), as trustee;</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WHEREAS, the Original Indenture, as supplemented by this Supplemental Indenture, is herein called the “Indenture”;</w:t>
      </w:r>
    </w:p>
    <w:p>
      <w:pPr>
        <w:spacing w:after="0" w:line="225" w:lineRule="exact"/>
        <w:rPr>
          <w:sz w:val="20"/>
          <w:szCs w:val="20"/>
          <w:color w:val="auto"/>
        </w:rPr>
      </w:pPr>
    </w:p>
    <w:p>
      <w:pPr>
        <w:jc w:val="both"/>
        <w:ind w:right="420" w:firstLine="913"/>
        <w:spacing w:after="0" w:line="266" w:lineRule="auto"/>
        <w:rPr>
          <w:sz w:val="20"/>
          <w:szCs w:val="20"/>
          <w:color w:val="auto"/>
        </w:rPr>
      </w:pPr>
      <w:r>
        <w:rPr>
          <w:rFonts w:ascii="Times New Roman" w:cs="Times New Roman" w:eastAsia="Times New Roman" w:hAnsi="Times New Roman"/>
          <w:sz w:val="18"/>
          <w:szCs w:val="18"/>
          <w:color w:val="auto"/>
        </w:rPr>
        <w:t>WHEREAS, under the Original Indenture, a new series of Debt Securities may at any time be established by the Boards of Directors of the Managing General Partner and PAA Finance in accordance with the provisions of the Original Indenture and the form and terms of such series may be established by a supplemental indenture executed by the Issuers and the Trustee;</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WHEREAS, the Issuers propose to create under the Indenture a new series of Debt Securities;</w:t>
      </w:r>
    </w:p>
    <w:p>
      <w:pPr>
        <w:spacing w:after="0" w:line="225" w:lineRule="exact"/>
        <w:rPr>
          <w:sz w:val="20"/>
          <w:szCs w:val="20"/>
          <w:color w:val="auto"/>
        </w:rPr>
      </w:pPr>
    </w:p>
    <w:p>
      <w:pPr>
        <w:ind w:right="280" w:firstLine="913"/>
        <w:spacing w:after="0" w:line="282" w:lineRule="auto"/>
        <w:rPr>
          <w:sz w:val="20"/>
          <w:szCs w:val="20"/>
          <w:color w:val="auto"/>
        </w:rPr>
      </w:pPr>
      <w:r>
        <w:rPr>
          <w:rFonts w:ascii="Times New Roman" w:cs="Times New Roman" w:eastAsia="Times New Roman" w:hAnsi="Times New Roman"/>
          <w:sz w:val="18"/>
          <w:szCs w:val="18"/>
          <w:color w:val="auto"/>
        </w:rPr>
        <w:t>WHEREAS, additional Debt Securities of other series hereafter established, except as may be limited in the Original Indenture as at the time supplemented and modified, may be issued from time to time pursuant to the Original Indenture as at the time supplemented and modified; and</w:t>
      </w:r>
    </w:p>
    <w:p>
      <w:pPr>
        <w:spacing w:after="0" w:line="162" w:lineRule="exact"/>
        <w:rPr>
          <w:sz w:val="20"/>
          <w:szCs w:val="20"/>
          <w:color w:val="auto"/>
        </w:rPr>
      </w:pPr>
    </w:p>
    <w:p>
      <w:pPr>
        <w:ind w:right="120" w:firstLine="913"/>
        <w:spacing w:after="0" w:line="282" w:lineRule="auto"/>
        <w:rPr>
          <w:sz w:val="20"/>
          <w:szCs w:val="20"/>
          <w:color w:val="auto"/>
        </w:rPr>
      </w:pPr>
      <w:r>
        <w:rPr>
          <w:rFonts w:ascii="Times New Roman" w:cs="Times New Roman" w:eastAsia="Times New Roman" w:hAnsi="Times New Roman"/>
          <w:sz w:val="18"/>
          <w:szCs w:val="18"/>
          <w:color w:val="auto"/>
        </w:rPr>
        <w:t>WHEREAS, all conditions necessary to authorize the execution and delivery of this Supplemental Indenture and to make it a valid and binding obligation of the Issuers have been done or performed.</w:t>
      </w:r>
    </w:p>
    <w:p>
      <w:pPr>
        <w:spacing w:after="0" w:line="162" w:lineRule="exact"/>
        <w:rPr>
          <w:sz w:val="20"/>
          <w:szCs w:val="20"/>
          <w:color w:val="auto"/>
        </w:rPr>
      </w:pPr>
    </w:p>
    <w:p>
      <w:pPr>
        <w:ind w:right="360" w:firstLine="913"/>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agreements and obligations set forth herein and for other good and valuable consideration, the sufficiency of which is hereby acknowledged, the parties hereto hereby agree as follows:</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ind w:right="60" w:firstLine="913"/>
        <w:spacing w:after="0" w:line="28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Establishment.</w:t>
      </w:r>
      <w:r>
        <w:rPr>
          <w:rFonts w:ascii="Times New Roman" w:cs="Times New Roman" w:eastAsia="Times New Roman" w:hAnsi="Times New Roman"/>
          <w:sz w:val="18"/>
          <w:szCs w:val="18"/>
          <w:color w:val="auto"/>
        </w:rPr>
        <w:t xml:space="preserve"> There is hereby established a new series of Debt Securities to be issued under the Indenture, to be designated as the Issuers’ 4.65% Senior Notes due 2025 (the “Notes”). Initially, there will be no Subsidiary Guarantors for the Notes.</w:t>
      </w:r>
    </w:p>
    <w:p>
      <w:pPr>
        <w:spacing w:after="0" w:line="54" w:lineRule="exact"/>
        <w:rPr>
          <w:sz w:val="20"/>
          <w:szCs w:val="20"/>
          <w:color w:val="auto"/>
        </w:rPr>
      </w:pPr>
    </w:p>
    <w:p>
      <w:pPr>
        <w:ind w:right="280" w:firstLine="921"/>
        <w:spacing w:after="0" w:line="282" w:lineRule="auto"/>
        <w:tabs>
          <w:tab w:leader="none" w:pos="115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to be authenticated and delivered $1,000,000,000 principal amount of Notes on the Issue Date, and from time to time thereafter there may be authenticated and delivered an unlimited principal amount of Additional Notes.</w:t>
      </w:r>
    </w:p>
    <w:p>
      <w:pPr>
        <w:sectPr>
          <w:pgSz w:w="11900" w:h="16838" w:orient="portrait"/>
          <w:cols w:equalWidth="0" w:num="1">
            <w:col w:w="11340"/>
          </w:cols>
          <w:pgMar w:left="240" w:top="270" w:right="319" w:bottom="1440" w:gutter="0" w:footer="0" w:header="0"/>
        </w:sectPr>
      </w:pPr>
    </w:p>
    <w:bookmarkStart w:id="9" w:name="page10"/>
    <w:bookmarkEnd w:id="9"/>
    <w:p>
      <w:pPr>
        <w:ind w:right="400" w:firstLine="921"/>
        <w:spacing w:after="0" w:line="282" w:lineRule="auto"/>
        <w:tabs>
          <w:tab w:leader="none" w:pos="11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Notes shall be issued initially in the form of one or more Global Securities in substantially the form set out in Exhibit A hereto. The Depositary with respect to the Notes shall be The Depository Trust Company.</w:t>
      </w:r>
    </w:p>
    <w:p>
      <w:pPr>
        <w:spacing w:after="0" w:line="53" w:lineRule="exact"/>
        <w:rPr>
          <w:rFonts w:ascii="Times New Roman" w:cs="Times New Roman" w:eastAsia="Times New Roman" w:hAnsi="Times New Roman"/>
          <w:sz w:val="18"/>
          <w:szCs w:val="18"/>
          <w:color w:val="auto"/>
        </w:rPr>
      </w:pPr>
    </w:p>
    <w:p>
      <w:pPr>
        <w:ind w:right="120" w:firstLine="921"/>
        <w:spacing w:after="0" w:line="282" w:lineRule="auto"/>
        <w:tabs>
          <w:tab w:leader="none" w:pos="115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Note shall be dated the date of authentication thereof and shall bear interest from the date of original issuance thereof or from the most recent date to which interest has been paid or duly provided for.</w:t>
      </w:r>
    </w:p>
    <w:p>
      <w:pPr>
        <w:spacing w:after="0" w:line="53" w:lineRule="exact"/>
        <w:rPr>
          <w:rFonts w:ascii="Times New Roman" w:cs="Times New Roman" w:eastAsia="Times New Roman" w:hAnsi="Times New Roman"/>
          <w:sz w:val="18"/>
          <w:szCs w:val="18"/>
          <w:color w:val="auto"/>
        </w:rPr>
      </w:pPr>
    </w:p>
    <w:p>
      <w:pPr>
        <w:ind w:right="940" w:firstLine="921"/>
        <w:spacing w:after="0" w:line="282" w:lineRule="auto"/>
        <w:tabs>
          <w:tab w:leader="none" w:pos="11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provisions of the Original Indenture are duplicative of, or in contradiction with, the provisions of this Supplemental Indenture, the provisions of this Supplemental Indenture shall govern.</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DEFINITIONS AND INCORPORATION BY REFERENCE</w:t>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All capitalized terms used herein and not otherwise defined below shall have the meanings ascribed thereto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Indenture. The following are additional definitions used in this Supplemental Indenture:</w:t>
      </w:r>
    </w:p>
    <w:p>
      <w:pPr>
        <w:spacing w:after="0" w:line="207" w:lineRule="exact"/>
        <w:rPr>
          <w:sz w:val="20"/>
          <w:szCs w:val="20"/>
          <w:color w:val="auto"/>
        </w:rPr>
      </w:pPr>
    </w:p>
    <w:p>
      <w:pPr>
        <w:ind w:right="80" w:firstLine="913"/>
        <w:spacing w:after="0" w:line="261" w:lineRule="auto"/>
        <w:rPr>
          <w:sz w:val="20"/>
          <w:szCs w:val="20"/>
          <w:color w:val="auto"/>
        </w:rPr>
      </w:pPr>
      <w:r>
        <w:rPr>
          <w:rFonts w:ascii="Times New Roman" w:cs="Times New Roman" w:eastAsia="Times New Roman" w:hAnsi="Times New Roman"/>
          <w:sz w:val="18"/>
          <w:szCs w:val="18"/>
          <w:color w:val="auto"/>
        </w:rPr>
        <w:t>“Affiliate”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and the terms “controlling,” “controlled by” and “under common control with” shall have correlative meanings.</w:t>
      </w:r>
    </w:p>
    <w:p>
      <w:pPr>
        <w:spacing w:after="0" w:line="180" w:lineRule="exact"/>
        <w:rPr>
          <w:sz w:val="20"/>
          <w:szCs w:val="20"/>
          <w:color w:val="auto"/>
        </w:rPr>
      </w:pPr>
    </w:p>
    <w:p>
      <w:pPr>
        <w:ind w:right="40" w:firstLine="913"/>
        <w:spacing w:after="0" w:line="255" w:lineRule="auto"/>
        <w:rPr>
          <w:sz w:val="20"/>
          <w:szCs w:val="20"/>
          <w:color w:val="auto"/>
        </w:rPr>
      </w:pPr>
      <w:r>
        <w:rPr>
          <w:rFonts w:ascii="Times New Roman" w:cs="Times New Roman" w:eastAsia="Times New Roman" w:hAnsi="Times New Roman"/>
          <w:sz w:val="18"/>
          <w:szCs w:val="18"/>
          <w:color w:val="auto"/>
        </w:rPr>
        <w:t>“Attributable Indebtedness,”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w:t>
      </w:r>
    </w:p>
    <w:p>
      <w:pPr>
        <w:spacing w:after="0" w:line="185" w:lineRule="exact"/>
        <w:rPr>
          <w:sz w:val="20"/>
          <w:szCs w:val="20"/>
          <w:color w:val="auto"/>
        </w:rPr>
      </w:pPr>
    </w:p>
    <w:p>
      <w:pPr>
        <w:ind w:firstLine="913"/>
        <w:spacing w:after="0" w:line="266" w:lineRule="auto"/>
        <w:rPr>
          <w:sz w:val="20"/>
          <w:szCs w:val="20"/>
          <w:color w:val="auto"/>
        </w:rPr>
      </w:pPr>
      <w:r>
        <w:rPr>
          <w:rFonts w:ascii="Times New Roman" w:cs="Times New Roman" w:eastAsia="Times New Roman" w:hAnsi="Times New Roman"/>
          <w:sz w:val="18"/>
          <w:szCs w:val="18"/>
          <w:color w:val="auto"/>
        </w:rPr>
        <w:t>“Capital Interests”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270" w:right="279" w:bottom="1440" w:gutter="0" w:footer="0" w:header="0"/>
        </w:sectPr>
      </w:pPr>
    </w:p>
    <w:bookmarkStart w:id="10" w:name="page11"/>
    <w:bookmarkEnd w:id="10"/>
    <w:p>
      <w:pPr>
        <w:ind w:right="140" w:firstLine="913"/>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Net Tangible Assets” means, at any date of determination, the total amount of assets after deducting therefrom: (1) all current liabilities (excluding (a) any current liabilities that by their terms are extendible or renewable at the option of the obligor thereon to a time more than 12 months after the time as of which the amount thereof is being computed; and (b) current maturities of long-term debt); and (2) the amount, net of any applicable reserves, of all goodwill, trade names, trademarks, patents and other like intangible assets, all as set forth on the consolidated balance sheet of the Partnership for its most recently completed fiscal quarter, prepared in accordance with GAAP.</w:t>
      </w:r>
    </w:p>
    <w:p>
      <w:pPr>
        <w:spacing w:after="0" w:line="184" w:lineRule="exact"/>
        <w:rPr>
          <w:sz w:val="20"/>
          <w:szCs w:val="20"/>
          <w:color w:val="auto"/>
        </w:rPr>
      </w:pPr>
    </w:p>
    <w:p>
      <w:pPr>
        <w:ind w:firstLine="913"/>
        <w:spacing w:after="0" w:line="282" w:lineRule="auto"/>
        <w:rPr>
          <w:sz w:val="20"/>
          <w:szCs w:val="20"/>
          <w:color w:val="auto"/>
        </w:rPr>
      </w:pPr>
      <w:r>
        <w:rPr>
          <w:rFonts w:ascii="Times New Roman" w:cs="Times New Roman" w:eastAsia="Times New Roman" w:hAnsi="Times New Roman"/>
          <w:sz w:val="18"/>
          <w:szCs w:val="18"/>
          <w:color w:val="auto"/>
        </w:rPr>
        <w:t>“Debt” means any obligation created or assumed by any Person for the repayment of money borrowed, any purchase money obligation created or assumed by such Person, and any guarantee of the foregoing.</w:t>
      </w:r>
    </w:p>
    <w:p>
      <w:pPr>
        <w:spacing w:after="0" w:line="162" w:lineRule="exact"/>
        <w:rPr>
          <w:sz w:val="20"/>
          <w:szCs w:val="20"/>
          <w:color w:val="auto"/>
        </w:rPr>
      </w:pPr>
    </w:p>
    <w:p>
      <w:pPr>
        <w:ind w:right="20" w:firstLine="913"/>
        <w:spacing w:after="0" w:line="261" w:lineRule="auto"/>
        <w:rPr>
          <w:sz w:val="20"/>
          <w:szCs w:val="20"/>
          <w:color w:val="auto"/>
        </w:rPr>
      </w:pPr>
      <w:r>
        <w:rPr>
          <w:rFonts w:ascii="Times New Roman" w:cs="Times New Roman" w:eastAsia="Times New Roman" w:hAnsi="Times New Roman"/>
          <w:sz w:val="18"/>
          <w:szCs w:val="18"/>
          <w:color w:val="auto"/>
        </w:rPr>
        <w:t>“Funded Debt”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w:t>
      </w:r>
    </w:p>
    <w:p>
      <w:pPr>
        <w:spacing w:after="0" w:line="180" w:lineRule="exact"/>
        <w:rPr>
          <w:sz w:val="20"/>
          <w:szCs w:val="20"/>
          <w:color w:val="auto"/>
        </w:rPr>
      </w:pPr>
    </w:p>
    <w:p>
      <w:pPr>
        <w:ind w:right="200" w:firstLine="913"/>
        <w:spacing w:after="0" w:line="282" w:lineRule="auto"/>
        <w:rPr>
          <w:sz w:val="20"/>
          <w:szCs w:val="20"/>
          <w:color w:val="auto"/>
        </w:rPr>
      </w:pPr>
      <w:r>
        <w:rPr>
          <w:rFonts w:ascii="Times New Roman" w:cs="Times New Roman" w:eastAsia="Times New Roman" w:hAnsi="Times New Roman"/>
          <w:sz w:val="18"/>
          <w:szCs w:val="18"/>
          <w:color w:val="auto"/>
        </w:rPr>
        <w:t>“Guarantee” means a guarantee of the Notes given by a Subsidiary Guarantor pursuant to the Indenture, including any future obligations under Article IX hereof.</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“General Partner” means PAA GP LLC, a Delaware limited liability company, and its successors and permitted assigns as general partner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Partnership.</w:t>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“Issue Date” means, with respect to the Notes, the date on which the Notes are initially issued.</w:t>
      </w:r>
    </w:p>
    <w:p>
      <w:pPr>
        <w:spacing w:after="0" w:line="225" w:lineRule="exact"/>
        <w:rPr>
          <w:sz w:val="20"/>
          <w:szCs w:val="20"/>
          <w:color w:val="auto"/>
        </w:rPr>
      </w:pPr>
    </w:p>
    <w:p>
      <w:pPr>
        <w:jc w:val="both"/>
        <w:ind w:right="340" w:firstLine="913"/>
        <w:spacing w:after="0" w:line="266" w:lineRule="auto"/>
        <w:rPr>
          <w:sz w:val="20"/>
          <w:szCs w:val="20"/>
          <w:color w:val="auto"/>
        </w:rPr>
      </w:pPr>
      <w:r>
        <w:rPr>
          <w:rFonts w:ascii="Times New Roman" w:cs="Times New Roman" w:eastAsia="Times New Roman" w:hAnsi="Times New Roman"/>
          <w:sz w:val="18"/>
          <w:szCs w:val="18"/>
          <w:color w:val="auto"/>
        </w:rPr>
        <w:t>“Managing General Partner” means (i) Plains All American GP LLC, a Delaware limited liability company, and its successors and permitted assigns as the general partner of the sole member of the General Partner or (ii) the business entity with the ultimate authority to manage the business and operations of the Partnership.</w:t>
      </w:r>
    </w:p>
    <w:p>
      <w:pPr>
        <w:spacing w:after="0" w:line="176" w:lineRule="exact"/>
        <w:rPr>
          <w:sz w:val="20"/>
          <w:szCs w:val="20"/>
          <w:color w:val="auto"/>
        </w:rPr>
      </w:pPr>
    </w:p>
    <w:p>
      <w:pPr>
        <w:ind w:right="100" w:firstLine="913"/>
        <w:spacing w:after="0" w:line="282" w:lineRule="auto"/>
        <w:rPr>
          <w:sz w:val="20"/>
          <w:szCs w:val="20"/>
          <w:color w:val="auto"/>
        </w:rPr>
      </w:pPr>
      <w:r>
        <w:rPr>
          <w:rFonts w:ascii="Times New Roman" w:cs="Times New Roman" w:eastAsia="Times New Roman" w:hAnsi="Times New Roman"/>
          <w:sz w:val="18"/>
          <w:szCs w:val="18"/>
          <w:color w:val="auto"/>
        </w:rPr>
        <w:t>“Notes” has the meaning assigned to it in Section 1.01(a) hereof, and includes both the Notes issued on the Issue Date and any Additional Notes issued thereafter.</w:t>
      </w:r>
    </w:p>
    <w:p>
      <w:pPr>
        <w:spacing w:after="0" w:line="162" w:lineRule="exact"/>
        <w:rPr>
          <w:sz w:val="20"/>
          <w:szCs w:val="20"/>
          <w:color w:val="auto"/>
        </w:rPr>
      </w:pPr>
    </w:p>
    <w:p>
      <w:pPr>
        <w:ind w:right="20" w:firstLine="913"/>
        <w:spacing w:after="0" w:line="282" w:lineRule="auto"/>
        <w:rPr>
          <w:sz w:val="20"/>
          <w:szCs w:val="20"/>
          <w:color w:val="auto"/>
        </w:rPr>
      </w:pPr>
      <w:r>
        <w:rPr>
          <w:rFonts w:ascii="Times New Roman" w:cs="Times New Roman" w:eastAsia="Times New Roman" w:hAnsi="Times New Roman"/>
          <w:sz w:val="18"/>
          <w:szCs w:val="18"/>
          <w:color w:val="auto"/>
        </w:rPr>
        <w:t>“Obligations” means any principal, interest, liquidated damages, penalties, fees, indemnifications, reimbursement obligations, damages and other liabilities payable under the documentation governing any Debt.</w:t>
      </w:r>
    </w:p>
    <w:p>
      <w:pPr>
        <w:spacing w:after="0" w:line="162" w:lineRule="exact"/>
        <w:rPr>
          <w:sz w:val="20"/>
          <w:szCs w:val="20"/>
          <w:color w:val="auto"/>
        </w:rPr>
      </w:pPr>
    </w:p>
    <w:p>
      <w:pPr>
        <w:jc w:val="both"/>
        <w:ind w:right="440" w:firstLine="913"/>
        <w:spacing w:after="0" w:line="266" w:lineRule="auto"/>
        <w:rPr>
          <w:sz w:val="20"/>
          <w:szCs w:val="20"/>
          <w:color w:val="auto"/>
        </w:rPr>
      </w:pPr>
      <w:r>
        <w:rPr>
          <w:rFonts w:ascii="Times New Roman" w:cs="Times New Roman" w:eastAsia="Times New Roman" w:hAnsi="Times New Roman"/>
          <w:sz w:val="18"/>
          <w:szCs w:val="18"/>
          <w:color w:val="auto"/>
        </w:rPr>
        <w:t>“Pari Passu Debt” means any Funded Debt of either of the Issuers,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70" w:right="259" w:bottom="1440" w:gutter="0" w:footer="0" w:header="0"/>
        </w:sectPr>
      </w:pPr>
    </w:p>
    <w:bookmarkStart w:id="11" w:name="page12"/>
    <w:bookmarkEnd w:id="11"/>
    <w:p>
      <w:pPr>
        <w:ind w:right="200" w:firstLine="91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“Partnership Agreement” means the Fourth Amended and Restated Agreement of Limited Partnership of Plains All American Pipeline, L.P., dated as of May 17, 2012, as amended by Amendment No. 1 thereto dated as of October 1, 2012, Amendment No. 2 thereto dated as of December 31, 2013 and Amendment No. 3 thereto dated as of May 15, 2015, and as such may be otherwise amended, modified or supplemented from time to time.</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“Permitted Liens” means:</w:t>
      </w:r>
    </w:p>
    <w:p>
      <w:pPr>
        <w:spacing w:after="0" w:line="117" w:lineRule="exact"/>
        <w:rPr>
          <w:sz w:val="20"/>
          <w:szCs w:val="20"/>
          <w:color w:val="auto"/>
        </w:rPr>
      </w:pPr>
    </w:p>
    <w:p>
      <w:pPr>
        <w:ind w:left="1160" w:hanging="257"/>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upon rights-of-way for pipeline purposes;</w:t>
      </w:r>
    </w:p>
    <w:p>
      <w:pPr>
        <w:spacing w:after="0" w:line="117" w:lineRule="exact"/>
        <w:rPr>
          <w:rFonts w:ascii="Times New Roman" w:cs="Times New Roman" w:eastAsia="Times New Roman" w:hAnsi="Times New Roman"/>
          <w:sz w:val="18"/>
          <w:szCs w:val="18"/>
          <w:color w:val="auto"/>
        </w:rPr>
      </w:pPr>
    </w:p>
    <w:p>
      <w:pPr>
        <w:ind w:left="460" w:firstLine="443"/>
        <w:spacing w:after="0" w:line="266" w:lineRule="auto"/>
        <w:tabs>
          <w:tab w:leader="none" w:pos="115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w:t>
      </w:r>
    </w:p>
    <w:p>
      <w:pPr>
        <w:spacing w:after="0" w:line="68" w:lineRule="exact"/>
        <w:rPr>
          <w:rFonts w:ascii="Times New Roman" w:cs="Times New Roman" w:eastAsia="Times New Roman" w:hAnsi="Times New Roman"/>
          <w:sz w:val="18"/>
          <w:szCs w:val="18"/>
          <w:color w:val="auto"/>
        </w:rPr>
      </w:pPr>
    </w:p>
    <w:p>
      <w:pPr>
        <w:ind w:left="460" w:right="60" w:firstLine="443"/>
        <w:spacing w:after="0" w:line="282" w:lineRule="auto"/>
        <w:tabs>
          <w:tab w:leader="none" w:pos="115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reserved to, or vested in, any municipality or public authority by the terms of any right, power, franchise, grant, license, permit or by any provision of law, to purchase or recapture or to designate a purchaser of, any property;</w:t>
      </w:r>
    </w:p>
    <w:p>
      <w:pPr>
        <w:spacing w:after="0" w:line="53" w:lineRule="exact"/>
        <w:rPr>
          <w:rFonts w:ascii="Times New Roman" w:cs="Times New Roman" w:eastAsia="Times New Roman" w:hAnsi="Times New Roman"/>
          <w:sz w:val="18"/>
          <w:szCs w:val="18"/>
          <w:color w:val="auto"/>
        </w:rPr>
      </w:pPr>
    </w:p>
    <w:p>
      <w:pPr>
        <w:ind w:left="460" w:right="340" w:firstLine="443"/>
        <w:spacing w:after="0" w:line="282" w:lineRule="auto"/>
        <w:tabs>
          <w:tab w:leader="none" w:pos="115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taxes and assessments which are (A) for the then current year, (B) not at the time delinquent, or (C) delinquent but the validity of which is being contested at the time by an Issuer or any Restricted Subsidiary in good faith;</w:t>
      </w:r>
    </w:p>
    <w:p>
      <w:pPr>
        <w:spacing w:after="0" w:line="53"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or to secure performance of, leases, other than capital leases;</w:t>
      </w:r>
    </w:p>
    <w:p>
      <w:pPr>
        <w:spacing w:after="0" w:line="117" w:lineRule="exact"/>
        <w:rPr>
          <w:rFonts w:ascii="Times New Roman" w:cs="Times New Roman" w:eastAsia="Times New Roman" w:hAnsi="Times New Roman"/>
          <w:sz w:val="18"/>
          <w:szCs w:val="18"/>
          <w:color w:val="auto"/>
        </w:rPr>
      </w:pPr>
    </w:p>
    <w:p>
      <w:pPr>
        <w:ind w:left="460" w:right="280" w:firstLine="443"/>
        <w:spacing w:after="0" w:line="282" w:lineRule="auto"/>
        <w:tabs>
          <w:tab w:leader="none" w:pos="115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or deposits of, any assets in favor of any surety company or clerk of court for the purpose of obtaining indemnity or stay of judicial proceedings;</w:t>
      </w:r>
    </w:p>
    <w:p>
      <w:pPr>
        <w:spacing w:after="0" w:line="53" w:lineRule="exact"/>
        <w:rPr>
          <w:rFonts w:ascii="Times New Roman" w:cs="Times New Roman" w:eastAsia="Times New Roman" w:hAnsi="Times New Roman"/>
          <w:sz w:val="18"/>
          <w:szCs w:val="18"/>
          <w:color w:val="auto"/>
        </w:rPr>
      </w:pPr>
    </w:p>
    <w:p>
      <w:pPr>
        <w:ind w:left="460" w:right="240" w:firstLine="443"/>
        <w:spacing w:after="0" w:line="282" w:lineRule="auto"/>
        <w:tabs>
          <w:tab w:leader="none" w:pos="115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property or assets acquired or sold by an Issuer or any Restricted Subsidiary resulting from the exercise of any rights arising out of defaults on receivables;</w:t>
      </w:r>
    </w:p>
    <w:p>
      <w:pPr>
        <w:spacing w:after="0" w:line="53" w:lineRule="exact"/>
        <w:rPr>
          <w:rFonts w:ascii="Times New Roman" w:cs="Times New Roman" w:eastAsia="Times New Roman" w:hAnsi="Times New Roman"/>
          <w:sz w:val="18"/>
          <w:szCs w:val="18"/>
          <w:color w:val="auto"/>
        </w:rPr>
      </w:pPr>
    </w:p>
    <w:p>
      <w:pPr>
        <w:ind w:left="460" w:right="660" w:firstLine="443"/>
        <w:spacing w:after="0" w:line="282" w:lineRule="auto"/>
        <w:tabs>
          <w:tab w:leader="none" w:pos="115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incurred in the ordinary course of business in connection with worker’s compensation, unemployment insurance, temporary disability, social security, retiree health or similar laws or regulations or to secure obligations imposed by statute or governmental regulations;</w:t>
      </w:r>
    </w:p>
    <w:p>
      <w:pPr>
        <w:spacing w:after="0" w:line="53"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in favor of an Issuer or any Restricted Subsidiary;</w:t>
      </w:r>
    </w:p>
    <w:p>
      <w:pPr>
        <w:spacing w:after="0" w:line="117" w:lineRule="exact"/>
        <w:rPr>
          <w:rFonts w:ascii="Times New Roman" w:cs="Times New Roman" w:eastAsia="Times New Roman" w:hAnsi="Times New Roman"/>
          <w:sz w:val="18"/>
          <w:szCs w:val="18"/>
          <w:color w:val="auto"/>
        </w:rPr>
      </w:pPr>
    </w:p>
    <w:p>
      <w:pPr>
        <w:ind w:left="460" w:right="100" w:firstLine="443"/>
        <w:spacing w:after="0" w:line="261" w:lineRule="auto"/>
        <w:tabs>
          <w:tab w:leader="none" w:pos="12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an Issuer or any Restricted Subsidiary for the purpose of financing all or any part of the purchase price of, or the cost of constructing, developing, repairing or improving, the property or assets subject to such Lien;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0" w:right="239" w:bottom="1440" w:gutter="0" w:footer="0" w:header="0"/>
        </w:sectPr>
      </w:pPr>
    </w:p>
    <w:bookmarkStart w:id="12" w:name="page13"/>
    <w:bookmarkEnd w:id="12"/>
    <w:p>
      <w:pPr>
        <w:ind w:left="780" w:hanging="337"/>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Lien securing industrial development, pollution control or similar revenue bonds;</w:t>
      </w:r>
    </w:p>
    <w:p>
      <w:pPr>
        <w:spacing w:after="0" w:line="117" w:lineRule="exact"/>
        <w:rPr>
          <w:rFonts w:ascii="Times New Roman" w:cs="Times New Roman" w:eastAsia="Times New Roman" w:hAnsi="Times New Roman"/>
          <w:sz w:val="18"/>
          <w:szCs w:val="18"/>
          <w:color w:val="auto"/>
        </w:rPr>
      </w:pPr>
    </w:p>
    <w:p>
      <w:pPr>
        <w:ind w:right="40" w:firstLine="443"/>
        <w:spacing w:after="0" w:line="256" w:lineRule="auto"/>
        <w:tabs>
          <w:tab w:leader="none" w:pos="78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securing Debt of an Issuer or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(including the Notes) in connection with such refunding, refinancing or repurchase, and the required corresponding durations thereof), to refinance, refund or repurchase all Outstanding Debt Securities (including the Notes), including the amount of all accrued interest thereon and reasonable fees and expenses and premium, if any, incurred by the Issuers or any Restricted Subsidiary in connection therewith;</w:t>
      </w:r>
    </w:p>
    <w:p>
      <w:pPr>
        <w:spacing w:after="0" w:line="79" w:lineRule="exact"/>
        <w:rPr>
          <w:rFonts w:ascii="Times New Roman" w:cs="Times New Roman" w:eastAsia="Times New Roman" w:hAnsi="Times New Roman"/>
          <w:sz w:val="18"/>
          <w:szCs w:val="18"/>
          <w:color w:val="auto"/>
        </w:rPr>
      </w:pPr>
    </w:p>
    <w:p>
      <w:pPr>
        <w:ind w:right="120" w:firstLine="443"/>
        <w:spacing w:after="0" w:line="282" w:lineRule="auto"/>
        <w:tabs>
          <w:tab w:leader="none" w:pos="78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any Person to secure obligations under the provisions of any letters of credit, bank guarantees, bonds or surety obligations required or requested by any governmental authority in connection with any contract or statute;</w:t>
      </w:r>
    </w:p>
    <w:p>
      <w:pPr>
        <w:spacing w:after="0" w:line="53" w:lineRule="exact"/>
        <w:rPr>
          <w:rFonts w:ascii="Times New Roman" w:cs="Times New Roman" w:eastAsia="Times New Roman" w:hAnsi="Times New Roman"/>
          <w:sz w:val="18"/>
          <w:szCs w:val="18"/>
          <w:color w:val="auto"/>
        </w:rPr>
      </w:pPr>
    </w:p>
    <w:p>
      <w:pPr>
        <w:ind w:left="780" w:hanging="337"/>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or deposits of any assets to secure performance of bids, trade contracts, leases or statutory obligations;</w:t>
      </w:r>
    </w:p>
    <w:p>
      <w:pPr>
        <w:spacing w:after="0" w:line="117" w:lineRule="exact"/>
        <w:rPr>
          <w:rFonts w:ascii="Times New Roman" w:cs="Times New Roman" w:eastAsia="Times New Roman" w:hAnsi="Times New Roman"/>
          <w:sz w:val="18"/>
          <w:szCs w:val="18"/>
          <w:color w:val="auto"/>
        </w:rPr>
      </w:pPr>
    </w:p>
    <w:p>
      <w:pPr>
        <w:jc w:val="both"/>
        <w:ind w:right="60" w:firstLine="443"/>
        <w:spacing w:after="0" w:line="261" w:lineRule="auto"/>
        <w:tabs>
          <w:tab w:leader="none" w:pos="78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w:t>
      </w:r>
    </w:p>
    <w:p>
      <w:pPr>
        <w:spacing w:after="0" w:line="71" w:lineRule="exact"/>
        <w:rPr>
          <w:rFonts w:ascii="Times New Roman" w:cs="Times New Roman" w:eastAsia="Times New Roman" w:hAnsi="Times New Roman"/>
          <w:sz w:val="18"/>
          <w:szCs w:val="18"/>
          <w:color w:val="auto"/>
        </w:rPr>
      </w:pPr>
    </w:p>
    <w:p>
      <w:pPr>
        <w:ind w:right="360" w:firstLine="443"/>
        <w:spacing w:after="0" w:line="261" w:lineRule="auto"/>
        <w:tabs>
          <w:tab w:leader="none" w:pos="78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exceptions or reservations in any property of the Partnership or any of the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the Partnership and its Subsidiaries, taken as a whole;</w:t>
      </w:r>
    </w:p>
    <w:p>
      <w:pPr>
        <w:spacing w:after="0" w:line="71" w:lineRule="exact"/>
        <w:rPr>
          <w:rFonts w:ascii="Times New Roman" w:cs="Times New Roman" w:eastAsia="Times New Roman" w:hAnsi="Times New Roman"/>
          <w:sz w:val="18"/>
          <w:szCs w:val="18"/>
          <w:color w:val="auto"/>
        </w:rPr>
      </w:pPr>
    </w:p>
    <w:p>
      <w:pPr>
        <w:jc w:val="both"/>
        <w:ind w:firstLine="443"/>
        <w:spacing w:after="0" w:line="261" w:lineRule="auto"/>
        <w:tabs>
          <w:tab w:leader="none" w:pos="78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the Partnership’s or any Restricted Subsidiary’s business that are customary in the business of marketing, transportation and terminalling of crude oil and/or marketing of liquefied petroleum gas; or</w:t>
      </w:r>
    </w:p>
    <w:p>
      <w:pPr>
        <w:spacing w:after="0" w:line="11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700" w:top="270" w:right="259" w:bottom="1440" w:gutter="0" w:footer="0" w:header="0"/>
        </w:sectPr>
      </w:pPr>
    </w:p>
    <w:bookmarkStart w:id="13" w:name="page14"/>
    <w:bookmarkEnd w:id="13"/>
    <w:p>
      <w:pPr>
        <w:ind w:left="460" w:right="620" w:firstLine="443"/>
        <w:spacing w:after="0" w:line="282" w:lineRule="auto"/>
        <w:tabs>
          <w:tab w:leader="none" w:pos="12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obligations or duties to any municipality or public authority with respect to any lease, easement, right-of-way, license, franchise, privilege, permit or grant.</w:t>
      </w:r>
    </w:p>
    <w:p>
      <w:pPr>
        <w:spacing w:after="0" w:line="162" w:lineRule="exact"/>
        <w:rPr>
          <w:sz w:val="20"/>
          <w:szCs w:val="20"/>
          <w:color w:val="auto"/>
        </w:rPr>
      </w:pPr>
    </w:p>
    <w:p>
      <w:pPr>
        <w:ind w:right="80" w:firstLine="913"/>
        <w:spacing w:after="0" w:line="272" w:lineRule="auto"/>
        <w:rPr>
          <w:sz w:val="20"/>
          <w:szCs w:val="20"/>
          <w:color w:val="auto"/>
        </w:rPr>
      </w:pPr>
      <w:r>
        <w:rPr>
          <w:rFonts w:ascii="Times New Roman" w:cs="Times New Roman" w:eastAsia="Times New Roman" w:hAnsi="Times New Roman"/>
          <w:sz w:val="17"/>
          <w:szCs w:val="17"/>
          <w:color w:val="auto"/>
        </w:rPr>
        <w:t>“Principal Property” means, whether owned or leased on the Issue Date or thereafter acquired: (1) any of the pipeline assets of the Partnership or the pipeline assets of any Subsidiary of the Partnership, including any related facilities employed in the transportation, distribution, terminalling, gathering, treating, processing, marketing or storage of crude oil or refined petroleum products, natural gas, natural gas liquids, fuel additives or petrochemicals, and</w:t>
      </w:r>
    </w:p>
    <w:p>
      <w:pPr>
        <w:spacing w:after="0" w:line="2" w:lineRule="exact"/>
        <w:rPr>
          <w:sz w:val="20"/>
          <w:szCs w:val="20"/>
          <w:color w:val="auto"/>
        </w:rPr>
      </w:pPr>
    </w:p>
    <w:p>
      <w:pPr>
        <w:ind w:right="280" w:firstLine="8"/>
        <w:spacing w:after="0" w:line="254"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processing or manufacturing plant or terminal owned or leased by the Partnership or any Subsidiary of the Partnership; except, in the case of either clause (1) or (2),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the Partnership or the activities of the Partnership and its Subsidiaries, taken as a whole.</w:t>
      </w:r>
    </w:p>
    <w:p>
      <w:pPr>
        <w:spacing w:after="0" w:line="186" w:lineRule="exact"/>
        <w:rPr>
          <w:sz w:val="20"/>
          <w:szCs w:val="20"/>
          <w:color w:val="auto"/>
        </w:rPr>
      </w:pPr>
    </w:p>
    <w:p>
      <w:pPr>
        <w:ind w:right="780" w:firstLine="913"/>
        <w:spacing w:after="0" w:line="282" w:lineRule="auto"/>
        <w:rPr>
          <w:sz w:val="20"/>
          <w:szCs w:val="20"/>
          <w:color w:val="auto"/>
        </w:rPr>
      </w:pPr>
      <w:r>
        <w:rPr>
          <w:rFonts w:ascii="Times New Roman" w:cs="Times New Roman" w:eastAsia="Times New Roman" w:hAnsi="Times New Roman"/>
          <w:sz w:val="18"/>
          <w:szCs w:val="18"/>
          <w:color w:val="auto"/>
        </w:rPr>
        <w:t>“Restricted Subsidiary” means any Subsidiary of the Partnership owning or leasing, directly or indirectly through ownership in another Subsidiary, any Principal Property.</w:t>
      </w:r>
    </w:p>
    <w:p>
      <w:pPr>
        <w:spacing w:after="0" w:line="162" w:lineRule="exact"/>
        <w:rPr>
          <w:sz w:val="20"/>
          <w:szCs w:val="20"/>
          <w:color w:val="auto"/>
        </w:rPr>
      </w:pPr>
    </w:p>
    <w:p>
      <w:pPr>
        <w:ind w:right="20" w:firstLine="913"/>
        <w:spacing w:after="0" w:line="266" w:lineRule="auto"/>
        <w:rPr>
          <w:sz w:val="20"/>
          <w:szCs w:val="20"/>
          <w:color w:val="auto"/>
        </w:rPr>
      </w:pPr>
      <w:r>
        <w:rPr>
          <w:rFonts w:ascii="Times New Roman" w:cs="Times New Roman" w:eastAsia="Times New Roman" w:hAnsi="Times New Roman"/>
          <w:sz w:val="18"/>
          <w:szCs w:val="18"/>
          <w:color w:val="auto"/>
        </w:rPr>
        <w:t>“Sale-leaseback Transaction” means the sale or transfer by an Issuer or any Subsidiary of the Partnership of any Principal Property to a Person (other than an Issuer or a Subsidiary of the Partnership) and the taking back by an Issuer or any Subsidiary of the Partnership, as the case may be, of a lease of such Principal Property.</w:t>
      </w:r>
    </w:p>
    <w:p>
      <w:pPr>
        <w:spacing w:after="0" w:line="176" w:lineRule="exact"/>
        <w:rPr>
          <w:sz w:val="20"/>
          <w:szCs w:val="20"/>
          <w:color w:val="auto"/>
        </w:rPr>
      </w:pPr>
    </w:p>
    <w:p>
      <w:pPr>
        <w:jc w:val="both"/>
        <w:ind w:firstLine="913"/>
        <w:spacing w:after="0" w:line="257" w:lineRule="auto"/>
        <w:rPr>
          <w:sz w:val="20"/>
          <w:szCs w:val="20"/>
          <w:color w:val="auto"/>
        </w:rPr>
      </w:pPr>
      <w:r>
        <w:rPr>
          <w:rFonts w:ascii="Times New Roman" w:cs="Times New Roman" w:eastAsia="Times New Roman" w:hAnsi="Times New Roman"/>
          <w:sz w:val="18"/>
          <w:szCs w:val="18"/>
          <w:color w:val="auto"/>
        </w:rPr>
        <w:t>“Subsidiary” means, with respect to any Person: (1) 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w:t>
      </w:r>
    </w:p>
    <w:p>
      <w:pPr>
        <w:spacing w:after="0" w:line="2" w:lineRule="exact"/>
        <w:rPr>
          <w:sz w:val="20"/>
          <w:szCs w:val="20"/>
          <w:color w:val="auto"/>
        </w:rPr>
      </w:pPr>
    </w:p>
    <w:p>
      <w:pPr>
        <w:ind w:right="400" w:firstLine="8"/>
        <w:spacing w:after="0" w:line="261"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“Subsidiary Guarantors” means each of:</w:t>
      </w:r>
    </w:p>
    <w:p>
      <w:pPr>
        <w:spacing w:after="0" w:line="117" w:lineRule="exact"/>
        <w:rPr>
          <w:sz w:val="20"/>
          <w:szCs w:val="20"/>
          <w:color w:val="auto"/>
        </w:rPr>
      </w:pPr>
    </w:p>
    <w:p>
      <w:pPr>
        <w:ind w:left="1160" w:hanging="257"/>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that executes a supplemental Indenture to provide a Guarantee in accordance with the provisions of the Indenture; and</w:t>
      </w:r>
    </w:p>
    <w:p>
      <w:pPr>
        <w:spacing w:after="0" w:line="117"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respective successors and assigns.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270" w:right="239" w:bottom="1440" w:gutter="0" w:footer="0" w:header="0"/>
        </w:sectPr>
      </w:pPr>
    </w:p>
    <w:bookmarkStart w:id="14" w:name="page15"/>
    <w:bookmarkEnd w:id="14"/>
    <w:p>
      <w:pPr>
        <w:ind w:left="13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2.02 </w:t>
      </w:r>
      <w:r>
        <w:rPr>
          <w:rFonts w:ascii="Times New Roman" w:cs="Times New Roman" w:eastAsia="Times New Roman" w:hAnsi="Times New Roman"/>
          <w:sz w:val="18"/>
          <w:szCs w:val="18"/>
          <w:u w:val="single" w:color="auto"/>
          <w:color w:val="auto"/>
        </w:rPr>
        <w:t>Other Definitions.</w:t>
      </w:r>
    </w:p>
    <w:p>
      <w:pPr>
        <w:spacing w:after="0" w:line="23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880" w:type="dxa"/>
            <w:vAlign w:val="bottom"/>
          </w:tcPr>
          <w:p>
            <w:pPr>
              <w:spacing w:after="0"/>
              <w:rPr>
                <w:sz w:val="13"/>
                <w:szCs w:val="13"/>
                <w:color w:val="auto"/>
              </w:rPr>
            </w:pP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Defined in</w:t>
            </w:r>
          </w:p>
        </w:tc>
        <w:tc>
          <w:tcPr>
            <w:tcW w:w="0" w:type="dxa"/>
            <w:vAlign w:val="bottom"/>
          </w:tcPr>
          <w:p>
            <w:pPr>
              <w:spacing w:after="0"/>
              <w:rPr>
                <w:sz w:val="1"/>
                <w:szCs w:val="1"/>
                <w:color w:val="auto"/>
              </w:rPr>
            </w:pPr>
          </w:p>
        </w:tc>
      </w:tr>
      <w:tr>
        <w:trPr>
          <w:trHeight w:val="138"/>
        </w:trPr>
        <w:tc>
          <w:tcPr>
            <w:tcW w:w="1140" w:type="dxa"/>
            <w:vAlign w:val="bottom"/>
          </w:tcPr>
          <w:p>
            <w:pPr>
              <w:spacing w:after="0"/>
              <w:rPr>
                <w:sz w:val="11"/>
                <w:szCs w:val="11"/>
                <w:color w:val="auto"/>
              </w:rPr>
            </w:pPr>
          </w:p>
        </w:tc>
        <w:tc>
          <w:tcPr>
            <w:tcW w:w="360" w:type="dxa"/>
            <w:vAlign w:val="bottom"/>
            <w:tcBorders>
              <w:bottom w:val="single" w:sz="8" w:color="auto"/>
            </w:tcBorders>
            <w:vMerge w:val="continue"/>
          </w:tcPr>
          <w:p>
            <w:pPr>
              <w:spacing w:after="0"/>
              <w:rPr>
                <w:sz w:val="11"/>
                <w:szCs w:val="11"/>
                <w:color w:val="auto"/>
              </w:rPr>
            </w:pPr>
          </w:p>
        </w:tc>
        <w:tc>
          <w:tcPr>
            <w:tcW w:w="288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640" w:type="dxa"/>
            <w:vAlign w:val="bottom"/>
          </w:tcPr>
          <w:p>
            <w:pPr>
              <w:jc w:val="right"/>
              <w:ind w:right="19"/>
              <w:spacing w:after="0" w:line="127" w:lineRule="exact"/>
              <w:rPr>
                <w:sz w:val="20"/>
                <w:szCs w:val="20"/>
                <w:color w:val="auto"/>
              </w:rPr>
            </w:pPr>
            <w:r>
              <w:rPr>
                <w:rFonts w:ascii="Times New Roman" w:cs="Times New Roman" w:eastAsia="Times New Roman" w:hAnsi="Times New Roman"/>
                <w:sz w:val="14"/>
                <w:szCs w:val="14"/>
                <w:b w:val="1"/>
                <w:bCs w:val="1"/>
                <w:color w:val="auto"/>
              </w:rPr>
              <w:t>Section</w:t>
            </w:r>
          </w:p>
        </w:tc>
        <w:tc>
          <w:tcPr>
            <w:tcW w:w="0" w:type="dxa"/>
            <w:vAlign w:val="bottom"/>
          </w:tcPr>
          <w:p>
            <w:pPr>
              <w:spacing w:after="0"/>
              <w:rPr>
                <w:sz w:val="1"/>
                <w:szCs w:val="1"/>
                <w:color w:val="auto"/>
              </w:rPr>
            </w:pPr>
          </w:p>
        </w:tc>
      </w:tr>
      <w:tr>
        <w:trPr>
          <w:trHeight w:val="21"/>
        </w:trPr>
        <w:tc>
          <w:tcPr>
            <w:tcW w:w="43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“Additional Notes”</w:t>
            </w:r>
          </w:p>
        </w:tc>
        <w:tc>
          <w:tcPr>
            <w:tcW w:w="264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4380" w:type="dxa"/>
            <w:vAlign w:val="bottom"/>
            <w:gridSpan w:val="3"/>
            <w:vMerge w:val="continue"/>
          </w:tcPr>
          <w:p>
            <w:pPr>
              <w:spacing w:after="0"/>
              <w:rPr>
                <w:sz w:val="16"/>
                <w:szCs w:val="16"/>
                <w:color w:val="auto"/>
              </w:rPr>
            </w:pPr>
          </w:p>
        </w:tc>
        <w:tc>
          <w:tcPr>
            <w:tcW w:w="2640" w:type="dxa"/>
            <w:vAlign w:val="bottom"/>
            <w:vMerge w:val="continue"/>
          </w:tcPr>
          <w:p>
            <w:pPr>
              <w:spacing w:after="0"/>
              <w:rPr>
                <w:sz w:val="16"/>
                <w:szCs w:val="16"/>
                <w:color w:val="auto"/>
              </w:rPr>
            </w:pPr>
          </w:p>
        </w:tc>
        <w:tc>
          <w:tcPr>
            <w:tcW w:w="6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16"/>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“Covenant Defeasance”</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16"/>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“Event of Default”</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16"/>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“Legal Defeasance”</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16"/>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 Obligations”</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16"/>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“Payment Default”</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16"/>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“Required Filing Dates”</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34"/>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“Successor Company”</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THE NOTES</w:t>
      </w:r>
    </w:p>
    <w:p>
      <w:pPr>
        <w:spacing w:after="0" w:line="207" w:lineRule="exact"/>
        <w:rPr>
          <w:sz w:val="20"/>
          <w:szCs w:val="20"/>
          <w:color w:val="auto"/>
        </w:rPr>
      </w:pPr>
    </w:p>
    <w:p>
      <w:pPr>
        <w:ind w:right="80" w:firstLine="913"/>
        <w:spacing w:after="0" w:line="261"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Form.</w:t>
      </w:r>
      <w:r>
        <w:rPr>
          <w:rFonts w:ascii="Times New Roman" w:cs="Times New Roman" w:eastAsia="Times New Roman" w:hAnsi="Times New Roman"/>
          <w:sz w:val="18"/>
          <w:szCs w:val="18"/>
          <w:color w:val="auto"/>
        </w:rPr>
        <w:t xml:space="preserve"> The Notes shall be issued initially in the form of one or more Global Securities. The Notes and Trustee’s certificate of authentication shall be substantially in the form of Exhibit A hereto, the terms of which are incorporated in and made a part of this Supplemental Indenture, and the Issuers and the Trustee, by their execution and delivery of this Supplemental Indenture, expressly agree to such terms and provisions and to be bound thereby.</w:t>
      </w:r>
    </w:p>
    <w:p>
      <w:pPr>
        <w:spacing w:after="0" w:line="288"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Issuance of Additional Notes.</w:t>
      </w:r>
      <w:r>
        <w:rPr>
          <w:rFonts w:ascii="Times New Roman" w:cs="Times New Roman" w:eastAsia="Times New Roman" w:hAnsi="Times New Roman"/>
          <w:sz w:val="18"/>
          <w:szCs w:val="18"/>
          <w:color w:val="auto"/>
        </w:rPr>
        <w:t xml:space="preserve"> The Issuers may, from time to time, issue an unlimited amount of additional Notes (“Additional Notes”) under the Indenture, which shall be issued in the same form as the Notes issued on the Issue Date and which shall have identical terms as the Notes issued on the Issue Date other than with respect to the issue date, the date of first payment of interest, if applicable, and the payment of interest accruing prior to the issue date. The Notes issued on the Issue Date shall be limited in aggregate principal amount to $1,000,000,000. The Notes issued on the Issue Date and any Additional Notes subsequently issued shall be treated as a single series for all purposes under the Indenture, including waivers, amendments, redemptions and offers to purchase.</w:t>
      </w:r>
    </w:p>
    <w:p>
      <w:pPr>
        <w:spacing w:after="0" w:line="2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Global Security Legend.</w:t>
      </w:r>
      <w:r>
        <w:rPr>
          <w:rFonts w:ascii="Times New Roman" w:cs="Times New Roman" w:eastAsia="Times New Roman" w:hAnsi="Times New Roman"/>
          <w:sz w:val="18"/>
          <w:szCs w:val="18"/>
          <w:color w:val="auto"/>
        </w:rPr>
        <w:t xml:space="preserve"> Each of the Global Securities shall bear a legend in substantially the following form:</w:t>
      </w:r>
    </w:p>
    <w:p>
      <w:pPr>
        <w:spacing w:after="0" w:line="117" w:lineRule="exact"/>
        <w:rPr>
          <w:sz w:val="20"/>
          <w:szCs w:val="20"/>
          <w:color w:val="auto"/>
        </w:rPr>
      </w:pPr>
    </w:p>
    <w:p>
      <w:pPr>
        <w:ind w:right="20" w:firstLine="913"/>
        <w:spacing w:after="0" w:line="258" w:lineRule="auto"/>
        <w:rPr>
          <w:sz w:val="20"/>
          <w:szCs w:val="20"/>
          <w:color w:val="auto"/>
        </w:rPr>
      </w:pPr>
      <w:r>
        <w:rPr>
          <w:rFonts w:ascii="Times New Roman" w:cs="Times New Roman" w:eastAsia="Times New Roman" w:hAnsi="Times New Roman"/>
          <w:sz w:val="18"/>
          <w:szCs w:val="18"/>
          <w:color w:val="auto"/>
        </w:rPr>
        <w:t>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70" w:right="239" w:bottom="1440" w:gutter="0" w:footer="0" w:header="0"/>
        </w:sectPr>
      </w:pPr>
    </w:p>
    <w:bookmarkStart w:id="15" w:name="page16"/>
    <w:bookmarkEnd w:id="15"/>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DELIVERED TO THE TRUSTEE FOR CANCELLATION PURSUANT TO SECTION 2.10 OF THE ORIGINAL INDENTURE AND (D) THIS GLOBAL SECURITY MAY BE TRANSFERRED TO A SUCCESSOR DEPOSITARY OR ITS NOMINEE WITH THE PRIOR WRITTEN CONSENT OF THE ISSUERS.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REDEMPTION AND PREPAYMENT</w:t>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160" w:hanging="239"/>
        <w:spacing w:after="0"/>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their option at any time prior to maturity, the Issuers may choose to redeem all or any portion of the Notes, at once or from time to time.</w:t>
      </w:r>
    </w:p>
    <w:p>
      <w:pPr>
        <w:spacing w:after="0" w:line="117" w:lineRule="exact"/>
        <w:rPr>
          <w:rFonts w:ascii="Times New Roman" w:cs="Times New Roman" w:eastAsia="Times New Roman" w:hAnsi="Times New Roman"/>
          <w:sz w:val="18"/>
          <w:szCs w:val="18"/>
          <w:color w:val="auto"/>
        </w:rPr>
      </w:pPr>
    </w:p>
    <w:p>
      <w:pPr>
        <w:jc w:val="both"/>
        <w:ind w:right="480" w:firstLine="921"/>
        <w:spacing w:after="0" w:line="266" w:lineRule="auto"/>
        <w:tabs>
          <w:tab w:leader="none" w:pos="11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redeem the Notes, the Issuers must pay a redemption price in an amount determined in accordance with the provisions of paragraph number 5 of the form of Note in Exhibit A hereto, plus accrued and unpaid interest, if any, to the redemption date (subject to the right of Holders on the relevant record date to receive interest due on the relevant interest payment date).</w:t>
      </w:r>
    </w:p>
    <w:p>
      <w:pPr>
        <w:spacing w:after="0" w:line="68" w:lineRule="exact"/>
        <w:rPr>
          <w:rFonts w:ascii="Times New Roman" w:cs="Times New Roman" w:eastAsia="Times New Roman" w:hAnsi="Times New Roman"/>
          <w:sz w:val="18"/>
          <w:szCs w:val="18"/>
          <w:color w:val="auto"/>
        </w:rPr>
      </w:pPr>
    </w:p>
    <w:p>
      <w:pPr>
        <w:ind w:firstLine="921"/>
        <w:spacing w:after="0" w:line="266" w:lineRule="auto"/>
        <w:tabs>
          <w:tab w:leader="none" w:pos="115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pursuant to this Section 4.01 shall otherwise be made pursuant to the provisions of Sections 3.01 through 3.03 of the Original Indenture. The actual redemption price shall be set forth in an Officers’ Certificate delivered to the Trustee no later than two Business Days prior to each redemption date.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COVENANTS</w:t>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921"/>
        <w:spacing w:after="0" w:line="255" w:lineRule="auto"/>
        <w:tabs>
          <w:tab w:leader="none" w:pos="115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the Officers’ Certificate required by Section 4.05 of the Original Indenture, the Issuers and Subsidiary Guarantors shall deliver to the Trustee, within 90 days after the end of each fiscal year, an Officers’ Certificate stating that a review of the activities of the Partnership and its Subsidiaries during the preceding fiscal year has been made under the supervision of the signing Officers (one of whom shall be the principal executive, financial or accounting officer of each Issuer and Subsidiary Guarantor) with a view to determining whether the Issuers have kept, observed, performed and fulfilled their obligations under the Indenture, and further stating, as to each such person signing such certificate, that to the best of his or her knowledge the Issuers have kept, observed, performed and fulfilled each and every covenant contained in the Indenture and are not in default in the performance or observance of any of the terms, provisions and conditions of the Indenture (or, if a Default or Event of Default shall have occurred, describing all such Defaults or Events of Default of which he or she may have knowledge and what action the Issuers are taking or propose to take with respect thereto).</w:t>
      </w:r>
    </w:p>
    <w:p>
      <w:pPr>
        <w:spacing w:after="0" w:line="77" w:lineRule="exact"/>
        <w:rPr>
          <w:rFonts w:ascii="Times New Roman" w:cs="Times New Roman" w:eastAsia="Times New Roman" w:hAnsi="Times New Roman"/>
          <w:sz w:val="18"/>
          <w:szCs w:val="18"/>
          <w:color w:val="auto"/>
        </w:rPr>
      </w:pPr>
    </w:p>
    <w:p>
      <w:pPr>
        <w:ind w:right="100" w:firstLine="921"/>
        <w:spacing w:after="0" w:line="289" w:lineRule="auto"/>
        <w:tabs>
          <w:tab w:leader="none" w:pos="1168"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Issuers shall, so long as any of the Notes are outstanding, deliver to the Trustee, forthwith and in any event within five days upon any officer of an Issuer becoming aware of any Default or Event of Default or an event which, with notice or the lapse of time or both, would constitute an Event of Default, an Officers’ Certificate specifying such Default or Event of Default and what action the Issuers are taking or propose to take with respect thereto.</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270" w:right="259" w:bottom="1440" w:gutter="0" w:footer="0" w:header="0"/>
        </w:sectPr>
      </w:pPr>
    </w:p>
    <w:bookmarkStart w:id="16" w:name="page17"/>
    <w:bookmarkEnd w:id="16"/>
    <w:p>
      <w:pPr>
        <w:ind w:right="40" w:firstLine="913"/>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5.02. </w:t>
      </w:r>
      <w:r>
        <w:rPr>
          <w:rFonts w:ascii="Times New Roman" w:cs="Times New Roman" w:eastAsia="Times New Roman" w:hAnsi="Times New Roman"/>
          <w:sz w:val="18"/>
          <w:szCs w:val="18"/>
          <w:u w:val="single" w:color="auto"/>
          <w:color w:val="auto"/>
        </w:rPr>
        <w:t>Limitations on Liens</w:t>
      </w:r>
      <w:r>
        <w:rPr>
          <w:rFonts w:ascii="Times New Roman" w:cs="Times New Roman" w:eastAsia="Times New Roman" w:hAnsi="Times New Roman"/>
          <w:sz w:val="18"/>
          <w:szCs w:val="18"/>
          <w:color w:val="auto"/>
        </w:rPr>
        <w:t>. The Issuers will not, nor will they permit any Subsidiary of the Partnership to, create, assume, incur or suffer to exist any Lien upon any Principal Property or upon any Capital Interests of any Restricted Subsidiary, whether owned or leased on the Issue Date or thereafter acquired, to secure any Debt of an Issuer or any other Person (other than Debt Securities), without in any such case making effective provision whereby all of the Notes shall be secured equally and ratably with, or prior to, such Debt so long as such Debt shall be so secured. This restriction shall not apply to:</w:t>
      </w:r>
    </w:p>
    <w:p>
      <w:pPr>
        <w:spacing w:after="0" w:line="76" w:lineRule="exact"/>
        <w:rPr>
          <w:sz w:val="20"/>
          <w:szCs w:val="20"/>
          <w:color w:val="auto"/>
        </w:rPr>
      </w:pPr>
    </w:p>
    <w:p>
      <w:pPr>
        <w:ind w:left="1160" w:hanging="239"/>
        <w:spacing w:after="0"/>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w:t>
      </w:r>
    </w:p>
    <w:p>
      <w:pPr>
        <w:spacing w:after="0" w:line="117" w:lineRule="exact"/>
        <w:rPr>
          <w:rFonts w:ascii="Times New Roman" w:cs="Times New Roman" w:eastAsia="Times New Roman" w:hAnsi="Times New Roman"/>
          <w:sz w:val="18"/>
          <w:szCs w:val="18"/>
          <w:color w:val="auto"/>
        </w:rPr>
      </w:pPr>
    </w:p>
    <w:p>
      <w:pPr>
        <w:ind w:right="60" w:firstLine="921"/>
        <w:spacing w:after="0" w:line="266" w:lineRule="auto"/>
        <w:tabs>
          <w:tab w:leader="none" w:pos="11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created at the time of acquisition of such property or assets by an Issuer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spacing w:after="0" w:line="68" w:lineRule="exact"/>
        <w:rPr>
          <w:rFonts w:ascii="Times New Roman" w:cs="Times New Roman" w:eastAsia="Times New Roman" w:hAnsi="Times New Roman"/>
          <w:sz w:val="18"/>
          <w:szCs w:val="18"/>
          <w:color w:val="auto"/>
        </w:rPr>
      </w:pPr>
    </w:p>
    <w:p>
      <w:pPr>
        <w:ind w:right="440" w:firstLine="921"/>
        <w:spacing w:after="0" w:line="266" w:lineRule="auto"/>
        <w:tabs>
          <w:tab w:leader="none" w:pos="115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w:t>
      </w:r>
    </w:p>
    <w:p>
      <w:pPr>
        <w:spacing w:after="0" w:line="68" w:lineRule="exact"/>
        <w:rPr>
          <w:rFonts w:ascii="Times New Roman" w:cs="Times New Roman" w:eastAsia="Times New Roman" w:hAnsi="Times New Roman"/>
          <w:sz w:val="18"/>
          <w:szCs w:val="18"/>
          <w:color w:val="auto"/>
        </w:rPr>
      </w:pPr>
    </w:p>
    <w:p>
      <w:pPr>
        <w:jc w:val="both"/>
        <w:ind w:firstLine="921"/>
        <w:spacing w:after="0" w:line="266" w:lineRule="auto"/>
        <w:tabs>
          <w:tab w:leader="none" w:pos="11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existing thereon at the time of the acquisition thereof by an Issuer or any Restricted Subsidiary (whether or not the obligations secured thereby are assumed by an Issuer or any Restricted Subsidiary); provided, however, that such Lien only encumbers the property or assets so acquired;</w:t>
      </w:r>
    </w:p>
    <w:p>
      <w:pPr>
        <w:spacing w:after="0" w:line="68" w:lineRule="exact"/>
        <w:rPr>
          <w:rFonts w:ascii="Times New Roman" w:cs="Times New Roman" w:eastAsia="Times New Roman" w:hAnsi="Times New Roman"/>
          <w:sz w:val="18"/>
          <w:szCs w:val="18"/>
          <w:color w:val="auto"/>
        </w:rPr>
      </w:pPr>
    </w:p>
    <w:p>
      <w:pPr>
        <w:ind w:right="220" w:firstLine="921"/>
        <w:spacing w:after="0" w:line="266" w:lineRule="auto"/>
        <w:tabs>
          <w:tab w:leader="none" w:pos="115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w:t>
      </w:r>
    </w:p>
    <w:p>
      <w:pPr>
        <w:spacing w:after="0" w:line="68" w:lineRule="exact"/>
        <w:rPr>
          <w:rFonts w:ascii="Times New Roman" w:cs="Times New Roman" w:eastAsia="Times New Roman" w:hAnsi="Times New Roman"/>
          <w:sz w:val="18"/>
          <w:szCs w:val="18"/>
          <w:color w:val="auto"/>
        </w:rPr>
      </w:pPr>
    </w:p>
    <w:p>
      <w:pPr>
        <w:ind w:right="40" w:firstLine="921"/>
        <w:spacing w:after="0" w:line="282" w:lineRule="auto"/>
        <w:tabs>
          <w:tab w:leader="none" w:pos="113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of an Issuer or any Restricted Subsidiary in existence on December 10, 2003 or provided for pursuant to agreements existing on December 10, 2003;</w:t>
      </w:r>
    </w:p>
    <w:p>
      <w:pPr>
        <w:spacing w:after="0" w:line="53" w:lineRule="exact"/>
        <w:rPr>
          <w:rFonts w:ascii="Times New Roman" w:cs="Times New Roman" w:eastAsia="Times New Roman" w:hAnsi="Times New Roman"/>
          <w:sz w:val="18"/>
          <w:szCs w:val="18"/>
          <w:color w:val="auto"/>
        </w:rPr>
      </w:pPr>
    </w:p>
    <w:p>
      <w:pPr>
        <w:ind w:right="180" w:firstLine="921"/>
        <w:spacing w:after="0" w:line="266" w:lineRule="auto"/>
        <w:tabs>
          <w:tab w:leader="none" w:pos="11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or order as a result of any proceeding before any court or regulatory body that is being contested in good faith, and Liens which secure a judgment or other court-ordered award or settlement as to which an Issuer or the applicable Restricted Subsidiary, as the case may be, has not exhausted its appellate rights;</w:t>
      </w:r>
    </w:p>
    <w:p>
      <w:pPr>
        <w:spacing w:after="0" w:line="68" w:lineRule="exact"/>
        <w:rPr>
          <w:rFonts w:ascii="Times New Roman" w:cs="Times New Roman" w:eastAsia="Times New Roman" w:hAnsi="Times New Roman"/>
          <w:sz w:val="18"/>
          <w:szCs w:val="18"/>
          <w:color w:val="auto"/>
        </w:rPr>
      </w:pPr>
    </w:p>
    <w:p>
      <w:pPr>
        <w:ind w:right="40" w:firstLine="921"/>
        <w:spacing w:after="0" w:line="282" w:lineRule="auto"/>
        <w:tabs>
          <w:tab w:leader="none" w:pos="11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refinancing, refunding or replacement (or successive extensions, renewals, refinancings, refundings or replacements) of Liens, in whole or in part, referred to in clauses (a) through (g), inclusive, of this Section 5.02; provided, however,</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40" w:top="270" w:right="279" w:bottom="1440" w:gutter="0" w:footer="0" w:header="0"/>
        </w:sectPr>
      </w:pPr>
    </w:p>
    <w:bookmarkStart w:id="17" w:name="page18"/>
    <w:bookmarkEnd w:id="17"/>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expenses of the Issuers and the Restricted Subsidiaries (including any premium) incurred in connection with such extension, renewal, refinancing, refunding or replacement; or</w:t>
      </w:r>
    </w:p>
    <w:p>
      <w:pPr>
        <w:spacing w:after="0" w:line="76" w:lineRule="exact"/>
        <w:rPr>
          <w:sz w:val="20"/>
          <w:szCs w:val="20"/>
          <w:color w:val="auto"/>
        </w:rPr>
      </w:pPr>
    </w:p>
    <w:p>
      <w:pPr>
        <w:ind w:right="500" w:firstLine="921"/>
        <w:spacing w:after="0" w:line="282" w:lineRule="auto"/>
        <w:tabs>
          <w:tab w:leader="none" w:pos="11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resulting from the deposit of moneys or evidence of indebtedness in trust for the purpose of defeasing Debt of an Issuer or any Restricted Subsidiary.</w:t>
      </w:r>
    </w:p>
    <w:p>
      <w:pPr>
        <w:spacing w:after="0" w:line="162" w:lineRule="exact"/>
        <w:rPr>
          <w:sz w:val="20"/>
          <w:szCs w:val="20"/>
          <w:color w:val="auto"/>
        </w:rPr>
      </w:pPr>
    </w:p>
    <w:p>
      <w:pPr>
        <w:ind w:right="80" w:firstLine="913"/>
        <w:spacing w:after="0" w:line="256" w:lineRule="auto"/>
        <w:rPr>
          <w:sz w:val="20"/>
          <w:szCs w:val="20"/>
          <w:color w:val="auto"/>
        </w:rPr>
      </w:pPr>
      <w:r>
        <w:rPr>
          <w:rFonts w:ascii="Times New Roman" w:cs="Times New Roman" w:eastAsia="Times New Roman" w:hAnsi="Times New Roman"/>
          <w:sz w:val="18"/>
          <w:szCs w:val="18"/>
          <w:color w:val="auto"/>
        </w:rPr>
        <w:t>Notwithstanding the foregoing provisions of this Section 5.02, the Issuers may, and may permit any Restricted Subsidiary to, create, assume, incur or suffer to exist any Lien upon any Principal Property or Capital Interests of a Restricted Subsidiary to secure Debt of an Issuer or any Person (other than Debt Securities) that is not excepted by clauses (a) through (i), inclusive, of this Section 5.02 without securing the Notes, provided that the aggregate principal amount of all Debt then outstanding secured by such Lien and all other Liens not excepted by clauses (a) through (i), inclusive, of this Section 5.02, together with all Attributable Indebtedness from Sale-leaseback Transactions (excluding Sale-leaseback Transactions permitted by clauses (a) through (d), inclusive, of Section 5.03), does not exceed 10% of Consolidated Net Tangible Assets.</w:t>
      </w:r>
    </w:p>
    <w:p>
      <w:pPr>
        <w:spacing w:after="0" w:line="296" w:lineRule="exact"/>
        <w:rPr>
          <w:sz w:val="20"/>
          <w:szCs w:val="20"/>
          <w:color w:val="auto"/>
        </w:rPr>
      </w:pPr>
    </w:p>
    <w:p>
      <w:pPr>
        <w:ind w:right="60" w:firstLine="913"/>
        <w:spacing w:after="0" w:line="282"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Restriction of Sale-leaseback Transactions</w:t>
      </w:r>
      <w:r>
        <w:rPr>
          <w:rFonts w:ascii="Times New Roman" w:cs="Times New Roman" w:eastAsia="Times New Roman" w:hAnsi="Times New Roman"/>
          <w:sz w:val="18"/>
          <w:szCs w:val="18"/>
          <w:color w:val="auto"/>
        </w:rPr>
        <w:t>. The Issuers will not, and will not permit any Subsidiary of the Partnership to, engage in a Sale-leaseback Transaction, unless:</w:t>
      </w:r>
    </w:p>
    <w:p>
      <w:pPr>
        <w:spacing w:after="0" w:line="54" w:lineRule="exact"/>
        <w:rPr>
          <w:sz w:val="20"/>
          <w:szCs w:val="20"/>
          <w:color w:val="auto"/>
        </w:rPr>
      </w:pPr>
    </w:p>
    <w:p>
      <w:pPr>
        <w:ind w:right="520" w:firstLine="921"/>
        <w:spacing w:after="0" w:line="266" w:lineRule="auto"/>
        <w:tabs>
          <w:tab w:leader="none" w:pos="115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w:t>
      </w:r>
    </w:p>
    <w:p>
      <w:pPr>
        <w:spacing w:after="0" w:line="68"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Sale-leaseback Transaction involves a lease for a period, including renewals, of not more than three years;</w:t>
      </w:r>
    </w:p>
    <w:p>
      <w:pPr>
        <w:spacing w:after="0" w:line="117" w:lineRule="exact"/>
        <w:rPr>
          <w:rFonts w:ascii="Times New Roman" w:cs="Times New Roman" w:eastAsia="Times New Roman" w:hAnsi="Times New Roman"/>
          <w:sz w:val="18"/>
          <w:szCs w:val="18"/>
          <w:color w:val="auto"/>
        </w:rPr>
      </w:pPr>
    </w:p>
    <w:p>
      <w:pPr>
        <w:ind w:firstLine="921"/>
        <w:spacing w:after="0" w:line="266" w:lineRule="auto"/>
        <w:tabs>
          <w:tab w:leader="none" w:pos="115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Attributable Indebtedness from that Sale-leaseback Transaction is an amount equal to or less than the amount the Issuers or such Subsidiary would be allowed to incur as Debt secured by a Lien on the Principal Property subject thereto without equally and ratably securing the Notes under Section 5.02; or</w:t>
      </w:r>
    </w:p>
    <w:p>
      <w:pPr>
        <w:spacing w:after="0" w:line="68" w:lineRule="exact"/>
        <w:rPr>
          <w:rFonts w:ascii="Times New Roman" w:cs="Times New Roman" w:eastAsia="Times New Roman" w:hAnsi="Times New Roman"/>
          <w:sz w:val="18"/>
          <w:szCs w:val="18"/>
          <w:color w:val="auto"/>
        </w:rPr>
      </w:pPr>
    </w:p>
    <w:p>
      <w:pPr>
        <w:ind w:right="40" w:firstLine="921"/>
        <w:spacing w:after="0" w:line="261" w:lineRule="auto"/>
        <w:tabs>
          <w:tab w:leader="none" w:pos="11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an Issuer or any Subsidiary of the Partnership, or (B) the expenditure or expenditures for Principal Property used or to be used in the ordinary course of business of the Partnership or its Subsidiaries.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270" w:right="239" w:bottom="1440" w:gutter="0" w:footer="0" w:header="0"/>
        </w:sectPr>
      </w:pPr>
    </w:p>
    <w:bookmarkStart w:id="18" w:name="page19"/>
    <w:bookmarkEnd w:id="18"/>
    <w:p>
      <w:pPr>
        <w:jc w:val="both"/>
        <w:ind w:right="200" w:firstLine="91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provisions of this Section 5.03, the Issuers may, and may permit any Subsidiary of the Partnership to, effect any Sale-leaseback Transaction that is not excepted by clauses (a) through (d), inclusive, of this Section 5.03, provided that the Attributable Indebtedness from such Sale-leaseback Transaction, together with the aggregate principal amount of then outstanding Debt (other than Debt Securities) secured by Liens upon Principal Properties not excepted by clauses (a) through (i), inclusive, of Section 5.02, does not exceed 10% of Consolidated Net Tangible Assets.</w:t>
      </w:r>
    </w:p>
    <w:p>
      <w:pPr>
        <w:spacing w:after="0" w:line="28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21"/>
        <w:spacing w:after="0" w:line="258" w:lineRule="auto"/>
        <w:tabs>
          <w:tab w:leader="none" w:pos="115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Partnership is then subject to the reporting requirements of Section 13 or 15(d) of the Exchange Act, the Partnership shall electronically file with the Commission, so long as the Notes are Outstanding, the annual, quarterly and other periodic reports that the Partnership is required to file (or would otherwise be required to file) with the Commission pursuant to Sections 13 and 15(d) of the Exchange Act, and such documents shall be filed with the Commission on or prior to the respective dates (the “Required Filing Dates”) by which the Partnership is required to file (or would otherwise be required to file) such documents, unless, in each case, such filings are not then permitted by the Commission.</w:t>
      </w:r>
    </w:p>
    <w:p>
      <w:pPr>
        <w:spacing w:after="0" w:line="75" w:lineRule="exact"/>
        <w:rPr>
          <w:rFonts w:ascii="Times New Roman" w:cs="Times New Roman" w:eastAsia="Times New Roman" w:hAnsi="Times New Roman"/>
          <w:sz w:val="18"/>
          <w:szCs w:val="18"/>
          <w:color w:val="auto"/>
        </w:rPr>
      </w:pPr>
    </w:p>
    <w:p>
      <w:pPr>
        <w:ind w:right="20" w:firstLine="921"/>
        <w:spacing w:after="0" w:line="266" w:lineRule="auto"/>
        <w:tabs>
          <w:tab w:leader="none" w:pos="11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filings are not then permitted by the Commission, or such filings are not generally available on the Internet free of charge, the Issuers shall provide the Trustee with, and the Trustee will mail to any Holder of Notes requesting in writing to the Trustee copies of, such annual, quarterly and other periodic reports specified in Sections 13 and 15(d) of the Exchange Act within 15 days after the respective Required Filing Dates.</w:t>
      </w:r>
    </w:p>
    <w:p>
      <w:pPr>
        <w:spacing w:after="0" w:line="68"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117" w:lineRule="exact"/>
        <w:rPr>
          <w:rFonts w:ascii="Times New Roman" w:cs="Times New Roman" w:eastAsia="Times New Roman" w:hAnsi="Times New Roman"/>
          <w:sz w:val="18"/>
          <w:szCs w:val="18"/>
          <w:color w:val="auto"/>
        </w:rPr>
      </w:pPr>
    </w:p>
    <w:p>
      <w:pPr>
        <w:ind w:right="480" w:firstLine="921"/>
        <w:spacing w:after="0" w:line="282" w:lineRule="auto"/>
        <w:tabs>
          <w:tab w:leader="none" w:pos="11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shall provide the Trustee with a sufficient number of copies of all reports and other documents and information that the Trustee may be required to deliver to Holders of Notes under clause (b) of this Section 5.04.</w:t>
      </w:r>
    </w:p>
    <w:p>
      <w:pPr>
        <w:spacing w:after="0" w:line="53" w:lineRule="exact"/>
        <w:rPr>
          <w:rFonts w:ascii="Times New Roman" w:cs="Times New Roman" w:eastAsia="Times New Roman" w:hAnsi="Times New Roman"/>
          <w:sz w:val="18"/>
          <w:szCs w:val="18"/>
          <w:color w:val="auto"/>
        </w:rPr>
      </w:pPr>
    </w:p>
    <w:p>
      <w:pPr>
        <w:ind w:right="160" w:firstLine="921"/>
        <w:spacing w:after="0" w:line="266" w:lineRule="auto"/>
        <w:tabs>
          <w:tab w:leader="none" w:pos="115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Partnership’s compliance with any of its covenants hereunder (as to which the Trustee is entitled to rely exclusively on Officers’ Certificates).</w:t>
      </w:r>
    </w:p>
    <w:p>
      <w:pPr>
        <w:spacing w:after="0" w:line="284" w:lineRule="exact"/>
        <w:rPr>
          <w:sz w:val="20"/>
          <w:szCs w:val="20"/>
          <w:color w:val="auto"/>
        </w:rPr>
      </w:pPr>
    </w:p>
    <w:p>
      <w:pPr>
        <w:ind w:right="320" w:firstLine="913"/>
        <w:spacing w:after="0" w:line="266"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Subsidiary Guarantees</w:t>
      </w:r>
      <w:r>
        <w:rPr>
          <w:rFonts w:ascii="Times New Roman" w:cs="Times New Roman" w:eastAsia="Times New Roman" w:hAnsi="Times New Roman"/>
          <w:sz w:val="18"/>
          <w:szCs w:val="18"/>
          <w:color w:val="auto"/>
        </w:rPr>
        <w:t>. If any Subsidiary (or its successor) of the Partnership that is not then a Subsidiary Guarantor guarantees Debt of either of the Issuers, in either case after the Issue Date, then the Partnership shall cause such Subsidiary (or successor) to execute and deliver a supplemental Indenture providing for the guarantee of the payment of the Notes pursuant to Article IX hereof.</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270" w:right="2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SUCCESSORS</w:t>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With respect to the Notes, the provisions of this Article VI shall preempt the provisions of Article X of the Original Indenture in their entirety.</w:t>
      </w:r>
    </w:p>
    <w:p>
      <w:pPr>
        <w:spacing w:after="0" w:line="333" w:lineRule="exact"/>
        <w:rPr>
          <w:sz w:val="20"/>
          <w:szCs w:val="20"/>
          <w:color w:val="auto"/>
        </w:rPr>
      </w:pPr>
    </w:p>
    <w:p>
      <w:pPr>
        <w:ind w:right="60" w:firstLine="913"/>
        <w:spacing w:after="0" w:line="252"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Consolidation and Mergers of the Issuers</w:t>
      </w:r>
      <w:r>
        <w:rPr>
          <w:rFonts w:ascii="Times New Roman" w:cs="Times New Roman" w:eastAsia="Times New Roman" w:hAnsi="Times New Roman"/>
          <w:sz w:val="18"/>
          <w:szCs w:val="18"/>
          <w:color w:val="auto"/>
        </w:rPr>
        <w:t>. Neither Issuer shall consolidate or amalgamate with or merge with or into any Person, or sell, convey, transfer, lease or otherwise dispose of all or substantially all its assets to any Person, whether in a single transaction or a series of related transactions, except (1) in accordance with the provisions of the Partnership Agreement, and (2) unless: (a) either (i) such Issuer shall be the surviving Person in the case of a merger or (ii) the resulting, surviving or transferee Person if other than such Issuer (the “Successor Company”) shall be a partnership, limited liability company or corporation organized and existing under the laws of the United States, any state thereof or the District of Columbia (provided that PAA Finance may not merge, amalgamate or consolidate with or into another Person other than a corporation satisfying such requirement for so long as the Partnership is not a corporation) and the Successor Company shall expressly assume, by an indenture supplemental hereto, executed and delivered to the Trustee, in form reasonably satisfactory to the Trustee, the due and punctual payment of the principal of, premium, if any, and interest on all of the Notes, and the due and punctual performance or observance of all the other obligations under the Indenture to be performed or observed by such Issuer; (b) immediately after giving effect to such transaction or series of transactions, no Default or Event of Default would occur or be continuing; (c) if such Issuer is not the continuing Person, then each Subsidiary Guarantor, unless it has become the Successor Company, shall confirm that its Guarantee shall continue to apply to the obligations under the Notes and the Indenture; and (d) such Issuer shall have delivered to the Trustee an Officers’ Certificate and an Opinion of Counsel, each stating that such consolidation, amalgamation, merger, sale, conveyance, transfer, lease or other disposition and such supplemental Indenture (if any) comply with this Section 6.01 and any other applicable provisions of the Indenture.</w:t>
      </w:r>
    </w:p>
    <w:p>
      <w:pPr>
        <w:spacing w:after="0" w:line="307"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Rights and Duties of Successor</w:t>
      </w:r>
      <w:r>
        <w:rPr>
          <w:rFonts w:ascii="Times New Roman" w:cs="Times New Roman" w:eastAsia="Times New Roman" w:hAnsi="Times New Roman"/>
          <w:sz w:val="18"/>
          <w:szCs w:val="18"/>
          <w:color w:val="auto"/>
        </w:rPr>
        <w:t>. In case of any consolidation, amalgamation or merger where an Issuer is not the continuing Person, or disposition of all or substantially all of the assets of an Issuer in accordance with Section 6.01, the Successor Company shall succeed to and be substituted for such Issuer with the same effect as if it had been named herein as the respective party to the Indenture, and the predecessor entity shall be released from all liabilities and obligations under the Indenture and the Notes, except that no such release will occur in the case of a lease of all or substantially all of an Issuer’s assets. In case of any such consolidation, amalgamation, merger, sale, conveyance, transfer, lease or other disposition, such changes in phraseology and form (but not in substance) may be made in the Notes thereafter to be issued as may be appropriate.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270" w:right="239" w:bottom="1440" w:gutter="0" w:footer="0" w:header="0"/>
        </w:sectPr>
      </w:pPr>
    </w:p>
    <w:bookmarkStart w:id="20" w:name="page21"/>
    <w:bookmarkEnd w:id="20"/>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DEFAULTS AND REMEDIES</w:t>
      </w:r>
    </w:p>
    <w:p>
      <w:pPr>
        <w:spacing w:after="0" w:line="207" w:lineRule="exact"/>
        <w:rPr>
          <w:sz w:val="20"/>
          <w:szCs w:val="20"/>
          <w:color w:val="auto"/>
        </w:rPr>
      </w:pPr>
    </w:p>
    <w:p>
      <w:pPr>
        <w:ind w:right="160" w:firstLine="913"/>
        <w:spacing w:after="0" w:line="282"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With respect to the Notes, the provisions of this Section 7.01 shall preempt the provisions of the first and final paragraphs of Section 6.01 of the Original Indenture in their entirety.</w:t>
      </w:r>
    </w:p>
    <w:p>
      <w:pPr>
        <w:spacing w:after="0" w:line="54" w:lineRule="exact"/>
        <w:rPr>
          <w:sz w:val="20"/>
          <w:szCs w:val="20"/>
          <w:color w:val="auto"/>
        </w:rPr>
      </w:pPr>
    </w:p>
    <w:p>
      <w:pPr>
        <w:ind w:left="1160" w:hanging="239"/>
        <w:spacing w:after="0"/>
        <w:tabs>
          <w:tab w:leader="none" w:pos="11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occurs if:</w:t>
      </w:r>
    </w:p>
    <w:p>
      <w:pPr>
        <w:spacing w:after="0" w:line="117" w:lineRule="exact"/>
        <w:rPr>
          <w:rFonts w:ascii="Times New Roman" w:cs="Times New Roman" w:eastAsia="Times New Roman" w:hAnsi="Times New Roman"/>
          <w:sz w:val="18"/>
          <w:szCs w:val="18"/>
          <w:color w:val="auto"/>
        </w:rPr>
      </w:pPr>
    </w:p>
    <w:p>
      <w:pPr>
        <w:ind w:left="1560" w:hanging="219"/>
        <w:spacing w:after="0"/>
        <w:tabs>
          <w:tab w:leader="none" w:pos="15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default for 60 days in the payment when due of interest on the Notes;</w:t>
      </w:r>
    </w:p>
    <w:p>
      <w:pPr>
        <w:spacing w:after="0" w:line="117" w:lineRule="exact"/>
        <w:rPr>
          <w:rFonts w:ascii="Times New Roman" w:cs="Times New Roman" w:eastAsia="Times New Roman" w:hAnsi="Times New Roman"/>
          <w:sz w:val="18"/>
          <w:szCs w:val="18"/>
          <w:color w:val="auto"/>
        </w:rPr>
      </w:pPr>
    </w:p>
    <w:p>
      <w:pPr>
        <w:ind w:left="1600" w:hanging="259"/>
        <w:spacing w:after="0"/>
        <w:tabs>
          <w:tab w:leader="none" w:pos="160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Issuers default in the payment when due of principal of or premium, if any, on the Notes at maturity, upon redemption or otherwise;</w:t>
      </w:r>
    </w:p>
    <w:p>
      <w:pPr>
        <w:spacing w:after="0" w:line="128" w:lineRule="exact"/>
        <w:rPr>
          <w:rFonts w:ascii="Times New Roman" w:cs="Times New Roman" w:eastAsia="Times New Roman" w:hAnsi="Times New Roman"/>
          <w:sz w:val="17"/>
          <w:szCs w:val="17"/>
          <w:color w:val="auto"/>
        </w:rPr>
      </w:pPr>
    </w:p>
    <w:p>
      <w:pPr>
        <w:ind w:left="920" w:right="20" w:firstLine="421"/>
        <w:spacing w:after="0" w:line="261" w:lineRule="auto"/>
        <w:tabs>
          <w:tab w:leader="none" w:pos="165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an Issuer or any Subsidiary Guarantor for 90 days after receipt of notice by the Issuers from the Trustee or to the Issuers and the Trustee by the Holders of at least 25% in principal amount of the Notes then Outstanding to comply with any other term, covenant or warranty in the Indenture or the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notice need not be given, and an Event of Default shall occur, 90 days after any breach of the provisions of Section 6.01 hereof);</w:t>
      </w:r>
    </w:p>
    <w:p>
      <w:pPr>
        <w:spacing w:after="0" w:line="71" w:lineRule="exact"/>
        <w:rPr>
          <w:rFonts w:ascii="Times New Roman" w:cs="Times New Roman" w:eastAsia="Times New Roman" w:hAnsi="Times New Roman"/>
          <w:sz w:val="18"/>
          <w:szCs w:val="18"/>
          <w:color w:val="auto"/>
        </w:rPr>
      </w:pPr>
    </w:p>
    <w:p>
      <w:pPr>
        <w:ind w:left="920" w:right="20" w:firstLine="421"/>
        <w:spacing w:after="0" w:line="269" w:lineRule="auto"/>
        <w:tabs>
          <w:tab w:leader="none" w:pos="1645"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originally stated maturity, and, in each case described in clause</w:t>
      </w:r>
    </w:p>
    <w:p>
      <w:pPr>
        <w:spacing w:after="0" w:line="3" w:lineRule="exact"/>
        <w:rPr>
          <w:rFonts w:ascii="Times New Roman" w:cs="Times New Roman" w:eastAsia="Times New Roman" w:hAnsi="Times New Roman"/>
          <w:sz w:val="17"/>
          <w:szCs w:val="17"/>
          <w:color w:val="auto"/>
        </w:rPr>
      </w:pPr>
    </w:p>
    <w:p>
      <w:pPr>
        <w:ind w:left="9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(A) or (B), the principal amount of any such Debt, together with the principal amount of any other such Debt under which there has been a Payment Default or the maturity of which has been so accelerated, aggregates $25.0 million or more;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w:t>
      </w:r>
    </w:p>
    <w:p>
      <w:pPr>
        <w:spacing w:after="0" w:line="79" w:lineRule="exact"/>
        <w:rPr>
          <w:rFonts w:ascii="Times New Roman" w:cs="Times New Roman" w:eastAsia="Times New Roman" w:hAnsi="Times New Roman"/>
          <w:sz w:val="17"/>
          <w:szCs w:val="17"/>
          <w:color w:val="auto"/>
        </w:rPr>
      </w:pPr>
    </w:p>
    <w:p>
      <w:pPr>
        <w:ind w:left="920" w:right="240" w:firstLine="421"/>
        <w:spacing w:after="0" w:line="266" w:lineRule="auto"/>
        <w:tabs>
          <w:tab w:leader="none" w:pos="159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60"/>
          </w:cols>
          <w:pgMar w:left="240" w:top="270" w:right="299" w:bottom="1440" w:gutter="0" w:footer="0" w:header="0"/>
        </w:sectPr>
      </w:pPr>
    </w:p>
    <w:bookmarkStart w:id="21" w:name="page22"/>
    <w:bookmarkEnd w:id="21"/>
    <w:p>
      <w:pPr>
        <w:ind w:left="1640" w:hanging="299"/>
        <w:spacing w:after="0"/>
        <w:tabs>
          <w:tab w:leader="none" w:pos="1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Issuer or any Subsidiary Guarantor pursuant to or within the meaning of any Bankruptcy Law:</w:t>
      </w:r>
    </w:p>
    <w:p>
      <w:pPr>
        <w:spacing w:after="0" w:line="117" w:lineRule="exact"/>
        <w:rPr>
          <w:rFonts w:ascii="Times New Roman" w:cs="Times New Roman" w:eastAsia="Times New Roman" w:hAnsi="Times New Roman"/>
          <w:sz w:val="18"/>
          <w:szCs w:val="18"/>
          <w:color w:val="auto"/>
        </w:rPr>
      </w:pPr>
    </w:p>
    <w:p>
      <w:pPr>
        <w:ind w:left="2180" w:hanging="291"/>
        <w:spacing w:after="0"/>
        <w:tabs>
          <w:tab w:leader="none" w:pos="21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w:t>
      </w:r>
    </w:p>
    <w:p>
      <w:pPr>
        <w:spacing w:after="0" w:line="117" w:lineRule="exact"/>
        <w:rPr>
          <w:rFonts w:ascii="Times New Roman" w:cs="Times New Roman" w:eastAsia="Times New Roman" w:hAnsi="Times New Roman"/>
          <w:sz w:val="18"/>
          <w:szCs w:val="18"/>
          <w:color w:val="auto"/>
        </w:rPr>
      </w:pPr>
    </w:p>
    <w:p>
      <w:pPr>
        <w:ind w:left="2180" w:hanging="291"/>
        <w:spacing w:after="0"/>
        <w:tabs>
          <w:tab w:leader="none" w:pos="21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w:t>
      </w:r>
    </w:p>
    <w:p>
      <w:pPr>
        <w:spacing w:after="0" w:line="117" w:lineRule="exact"/>
        <w:rPr>
          <w:rFonts w:ascii="Times New Roman" w:cs="Times New Roman" w:eastAsia="Times New Roman" w:hAnsi="Times New Roman"/>
          <w:sz w:val="18"/>
          <w:szCs w:val="18"/>
          <w:color w:val="auto"/>
        </w:rPr>
      </w:pPr>
    </w:p>
    <w:p>
      <w:pPr>
        <w:ind w:left="2180" w:hanging="291"/>
        <w:spacing w:after="0"/>
        <w:tabs>
          <w:tab w:leader="none" w:pos="21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all or substantially all of its property,</w:t>
      </w:r>
    </w:p>
    <w:p>
      <w:pPr>
        <w:spacing w:after="0" w:line="117" w:lineRule="exact"/>
        <w:rPr>
          <w:rFonts w:ascii="Times New Roman" w:cs="Times New Roman" w:eastAsia="Times New Roman" w:hAnsi="Times New Roman"/>
          <w:sz w:val="18"/>
          <w:szCs w:val="18"/>
          <w:color w:val="auto"/>
        </w:rPr>
      </w:pPr>
    </w:p>
    <w:p>
      <w:pPr>
        <w:ind w:left="2180" w:hanging="291"/>
        <w:spacing w:after="0"/>
        <w:tabs>
          <w:tab w:leader="none" w:pos="21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 or</w:t>
      </w:r>
    </w:p>
    <w:p>
      <w:pPr>
        <w:spacing w:after="0" w:line="117" w:lineRule="exact"/>
        <w:rPr>
          <w:rFonts w:ascii="Times New Roman" w:cs="Times New Roman" w:eastAsia="Times New Roman" w:hAnsi="Times New Roman"/>
          <w:sz w:val="18"/>
          <w:szCs w:val="18"/>
          <w:color w:val="auto"/>
        </w:rPr>
      </w:pPr>
    </w:p>
    <w:p>
      <w:pPr>
        <w:ind w:left="2160" w:hanging="271"/>
        <w:spacing w:after="0"/>
        <w:tabs>
          <w:tab w:leader="none" w:pos="21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is not paying its debts as they become due; or</w:t>
      </w:r>
    </w:p>
    <w:p>
      <w:pPr>
        <w:spacing w:after="0" w:line="117" w:lineRule="exact"/>
        <w:rPr>
          <w:rFonts w:ascii="Times New Roman" w:cs="Times New Roman" w:eastAsia="Times New Roman" w:hAnsi="Times New Roman"/>
          <w:sz w:val="18"/>
          <w:szCs w:val="18"/>
          <w:color w:val="auto"/>
        </w:rPr>
      </w:pPr>
    </w:p>
    <w:p>
      <w:pPr>
        <w:ind w:left="1700" w:hanging="359"/>
        <w:spacing w:after="0"/>
        <w:tabs>
          <w:tab w:leader="none" w:pos="1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117" w:lineRule="exact"/>
        <w:rPr>
          <w:rFonts w:ascii="Times New Roman" w:cs="Times New Roman" w:eastAsia="Times New Roman" w:hAnsi="Times New Roman"/>
          <w:sz w:val="18"/>
          <w:szCs w:val="18"/>
          <w:color w:val="auto"/>
        </w:rPr>
      </w:pPr>
    </w:p>
    <w:p>
      <w:pPr>
        <w:ind w:left="2180" w:hanging="291"/>
        <w:spacing w:after="0"/>
        <w:tabs>
          <w:tab w:leader="none" w:pos="21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an Issuer or any Subsidiary Guarantor in an involuntary case;</w:t>
      </w:r>
    </w:p>
    <w:p>
      <w:pPr>
        <w:spacing w:after="0" w:line="117" w:lineRule="exact"/>
        <w:rPr>
          <w:rFonts w:ascii="Times New Roman" w:cs="Times New Roman" w:eastAsia="Times New Roman" w:hAnsi="Times New Roman"/>
          <w:sz w:val="18"/>
          <w:szCs w:val="18"/>
          <w:color w:val="auto"/>
        </w:rPr>
      </w:pPr>
    </w:p>
    <w:p>
      <w:pPr>
        <w:ind w:left="1500" w:right="220" w:firstLine="389"/>
        <w:spacing w:after="0" w:line="282" w:lineRule="auto"/>
        <w:tabs>
          <w:tab w:leader="none" w:pos="218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an Issuer or any Subsidiary Guarantor or for all or substantially all of the property of an Issuer or any Subsidiary Guarantor; or</w:t>
      </w:r>
    </w:p>
    <w:p>
      <w:pPr>
        <w:spacing w:after="0" w:line="53" w:lineRule="exact"/>
        <w:rPr>
          <w:rFonts w:ascii="Times New Roman" w:cs="Times New Roman" w:eastAsia="Times New Roman" w:hAnsi="Times New Roman"/>
          <w:sz w:val="18"/>
          <w:szCs w:val="18"/>
          <w:color w:val="auto"/>
        </w:rPr>
      </w:pPr>
    </w:p>
    <w:p>
      <w:pPr>
        <w:ind w:left="2180" w:hanging="291"/>
        <w:spacing w:after="0"/>
        <w:tabs>
          <w:tab w:leader="none" w:pos="21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liquidation of an Issuer or any Subsidiary Guarantor;</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and the order or decree remains unstayed and in effect for 60 consecutive days.</w:t>
      </w:r>
    </w:p>
    <w:p>
      <w:pPr>
        <w:spacing w:after="0" w:line="117" w:lineRule="exact"/>
        <w:rPr>
          <w:sz w:val="20"/>
          <w:szCs w:val="20"/>
          <w:color w:val="auto"/>
        </w:rPr>
      </w:pPr>
    </w:p>
    <w:p>
      <w:pPr>
        <w:ind w:right="60" w:firstLine="921"/>
        <w:spacing w:after="0" w:line="256" w:lineRule="auto"/>
        <w:tabs>
          <w:tab w:leader="none" w:pos="116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Event of Default arising from Section 7.01(a)(vi) or 7.01(a)(vii) hereof involving an Issuer (and, for the avoidance of doubt, excluding any such Event of Default that involves only one or more Subsidiary Guarantors), the principal amount of all Outstanding Notes and interest thereon shall become due and payable immediately without further action or notice. If any other Event of Default occurs and is continuing, the Trustee or the Holders of at least 25% in principal amount of the then Outstanding Notes may declare the principal amount of all the Notes and interest thereon to be due and payable immediately by a notice in writing to the Issuers (and to the Trustee if given by the Holders) and upon any such declaration such principal amount and interest thereon shall be due and payable immediately.</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LEGAL DEFEASANCE AND COVENANT DEFEASANCE</w:t>
      </w:r>
    </w:p>
    <w:p>
      <w:pPr>
        <w:spacing w:after="0" w:line="207" w:lineRule="exact"/>
        <w:rPr>
          <w:sz w:val="20"/>
          <w:szCs w:val="20"/>
          <w:color w:val="auto"/>
        </w:rPr>
      </w:pPr>
    </w:p>
    <w:p>
      <w:pPr>
        <w:ind w:firstLine="913"/>
        <w:spacing w:after="0" w:line="266"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Option to Effect Legal Defeasance or Covenant Defeasance</w:t>
      </w:r>
      <w:r>
        <w:rPr>
          <w:rFonts w:ascii="Times New Roman" w:cs="Times New Roman" w:eastAsia="Times New Roman" w:hAnsi="Times New Roman"/>
          <w:sz w:val="18"/>
          <w:szCs w:val="18"/>
          <w:color w:val="auto"/>
        </w:rPr>
        <w:t>. The Issuers may, at the option of the Boards of Directors evidenced by a Board Resolution set forth in an Officers’ Certificate, at any time, elect to have either Section 8.02 or 8.03 hereof be applied to all outstanding Notes and Guarantees upon compliance with the conditions set forth below in this Article VIII.</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80"/>
          </w:cols>
          <w:pgMar w:left="240" w:top="270" w:right="279" w:bottom="1440" w:gutter="0" w:footer="0" w:header="0"/>
        </w:sectPr>
      </w:pPr>
    </w:p>
    <w:bookmarkStart w:id="22" w:name="page23"/>
    <w:bookmarkEnd w:id="22"/>
    <w:p>
      <w:pPr>
        <w:ind w:firstLine="913"/>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8.02. </w:t>
      </w:r>
      <w:r>
        <w:rPr>
          <w:rFonts w:ascii="Times New Roman" w:cs="Times New Roman" w:eastAsia="Times New Roman" w:hAnsi="Times New Roman"/>
          <w:sz w:val="18"/>
          <w:szCs w:val="18"/>
          <w:u w:val="single" w:color="auto"/>
          <w:color w:val="auto"/>
        </w:rPr>
        <w:t>Legal Defeasance and Discharge</w:t>
      </w:r>
      <w:r>
        <w:rPr>
          <w:rFonts w:ascii="Times New Roman" w:cs="Times New Roman" w:eastAsia="Times New Roman" w:hAnsi="Times New Roman"/>
          <w:sz w:val="18"/>
          <w:szCs w:val="18"/>
          <w:color w:val="auto"/>
        </w:rPr>
        <w:t>. Upon the Issuers’ exercise under Section 8.01 hereof of the option applicable to this Section 8.02, each of the Issuers and the Subsidiary Guarantors shall, subject to the satisfaction of the conditions set forth in Section 8.04 hereof, be deemed to have been discharged from its obligations with respect to all outstanding Notes and Guarantees on the date the conditions set forth below are satisfied (hereinafter, “Legal Defeasance”). For this purpose, Legal Defeasance means that each of the Issuers shall be deemed to have paid and discharged the entire Debt represented by the outstanding Notes, which shall thereafter be deemed to be “Outstanding” only for the purposes of Section 8.05 hereof and the other Sections of the Indenture referred to in (a) and (b) below, and to have satisfied all its other obligations under such Notes and the Indenture, and each of the Subsidiary Guarantors shall be deemed to have discharged its obligations under its Guarantee (and the Trustee, on demand of and at the expense of the Issuers, shall execute proper instruments acknowledging the same), except for the following provisions which shall survive until otherwise terminated or discharged hereunder:</w:t>
      </w:r>
    </w:p>
    <w:p>
      <w:pPr>
        <w:spacing w:after="0" w:line="81" w:lineRule="exact"/>
        <w:rPr>
          <w:sz w:val="20"/>
          <w:szCs w:val="20"/>
          <w:color w:val="auto"/>
        </w:rPr>
      </w:pPr>
    </w:p>
    <w:p>
      <w:pPr>
        <w:ind w:firstLine="921"/>
        <w:spacing w:after="0" w:line="282" w:lineRule="auto"/>
        <w:tabs>
          <w:tab w:leader="none" w:pos="115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Outstanding Notes to receive solely from the trust fund described in Section 8.04 hereof, and as more fully set forth in such Section, payments in respect of the principal of, premium on, if any, and interest on such Notes when such payments are due,</w:t>
      </w:r>
    </w:p>
    <w:p>
      <w:pPr>
        <w:spacing w:after="0" w:line="53"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obligations with respect to such Notes under Sections 2.07, 2.08, 2.09 and 4.02 of the Original Indenture,</w:t>
      </w:r>
    </w:p>
    <w:p>
      <w:pPr>
        <w:spacing w:after="0" w:line="117"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hereunder and the Issuers’ obligations in connection therewith,</w:t>
      </w:r>
    </w:p>
    <w:p>
      <w:pPr>
        <w:spacing w:after="0" w:line="117"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Article VIII, and</w:t>
      </w:r>
    </w:p>
    <w:p>
      <w:pPr>
        <w:spacing w:after="0" w:line="117"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rights of optional redemption under Section 4.01 hereof.</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Subject to compliance with this Article VIII, the Issuers may exercise their option under this Section 8.02 notwithstanding the prior exercise of their option under Section 8.03 hereof.</w:t>
      </w:r>
    </w:p>
    <w:p>
      <w:pPr>
        <w:spacing w:after="0" w:line="270" w:lineRule="exact"/>
        <w:rPr>
          <w:sz w:val="20"/>
          <w:szCs w:val="20"/>
          <w:color w:val="auto"/>
        </w:rPr>
      </w:pPr>
    </w:p>
    <w:p>
      <w:pPr>
        <w:ind w:right="40" w:firstLine="913"/>
        <w:spacing w:after="0" w:line="255"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 Upon the Issuers’ exercise under Section 8.01 hereof of the option applicable to this Section 8.03, each of the Issuers shall, subject to the satisfaction of the conditions set forth in Section 8.04 hereof, be released from its obligations under the covenants contained in Sections 5.02, 5.03, 5.04 and 5.05 hereof with respect to the Outstanding Notes on and after the date the conditions set forth in Section 8.04 are satisfied (hereinafter, “Covenant Defeasance”),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270" w:right="259" w:bottom="1440" w:gutter="0" w:footer="0" w:header="0"/>
        </w:sectPr>
      </w:pPr>
    </w:p>
    <w:bookmarkStart w:id="23" w:name="page24"/>
    <w:bookmarkEnd w:id="23"/>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means that, with respect to the Outstanding Notes, the Issuers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7.01 hereof, but, except as specified above, the remainder of the Indenture, the Guarantees and such Notes shall be unaffected thereby.</w:t>
      </w:r>
    </w:p>
    <w:p>
      <w:pPr>
        <w:spacing w:after="0" w:line="292" w:lineRule="exact"/>
        <w:rPr>
          <w:sz w:val="20"/>
          <w:szCs w:val="20"/>
          <w:color w:val="auto"/>
        </w:rPr>
      </w:pPr>
    </w:p>
    <w:p>
      <w:pPr>
        <w:ind w:right="40" w:firstLine="913"/>
        <w:spacing w:after="0" w:line="282"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Conditions to Legal or Covenant Defeasance</w:t>
      </w:r>
      <w:r>
        <w:rPr>
          <w:rFonts w:ascii="Times New Roman" w:cs="Times New Roman" w:eastAsia="Times New Roman" w:hAnsi="Times New Roman"/>
          <w:sz w:val="18"/>
          <w:szCs w:val="18"/>
          <w:color w:val="auto"/>
        </w:rPr>
        <w:t>. The following shall be the conditions to the application of either Section 8.02 or 8.03 hereof to the Outstanding Notes:</w:t>
      </w:r>
    </w:p>
    <w:p>
      <w:pPr>
        <w:spacing w:after="0" w:line="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In order to exercise either Legal Defeasance or Covenant Defeasance:</w:t>
      </w:r>
    </w:p>
    <w:p>
      <w:pPr>
        <w:spacing w:after="0" w:line="117" w:lineRule="exact"/>
        <w:rPr>
          <w:sz w:val="20"/>
          <w:szCs w:val="20"/>
          <w:color w:val="auto"/>
        </w:rPr>
      </w:pPr>
    </w:p>
    <w:p>
      <w:pPr>
        <w:ind w:right="100" w:firstLine="921"/>
        <w:spacing w:after="0" w:line="261" w:lineRule="auto"/>
        <w:tabs>
          <w:tab w:leader="none" w:pos="115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must irrevocably deposit with the Trustee, in trust, for the benefit of the Holders of the Notes, cash in Dollars, U.S. Government Obligations, or a combination thereof, in such amounts as shall be sufficient, in the written opinion of a nationally recognized firm of independent public accountants, to pay the principal of, premium on, if any, and interest on the Outstanding Notes at the Stated Maturity thereof or on the applicable redemption date, as the case may be, and the Issuers must specify whether the Notes are being defeased to maturity or to a particular redemption date;</w:t>
      </w:r>
    </w:p>
    <w:p>
      <w:pPr>
        <w:spacing w:after="0" w:line="71"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8.02 hereof, the Issuers shall have delivered to the Trustee an Opinion of Counsel confirming that</w:t>
      </w:r>
    </w:p>
    <w:p>
      <w:pPr>
        <w:spacing w:after="0" w:line="27" w:lineRule="exact"/>
        <w:rPr>
          <w:rFonts w:ascii="Times New Roman" w:cs="Times New Roman" w:eastAsia="Times New Roman" w:hAnsi="Times New Roman"/>
          <w:sz w:val="18"/>
          <w:szCs w:val="18"/>
          <w:color w:val="auto"/>
        </w:rPr>
      </w:pPr>
    </w:p>
    <w:p>
      <w:pPr>
        <w:ind w:firstLine="8"/>
        <w:spacing w:after="0" w:line="254" w:lineRule="auto"/>
        <w:tabs>
          <w:tab w:leader="none" w:pos="2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have received from, or there has been published by, the Internal Revenue Service a ruling or (ii) since the date of the Indenture, there has been a change in the applicable federal income tax law, in either case to the effect that, and based thereon such Opinion of Counsel shall confirm that, the Holders of the Outstanding Notes shall not recognize income, gain or loss for federal income tax purposes as a result of such Legal Defeasance and shall be subject to federal income tax on the same amounts, in the same manner and at the same times as would have been the case if such Legal Defeasance had not occurred;</w:t>
      </w:r>
    </w:p>
    <w:p>
      <w:pPr>
        <w:spacing w:after="0" w:line="77" w:lineRule="exact"/>
        <w:rPr>
          <w:rFonts w:ascii="Times New Roman" w:cs="Times New Roman" w:eastAsia="Times New Roman" w:hAnsi="Times New Roman"/>
          <w:sz w:val="18"/>
          <w:szCs w:val="18"/>
          <w:color w:val="auto"/>
        </w:rPr>
      </w:pPr>
    </w:p>
    <w:p>
      <w:pPr>
        <w:jc w:val="both"/>
        <w:ind w:right="80" w:firstLine="921"/>
        <w:spacing w:after="0" w:line="261" w:lineRule="auto"/>
        <w:tabs>
          <w:tab w:leader="none" w:pos="115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8.03 hereof, the Issuers shall have delivered to the Trustee an Opinion of Counsel confirming that the Holders of the Outstanding Notes shall not recognize income, gain or loss for federal income tax purposes as a result of such Covenant Defeasance and shall be subject to federal income tax on the same amounts, in the same manner and at the same times as would have been the case if such Covenant Defeasance had not occurred;</w:t>
      </w:r>
    </w:p>
    <w:p>
      <w:pPr>
        <w:spacing w:after="0" w:line="71" w:lineRule="exact"/>
        <w:rPr>
          <w:rFonts w:ascii="Times New Roman" w:cs="Times New Roman" w:eastAsia="Times New Roman" w:hAnsi="Times New Roman"/>
          <w:sz w:val="18"/>
          <w:szCs w:val="18"/>
          <w:color w:val="auto"/>
        </w:rPr>
      </w:pPr>
    </w:p>
    <w:p>
      <w:pPr>
        <w:ind w:right="40" w:firstLine="921"/>
        <w:spacing w:after="0" w:line="266" w:lineRule="auto"/>
        <w:tabs>
          <w:tab w:leader="none" w:pos="116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either (i) on the date of such deposit (other than a Default or Event of Default resulting from the incurrence of Debt all or a portion of the proceeds of which shall be applied to such deposit) or (ii) insofar as Section 7.01(a)(vi) or 7.01(a)(vii) hereof is concerned, at any time in the period ending on the 91st day after the date of deposit;</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270" w:right="259" w:bottom="1440" w:gutter="0" w:footer="0" w:header="0"/>
        </w:sectPr>
      </w:pPr>
    </w:p>
    <w:bookmarkStart w:id="24" w:name="page25"/>
    <w:bookmarkEnd w:id="24"/>
    <w:p>
      <w:pPr>
        <w:ind w:right="280" w:firstLine="921"/>
        <w:spacing w:after="0" w:line="266" w:lineRule="auto"/>
        <w:tabs>
          <w:tab w:leader="none" w:pos="115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Legal Defeasance or Covenant Defeasance shall not result in a breach or violation of, or constitute a default under, any agreement or instrument (other than the Notes and the Indenture) to which the Partnership or any of its Subsidiaries is a party or by which the Partnership or any of its Subsidiaries is bound;</w:t>
      </w:r>
    </w:p>
    <w:p>
      <w:pPr>
        <w:spacing w:after="0" w:line="68" w:lineRule="exact"/>
        <w:rPr>
          <w:rFonts w:ascii="Times New Roman" w:cs="Times New Roman" w:eastAsia="Times New Roman" w:hAnsi="Times New Roman"/>
          <w:sz w:val="18"/>
          <w:szCs w:val="18"/>
          <w:color w:val="auto"/>
        </w:rPr>
      </w:pPr>
    </w:p>
    <w:p>
      <w:pPr>
        <w:ind w:right="60" w:firstLine="921"/>
        <w:spacing w:after="0" w:line="282" w:lineRule="auto"/>
        <w:tabs>
          <w:tab w:leader="none" w:pos="113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shall have delivered to the Trustee an Opinion of Counsel to the effect that after the 91st day following the deposit, the trust funds shall not be subject to the effect of any applicable bankruptcy, insolvency, reorganization or similar laws affecting creditors’ rights generally;</w:t>
      </w:r>
    </w:p>
    <w:p>
      <w:pPr>
        <w:spacing w:after="0" w:line="53" w:lineRule="exact"/>
        <w:rPr>
          <w:rFonts w:ascii="Times New Roman" w:cs="Times New Roman" w:eastAsia="Times New Roman" w:hAnsi="Times New Roman"/>
          <w:sz w:val="18"/>
          <w:szCs w:val="18"/>
          <w:color w:val="auto"/>
        </w:rPr>
      </w:pPr>
    </w:p>
    <w:p>
      <w:pPr>
        <w:ind w:right="180" w:firstLine="921"/>
        <w:spacing w:after="0" w:line="266" w:lineRule="auto"/>
        <w:tabs>
          <w:tab w:leader="none" w:pos="116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shall have delivered to the Trustee an Officers’ Certificate stating that the deposit was not made by the Issuers with the intent of preferring the Holders over any other creditors of the Issuers or with the intent of defeating, hindering, delaying or defrauding any other creditors of the Issuers; and</w:t>
      </w:r>
    </w:p>
    <w:p>
      <w:pPr>
        <w:spacing w:after="0" w:line="68" w:lineRule="exact"/>
        <w:rPr>
          <w:rFonts w:ascii="Times New Roman" w:cs="Times New Roman" w:eastAsia="Times New Roman" w:hAnsi="Times New Roman"/>
          <w:sz w:val="18"/>
          <w:szCs w:val="18"/>
          <w:color w:val="auto"/>
        </w:rPr>
      </w:pPr>
    </w:p>
    <w:p>
      <w:pPr>
        <w:ind w:right="180" w:firstLine="921"/>
        <w:spacing w:after="0" w:line="282" w:lineRule="auto"/>
        <w:tabs>
          <w:tab w:leader="none" w:pos="116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shall have delivered to the Trustee an Officers’ Certificate and an Opinion of Counsel, each stating that all conditions precedent provided for or relating to the Legal Defeasance or the Covenant Defeasance have been complied with.</w:t>
      </w:r>
    </w:p>
    <w:p>
      <w:pPr>
        <w:spacing w:after="0" w:line="270" w:lineRule="exact"/>
        <w:rPr>
          <w:sz w:val="20"/>
          <w:szCs w:val="20"/>
          <w:color w:val="auto"/>
        </w:rPr>
      </w:pPr>
    </w:p>
    <w:p>
      <w:pPr>
        <w:ind w:right="120" w:firstLine="913"/>
        <w:spacing w:after="0" w:line="256"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Deposited Money and U.S. Government Obligations to be Held in Trust; Other Miscellaneous Provisions</w:t>
      </w:r>
      <w:r>
        <w:rPr>
          <w:rFonts w:ascii="Times New Roman" w:cs="Times New Roman" w:eastAsia="Times New Roman" w:hAnsi="Times New Roman"/>
          <w:sz w:val="18"/>
          <w:szCs w:val="18"/>
          <w:color w:val="auto"/>
        </w:rPr>
        <w:t>. Subject to Section 8.06 hereof, all money and U.S. Government Obligations (including the proceeds thereof) deposited with the Trustee (or other qualifying trustee, collectively for purposes of this Section 8.05, the “Trustee”) pursuant to Section 8.04 hereof in respect of the outstanding Notes shall be held in trust and applied by the Trustee, in accordance with the provisions of such Notes and the Indenture, to the payment, either directly or through any paying agent (including an Issuer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88" w:lineRule="exact"/>
        <w:rPr>
          <w:sz w:val="20"/>
          <w:szCs w:val="20"/>
          <w:color w:val="auto"/>
        </w:rPr>
      </w:pPr>
    </w:p>
    <w:p>
      <w:pPr>
        <w:ind w:firstLine="913"/>
        <w:spacing w:after="0" w:line="266" w:lineRule="auto"/>
        <w:rPr>
          <w:sz w:val="20"/>
          <w:szCs w:val="20"/>
          <w:color w:val="auto"/>
        </w:rPr>
      </w:pPr>
      <w:r>
        <w:rPr>
          <w:rFonts w:ascii="Times New Roman" w:cs="Times New Roman" w:eastAsia="Times New Roman" w:hAnsi="Times New Roman"/>
          <w:sz w:val="18"/>
          <w:szCs w:val="18"/>
          <w:color w:val="auto"/>
        </w:rPr>
        <w:t>The Issuers shall pay and indemnify the Trustee against any tax, fee or other charge imposed on or assessed against the cash or U.S. Government Obligations deposited pursuant to Section 8.04 hereof or the principal and interest received in respect thereof other than any such tax, fee or other charge which by law is for the account of the Holders of the Outstanding Notes.</w:t>
      </w:r>
    </w:p>
    <w:p>
      <w:pPr>
        <w:spacing w:after="0" w:line="176" w:lineRule="exact"/>
        <w:rPr>
          <w:sz w:val="20"/>
          <w:szCs w:val="20"/>
          <w:color w:val="auto"/>
        </w:rPr>
      </w:pPr>
    </w:p>
    <w:p>
      <w:pPr>
        <w:ind w:right="180" w:firstLine="913"/>
        <w:spacing w:after="0" w:line="258" w:lineRule="auto"/>
        <w:rPr>
          <w:sz w:val="20"/>
          <w:szCs w:val="20"/>
          <w:color w:val="auto"/>
        </w:rPr>
      </w:pPr>
      <w:r>
        <w:rPr>
          <w:rFonts w:ascii="Times New Roman" w:cs="Times New Roman" w:eastAsia="Times New Roman" w:hAnsi="Times New Roman"/>
          <w:sz w:val="18"/>
          <w:szCs w:val="18"/>
          <w:color w:val="auto"/>
        </w:rPr>
        <w:t>Anything in this Article VIII to the contrary notwithstanding, the Trustee shall deliver or pay to the Issuers from time to time upon the written request of the Issuers any money or U.S. Government Obligations held by it as provided in Section 8.04 hereof which, in the opinion of a nationally recognized firm of independent public accountants expressed in a written certification thereof delivered to the Trustee (which may be the opinion delivered under Section 8.04(a) hereof), are in excess of the amount thereof that would then be required to be deposited to effect an equivalent Legal Defeasance or Covenant Defeasance.</w:t>
      </w:r>
    </w:p>
    <w:p>
      <w:pPr>
        <w:spacing w:after="0" w:line="292" w:lineRule="exact"/>
        <w:rPr>
          <w:sz w:val="20"/>
          <w:szCs w:val="20"/>
          <w:color w:val="auto"/>
        </w:rPr>
      </w:pPr>
    </w:p>
    <w:p>
      <w:pPr>
        <w:ind w:right="460" w:firstLine="913"/>
        <w:spacing w:after="0" w:line="282"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Repayment to Issuers</w:t>
      </w:r>
      <w:r>
        <w:rPr>
          <w:rFonts w:ascii="Times New Roman" w:cs="Times New Roman" w:eastAsia="Times New Roman" w:hAnsi="Times New Roman"/>
          <w:sz w:val="18"/>
          <w:szCs w:val="18"/>
          <w:color w:val="auto"/>
        </w:rPr>
        <w:t>. Any money deposited with the Trustee or any paying agent, or then held by the Issuers, in trust for the payment of the principal of,</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60"/>
          </w:cols>
          <w:pgMar w:left="240" w:top="270" w:right="299" w:bottom="1440" w:gutter="0" w:footer="0" w:header="0"/>
        </w:sectPr>
      </w:pPr>
    </w:p>
    <w:bookmarkStart w:id="25" w:name="page26"/>
    <w:bookmarkEnd w:id="25"/>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premium on, if any, or interest on any Note and remaining unclaimed for two years after such principal, premium, if any, or interest has become due and payable shall be paid to the Issuers on their written request or (if then held by the Issuers) shall be discharged from such trust; and the Holder of such Note shall thereafter, as an unsecured creditor, look only to the Issuers for payment thereof, and all liability of the Trustee or such paying agent with respect to such trust money, and all liability of the Issuers as trustee thereof, shall thereupon cease;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Trustee or such paying agent, before being required to make any such repayment, may at the expense of the Issuers cause to be published once, in </w:t>
      </w:r>
      <w:r>
        <w:rPr>
          <w:rFonts w:ascii="Times New Roman" w:cs="Times New Roman" w:eastAsia="Times New Roman" w:hAnsi="Times New Roman"/>
          <w:sz w:val="18"/>
          <w:szCs w:val="18"/>
          <w:i w:val="1"/>
          <w:iCs w:val="1"/>
          <w:color w:val="auto"/>
        </w:rPr>
        <w:t>The New York Times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(U.S. edition), notice that such money remains unclaimed and that, after a date specified therein, which shall not be less than 30 days from the date of such notification or publication, any unclaimed balance of such money then remaining shall be repaid to the Issuers.</w:t>
      </w:r>
    </w:p>
    <w:p>
      <w:pPr>
        <w:spacing w:after="0" w:line="297"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xml:space="preserve">. If the Trustee or paying agent is unable to apply any Dollars or U.S. Government Obligations in accordance with Section 8.02 or 8.03 hereof, as the case may be, by reason of any order or judgment of any court or governmental authority enjoining, restraining or otherwise prohibiting such application, then the Issuers’ obligations under the Indenture and the Notes and the Subsidiary Guarantors’ obligations under the Guarantees shall be revived and reinstated as though no deposit had occurred pursuant to Section 8.02 or 8.03 hereof until such time as the Trustee or paying agent is permitted to apply all such money in accordance with Section 8.02 or 8.03 hereof,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Issuers make any payment of principal of, premium on, if any, or interest on any Note following the reinstatement of their obligations, the Issuers shall be subrogated to the rights of the Holders of such Notes to receive such payment from the money held by the Trustee or paying agent.</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SUBSIDIARY GUARANTEES</w:t>
      </w:r>
    </w:p>
    <w:p>
      <w:pPr>
        <w:spacing w:after="0" w:line="207"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Subsidiary Guarantees</w:t>
      </w:r>
      <w:r>
        <w:rPr>
          <w:rFonts w:ascii="Times New Roman" w:cs="Times New Roman" w:eastAsia="Times New Roman" w:hAnsi="Times New Roman"/>
          <w:sz w:val="18"/>
          <w:szCs w:val="18"/>
          <w:color w:val="auto"/>
        </w:rPr>
        <w:t>. (a) Each Subsidiary Guarantor hereby jointly and severally unconditionally and irrevocably guarantees on a senior basis to each Holder and to the Trustee and its successors and assigns (i) the full and punctual payment of principal, premium, if any, and interest with respect to, the Notes when due, whether at maturity, by acceleration, by redemption or otherwise, and all other monetary obligations of the Issuers under the Indenture (including obligations to the Trustee) and the Notes and (ii) the full and punctual performance within applicable grace periods of all other obligations of the Issuers under the Indenture and the Notes (all the foregoing being hereinafter collectively called the “Note Obligations”). Each Subsidiary Guarantor further agrees that the Note Obligations may be extended or renewed, in whole or in part, without notice or further assent from each such Subsidiary Guarantor, and that each such Subsidiary Guarantor shall remain bound under this Article IX notwithstanding any extension or renewal of any Note Obligation.</w:t>
      </w:r>
    </w:p>
    <w:p>
      <w:pPr>
        <w:spacing w:after="0" w:line="77" w:lineRule="exact"/>
        <w:rPr>
          <w:sz w:val="20"/>
          <w:szCs w:val="20"/>
          <w:color w:val="auto"/>
        </w:rPr>
      </w:pPr>
    </w:p>
    <w:p>
      <w:pPr>
        <w:ind w:right="260" w:firstLine="921"/>
        <w:spacing w:after="0" w:line="266" w:lineRule="auto"/>
        <w:tabs>
          <w:tab w:leader="none" w:pos="11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Guarantor waives presentation to, demand of, payment from and protest to the Issuers of any of the Note Obligations and also waives notice of protest for nonpayment. Each Subsidiary Guarantor waives notice of any Default or Event of Default under the Notes or the Note Obligations. The obligations of each Subsidiary Guarantor</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80"/>
          </w:cols>
          <w:pgMar w:left="240" w:top="270" w:right="279" w:bottom="1440" w:gutter="0" w:footer="0" w:header="0"/>
        </w:sectPr>
      </w:pPr>
    </w:p>
    <w:bookmarkStart w:id="26" w:name="page27"/>
    <w:bookmarkEnd w:id="26"/>
    <w:p>
      <w:pPr>
        <w:ind w:right="2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hereunder shall not be affected by (i) the failure of any Holder or the Trustee to assert any claim or demand or to enforce any right or remedy against the Issuers or any other Person under the Indenture, the Notes or any other agreement or otherwise; (ii) any extension or renewal of any thereof; (iii) any rescission, waiver, amendment or modification of any of the terms or provisions of the Indenture, the Notes or any other agreement; (iv) the release of any security held by any Holder or the Trustee for the Note Obligations or any of them; (v) the failure of any Holder or Trustee to exercise any right or remedy against any other guarantor of the Note Obligations; or (vi) any change in the ownership of such Subsidiary Guarantor, except as provided in Section 9.02 hereof.</w:t>
      </w:r>
    </w:p>
    <w:p>
      <w:pPr>
        <w:spacing w:after="0" w:line="80" w:lineRule="exact"/>
        <w:rPr>
          <w:sz w:val="20"/>
          <w:szCs w:val="20"/>
          <w:color w:val="auto"/>
        </w:rPr>
      </w:pPr>
    </w:p>
    <w:p>
      <w:pPr>
        <w:ind w:right="60" w:firstLine="921"/>
        <w:spacing w:after="0" w:line="266" w:lineRule="auto"/>
        <w:tabs>
          <w:tab w:leader="none" w:pos="115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Guarantor further agrees that its Guarantee herein constitutes a guarantee of payment, performance and compliance when due (and not a guarantee of collection) and waives any right to require that any resort be had by any Holder or the Trustee to any security held for payment of the Note Obligations.</w:t>
      </w:r>
    </w:p>
    <w:p>
      <w:pPr>
        <w:spacing w:after="0" w:line="68" w:lineRule="exact"/>
        <w:rPr>
          <w:rFonts w:ascii="Times New Roman" w:cs="Times New Roman" w:eastAsia="Times New Roman" w:hAnsi="Times New Roman"/>
          <w:sz w:val="18"/>
          <w:szCs w:val="18"/>
          <w:color w:val="auto"/>
        </w:rPr>
      </w:pPr>
    </w:p>
    <w:p>
      <w:pPr>
        <w:ind w:firstLine="921"/>
        <w:spacing w:after="0" w:line="255" w:lineRule="auto"/>
        <w:tabs>
          <w:tab w:leader="none" w:pos="11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Subsidiary Guarantor hereunder shall not be subject to any reduction, limitation, impairment or termination for any reason other than indefeasible payment in full of the Note Obligations, including any claim of waiver, release, surrender, alteration or compromise, and shall not be subject to any defense of setoff, counterclaim, recoupment or termination whatsoever or by reason of the invalidity, illegality or unenforceability of the Note Obligations or otherwise. Without limiting the generality of the foregoing, the obligations of each Subsidiary Guarantor herein shall not be discharged or impaired or otherwise affected by the failure of any Holder or the Trustee to assert any claim or demand or to enforce any remedy under the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any Subsidiary Guarantor or would otherwise operate as a discharge of any Subsidiary Guarantor as a matter of law or equity.</w:t>
      </w:r>
    </w:p>
    <w:p>
      <w:pPr>
        <w:spacing w:after="0" w:line="77" w:lineRule="exact"/>
        <w:rPr>
          <w:rFonts w:ascii="Times New Roman" w:cs="Times New Roman" w:eastAsia="Times New Roman" w:hAnsi="Times New Roman"/>
          <w:sz w:val="18"/>
          <w:szCs w:val="18"/>
          <w:color w:val="auto"/>
        </w:rPr>
      </w:pPr>
    </w:p>
    <w:p>
      <w:pPr>
        <w:jc w:val="both"/>
        <w:ind w:right="60" w:firstLine="921"/>
        <w:spacing w:after="0" w:line="266" w:lineRule="auto"/>
        <w:tabs>
          <w:tab w:leader="none" w:pos="115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Guarantor further agrees that its Guarantee herein shall continue to be effective or be reinstated, as the case may be, if at any time payment, or any part thereof, of principal, premium, if any, or interest with respect to any Note Obligation is rescinded or must otherwise be restored by any Holder or the Trustee upon the bankruptcy or reorganization of either of the Issuers or otherwise.</w:t>
      </w:r>
    </w:p>
    <w:p>
      <w:pPr>
        <w:spacing w:after="0" w:line="68" w:lineRule="exact"/>
        <w:rPr>
          <w:rFonts w:ascii="Times New Roman" w:cs="Times New Roman" w:eastAsia="Times New Roman" w:hAnsi="Times New Roman"/>
          <w:sz w:val="18"/>
          <w:szCs w:val="18"/>
          <w:color w:val="auto"/>
        </w:rPr>
      </w:pPr>
    </w:p>
    <w:p>
      <w:pPr>
        <w:ind w:right="80" w:firstLine="921"/>
        <w:spacing w:after="0" w:line="256" w:lineRule="auto"/>
        <w:tabs>
          <w:tab w:leader="none" w:pos="113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foregoing and not in limitation of any other right which any Holder or the Trustee has at law or in equity against any Subsidiary Guarantor by virtue hereof, upon the failure of the Issuers to pay the principal, premium, if any, or interest with respect to any Note Obligation when and as the same shall become due, whether at maturity, by acceleration, by redemption or otherwise, or to perform or comply with any other Note Obligation, each Subsidiary Guarantor hereby promises to and shall forthwith pay, or cause to be paid, in cash, to the Holders or the Trustee an amount equal to the sum of (i) the unpaid principal amount of such Note Obligations, (ii) accrued and unpaid interest on such Note Obligations (but only to the extent not prohibited by law) and (iii) all other monetary Note Obligations of the Issuers to the Holders and the Trustee.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270" w:right="259" w:bottom="1440" w:gutter="0" w:footer="0" w:header="0"/>
        </w:sectPr>
      </w:pPr>
    </w:p>
    <w:bookmarkStart w:id="27" w:name="page28"/>
    <w:bookmarkEnd w:id="27"/>
    <w:p>
      <w:pPr>
        <w:ind w:right="140" w:firstLine="921"/>
        <w:spacing w:after="0" w:line="255" w:lineRule="auto"/>
        <w:tabs>
          <w:tab w:leader="none" w:pos="116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Subsidiary Guarantor agrees that it shall not be entitled to any right of subrogation in relation to the Holders in respect of any Note Obligations guaranteed hereby until payment in full of all Note Obligations. Each Subsidiary Guarantor further agrees that, as between it, on the one hand, and the Holders and the Trustee, on the other hand, (i) the maturity of the Note Obligations guaranteed hereby may be accelerated as provided in Article VII hereof for the purposes of any Subsidiary Guarantor’s Guarantee herein, notwithstanding any stay, injunction or other prohibition preventing such acceleration in respect of the Note Obligations guaranteed hereby, and (ii) in the event of any declaration of acceleration of such obligations as provided in Article VII hereof, such Note Obligations (whether or not due and payable) shall forthwith become due and payable by such Subsidiary Guarantor for the purposes of this Section 9.01.</w:t>
      </w:r>
    </w:p>
    <w:p>
      <w:pPr>
        <w:spacing w:after="0" w:line="81" w:lineRule="exact"/>
        <w:rPr>
          <w:rFonts w:ascii="Times New Roman" w:cs="Times New Roman" w:eastAsia="Times New Roman" w:hAnsi="Times New Roman"/>
          <w:sz w:val="18"/>
          <w:szCs w:val="18"/>
          <w:color w:val="auto"/>
        </w:rPr>
      </w:pPr>
    </w:p>
    <w:p>
      <w:pPr>
        <w:ind w:right="40" w:firstLine="921"/>
        <w:spacing w:after="0" w:line="282" w:lineRule="auto"/>
        <w:tabs>
          <w:tab w:leader="none" w:pos="116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Guarantor also agrees to pay any and all costs and expenses (including reasonable attorneys’ fees) incurred by the Trustee or any Holder in enforcing any rights under this Section 9.01.</w:t>
      </w:r>
    </w:p>
    <w:p>
      <w:pPr>
        <w:spacing w:after="0" w:line="270"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Limitation on Liability</w:t>
      </w:r>
      <w:r>
        <w:rPr>
          <w:rFonts w:ascii="Times New Roman" w:cs="Times New Roman" w:eastAsia="Times New Roman" w:hAnsi="Times New Roman"/>
          <w:sz w:val="18"/>
          <w:szCs w:val="18"/>
          <w:color w:val="auto"/>
        </w:rPr>
        <w:t>. Any term or provision of the Indenture to the contrary notwithstanding, the maximum, aggregate amount of the Note Obligations guaranteed hereunder by any Subsidiary Guarantor shall not exceed the maximum amount that, after giving effect to all other contingent and fixed liabilities of such Subsidiary Guarantor and to any collections from or payments made by or on behalf of any other Subsidiary Guarantor in respect of its obligations under its Guarantee, can be hereby guaranteed without rendering the Indenture, as it relates to any Subsidiary Guarantor, voidable under applicable law relating to fraudulent conveyance or fraudulent transfer.</w:t>
      </w:r>
    </w:p>
    <w:p>
      <w:pPr>
        <w:spacing w:after="0" w:line="292" w:lineRule="exact"/>
        <w:rPr>
          <w:sz w:val="20"/>
          <w:szCs w:val="20"/>
          <w:color w:val="auto"/>
        </w:rPr>
      </w:pPr>
    </w:p>
    <w:p>
      <w:pPr>
        <w:ind w:right="100" w:firstLine="913"/>
        <w:spacing w:after="0" w:line="261"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Article IX shall be binding upon each Subsidiary Guarantor and, except as provided in Section 9.07, its successors and assigns and shall inure to the benefit of the successors and assigns of the Trustee and the Holders and, in the event of any transfer or assignment of rights by any Holder or the Trustee, the rights and privileges conferred upon that party in the Indenture and in the Notes shall automatically extend to and be vested in such transferee or assignee, all subject to the terms and conditions of the Indenture.</w:t>
      </w:r>
    </w:p>
    <w:p>
      <w:pPr>
        <w:spacing w:after="0" w:line="288" w:lineRule="exact"/>
        <w:rPr>
          <w:sz w:val="20"/>
          <w:szCs w:val="20"/>
          <w:color w:val="auto"/>
        </w:rPr>
      </w:pPr>
    </w:p>
    <w:p>
      <w:pPr>
        <w:jc w:val="both"/>
        <w:ind w:right="100" w:firstLine="913"/>
        <w:spacing w:after="0" w:line="261"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Neither a failure nor a delay on the part of either the Trustee or the Holders in exercising any right, power or privilege under this Article IX shall operate as a waiver thereof, nor shall a single or partial exercise thereof preclude any other or further exercise of any right, power or privilege. The rights, remedies and benefits of the Trustee and the Holders herein expressly specified are cumulative and not exclusive of any other rights, remedies or benefits which either may have under this Article IX at law, in equity, by statute or otherwise.</w:t>
      </w:r>
    </w:p>
    <w:p>
      <w:pPr>
        <w:spacing w:after="0" w:line="288" w:lineRule="exact"/>
        <w:rPr>
          <w:sz w:val="20"/>
          <w:szCs w:val="20"/>
          <w:color w:val="auto"/>
        </w:rPr>
      </w:pPr>
    </w:p>
    <w:p>
      <w:pPr>
        <w:ind w:right="40" w:firstLine="913"/>
        <w:spacing w:after="0" w:line="261"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Modification</w:t>
      </w:r>
      <w:r>
        <w:rPr>
          <w:rFonts w:ascii="Times New Roman" w:cs="Times New Roman" w:eastAsia="Times New Roman" w:hAnsi="Times New Roman"/>
          <w:sz w:val="18"/>
          <w:szCs w:val="18"/>
          <w:color w:val="auto"/>
        </w:rPr>
        <w:t>. No modification, amendment or waiver of any provision of this Article IX, nor the consent to any departure by any Subsidiary Guarantor therefrom, shall in any event be effective unless the same shall be in writing and signed by the Trustee, and then such waiver or consent shall be effective only in the specific instance and for the purpose for which given. No notice to or demand on any Subsidiary Guarantor in any case shall entitle such Subsidiary Guarantor to any other or further notice or demand in the same, similar or other circumstances.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270" w:right="259" w:bottom="1440" w:gutter="0" w:footer="0" w:header="0"/>
        </w:sectPr>
      </w:pPr>
    </w:p>
    <w:bookmarkStart w:id="28" w:name="page29"/>
    <w:bookmarkEnd w:id="28"/>
    <w:p>
      <w:pPr>
        <w:ind w:firstLine="913"/>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9.06. </w:t>
      </w:r>
      <w:r>
        <w:rPr>
          <w:rFonts w:ascii="Times New Roman" w:cs="Times New Roman" w:eastAsia="Times New Roman" w:hAnsi="Times New Roman"/>
          <w:sz w:val="18"/>
          <w:szCs w:val="18"/>
          <w:u w:val="single" w:color="auto"/>
          <w:color w:val="auto"/>
        </w:rPr>
        <w:t>Execution of Supplemental Indenture for Future Subsidiary Guarantors</w:t>
      </w:r>
      <w:r>
        <w:rPr>
          <w:rFonts w:ascii="Times New Roman" w:cs="Times New Roman" w:eastAsia="Times New Roman" w:hAnsi="Times New Roman"/>
          <w:sz w:val="18"/>
          <w:szCs w:val="18"/>
          <w:color w:val="auto"/>
        </w:rPr>
        <w:t>. Each Subsidiary which is required to become a Subsidiary Guarantor pursuant to Section 5.05 hereof shall promptly execute and deliver to the Trustee a supplemental Indenture in substantially the form of Exhibit B hereto pursuant to which such Subsidiary shall become a Subsidiary Guarantor under this Article IX and shall guarantee the Note Obligations. Concurrently with the execution and delivery of such supplemental Indenture, the Issuers shall deliver to the Trustee an Opinion of Counsel to the effect that such supplemental Indenture has been duly authorized, executed and delivered by such Subsidiary and that, subject to the application of bankruptcy, insolvency, moratorium, fraudulent conveyance or transfer and other similar laws relating to creditors’ rights generally and to the principles of equity, whether considered in a proceeding at law or in equity, the Guarantee of such Subsidiary Guarantor is a legal, valid and binding obligation of such Subsidiary Guarantor, enforceable against such Subsidiary Guarantor in accordance with its terms.</w:t>
      </w:r>
    </w:p>
    <w:p>
      <w:pPr>
        <w:spacing w:after="0" w:line="293" w:lineRule="exact"/>
        <w:rPr>
          <w:sz w:val="20"/>
          <w:szCs w:val="20"/>
          <w:color w:val="auto"/>
        </w:rPr>
      </w:pPr>
    </w:p>
    <w:p>
      <w:pPr>
        <w:ind w:right="40" w:firstLine="913"/>
        <w:spacing w:after="0" w:line="266"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Release of Guarantee</w:t>
      </w:r>
      <w:r>
        <w:rPr>
          <w:rFonts w:ascii="Times New Roman" w:cs="Times New Roman" w:eastAsia="Times New Roman" w:hAnsi="Times New Roman"/>
          <w:sz w:val="18"/>
          <w:szCs w:val="18"/>
          <w:color w:val="auto"/>
        </w:rPr>
        <w:t>. Provided that no Default shall have occurred and shall be continuing under the Indenture, the Guarantee of a Subsidiary Guarantor under this Article IX shall terminate and be of no further force and effect, and such Subsidiary Guarantor shall be released from the Indenture and all Note Obligations, upon the following events:</w:t>
      </w:r>
    </w:p>
    <w:p>
      <w:pPr>
        <w:spacing w:after="0" w:line="68" w:lineRule="exact"/>
        <w:rPr>
          <w:sz w:val="20"/>
          <w:szCs w:val="20"/>
          <w:color w:val="auto"/>
        </w:rPr>
      </w:pPr>
    </w:p>
    <w:p>
      <w:pPr>
        <w:ind w:right="500" w:firstLine="921"/>
        <w:spacing w:after="0" w:line="266" w:lineRule="auto"/>
        <w:tabs>
          <w:tab w:leader="none" w:pos="115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sale or other disposition of all or substantially all of the assets of such Subsidiary Guarantor (including by way of merger, consolidation or otherwise) to any Person that is not an Affiliate of either of the Issuers (provided such sale or other disposition is not prohibited by the Indenture);</w:t>
      </w:r>
    </w:p>
    <w:p>
      <w:pPr>
        <w:spacing w:after="0" w:line="68"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any sale or other disposition of all of the Equity Interests of a Subsidiary Guarantor, to any Person that is not an Affiliate of either of the</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Issuers; or</w:t>
      </w:r>
    </w:p>
    <w:p>
      <w:pPr>
        <w:spacing w:after="0" w:line="98" w:lineRule="exact"/>
        <w:rPr>
          <w:rFonts w:ascii="Times New Roman" w:cs="Times New Roman" w:eastAsia="Times New Roman" w:hAnsi="Times New Roman"/>
          <w:sz w:val="17"/>
          <w:szCs w:val="17"/>
          <w:color w:val="auto"/>
        </w:rPr>
      </w:pPr>
    </w:p>
    <w:p>
      <w:pPr>
        <w:ind w:right="60" w:firstLine="921"/>
        <w:spacing w:after="0" w:line="282" w:lineRule="auto"/>
        <w:tabs>
          <w:tab w:leader="none" w:pos="115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release or discharge of all guarantees by such Subsidiary Guarantor of any Debt of the Issuers (other than any Debt Securities), upon delivery by the Issuers to the Trustee of a written notice of such release or discharge from the guarantees.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X</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right="60" w:firstLine="913"/>
        <w:spacing w:after="0" w:line="261"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Additional Amendments</w:t>
      </w:r>
      <w:r>
        <w:rPr>
          <w:rFonts w:ascii="Times New Roman" w:cs="Times New Roman" w:eastAsia="Times New Roman" w:hAnsi="Times New Roman"/>
          <w:sz w:val="18"/>
          <w:szCs w:val="18"/>
          <w:color w:val="auto"/>
        </w:rPr>
        <w:t>. With respect to the Notes, references to (A) “Section 6.01” in the Original Indenture shall be deemed to be references to “Section 7.01 of this Supplemental Indenture; (B) “Section 11.02” in the Original Indenture shall be deemed to be references to</w:t>
      </w: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“Section 8.06” of this Supplemental Indenture; (C) “Section 6.01(g) or (h)” in the Original Indenture shall be deemed to be references to Section 7.01(a)(vi) or (a)(vii) of this Supplemental Indenture; and (D) “Article X” in the Original Indenture shall be deemed to be a reference to Article VI of this Supplemental Indenture.</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40" w:top="270" w:right="279" w:bottom="1440" w:gutter="0" w:footer="0" w:header="0"/>
        </w:sectPr>
      </w:pPr>
    </w:p>
    <w:bookmarkStart w:id="29" w:name="page30"/>
    <w:bookmarkEnd w:id="29"/>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10.02. </w:t>
      </w:r>
      <w:r>
        <w:rPr>
          <w:rFonts w:ascii="Times New Roman" w:cs="Times New Roman" w:eastAsia="Times New Roman" w:hAnsi="Times New Roman"/>
          <w:sz w:val="18"/>
          <w:szCs w:val="18"/>
          <w:u w:val="single" w:color="auto"/>
          <w:color w:val="auto"/>
        </w:rPr>
        <w:t>Integral Part</w:t>
      </w:r>
      <w:r>
        <w:rPr>
          <w:rFonts w:ascii="Times New Roman" w:cs="Times New Roman" w:eastAsia="Times New Roman" w:hAnsi="Times New Roman"/>
          <w:sz w:val="18"/>
          <w:szCs w:val="18"/>
          <w:color w:val="auto"/>
        </w:rPr>
        <w:t>. This Supplemental Indenture constitutes an integral part of the Indenture.</w:t>
      </w:r>
    </w:p>
    <w:p>
      <w:pPr>
        <w:spacing w:after="0" w:line="333" w:lineRule="exact"/>
        <w:rPr>
          <w:sz w:val="20"/>
          <w:szCs w:val="20"/>
          <w:color w:val="auto"/>
        </w:rPr>
      </w:pPr>
    </w:p>
    <w:p>
      <w:pPr>
        <w:ind w:right="60" w:firstLine="913"/>
        <w:spacing w:after="0" w:line="282"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Adoption, Ratification and Confirmation</w:t>
      </w:r>
      <w:r>
        <w:rPr>
          <w:rFonts w:ascii="Times New Roman" w:cs="Times New Roman" w:eastAsia="Times New Roman" w:hAnsi="Times New Roman"/>
          <w:sz w:val="18"/>
          <w:szCs w:val="18"/>
          <w:color w:val="auto"/>
        </w:rPr>
        <w:t>. The Original Indenture, as supplemented and amended by this Supplemental Indenture, is in all respects hereby adopted, ratified and confirmed.</w:t>
      </w:r>
    </w:p>
    <w:p>
      <w:pPr>
        <w:spacing w:after="0" w:line="270" w:lineRule="exact"/>
        <w:rPr>
          <w:sz w:val="20"/>
          <w:szCs w:val="20"/>
          <w:color w:val="auto"/>
        </w:rPr>
      </w:pPr>
    </w:p>
    <w:p>
      <w:pPr>
        <w:ind w:firstLine="913"/>
        <w:spacing w:after="0" w:line="282"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Supplemental Indenture may be executed in any number of counterparts, each of which when so executed shall be deemed an original; and all such counterparts shall together constitute but one and the same instrument.</w:t>
      </w:r>
    </w:p>
    <w:p>
      <w:pPr>
        <w:spacing w:after="0" w:line="266" w:lineRule="exact"/>
        <w:rPr>
          <w:sz w:val="20"/>
          <w:szCs w:val="20"/>
          <w:color w:val="auto"/>
        </w:rPr>
      </w:pPr>
    </w:p>
    <w:p>
      <w:pPr>
        <w:ind w:right="820" w:firstLine="913"/>
        <w:spacing w:after="0" w:line="286" w:lineRule="auto"/>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SUPPLEMENTAL INDENTURE AND THE NOTES SHALL BE GOVERNED BY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CONSTRUED IN ACCORDANCE WITH THE LAWS OF THE STATE OF NEW YORK.</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[Signatures on following pages]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80"/>
          </w:cols>
          <w:pgMar w:left="240" w:top="270" w:right="279" w:bottom="1440" w:gutter="0" w:footer="0" w:header="0"/>
        </w:sectPr>
      </w:pPr>
    </w:p>
    <w:bookmarkStart w:id="30" w:name="page31"/>
    <w:bookmarkEnd w:id="30"/>
    <w:p>
      <w:pPr>
        <w:jc w:val="center"/>
        <w:ind w:right="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37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u w:val="single" w:color="auto"/>
          <w:color w:val="auto"/>
        </w:rPr>
        <w:t>ISSUERS:</w:t>
      </w:r>
    </w:p>
    <w:p>
      <w:pPr>
        <w:spacing w:after="0" w:line="1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b w:val="1"/>
          <w:bCs w:val="1"/>
          <w:color w:val="auto"/>
        </w:rPr>
        <w:t>PLAINS ALL AMERICAN PIPELINE, L.P.</w:t>
      </w:r>
    </w:p>
    <w:p>
      <w:pPr>
        <w:spacing w:after="0" w:line="25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PAA GP LLC</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PLAINS AAP, L.P.</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PLAINS ALL AMERICAN GP LLC</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4"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By: /s/ Sharon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4028440</wp:posOffset>
            </wp:positionH>
            <wp:positionV relativeFrom="paragraph">
              <wp:posOffset>17145</wp:posOffset>
            </wp:positionV>
            <wp:extent cx="24612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Name: Sharon Spurlin</w:t>
      </w:r>
    </w:p>
    <w:p>
      <w:pPr>
        <w:spacing w:after="0" w:line="2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35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PAA FINANCE CORP.</w:t>
      </w:r>
    </w:p>
    <w:p>
      <w:pPr>
        <w:spacing w:after="0" w:line="22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By: /s/ Sharon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4028440</wp:posOffset>
            </wp:positionH>
            <wp:positionV relativeFrom="paragraph">
              <wp:posOffset>17145</wp:posOffset>
            </wp:positionV>
            <wp:extent cx="24612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Name: Sharon Spurlin</w:t>
      </w:r>
    </w:p>
    <w:p>
      <w:pPr>
        <w:spacing w:after="0" w:line="2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i w:val="1"/>
          <w:iCs w:val="1"/>
          <w:color w:val="auto"/>
        </w:rPr>
        <w:t>Signature Page to Twenty-Ninth Supplemental Indenture</w:t>
      </w:r>
    </w:p>
    <w:p>
      <w:pPr>
        <w:sectPr>
          <w:pgSz w:w="11900" w:h="16838" w:orient="portrait"/>
          <w:cols w:equalWidth="0" w:num="1">
            <w:col w:w="9080"/>
          </w:cols>
          <w:pgMar w:left="1440" w:top="270" w:right="1379" w:bottom="1440" w:gutter="0" w:footer="0" w:header="0"/>
        </w:sectPr>
      </w:pPr>
    </w:p>
    <w:bookmarkStart w:id="31" w:name="page32"/>
    <w:bookmarkEnd w:id="31"/>
    <w:p>
      <w:pPr>
        <w:ind w:left="566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TRUSTEE:</w:t>
      </w:r>
    </w:p>
    <w:p>
      <w:pPr>
        <w:spacing w:after="0" w:line="1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U.S. BANK NATIONAL ASSOCIATION,</w:t>
      </w:r>
    </w:p>
    <w:p>
      <w:pPr>
        <w:spacing w:after="0" w:line="3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as Trustee</w:t>
      </w:r>
    </w:p>
    <w:p>
      <w:pPr>
        <w:spacing w:after="0" w:line="2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Steven A. Finklea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17145</wp:posOffset>
            </wp:positionV>
            <wp:extent cx="26930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Steven A. Finklea</w:t>
      </w:r>
    </w:p>
    <w:p>
      <w:pPr>
        <w:spacing w:after="0" w:line="27" w:lineRule="exact"/>
        <w:rPr>
          <w:sz w:val="20"/>
          <w:szCs w:val="20"/>
          <w:color w:val="auto"/>
        </w:rPr>
      </w:pPr>
    </w:p>
    <w:p>
      <w:pPr>
        <w:ind w:left="5980"/>
        <w:spacing w:after="0"/>
        <w:tabs>
          <w:tab w:leader="none" w:pos="656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Twenty-Ninth Supplemental Indenture</w:t>
      </w:r>
    </w:p>
    <w:p>
      <w:pPr>
        <w:sectPr>
          <w:pgSz w:w="11900" w:h="16838" w:orient="portrait"/>
          <w:cols w:equalWidth="0" w:num="1">
            <w:col w:w="9019"/>
          </w:cols>
          <w:pgMar w:left="1440" w:top="266"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17"/>
                <w:szCs w:val="17"/>
                <w:color w:val="auto"/>
              </w:rPr>
            </w:pPr>
          </w:p>
        </w:tc>
        <w:tc>
          <w:tcPr>
            <w:tcW w:w="7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EXHIBIT A</w:t>
            </w:r>
          </w:p>
        </w:tc>
      </w:tr>
      <w:tr>
        <w:trPr>
          <w:trHeight w:val="561"/>
        </w:trPr>
        <w:tc>
          <w:tcPr>
            <w:tcW w:w="2840" w:type="dxa"/>
            <w:vAlign w:val="bottom"/>
          </w:tcPr>
          <w:p>
            <w:pPr>
              <w:spacing w:after="0"/>
              <w:rPr>
                <w:sz w:val="24"/>
                <w:szCs w:val="24"/>
                <w:color w:val="auto"/>
              </w:rPr>
            </w:pPr>
          </w:p>
        </w:tc>
        <w:tc>
          <w:tcPr>
            <w:tcW w:w="8580" w:type="dxa"/>
            <w:vAlign w:val="bottom"/>
            <w:gridSpan w:val="4"/>
          </w:tcPr>
          <w:p>
            <w:pPr>
              <w:jc w:val="center"/>
              <w:ind w:right="2820"/>
              <w:spacing w:after="0"/>
              <w:rPr>
                <w:sz w:val="20"/>
                <w:szCs w:val="20"/>
                <w:color w:val="auto"/>
              </w:rPr>
            </w:pPr>
            <w:r>
              <w:rPr>
                <w:rFonts w:ascii="Times New Roman" w:cs="Times New Roman" w:eastAsia="Times New Roman" w:hAnsi="Times New Roman"/>
                <w:sz w:val="18"/>
                <w:szCs w:val="18"/>
                <w:color w:val="auto"/>
                <w:w w:val="99"/>
              </w:rPr>
              <w:t>(Form of Face of Note)</w:t>
            </w:r>
          </w:p>
        </w:tc>
      </w:tr>
      <w:tr>
        <w:trPr>
          <w:trHeight w:val="29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CUSIP 72650R BJ0</w:t>
            </w:r>
          </w:p>
        </w:tc>
        <w:tc>
          <w:tcPr>
            <w:tcW w:w="7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w:t>
            </w:r>
          </w:p>
        </w:tc>
      </w:tr>
      <w:tr>
        <w:trPr>
          <w:trHeight w:val="196"/>
        </w:trPr>
        <w:tc>
          <w:tcPr>
            <w:tcW w:w="2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ISIN US72650RBJ05</w:t>
            </w:r>
          </w:p>
        </w:tc>
        <w:tc>
          <w:tcPr>
            <w:tcW w:w="7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r>
      <w:tr>
        <w:trPr>
          <w:trHeight w:val="434"/>
        </w:trPr>
        <w:tc>
          <w:tcPr>
            <w:tcW w:w="2840" w:type="dxa"/>
            <w:vAlign w:val="bottom"/>
          </w:tcPr>
          <w:p>
            <w:pPr>
              <w:spacing w:after="0"/>
              <w:rPr>
                <w:sz w:val="24"/>
                <w:szCs w:val="24"/>
                <w:color w:val="auto"/>
              </w:rPr>
            </w:pPr>
          </w:p>
        </w:tc>
        <w:tc>
          <w:tcPr>
            <w:tcW w:w="8580" w:type="dxa"/>
            <w:vAlign w:val="bottom"/>
            <w:gridSpan w:val="4"/>
          </w:tcPr>
          <w:p>
            <w:pPr>
              <w:jc w:val="center"/>
              <w:ind w:right="2840"/>
              <w:spacing w:after="0"/>
              <w:rPr>
                <w:sz w:val="20"/>
                <w:szCs w:val="20"/>
                <w:color w:val="auto"/>
              </w:rPr>
            </w:pPr>
            <w:r>
              <w:rPr>
                <w:rFonts w:ascii="Times New Roman" w:cs="Times New Roman" w:eastAsia="Times New Roman" w:hAnsi="Times New Roman"/>
                <w:sz w:val="18"/>
                <w:szCs w:val="18"/>
                <w:color w:val="auto"/>
                <w:w w:val="99"/>
              </w:rPr>
              <w:t>PLAINS ALL AMERICAN PIPELINE, L.P.</w:t>
            </w:r>
          </w:p>
        </w:tc>
      </w:tr>
      <w:tr>
        <w:trPr>
          <w:trHeight w:val="234"/>
        </w:trPr>
        <w:tc>
          <w:tcPr>
            <w:tcW w:w="2840" w:type="dxa"/>
            <w:vAlign w:val="bottom"/>
          </w:tcPr>
          <w:p>
            <w:pPr>
              <w:spacing w:after="0"/>
              <w:rPr>
                <w:sz w:val="20"/>
                <w:szCs w:val="20"/>
                <w:color w:val="auto"/>
              </w:rPr>
            </w:pPr>
          </w:p>
        </w:tc>
        <w:tc>
          <w:tcPr>
            <w:tcW w:w="8580" w:type="dxa"/>
            <w:vAlign w:val="bottom"/>
            <w:gridSpan w:val="4"/>
          </w:tcPr>
          <w:p>
            <w:pPr>
              <w:jc w:val="center"/>
              <w:ind w:right="2840"/>
              <w:spacing w:after="0"/>
              <w:rPr>
                <w:sz w:val="20"/>
                <w:szCs w:val="20"/>
                <w:color w:val="auto"/>
              </w:rPr>
            </w:pPr>
            <w:r>
              <w:rPr>
                <w:rFonts w:ascii="Times New Roman" w:cs="Times New Roman" w:eastAsia="Times New Roman" w:hAnsi="Times New Roman"/>
                <w:sz w:val="18"/>
                <w:szCs w:val="18"/>
                <w:color w:val="auto"/>
                <w:w w:val="97"/>
              </w:rPr>
              <w:t>PAA FINANCE CORP.</w:t>
            </w:r>
          </w:p>
        </w:tc>
      </w:tr>
      <w:tr>
        <w:trPr>
          <w:trHeight w:val="432"/>
        </w:trPr>
        <w:tc>
          <w:tcPr>
            <w:tcW w:w="2840" w:type="dxa"/>
            <w:vAlign w:val="bottom"/>
          </w:tcPr>
          <w:p>
            <w:pPr>
              <w:spacing w:after="0"/>
              <w:rPr>
                <w:sz w:val="24"/>
                <w:szCs w:val="24"/>
                <w:color w:val="auto"/>
              </w:rPr>
            </w:pPr>
          </w:p>
        </w:tc>
        <w:tc>
          <w:tcPr>
            <w:tcW w:w="8580" w:type="dxa"/>
            <w:vAlign w:val="bottom"/>
            <w:gridSpan w:val="4"/>
          </w:tcPr>
          <w:p>
            <w:pPr>
              <w:jc w:val="center"/>
              <w:ind w:right="2820"/>
              <w:spacing w:after="0"/>
              <w:rPr>
                <w:sz w:val="20"/>
                <w:szCs w:val="20"/>
                <w:color w:val="auto"/>
              </w:rPr>
            </w:pPr>
            <w:r>
              <w:rPr>
                <w:rFonts w:ascii="Times New Roman" w:cs="Times New Roman" w:eastAsia="Times New Roman" w:hAnsi="Times New Roman"/>
                <w:sz w:val="18"/>
                <w:szCs w:val="18"/>
                <w:color w:val="auto"/>
              </w:rPr>
              <w:t>4.65% Senior Notes due 2025</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Plains All American Pipeline, L.P., a Delaware limited partnership, and PAA Finance Corp., a Delaware corporation, jointly and severally promise to pay to</w:t>
      </w:r>
    </w:p>
    <w:p>
      <w:pPr>
        <w:spacing w:after="0" w:line="27" w:lineRule="exact"/>
        <w:rPr>
          <w:sz w:val="20"/>
          <w:szCs w:val="20"/>
          <w:color w:val="auto"/>
        </w:rPr>
      </w:pPr>
    </w:p>
    <w:p>
      <w:pPr>
        <w:ind w:left="900"/>
        <w:spacing w:after="0"/>
        <w:tabs>
          <w:tab w:leader="none" w:pos="4980" w:val="left"/>
        </w:tabs>
        <w:rPr>
          <w:sz w:val="20"/>
          <w:szCs w:val="20"/>
          <w:color w:val="auto"/>
        </w:rPr>
      </w:pPr>
      <w:r>
        <w:rPr>
          <w:rFonts w:ascii="Times New Roman" w:cs="Times New Roman" w:eastAsia="Times New Roman" w:hAnsi="Times New Roman"/>
          <w:sz w:val="18"/>
          <w:szCs w:val="18"/>
          <w:color w:val="auto"/>
        </w:rPr>
        <w:t>, or registered assigns, the principal sum of</w:t>
      </w:r>
      <w:r>
        <w:rPr>
          <w:sz w:val="20"/>
          <w:szCs w:val="20"/>
          <w:color w:val="auto"/>
        </w:rPr>
        <w:tab/>
      </w:r>
      <w:r>
        <w:rPr>
          <w:rFonts w:ascii="Times New Roman" w:cs="Times New Roman" w:eastAsia="Times New Roman" w:hAnsi="Times New Roman"/>
          <w:sz w:val="18"/>
          <w:szCs w:val="18"/>
          <w:color w:val="auto"/>
        </w:rPr>
        <w:t>Dollars [or such greater or lesser amount as may be endorsed on the Schedule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571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-19050</wp:posOffset>
            </wp:positionV>
            <wp:extent cx="571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hereto]</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on October 15,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 April 15 and October 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 Dates: April 1 and October 1</w:t>
      </w:r>
    </w:p>
    <w:p>
      <w:pPr>
        <w:spacing w:after="0" w:line="23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PAA GP LLC, its General Partner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Plains AAP, L.P., its Sole Member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p>
      <w:pPr>
        <w:spacing w:after="0" w:line="20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17145</wp:posOffset>
            </wp:positionV>
            <wp:extent cx="24612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PAA FINANCE CORP.</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17145</wp:posOffset>
            </wp:positionV>
            <wp:extent cx="26670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AUTHENTICATION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Debt Securities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Trustee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17145</wp:posOffset>
            </wp:positionV>
            <wp:extent cx="25215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40" w:lineRule="exact"/>
        <w:rPr>
          <w:sz w:val="20"/>
          <w:szCs w:val="20"/>
          <w:color w:val="auto"/>
        </w:rPr>
      </w:pPr>
    </w:p>
    <w:p>
      <w:pPr>
        <w:ind w:left="460" w:hanging="452"/>
        <w:spacing w:after="0"/>
        <w:tabs>
          <w:tab w:leader="none" w:pos="46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To be included only if the Note is issued in global form.</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420"/>
          </w:cols>
          <w:pgMar w:left="240" w:top="257" w:right="2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of Back of Note)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4.65% Senior Notes due 2025</w:t>
      </w:r>
    </w:p>
    <w:p>
      <w:pPr>
        <w:spacing w:after="0" w:line="2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color w:val="auto"/>
        </w:rPr>
        <w:t>[THIS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w:t>
      </w:r>
      <w:r>
        <w:rPr>
          <w:rFonts w:ascii="Times New Roman" w:cs="Times New Roman" w:eastAsia="Times New Roman" w:hAnsi="Times New Roman"/>
          <w:sz w:val="15"/>
          <w:szCs w:val="15"/>
          <w:b w:val="1"/>
          <w:bCs w:val="1"/>
          <w:color w:val="auto"/>
        </w:rPr>
        <w:t>2</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Capitalized terms used herein shall have the meanings assigned to them in the Indenture referred to below unless otherwise indicated.</w:t>
      </w:r>
    </w:p>
    <w:p>
      <w:pPr>
        <w:spacing w:after="0" w:line="225" w:lineRule="exact"/>
        <w:rPr>
          <w:sz w:val="20"/>
          <w:szCs w:val="20"/>
          <w:color w:val="auto"/>
        </w:rPr>
      </w:pPr>
    </w:p>
    <w:p>
      <w:pPr>
        <w:ind w:right="60" w:firstLine="921"/>
        <w:spacing w:after="0" w:line="254" w:lineRule="auto"/>
        <w:tabs>
          <w:tab w:leader="none" w:pos="109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Plains All American Pipeline, L.P., a Delaware limited partnership (the “Partnership”), and PAA Finance Corp., a Delaware corporation (“PAA Finance” and, together with the Partnership, the “Issuers”), jointly and severally promise to pay interest on the principal amount of this Note at 4.65% per annum from August 24, 2015 until maturity. The Issuers shall pay interest semi-annually on April 15 and October 15 of each such year, or if any such day is not a Business Day, on the next succeeding Business Day (each an “Interest Payment Date”). Interest on the Notes shall accrue from the most recent date to which interest has been paid or, if no interest has been paid, from the date of issuance. The first Interest Payment Date shall be April 15, 2016. The Issuers shall pay interest (including post-petition interest in any proceeding under any Bankruptcy Law) on overdue principal and premium, if any, from time to time on demand at a rate that is 1% per annum in excess of the rate then in effect; and they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w:t>
      </w:r>
    </w:p>
    <w:p>
      <w:pPr>
        <w:spacing w:after="0" w:line="189" w:lineRule="exact"/>
        <w:rPr>
          <w:rFonts w:ascii="Times New Roman" w:cs="Times New Roman" w:eastAsia="Times New Roman" w:hAnsi="Times New Roman"/>
          <w:sz w:val="18"/>
          <w:szCs w:val="18"/>
          <w:color w:val="auto"/>
        </w:rPr>
      </w:pPr>
    </w:p>
    <w:p>
      <w:pPr>
        <w:ind w:firstLine="921"/>
        <w:spacing w:after="0" w:line="258" w:lineRule="auto"/>
        <w:tabs>
          <w:tab w:leader="none" w:pos="109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The Issuers shall pay interest on the Notes (except defaulted interest) to the Persons who are registered Holders of Notes at the close of business on the April 1 or October 1 next preceding the Interest Payment Date, even if such Notes are canceled after such record date and on or before such Interest Payment Date, except as provided in Section 2.17 of the Original Indenture with respect to defaulted interest, and the Issuers shall pay principal (and premium, if any) of the Notes upon surrender thereof to the Trustee or a paying agent on or after the Stated Maturity thereof. The Notes shall be payable as to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7" w:lineRule="exact"/>
        <w:rPr>
          <w:sz w:val="20"/>
          <w:szCs w:val="20"/>
          <w:color w:val="auto"/>
        </w:rPr>
      </w:pPr>
    </w:p>
    <w:p>
      <w:pPr>
        <w:ind w:left="460" w:hanging="452"/>
        <w:spacing w:after="0"/>
        <w:tabs>
          <w:tab w:leader="none" w:pos="4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To be included only if the Note is issued in global form.</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420"/>
          </w:cols>
          <w:pgMar w:left="240" w:top="270" w:right="239" w:bottom="1440" w:gutter="0" w:footer="0" w:header="0"/>
        </w:sectPr>
      </w:pPr>
    </w:p>
    <w:bookmarkStart w:id="34" w:name="page35"/>
    <w:bookmarkEnd w:id="34"/>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premium, if any, and interest at the office or agency of the Trustee maintained for such purpose within or without The City and State of New York, or, at the option of the Issuers, payment of interest may be made by check mailed to the Holders at their addresses set forth in the register of Holders,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payment by wire transfer of immediately available funds shall be required with respect to principal of and interest and premium, if any, on, each Global Security and all other Notes the Holders of which shall have provided wire transfer instructions to the Issuers or the paying agent on or prior to the applicable record date. Such payment shall be in such coin or currency of the United States of America as at the time of payment is legal tender for payment of public and private debts.</w:t>
      </w:r>
    </w:p>
    <w:p>
      <w:pPr>
        <w:spacing w:after="0" w:line="188" w:lineRule="exact"/>
        <w:rPr>
          <w:sz w:val="20"/>
          <w:szCs w:val="20"/>
          <w:color w:val="auto"/>
        </w:rPr>
      </w:pPr>
    </w:p>
    <w:p>
      <w:pPr>
        <w:ind w:right="280" w:firstLine="921"/>
        <w:spacing w:after="0" w:line="266" w:lineRule="auto"/>
        <w:tabs>
          <w:tab w:leader="none" w:pos="109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Paying Agent and Registrar</w:t>
      </w:r>
      <w:r>
        <w:rPr>
          <w:rFonts w:ascii="Times New Roman" w:cs="Times New Roman" w:eastAsia="Times New Roman" w:hAnsi="Times New Roman"/>
          <w:sz w:val="18"/>
          <w:szCs w:val="18"/>
          <w:color w:val="auto"/>
        </w:rPr>
        <w:t>. Initially, U.S. Bank National Association, the Trustee under the Indenture, shall act as paying agent and Registrar. The Issuers may change any paying agent or Registrar without notice to any Holder. The Issuers or any of their Subsidiaries may act in any such capacity.</w:t>
      </w:r>
    </w:p>
    <w:p>
      <w:pPr>
        <w:spacing w:after="0" w:line="176" w:lineRule="exact"/>
        <w:rPr>
          <w:rFonts w:ascii="Times New Roman" w:cs="Times New Roman" w:eastAsia="Times New Roman" w:hAnsi="Times New Roman"/>
          <w:sz w:val="18"/>
          <w:szCs w:val="18"/>
          <w:color w:val="auto"/>
        </w:rPr>
      </w:pPr>
    </w:p>
    <w:p>
      <w:pPr>
        <w:ind w:firstLine="921"/>
        <w:spacing w:after="0" w:line="253" w:lineRule="auto"/>
        <w:tabs>
          <w:tab w:leader="none" w:pos="109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The Issuers issued the Notes under an Indenture dated as of September 25, 2002 (the “Original Indenture”), as supplemented by the Twenty-Ninth Supplemental Indenture dated as of August 24, 2015 (the “Supplemental Indenture” and, together with the Original Indenture, the “Indenture”) among the Issuers and the Trustee. The terms of the Notes include those stated in the Indenture and those made part of the Indenture by reference to the Trust Indenture Act of 1939, as amended (15 U.S. Code §§ 77aaa-77bbbb).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The Notes are joint and several obligations of the Issuers initially in aggregate principal amount of $1.0 billion. The Issuers may issue an unlimited aggregate principal amount of Additional Notes under the Indenture. Any such Additional Notes that are actually issued shall be treated as issued and outstanding Notes (and as the same series (with identical terms other than with respect to the issue date, the date of first payment of interest, if applicable, and the payment of interest accruing prior to the issue date) as the initial Notes) for all purposes of the Indenture, including waivers, amendments, redemptions and offers to purchase. To secure the due and punctual payment of the principal and interest on the Notes and all other amounts payable by the Issuers under the Indenture and the Notes when and as the same shall be due and payable, whether at maturity, by acceleration or otherwise, according to the terms of the Notes and the Indenture, the Subsidiary Guarantors have unconditionally guaranteed the Note Obligations under the Indenture and the Notes on a senior basis pursuant to the terms of the Indenture.</w:t>
      </w:r>
    </w:p>
    <w:p>
      <w:pPr>
        <w:spacing w:after="0" w:line="188" w:lineRule="exact"/>
        <w:rPr>
          <w:rFonts w:ascii="Times New Roman" w:cs="Times New Roman" w:eastAsia="Times New Roman" w:hAnsi="Times New Roman"/>
          <w:sz w:val="18"/>
          <w:szCs w:val="18"/>
          <w:color w:val="auto"/>
        </w:rPr>
      </w:pPr>
    </w:p>
    <w:p>
      <w:pPr>
        <w:ind w:left="1100" w:hanging="179"/>
        <w:spacing w:after="0"/>
        <w:tabs>
          <w:tab w:leader="none" w:pos="1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160" w:hanging="239"/>
        <w:spacing w:after="0"/>
        <w:tabs>
          <w:tab w:leader="none" w:pos="11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their option at any time prior to maturity, the Issuers may choose to redeem all or any portion of the Notes at once or from time to time.</w:t>
      </w:r>
    </w:p>
    <w:p>
      <w:pPr>
        <w:spacing w:after="0" w:line="225" w:lineRule="exact"/>
        <w:rPr>
          <w:rFonts w:ascii="Times New Roman" w:cs="Times New Roman" w:eastAsia="Times New Roman" w:hAnsi="Times New Roman"/>
          <w:sz w:val="18"/>
          <w:szCs w:val="18"/>
          <w:color w:val="auto"/>
        </w:rPr>
      </w:pPr>
    </w:p>
    <w:p>
      <w:pPr>
        <w:jc w:val="both"/>
        <w:ind w:right="580" w:firstLine="921"/>
        <w:spacing w:after="0" w:line="266" w:lineRule="auto"/>
        <w:tabs>
          <w:tab w:leader="none" w:pos="116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redeem the Notes before the Par Call Date, the Issuers must pay a redemption price equal to the greater of (i) 100% of the principal amount of the Notes to be redeemed, and (ii) as determined by the Quotation Agent (as defined below), the sum of the present values of the remaining scheduled payments of principal and interest on the Notes to be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420"/>
          </w:cols>
          <w:pgMar w:left="240" w:top="270" w:right="239" w:bottom="1440" w:gutter="0" w:footer="0" w:header="0"/>
        </w:sectPr>
      </w:pPr>
    </w:p>
    <w:bookmarkStart w:id="35" w:name="page36"/>
    <w:bookmarkEnd w:id="35"/>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redeemed that would have been due if the Notes matured on the Par Call Date (not including any portion of those payments of interest accrued as of the date of redemption) discounted to the date of redemption on a semi-annual basis (assuming a 360-day year consisting of twelve 30-day months) at the Adjusted Treasury Rate (as defined below) plus 37.5 basis points, plus, in either case, accrued and unpaid interest to the date of redemption (subject to the right of Holders on the relevant record date to receive interest due on the relevant interest payment date).</w:t>
      </w:r>
    </w:p>
    <w:p>
      <w:pPr>
        <w:spacing w:after="0" w:line="180" w:lineRule="exact"/>
        <w:rPr>
          <w:sz w:val="20"/>
          <w:szCs w:val="20"/>
          <w:color w:val="auto"/>
        </w:rPr>
      </w:pPr>
    </w:p>
    <w:p>
      <w:pPr>
        <w:jc w:val="both"/>
        <w:ind w:firstLine="921"/>
        <w:spacing w:after="0" w:line="266" w:lineRule="auto"/>
        <w:tabs>
          <w:tab w:leader="none" w:pos="115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redeem the Notes on or after the Par Call Date, the Issuers must pay a redemption price equal to 100% of the principal amount of the Notes to be redeemed plus accrued and unpaid interest to the date of redemption (subject to the right of Holders on the relevant record date to receive interest due on the relevant interest payment date).</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For purposes of determining any redemption price, the following definitions shall apply:</w:t>
      </w:r>
    </w:p>
    <w:p>
      <w:pPr>
        <w:spacing w:after="0" w:line="225" w:lineRule="exact"/>
        <w:rPr>
          <w:sz w:val="20"/>
          <w:szCs w:val="20"/>
          <w:color w:val="auto"/>
        </w:rPr>
      </w:pPr>
    </w:p>
    <w:p>
      <w:pPr>
        <w:ind w:right="160" w:firstLine="913"/>
        <w:spacing w:after="0" w:line="266" w:lineRule="auto"/>
        <w:rPr>
          <w:sz w:val="20"/>
          <w:szCs w:val="20"/>
          <w:color w:val="auto"/>
        </w:rPr>
      </w:pPr>
      <w:r>
        <w:rPr>
          <w:rFonts w:ascii="Times New Roman" w:cs="Times New Roman" w:eastAsia="Times New Roman" w:hAnsi="Times New Roman"/>
          <w:sz w:val="18"/>
          <w:szCs w:val="18"/>
          <w:color w:val="auto"/>
        </w:rPr>
        <w:t>“Adjusted Treasury Rate” means, with respect to any date of redemption, the rate per annum equal to the semi-annual equivalent yield to maturity of the Comparable Treasury Issue, assuming a price for the Comparable Treasury Issue (expressed as a percentage of its principal amount) equal to the Comparable Treasury Price for the date of redemption.</w:t>
      </w:r>
    </w:p>
    <w:p>
      <w:pPr>
        <w:spacing w:after="0" w:line="176" w:lineRule="exact"/>
        <w:rPr>
          <w:sz w:val="20"/>
          <w:szCs w:val="20"/>
          <w:color w:val="auto"/>
        </w:rPr>
      </w:pPr>
    </w:p>
    <w:p>
      <w:pPr>
        <w:ind w:right="20" w:firstLine="913"/>
        <w:spacing w:after="0" w:line="261" w:lineRule="auto"/>
        <w:rPr>
          <w:sz w:val="20"/>
          <w:szCs w:val="20"/>
          <w:color w:val="auto"/>
        </w:rPr>
      </w:pPr>
      <w:r>
        <w:rPr>
          <w:rFonts w:ascii="Times New Roman" w:cs="Times New Roman" w:eastAsia="Times New Roman" w:hAnsi="Times New Roman"/>
          <w:sz w:val="18"/>
          <w:szCs w:val="18"/>
          <w:color w:val="auto"/>
        </w:rPr>
        <w:t>“Comparable Treasury Issue” means the United States Treasury security selected by the Quotation Agent as having a maturity comparable to the remaining term of the Notes to be redeemed, calculated as if the maturity date of the Notes were the Par Call Date (the “Remaining Life”), that would be utilized, at the time of selection and in accordance with customary financial practice, in pricing new issues of corporate debt securities of comparable maturity to the Remaining Life of the Notes.</w:t>
      </w:r>
    </w:p>
    <w:p>
      <w:pPr>
        <w:spacing w:after="0" w:line="180" w:lineRule="exact"/>
        <w:rPr>
          <w:sz w:val="20"/>
          <w:szCs w:val="20"/>
          <w:color w:val="auto"/>
        </w:rPr>
      </w:pPr>
    </w:p>
    <w:p>
      <w:pPr>
        <w:ind w:right="60" w:firstLine="913"/>
        <w:spacing w:after="0" w:line="266" w:lineRule="auto"/>
        <w:rPr>
          <w:sz w:val="20"/>
          <w:szCs w:val="20"/>
          <w:color w:val="auto"/>
        </w:rPr>
      </w:pPr>
      <w:r>
        <w:rPr>
          <w:rFonts w:ascii="Times New Roman" w:cs="Times New Roman" w:eastAsia="Times New Roman" w:hAnsi="Times New Roman"/>
          <w:sz w:val="18"/>
          <w:szCs w:val="18"/>
          <w:color w:val="auto"/>
        </w:rPr>
        <w:t>“Comparable Treasury Price” means, with respect to any date of redemption, (a) the average of the Reference Treasury Dealer Quotations for the date of redemption, after excluding the highest and lowest Reference Treasury Dealer Quotations, or (b) if the Trustee obtains fewer than five Reference Treasury Dealer Quotations, the average of all such Reference Treasury Dealer Quotations.</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“Par Call Date” means July 15, 2025 (three months prior to the maturity date).</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“Quotation Agent” means a Primary Treasury Dealer (as defined below) appointed by the Issuers.</w:t>
      </w:r>
    </w:p>
    <w:p>
      <w:pPr>
        <w:spacing w:after="0" w:line="225" w:lineRule="exact"/>
        <w:rPr>
          <w:sz w:val="20"/>
          <w:szCs w:val="20"/>
          <w:color w:val="auto"/>
        </w:rPr>
      </w:pPr>
    </w:p>
    <w:p>
      <w:pPr>
        <w:ind w:right="60" w:firstLine="913"/>
        <w:spacing w:after="0" w:line="289" w:lineRule="auto"/>
        <w:rPr>
          <w:sz w:val="20"/>
          <w:szCs w:val="20"/>
          <w:color w:val="auto"/>
        </w:rPr>
      </w:pPr>
      <w:r>
        <w:rPr>
          <w:rFonts w:ascii="Times New Roman" w:cs="Times New Roman" w:eastAsia="Times New Roman" w:hAnsi="Times New Roman"/>
          <w:sz w:val="17"/>
          <w:szCs w:val="17"/>
          <w:color w:val="auto"/>
        </w:rPr>
        <w:t>“Reference Treasury Dealer” means Citigroup Global Markets Inc., Mizuho Securities USA Inc., a primary U.S. Government securities dealer in the United States (a “Primary Treasury Dealer”) selected by Mitsubishi UFJ Securities (USA), Inc., and UBS Securities LLC, or their respective successors; provided, however, that if any of the foregoing shall cease to be a Primary Treasury Dealer, the Issuers shall substitute another Primary Treasury Dealer.</w:t>
      </w:r>
    </w:p>
    <w:p>
      <w:pPr>
        <w:spacing w:after="0" w:line="158" w:lineRule="exact"/>
        <w:rPr>
          <w:sz w:val="20"/>
          <w:szCs w:val="20"/>
          <w:color w:val="auto"/>
        </w:rPr>
      </w:pPr>
    </w:p>
    <w:p>
      <w:pPr>
        <w:ind w:right="400" w:firstLine="913"/>
        <w:spacing w:after="0" w:line="282" w:lineRule="auto"/>
        <w:rPr>
          <w:sz w:val="20"/>
          <w:szCs w:val="20"/>
          <w:color w:val="auto"/>
        </w:rPr>
      </w:pPr>
      <w:r>
        <w:rPr>
          <w:rFonts w:ascii="Times New Roman" w:cs="Times New Roman" w:eastAsia="Times New Roman" w:hAnsi="Times New Roman"/>
          <w:sz w:val="18"/>
          <w:szCs w:val="18"/>
          <w:color w:val="auto"/>
        </w:rPr>
        <w:t>“Reference Treasury Dealer Quotations” means, with respect to each Reference Treasury Dealer and any date of redemption, the average, as determined by the Trustee, of the bid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420"/>
          </w:cols>
          <w:pgMar w:left="240" w:top="270" w:right="239" w:bottom="1440" w:gutter="0" w:footer="0" w:header="0"/>
        </w:sectPr>
      </w:pPr>
    </w:p>
    <w:bookmarkStart w:id="36" w:name="page37"/>
    <w:bookmarkEnd w:id="36"/>
    <w:p>
      <w:pPr>
        <w:ind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asked prices for the Comparable Treasury Issue (expressed in each case as a percentage of its principal amount) quoted in writing to the Trustee by that Reference Treasury Dealer at 5:00 p.m., New York City time, on the third business day preceding that date of redemption.</w:t>
      </w:r>
    </w:p>
    <w:p>
      <w:pPr>
        <w:spacing w:after="0" w:line="162" w:lineRule="exact"/>
        <w:rPr>
          <w:sz w:val="20"/>
          <w:szCs w:val="20"/>
          <w:color w:val="auto"/>
        </w:rPr>
      </w:pPr>
    </w:p>
    <w:p>
      <w:pPr>
        <w:ind w:right="200" w:firstLine="921"/>
        <w:spacing w:after="0" w:line="261" w:lineRule="auto"/>
        <w:tabs>
          <w:tab w:leader="none" w:pos="109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 Notice of redemption shall be mailed at least 30 days but not more than 60 days before the redemption date to each Holder whose Notes are to be redeemed at its registered address. Notes in denominations larger than $2,000 may be redeemed in part but only in whole multiples of $1,000, unless all of the Notes held by a Holder are to be redeemed. Unless the Issuers default in payment of the redemption price, on and after the redemption date interest ceases to accrue on Notes or portions thereof called for redemption.</w:t>
      </w:r>
    </w:p>
    <w:p>
      <w:pPr>
        <w:spacing w:after="0" w:line="180" w:lineRule="exact"/>
        <w:rPr>
          <w:rFonts w:ascii="Times New Roman" w:cs="Times New Roman" w:eastAsia="Times New Roman" w:hAnsi="Times New Roman"/>
          <w:sz w:val="18"/>
          <w:szCs w:val="18"/>
          <w:color w:val="auto"/>
        </w:rPr>
      </w:pPr>
    </w:p>
    <w:p>
      <w:pPr>
        <w:ind w:firstLine="921"/>
        <w:spacing w:after="0" w:line="255" w:lineRule="auto"/>
        <w:tabs>
          <w:tab w:leader="none" w:pos="109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Denominations, Transfer, Exchange</w:t>
      </w:r>
      <w:r>
        <w:rPr>
          <w:rFonts w:ascii="Times New Roman" w:cs="Times New Roman" w:eastAsia="Times New Roman" w:hAnsi="Times New Roman"/>
          <w:sz w:val="18"/>
          <w:szCs w:val="18"/>
          <w:color w:val="auto"/>
        </w:rPr>
        <w:t>. The Notes are in registered form without coupons in minimum denominations of $2,000 and integral multiples of $1,000.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or other governmental charges required by law or permitted by the Indenture. The Issuers need not exchange or register the transfer of any Note or portion of a Note selected for redemption or repurchase, except for the unredeemed or unrepurchased portion of any Note being redeemed or repurchased in part. Also, the Issuers need not exchange or register the transfer of any Notes for a period of 15 days before a selection of Notes to be redeemed or repurchased or during the period between a record date and the corresponding Interest Payment Date.</w:t>
      </w:r>
    </w:p>
    <w:p>
      <w:pPr>
        <w:spacing w:after="0" w:line="189" w:lineRule="exact"/>
        <w:rPr>
          <w:rFonts w:ascii="Times New Roman" w:cs="Times New Roman" w:eastAsia="Times New Roman" w:hAnsi="Times New Roman"/>
          <w:sz w:val="18"/>
          <w:szCs w:val="18"/>
          <w:color w:val="auto"/>
        </w:rPr>
      </w:pPr>
    </w:p>
    <w:p>
      <w:pPr>
        <w:ind w:left="1100" w:hanging="179"/>
        <w:spacing w:after="0"/>
        <w:tabs>
          <w:tab w:leader="none" w:pos="11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Deemed Owners</w:t>
      </w:r>
      <w:r>
        <w:rPr>
          <w:rFonts w:ascii="Times New Roman" w:cs="Times New Roman" w:eastAsia="Times New Roman" w:hAnsi="Times New Roman"/>
          <w:sz w:val="18"/>
          <w:szCs w:val="18"/>
          <w:color w:val="auto"/>
        </w:rPr>
        <w:t>. The registered Holder of a Note shall be treated as its owner for all purposes.</w:t>
      </w:r>
    </w:p>
    <w:p>
      <w:pPr>
        <w:spacing w:after="0" w:line="225" w:lineRule="exact"/>
        <w:rPr>
          <w:rFonts w:ascii="Times New Roman" w:cs="Times New Roman" w:eastAsia="Times New Roman" w:hAnsi="Times New Roman"/>
          <w:sz w:val="18"/>
          <w:szCs w:val="18"/>
          <w:color w:val="auto"/>
        </w:rPr>
      </w:pPr>
    </w:p>
    <w:p>
      <w:pPr>
        <w:ind w:right="20" w:firstLine="921"/>
        <w:spacing w:after="0" w:line="253" w:lineRule="auto"/>
        <w:tabs>
          <w:tab w:leader="none" w:pos="109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Supplement and Waiver</w:t>
      </w:r>
      <w:r>
        <w:rPr>
          <w:rFonts w:ascii="Times New Roman" w:cs="Times New Roman" w:eastAsia="Times New Roman" w:hAnsi="Times New Roman"/>
          <w:sz w:val="18"/>
          <w:szCs w:val="18"/>
          <w:color w:val="auto"/>
        </w:rPr>
        <w:t>. Subject to certain exceptions, the Indenture or the Notes may be amended or supplemented with the consent of the Holders of a majority in aggregate principal amount of the then Outstanding Notes, and any existing default or compliance with any provision of the Indenture or the Notes may be waived with the consent of the Holders of a majority in aggregate principal amount of the then Outstanding Notes. Without the consent of any Holder of a Note, the Indenture or the Notes may be amended or supplemented for any of the purposes set forth in Section 9.01 of the Original Indenture (as amended by the Supplemental Indenture), including to cure any ambiguity, defect or inconsistency, to provide for the assumption of an Issuer’s obligations to Holders of the Notes in case of a merger or consolidation of such Issuer or sale of all or substantially all of such Issuer’s assets, to add or release Subsidiary Guarantors (or their successors) pursuant to the terms of the Indenture, to make any change that would provide any additional rights or benefits to the Holders of the Notes or that does not adversely affect the legal rights under the Indenture of any Holder of the Notes, to comply with the requirements of the Commission to permit the qualification of the Indenture under the Trust Indenture Act, to evidence or provide for the acceptance of appointment under the Indenture of a successor Trustee, to add any additional Events of Default, to secure the Notes or the Guarantees or to establish the form or terms of any other series of Debt Securities.</w:t>
      </w:r>
    </w:p>
    <w:p>
      <w:pPr>
        <w:spacing w:after="0" w:line="192" w:lineRule="exact"/>
        <w:rPr>
          <w:rFonts w:ascii="Times New Roman" w:cs="Times New Roman" w:eastAsia="Times New Roman" w:hAnsi="Times New Roman"/>
          <w:sz w:val="18"/>
          <w:szCs w:val="18"/>
          <w:color w:val="auto"/>
        </w:rPr>
      </w:pPr>
    </w:p>
    <w:p>
      <w:pPr>
        <w:ind w:right="20" w:firstLine="921"/>
        <w:spacing w:after="0" w:line="282" w:lineRule="auto"/>
        <w:tabs>
          <w:tab w:leader="none" w:pos="118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Defaults and Remedies</w:t>
      </w:r>
      <w:r>
        <w:rPr>
          <w:rFonts w:ascii="Times New Roman" w:cs="Times New Roman" w:eastAsia="Times New Roman" w:hAnsi="Times New Roman"/>
          <w:sz w:val="18"/>
          <w:szCs w:val="18"/>
          <w:color w:val="auto"/>
        </w:rPr>
        <w:t>. Events of Default with respect to the Notes include: (i) default for 60 days in the payment when due of interest on the Notes; (ii) default in payment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420"/>
          </w:cols>
          <w:pgMar w:left="240" w:top="270" w:right="239" w:bottom="1440" w:gutter="0" w:footer="0" w:header="0"/>
        </w:sectPr>
      </w:pPr>
    </w:p>
    <w:bookmarkStart w:id="37" w:name="page38"/>
    <w:bookmarkEnd w:id="37"/>
    <w:p>
      <w:pPr>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when due of principal of or premium, if any, on the Notes at maturity, upon redemption or otherwise, (iii) failure by an Issuer or any Subsidiary Guarantor for 90 days after notice to comply with any of the other agreements in the Indenture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notice need not be given, and an Event of Default shall occur, 90 days after any breach of the provisions of Section 6.01 of the Supplemental Indenture); (iv) 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w:t>
      </w:r>
    </w:p>
    <w:p>
      <w:pPr>
        <w:spacing w:after="0" w:line="3" w:lineRule="exact"/>
        <w:rPr>
          <w:sz w:val="20"/>
          <w:szCs w:val="20"/>
          <w:color w:val="auto"/>
        </w:rPr>
      </w:pPr>
    </w:p>
    <w:p>
      <w:pPr>
        <w:ind w:right="40" w:firstLine="8"/>
        <w:spacing w:after="0" w:line="251" w:lineRule="auto"/>
        <w:tabs>
          <w:tab w:leader="none" w:pos="24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caused by a failure to pay principal of or premium, if any, or interest on such Debt prior to the expiration of the grace period provided in such Debt (a “Payment Default”) or (b) results in the acceleration of the maturity of such Debt to a date prior to its original stated maturity, and, in each case described in clause (a) or (b), the principal amount of any such Debt, together with the principal amount of any other such Debt under which there has been a Payment Default or the maturity of which has been so accelerated, aggregates $25.0 million or more, subject to the proviso set forth in Section 7.01(a)(iv) of the Supplemental Indenture; (v) 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 and (vi) certain events of bankruptcy or insolvency with respect to an Issuer or any of the Subsidiary Guarantors. If any Event of Default occurs and is continuing, the Trustee or the Holders of at least 25% in aggregate principal amount of the then Outstanding Notes may declare all the Notes to be due and payable. Notwithstanding the foregoing, in the case of an Event of Default arising from certain events of bankruptcy or insolvency involving an Issuer, but not any Subsidiary Guarantor, all Outstanding Notes shall become due and payable without further action or notice. Holders may not enforce the Indenture or the Notes except as provided in the Indenture. Subject to certain limitations, Holders of a majority in aggregate principal amount of the then Outstanding Notes may direct the Trustee in its exercise of any trust or power. If and so long as the board of directors, an executive committee of the board of directors or trust committee of Responsible Officers of the Trustee in good faith so determines, the Trustee may withhold from Holders of the Notes notice of any continuing Default (except a Default relating to the payment of principal, premium, if any, or interest) if it determines that withholding notice is in their interests. The Holders of a majority in aggregate principal amount of the Notes then Outstanding by notice to the Trustee may on behalf of the Holders of all of the Notes waive any past Default or Event of Default and its consequences under the Indenture except a continuing Default or Event of Default in the payment of interest on, the principal of, or premium, if any, on the Notes or any other Default specified in Section 6.06 of the Original Indenture. The Issuers and the Subsidiary Guarantors are required to deliver to the Trustee annually a statement regarding compliance with the Indenture, and the Issuers are required upon becoming aware of any Default or Event of Default, to deliver to the Trustee a statement specifying such Default or Event of Default.</w:t>
      </w:r>
    </w:p>
    <w:p>
      <w:pPr>
        <w:spacing w:after="0" w:line="190" w:lineRule="exact"/>
        <w:rPr>
          <w:rFonts w:ascii="Times New Roman" w:cs="Times New Roman" w:eastAsia="Times New Roman" w:hAnsi="Times New Roman"/>
          <w:sz w:val="18"/>
          <w:szCs w:val="18"/>
          <w:color w:val="auto"/>
        </w:rPr>
      </w:pPr>
    </w:p>
    <w:p>
      <w:pPr>
        <w:ind w:right="340" w:firstLine="921"/>
        <w:spacing w:after="0" w:line="282" w:lineRule="auto"/>
        <w:tabs>
          <w:tab w:leader="none" w:pos="117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Trustee Dealings with Issuers</w:t>
      </w:r>
      <w:r>
        <w:rPr>
          <w:rFonts w:ascii="Times New Roman" w:cs="Times New Roman" w:eastAsia="Times New Roman" w:hAnsi="Times New Roman"/>
          <w:sz w:val="18"/>
          <w:szCs w:val="18"/>
          <w:color w:val="auto"/>
        </w:rPr>
        <w:t>. The Trustee, in its individual or any other capacity, may make loans to, accept deposits from, and perform services for the Issuers or their Affiliates, and may otherwise deal with the Issuers or their Affiliates, as if it were not the Trustee.</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360"/>
          </w:cols>
          <w:pgMar w:left="240" w:top="270" w:right="299" w:bottom="1440" w:gutter="0" w:footer="0" w:header="0"/>
        </w:sectPr>
      </w:pPr>
    </w:p>
    <w:bookmarkStart w:id="38" w:name="page39"/>
    <w:bookmarkEnd w:id="38"/>
    <w:p>
      <w:pPr>
        <w:ind w:left="-20" w:firstLine="921"/>
        <w:spacing w:after="0" w:line="261" w:lineRule="auto"/>
        <w:tabs>
          <w:tab w:leader="none" w:pos="116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Recourse Against Others</w:t>
      </w:r>
      <w:r>
        <w:rPr>
          <w:rFonts w:ascii="Times New Roman" w:cs="Times New Roman" w:eastAsia="Times New Roman" w:hAnsi="Times New Roman"/>
          <w:sz w:val="18"/>
          <w:szCs w:val="18"/>
          <w:color w:val="auto"/>
        </w:rPr>
        <w:t>. The General Partner and its directors, officers, employees and members (in their capacities as such) shall not have any liability for any obligations of the Issuers under the Notes. In addition, the Managing General Partner and its directors, officers, employees and members shall not have any liability for any obligations of the Issuers under the Notes. Each Holder of Notes by accepting a Note waives and releases all such liability. The waiver and release are part of the consideration for issuance of the Notes.</w:t>
      </w:r>
    </w:p>
    <w:p>
      <w:pPr>
        <w:spacing w:after="0" w:line="180" w:lineRule="exact"/>
        <w:rPr>
          <w:rFonts w:ascii="Times New Roman" w:cs="Times New Roman" w:eastAsia="Times New Roman" w:hAnsi="Times New Roman"/>
          <w:sz w:val="18"/>
          <w:szCs w:val="18"/>
          <w:color w:val="auto"/>
        </w:rPr>
      </w:pPr>
    </w:p>
    <w:p>
      <w:pPr>
        <w:ind w:left="1180" w:hanging="279"/>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Authentication</w:t>
      </w:r>
      <w:r>
        <w:rPr>
          <w:rFonts w:ascii="Times New Roman" w:cs="Times New Roman" w:eastAsia="Times New Roman" w:hAnsi="Times New Roman"/>
          <w:sz w:val="18"/>
          <w:szCs w:val="18"/>
          <w:color w:val="auto"/>
        </w:rPr>
        <w:t>. This Note shall not be valid until authenticated by the manual signature of the Trustee or an authenticating agent.</w:t>
      </w:r>
    </w:p>
    <w:p>
      <w:pPr>
        <w:spacing w:after="0" w:line="225" w:lineRule="exact"/>
        <w:rPr>
          <w:rFonts w:ascii="Times New Roman" w:cs="Times New Roman" w:eastAsia="Times New Roman" w:hAnsi="Times New Roman"/>
          <w:sz w:val="18"/>
          <w:szCs w:val="18"/>
          <w:color w:val="auto"/>
        </w:rPr>
      </w:pPr>
    </w:p>
    <w:p>
      <w:pPr>
        <w:ind w:left="-20" w:right="20" w:firstLine="921"/>
        <w:spacing w:after="0" w:line="266" w:lineRule="auto"/>
        <w:tabs>
          <w:tab w:leader="none" w:pos="116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Abbreviations</w:t>
      </w:r>
      <w:r>
        <w:rPr>
          <w:rFonts w:ascii="Times New Roman" w:cs="Times New Roman" w:eastAsia="Times New Roman" w:hAnsi="Times New Roman"/>
          <w:sz w:val="18"/>
          <w:szCs w:val="18"/>
          <w:color w:val="auto"/>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176" w:lineRule="exact"/>
        <w:rPr>
          <w:rFonts w:ascii="Times New Roman" w:cs="Times New Roman" w:eastAsia="Times New Roman" w:hAnsi="Times New Roman"/>
          <w:sz w:val="18"/>
          <w:szCs w:val="18"/>
          <w:color w:val="auto"/>
        </w:rPr>
      </w:pPr>
    </w:p>
    <w:p>
      <w:pPr>
        <w:jc w:val="both"/>
        <w:ind w:left="-20" w:right="40" w:firstLine="921"/>
        <w:spacing w:after="0" w:line="261" w:lineRule="auto"/>
        <w:tabs>
          <w:tab w:leader="none" w:pos="116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CUSIP and ISIN Numbers</w:t>
      </w:r>
      <w:r>
        <w:rPr>
          <w:rFonts w:ascii="Times New Roman" w:cs="Times New Roman" w:eastAsia="Times New Roman" w:hAnsi="Times New Roman"/>
          <w:sz w:val="18"/>
          <w:szCs w:val="18"/>
          <w:color w:val="auto"/>
        </w:rPr>
        <w:t>. Pursuant to a recommendation promulgated by the Committee on Uniform Security Identification Procedures, the Issuers have caused CUSIP and corresponding ISIN numbers to be printed on the Notes, and the Trustee may use CUSIP and corresponding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Issuers shall furnish to any Holder upon written request and without charge a copy of the Indenture. Requests may be made to:</w:t>
      </w:r>
    </w:p>
    <w:p>
      <w:pPr>
        <w:spacing w:after="0" w:line="1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333 Clay Street, Suite 1600</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400"/>
          </w:cols>
          <w:pgMar w:left="260" w:top="270" w:right="239" w:bottom="1440" w:gutter="0" w:footer="0" w:header="0"/>
        </w:sectPr>
      </w:pPr>
    </w:p>
    <w:bookmarkStart w:id="39" w:name="page40"/>
    <w:bookmarkEnd w:id="39"/>
    <w:p>
      <w:pPr>
        <w:ind w:left="50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 (I)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617855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926465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1235075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1543685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to transfer this Note on the books of the Issuers.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-130810</wp:posOffset>
            </wp:positionV>
            <wp:extent cx="61575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-7620</wp:posOffset>
            </wp:positionV>
            <wp:extent cx="11430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3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Your Signature: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-130810</wp:posOffset>
            </wp:positionV>
            <wp:extent cx="279590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7" w:lineRule="exact"/>
        <w:rPr>
          <w:sz w:val="20"/>
          <w:szCs w:val="20"/>
          <w:color w:val="auto"/>
        </w:rPr>
      </w:pPr>
    </w:p>
    <w:p>
      <w:pPr>
        <w:ind w:left="1620" w:right="320"/>
        <w:spacing w:after="0" w:line="259" w:lineRule="auto"/>
        <w:rPr>
          <w:sz w:val="20"/>
          <w:szCs w:val="20"/>
          <w:color w:val="auto"/>
        </w:rPr>
      </w:pPr>
      <w:r>
        <w:rPr>
          <w:rFonts w:ascii="Times New Roman" w:cs="Times New Roman" w:eastAsia="Times New Roman" w:hAnsi="Times New Roman"/>
          <w:sz w:val="18"/>
          <w:szCs w:val="18"/>
          <w:color w:val="auto"/>
        </w:rPr>
        <w:t>(Signature must be guaranteed by a financial institution that is a member of the Securities Transfer Agent Medallion Program (“STAMP”), the Stock Exchange Medallion Program (“SEMP”), the New York Stock Exchange, Inc. Medallion Signature Program (“MSP”) or such other signature guarantee program as may be determined by the Registrar in addition to, or in substitution for, STAMP, SEMP or MSP, all in accordance with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-566420</wp:posOffset>
            </wp:positionV>
            <wp:extent cx="62776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77610" cy="8890"/>
                    </a:xfrm>
                    <a:prstGeom prst="rect">
                      <a:avLst/>
                    </a:prstGeom>
                    <a:noFill/>
                  </pic:spPr>
                </pic:pic>
              </a:graphicData>
            </a:graphic>
          </wp:anchor>
        </w:drawing>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420"/>
          </w:cols>
          <w:pgMar w:left="240" w:top="266" w:right="239" w:bottom="1440" w:gutter="0" w:footer="0" w:header="0"/>
        </w:sectPr>
      </w:pPr>
    </w:p>
    <w:bookmarkStart w:id="40" w:name="page41"/>
    <w:bookmarkEnd w:id="40"/>
    <w:tbl>
      <w:tblPr>
        <w:tblLayout w:type="fixed"/>
        <w:tblInd w:w="452"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680" w:type="dxa"/>
            <w:vAlign w:val="bottom"/>
            <w:gridSpan w:val="10"/>
          </w:tcPr>
          <w:p>
            <w:pPr>
              <w:ind w:left="200"/>
              <w:spacing w:after="0"/>
              <w:rPr>
                <w:sz w:val="20"/>
                <w:szCs w:val="20"/>
                <w:color w:val="auto"/>
              </w:rPr>
            </w:pPr>
            <w:r>
              <w:rPr>
                <w:rFonts w:ascii="Times New Roman" w:cs="Times New Roman" w:eastAsia="Times New Roman" w:hAnsi="Times New Roman"/>
                <w:sz w:val="18"/>
                <w:szCs w:val="18"/>
                <w:b w:val="1"/>
                <w:bCs w:val="1"/>
                <w:color w:val="auto"/>
              </w:rPr>
              <w:t>SCHEDULE OF INCREASES OR DECREASES IN THE GLOBAL NOTE</w:t>
            </w:r>
            <w:r>
              <w:rPr>
                <w:rFonts w:ascii="Times New Roman" w:cs="Times New Roman" w:eastAsia="Times New Roman" w:hAnsi="Times New Roman"/>
                <w:sz w:val="15"/>
                <w:szCs w:val="15"/>
                <w:b w:val="1"/>
                <w:bCs w:val="1"/>
                <w:color w:val="auto"/>
              </w:rPr>
              <w:t>3</w:t>
            </w: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original principal amount of this Global Note is $</w:t>
            </w:r>
          </w:p>
        </w:tc>
        <w:tc>
          <w:tcPr>
            <w:tcW w:w="300" w:type="dxa"/>
            <w:vAlign w:val="bottom"/>
          </w:tcPr>
          <w:p>
            <w:pPr>
              <w:spacing w:after="0"/>
              <w:rPr>
                <w:sz w:val="24"/>
                <w:szCs w:val="24"/>
                <w:color w:val="auto"/>
              </w:rPr>
            </w:pPr>
          </w:p>
        </w:tc>
        <w:tc>
          <w:tcPr>
            <w:tcW w:w="586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 The following increases or decreases in this Global Note have been made:</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8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gridSpan w:val="3"/>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800" w:type="dxa"/>
            <w:vAlign w:val="bottom"/>
          </w:tcPr>
          <w:p>
            <w:pPr>
              <w:spacing w:after="0"/>
              <w:rPr>
                <w:sz w:val="24"/>
                <w:szCs w:val="24"/>
                <w:color w:val="auto"/>
              </w:rPr>
            </w:pPr>
          </w:p>
        </w:tc>
        <w:tc>
          <w:tcPr>
            <w:tcW w:w="180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520" w:type="dxa"/>
            <w:vAlign w:val="bottom"/>
            <w:gridSpan w:val="3"/>
            <w:vMerge w:val="restart"/>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Signature of</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40" w:type="dxa"/>
            <w:vAlign w:val="bottom"/>
            <w:gridSpan w:val="3"/>
          </w:tcPr>
          <w:p>
            <w:pPr>
              <w:jc w:val="center"/>
              <w:ind w:right="1040"/>
              <w:spacing w:after="0" w:line="149" w:lineRule="exact"/>
              <w:rPr>
                <w:sz w:val="20"/>
                <w:szCs w:val="20"/>
                <w:color w:val="auto"/>
              </w:rPr>
            </w:pPr>
            <w:r>
              <w:rPr>
                <w:rFonts w:ascii="Times New Roman" w:cs="Times New Roman" w:eastAsia="Times New Roman" w:hAnsi="Times New Roman"/>
                <w:sz w:val="14"/>
                <w:szCs w:val="14"/>
                <w:b w:val="1"/>
                <w:bCs w:val="1"/>
                <w:color w:val="auto"/>
              </w:rPr>
              <w:t>decrease in</w:t>
            </w:r>
          </w:p>
        </w:tc>
        <w:tc>
          <w:tcPr>
            <w:tcW w:w="300" w:type="dxa"/>
            <w:vAlign w:val="bottom"/>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800" w:type="dxa"/>
            <w:vAlign w:val="bottom"/>
          </w:tcPr>
          <w:p>
            <w:pPr>
              <w:spacing w:after="0"/>
              <w:rPr>
                <w:sz w:val="12"/>
                <w:szCs w:val="12"/>
                <w:color w:val="auto"/>
              </w:rPr>
            </w:pPr>
          </w:p>
        </w:tc>
        <w:tc>
          <w:tcPr>
            <w:tcW w:w="1800" w:type="dxa"/>
            <w:vAlign w:val="bottom"/>
            <w:gridSpan w:val="2"/>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15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40" w:type="dxa"/>
            <w:vAlign w:val="bottom"/>
            <w:gridSpan w:val="3"/>
          </w:tcPr>
          <w:p>
            <w:pPr>
              <w:jc w:val="center"/>
              <w:ind w:right="104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300" w:type="dxa"/>
            <w:vAlign w:val="bottom"/>
          </w:tcPr>
          <w:p>
            <w:pPr>
              <w:spacing w:after="0"/>
              <w:rPr>
                <w:sz w:val="12"/>
                <w:szCs w:val="12"/>
                <w:color w:val="auto"/>
              </w:rPr>
            </w:pPr>
          </w:p>
        </w:tc>
        <w:tc>
          <w:tcPr>
            <w:tcW w:w="1740" w:type="dxa"/>
            <w:vAlign w:val="bottom"/>
            <w:gridSpan w:val="3"/>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increase in</w:t>
            </w:r>
          </w:p>
        </w:tc>
        <w:tc>
          <w:tcPr>
            <w:tcW w:w="26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this Global Note</w:t>
            </w:r>
          </w:p>
        </w:tc>
        <w:tc>
          <w:tcPr>
            <w:tcW w:w="1520" w:type="dxa"/>
            <w:vAlign w:val="bottom"/>
            <w:gridSpan w:val="3"/>
          </w:tcPr>
          <w:p>
            <w:pPr>
              <w:jc w:val="center"/>
              <w:ind w:left="488"/>
              <w:spacing w:after="0" w:line="149"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340" w:type="dxa"/>
            <w:vAlign w:val="bottom"/>
          </w:tcPr>
          <w:p>
            <w:pPr>
              <w:spacing w:after="0"/>
              <w:rPr>
                <w:sz w:val="12"/>
                <w:szCs w:val="12"/>
                <w:color w:val="auto"/>
              </w:rPr>
            </w:pPr>
          </w:p>
        </w:tc>
        <w:tc>
          <w:tcPr>
            <w:tcW w:w="2040" w:type="dxa"/>
            <w:vAlign w:val="bottom"/>
            <w:gridSpan w:val="3"/>
          </w:tcPr>
          <w:p>
            <w:pPr>
              <w:jc w:val="center"/>
              <w:ind w:right="104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40" w:type="dxa"/>
            <w:vAlign w:val="bottom"/>
            <w:gridSpan w:val="4"/>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6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following such</w:t>
            </w:r>
          </w:p>
        </w:tc>
        <w:tc>
          <w:tcPr>
            <w:tcW w:w="1520" w:type="dxa"/>
            <w:vAlign w:val="bottom"/>
            <w:gridSpan w:val="3"/>
          </w:tcPr>
          <w:p>
            <w:pPr>
              <w:jc w:val="center"/>
              <w:ind w:left="488"/>
              <w:spacing w:after="0" w:line="149" w:lineRule="exact"/>
              <w:rPr>
                <w:sz w:val="20"/>
                <w:szCs w:val="20"/>
                <w:color w:val="auto"/>
              </w:rPr>
            </w:pPr>
            <w:r>
              <w:rPr>
                <w:rFonts w:ascii="Times New Roman" w:cs="Times New Roman" w:eastAsia="Times New Roman" w:hAnsi="Times New Roman"/>
                <w:sz w:val="14"/>
                <w:szCs w:val="14"/>
                <w:b w:val="1"/>
                <w:bCs w:val="1"/>
                <w:color w:val="auto"/>
              </w:rPr>
              <w:t>signatory of</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2040" w:type="dxa"/>
            <w:vAlign w:val="bottom"/>
            <w:gridSpan w:val="3"/>
          </w:tcPr>
          <w:p>
            <w:pPr>
              <w:jc w:val="center"/>
              <w:ind w:right="10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tcPr>
          <w:p>
            <w:pPr>
              <w:jc w:val="center"/>
              <w:ind w:right="1100"/>
              <w:spacing w:after="0" w:line="149" w:lineRule="exact"/>
              <w:rPr>
                <w:sz w:val="20"/>
                <w:szCs w:val="20"/>
                <w:color w:val="auto"/>
              </w:rPr>
            </w:pPr>
            <w:r>
              <w:rPr>
                <w:rFonts w:ascii="Times New Roman" w:cs="Times New Roman" w:eastAsia="Times New Roman" w:hAnsi="Times New Roman"/>
                <w:sz w:val="14"/>
                <w:szCs w:val="14"/>
                <w:b w:val="1"/>
                <w:bCs w:val="1"/>
                <w:color w:val="auto"/>
                <w:w w:val="85"/>
              </w:rPr>
              <w:t>of</w:t>
            </w:r>
          </w:p>
        </w:tc>
        <w:tc>
          <w:tcPr>
            <w:tcW w:w="800" w:type="dxa"/>
            <w:vAlign w:val="bottom"/>
          </w:tcPr>
          <w:p>
            <w:pPr>
              <w:spacing w:after="0"/>
              <w:rPr>
                <w:sz w:val="12"/>
                <w:szCs w:val="12"/>
                <w:color w:val="auto"/>
              </w:rPr>
            </w:pPr>
          </w:p>
        </w:tc>
        <w:tc>
          <w:tcPr>
            <w:tcW w:w="1800" w:type="dxa"/>
            <w:vAlign w:val="bottom"/>
            <w:gridSpan w:val="2"/>
          </w:tcPr>
          <w:p>
            <w:pPr>
              <w:jc w:val="center"/>
              <w:ind w:right="100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520" w:type="dxa"/>
            <w:vAlign w:val="bottom"/>
            <w:gridSpan w:val="3"/>
          </w:tcPr>
          <w:p>
            <w:pPr>
              <w:jc w:val="center"/>
              <w:ind w:left="488"/>
              <w:spacing w:after="0" w:line="149" w:lineRule="exact"/>
              <w:rPr>
                <w:sz w:val="20"/>
                <w:szCs w:val="20"/>
                <w:color w:val="auto"/>
              </w:rPr>
            </w:pPr>
            <w:r>
              <w:rPr>
                <w:rFonts w:ascii="Times New Roman" w:cs="Times New Roman" w:eastAsia="Times New Roman" w:hAnsi="Times New Roman"/>
                <w:sz w:val="14"/>
                <w:szCs w:val="14"/>
                <w:b w:val="1"/>
                <w:bCs w:val="1"/>
                <w:color w:val="auto"/>
              </w:rPr>
              <w:t>Trustee or Note</w:t>
            </w:r>
          </w:p>
        </w:tc>
        <w:tc>
          <w:tcPr>
            <w:tcW w:w="0" w:type="dxa"/>
            <w:vAlign w:val="bottom"/>
          </w:tcPr>
          <w:p>
            <w:pPr>
              <w:spacing w:after="0"/>
              <w:rPr>
                <w:sz w:val="1"/>
                <w:szCs w:val="1"/>
                <w:color w:val="auto"/>
              </w:rPr>
            </w:pPr>
          </w:p>
        </w:tc>
      </w:tr>
      <w:tr>
        <w:trPr>
          <w:trHeight w:val="173"/>
        </w:trPr>
        <w:tc>
          <w:tcPr>
            <w:tcW w:w="16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Exchange</w:t>
            </w:r>
          </w:p>
        </w:tc>
        <w:tc>
          <w:tcPr>
            <w:tcW w:w="1340" w:type="dxa"/>
            <w:vAlign w:val="bottom"/>
          </w:tcPr>
          <w:p>
            <w:pPr>
              <w:spacing w:after="0"/>
              <w:rPr>
                <w:sz w:val="15"/>
                <w:szCs w:val="15"/>
                <w:color w:val="auto"/>
              </w:rPr>
            </w:pPr>
          </w:p>
        </w:tc>
        <w:tc>
          <w:tcPr>
            <w:tcW w:w="2040" w:type="dxa"/>
            <w:vAlign w:val="bottom"/>
            <w:gridSpan w:val="3"/>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this Global Note</w:t>
            </w:r>
          </w:p>
        </w:tc>
        <w:tc>
          <w:tcPr>
            <w:tcW w:w="20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this Global Note</w:t>
            </w:r>
          </w:p>
        </w:tc>
        <w:tc>
          <w:tcPr>
            <w:tcW w:w="800" w:type="dxa"/>
            <w:vAlign w:val="bottom"/>
          </w:tcPr>
          <w:p>
            <w:pPr>
              <w:spacing w:after="0"/>
              <w:rPr>
                <w:sz w:val="15"/>
                <w:szCs w:val="15"/>
                <w:color w:val="auto"/>
              </w:rPr>
            </w:pPr>
          </w:p>
        </w:tc>
        <w:tc>
          <w:tcPr>
            <w:tcW w:w="180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(or increase)</w:t>
            </w:r>
          </w:p>
        </w:tc>
        <w:tc>
          <w:tcPr>
            <w:tcW w:w="720" w:type="dxa"/>
            <w:vAlign w:val="bottom"/>
          </w:tcPr>
          <w:p>
            <w:pPr>
              <w:spacing w:after="0"/>
              <w:rPr>
                <w:sz w:val="15"/>
                <w:szCs w:val="15"/>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Custodian</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102870</wp:posOffset>
            </wp:positionV>
            <wp:extent cx="728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452" w:hanging="452"/>
        <w:spacing w:after="0"/>
        <w:tabs>
          <w:tab w:leader="none" w:pos="452"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To be included only if the Note is issued in global form.</w:t>
      </w:r>
    </w:p>
    <w:p>
      <w:pPr>
        <w:spacing w:after="0" w:line="158" w:lineRule="exact"/>
        <w:rPr>
          <w:sz w:val="20"/>
          <w:szCs w:val="20"/>
          <w:color w:val="auto"/>
        </w:rPr>
      </w:pPr>
    </w:p>
    <w:p>
      <w:pPr>
        <w:ind w:left="5572"/>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0752"/>
          </w:cols>
          <w:pgMar w:left="248" w:top="266" w:right="89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EXHIBIT B</w:t>
            </w:r>
          </w:p>
        </w:tc>
      </w:tr>
      <w:tr>
        <w:trPr>
          <w:trHeight w:val="453"/>
        </w:trPr>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30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FORM OF SUPPLEMENTAL INDENTURE</w:t>
            </w:r>
          </w:p>
        </w:tc>
        <w:tc>
          <w:tcPr>
            <w:tcW w:w="2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92"/>
        </w:trPr>
        <w:tc>
          <w:tcPr>
            <w:tcW w:w="820" w:type="dxa"/>
            <w:vAlign w:val="bottom"/>
          </w:tcPr>
          <w:p>
            <w:pPr>
              <w:spacing w:after="0"/>
              <w:rPr>
                <w:sz w:val="24"/>
                <w:szCs w:val="24"/>
                <w:color w:val="auto"/>
              </w:rPr>
            </w:pPr>
          </w:p>
        </w:tc>
        <w:tc>
          <w:tcPr>
            <w:tcW w:w="5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SUPPLEMENTAL INDENTURE (this “Supplemental Indenture”), dated as of</w:t>
            </w:r>
          </w:p>
        </w:tc>
        <w:tc>
          <w:tcPr>
            <w:tcW w:w="1080" w:type="dxa"/>
            <w:vAlign w:val="bottom"/>
            <w:tcBorders>
              <w:bottom w:val="single" w:sz="8" w:color="auto"/>
            </w:tcBorders>
          </w:tcPr>
          <w:p>
            <w:pPr>
              <w:spacing w:after="0"/>
              <w:rPr>
                <w:sz w:val="24"/>
                <w:szCs w:val="24"/>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among Plains All American Pipeline, L.P., a</w:t>
            </w:r>
          </w:p>
        </w:tc>
      </w:tr>
      <w:tr>
        <w:trPr>
          <w:trHeight w:val="218"/>
        </w:trPr>
        <w:tc>
          <w:tcPr>
            <w:tcW w:w="11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Delaware limited partnership (the “Partnership”), PAA Finance Corp., a Delaware corporation (“PAA Finance” and, together with the Partnership, the</w:t>
            </w:r>
          </w:p>
        </w:tc>
      </w:tr>
      <w:tr>
        <w:trPr>
          <w:trHeight w:val="194"/>
        </w:trPr>
        <w:tc>
          <w:tcPr>
            <w:tcW w:w="8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“Issuers”),</w:t>
            </w:r>
          </w:p>
        </w:tc>
        <w:tc>
          <w:tcPr>
            <w:tcW w:w="1620" w:type="dxa"/>
            <w:vAlign w:val="bottom"/>
            <w:tcBorders>
              <w:bottom w:val="single" w:sz="8" w:color="auto"/>
            </w:tcBorders>
          </w:tcPr>
          <w:p>
            <w:pPr>
              <w:spacing w:after="0"/>
              <w:rPr>
                <w:sz w:val="16"/>
                <w:szCs w:val="16"/>
                <w:color w:val="auto"/>
              </w:rPr>
            </w:pPr>
          </w:p>
        </w:tc>
        <w:tc>
          <w:tcPr>
            <w:tcW w:w="8980" w:type="dxa"/>
            <w:vAlign w:val="bottom"/>
            <w:gridSpan w:val="4"/>
          </w:tcPr>
          <w:p>
            <w:pPr>
              <w:ind w:left="40"/>
              <w:spacing w:after="0" w:line="194" w:lineRule="exact"/>
              <w:rPr>
                <w:sz w:val="20"/>
                <w:szCs w:val="20"/>
                <w:color w:val="auto"/>
              </w:rPr>
            </w:pPr>
            <w:r>
              <w:rPr>
                <w:rFonts w:ascii="Times New Roman" w:cs="Times New Roman" w:eastAsia="Times New Roman" w:hAnsi="Times New Roman"/>
                <w:sz w:val="18"/>
                <w:szCs w:val="18"/>
                <w:color w:val="auto"/>
              </w:rPr>
              <w:t>(the “Subsidiary Guarantor”), a direct or indirect subsidiary of Plains All American Pipeline, L.P. (or its successor), a</w:t>
            </w:r>
          </w:p>
        </w:tc>
      </w:tr>
    </w:tbl>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Delaware limited partnership (the “Partnership”), and U.S. Bank National Association, as trustee under the indenture referred to below (the “Trustee”).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right="60" w:firstLine="913"/>
        <w:spacing w:after="0" w:line="261" w:lineRule="auto"/>
        <w:rPr>
          <w:sz w:val="20"/>
          <w:szCs w:val="20"/>
          <w:color w:val="auto"/>
        </w:rPr>
      </w:pPr>
      <w:r>
        <w:rPr>
          <w:rFonts w:ascii="Times New Roman" w:cs="Times New Roman" w:eastAsia="Times New Roman" w:hAnsi="Times New Roman"/>
          <w:sz w:val="18"/>
          <w:szCs w:val="18"/>
          <w:color w:val="auto"/>
        </w:rPr>
        <w:t>WHEREAS, the Issuers have heretofore executed and delivered to the Trustee an indenture (the “Original Indenture”), dated as of September 25, 2002, as supplemented by the Twenty-Ninth Supplemental Indenture (the “Twenty-Ninth Supplemental Indenture” and, together with the Original Indenture, the “Indenture”) dated as of August 24, 2015, among the Issuers and the Trustee, providing for the issuance of the Issuers’ 4.65% Senior Notes due 2025 (the “Notes”);</w:t>
      </w:r>
    </w:p>
    <w:p>
      <w:pPr>
        <w:spacing w:after="0" w:line="180" w:lineRule="exact"/>
        <w:rPr>
          <w:sz w:val="20"/>
          <w:szCs w:val="20"/>
          <w:color w:val="auto"/>
        </w:rPr>
      </w:pPr>
    </w:p>
    <w:p>
      <w:pPr>
        <w:ind w:right="200" w:firstLine="913"/>
        <w:spacing w:after="0" w:line="266" w:lineRule="auto"/>
        <w:rPr>
          <w:sz w:val="20"/>
          <w:szCs w:val="20"/>
          <w:color w:val="auto"/>
        </w:rPr>
      </w:pPr>
      <w:r>
        <w:rPr>
          <w:rFonts w:ascii="Times New Roman" w:cs="Times New Roman" w:eastAsia="Times New Roman" w:hAnsi="Times New Roman"/>
          <w:sz w:val="18"/>
          <w:szCs w:val="18"/>
          <w:color w:val="auto"/>
        </w:rPr>
        <w:t>WHEREAS, Section 5.05 of the Twenty-Ninth Supplemental Indenture provides that under certain circumstances the Partnership is required to cause the Subsidiary Guarantor to execute and deliver to the Trustee a supplemental indenture pursuant to which the Subsidiary Guarantor shall unconditionally guarantee all of the Issuers’ obligations under the Notes pursuant to a Guarantee on the terms and conditions set forth herein; and</w:t>
      </w:r>
    </w:p>
    <w:p>
      <w:pPr>
        <w:spacing w:after="0" w:line="176" w:lineRule="exact"/>
        <w:rPr>
          <w:sz w:val="20"/>
          <w:szCs w:val="20"/>
          <w:color w:val="auto"/>
        </w:rPr>
      </w:pPr>
    </w:p>
    <w:p>
      <w:pPr>
        <w:ind w:right="940" w:firstLine="913"/>
        <w:spacing w:after="0" w:line="282" w:lineRule="auto"/>
        <w:rPr>
          <w:sz w:val="20"/>
          <w:szCs w:val="20"/>
          <w:color w:val="auto"/>
        </w:rPr>
      </w:pPr>
      <w:r>
        <w:rPr>
          <w:rFonts w:ascii="Times New Roman" w:cs="Times New Roman" w:eastAsia="Times New Roman" w:hAnsi="Times New Roman"/>
          <w:sz w:val="18"/>
          <w:szCs w:val="18"/>
          <w:color w:val="auto"/>
        </w:rPr>
        <w:t>WHEREAS, pursuant to Section 9.01 of the Original Indenture, the Issuers and the Trustee are authorized to execute and deliver this Supplemental Indenture;</w:t>
      </w:r>
    </w:p>
    <w:p>
      <w:pPr>
        <w:spacing w:after="0" w:line="162" w:lineRule="exact"/>
        <w:rPr>
          <w:sz w:val="20"/>
          <w:szCs w:val="20"/>
          <w:color w:val="auto"/>
        </w:rPr>
      </w:pPr>
    </w:p>
    <w:p>
      <w:pPr>
        <w:ind w:right="60" w:firstLine="913"/>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Issuers, the Subsidiary Guarantor and the Trustee mutually covenant and agree for the equal and ratable benefit of the holders of the Notes as follows:</w:t>
      </w:r>
    </w:p>
    <w:p>
      <w:pPr>
        <w:spacing w:after="0" w:line="68" w:lineRule="exact"/>
        <w:rPr>
          <w:sz w:val="20"/>
          <w:szCs w:val="20"/>
          <w:color w:val="auto"/>
        </w:rPr>
      </w:pPr>
    </w:p>
    <w:p>
      <w:pPr>
        <w:ind w:left="1100" w:hanging="179"/>
        <w:spacing w:after="0"/>
        <w:tabs>
          <w:tab w:leader="none" w:pos="11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p>
    <w:p>
      <w:pPr>
        <w:spacing w:after="0" w:line="117" w:lineRule="exact"/>
        <w:rPr>
          <w:sz w:val="20"/>
          <w:szCs w:val="20"/>
          <w:color w:val="auto"/>
        </w:rPr>
      </w:pPr>
    </w:p>
    <w:p>
      <w:pPr>
        <w:ind w:left="1160" w:hanging="239"/>
        <w:spacing w:after="0"/>
        <w:tabs>
          <w:tab w:leader="none" w:pos="11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used herein without definition shall have the meanings assigned to them in the Indenture.</w:t>
      </w:r>
    </w:p>
    <w:p>
      <w:pPr>
        <w:spacing w:after="0" w:line="117"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purposes of this Supplemental Indenture, except as otherwise herein expressly provided or unless the context otherwise requires:</w:t>
      </w:r>
    </w:p>
    <w:p>
      <w:pPr>
        <w:spacing w:after="0" w:line="2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expressions used herein shall have the same meanings as corresponding terms and expressions used in the Indenture; and (ii) the words</w:t>
      </w:r>
    </w:p>
    <w:p>
      <w:pPr>
        <w:spacing w:after="0" w:line="9" w:lineRule="exact"/>
        <w:rPr>
          <w:rFonts w:ascii="Times New Roman" w:cs="Times New Roman" w:eastAsia="Times New Roman" w:hAnsi="Times New Roman"/>
          <w:sz w:val="18"/>
          <w:szCs w:val="18"/>
          <w:color w:val="auto"/>
        </w:rPr>
      </w:pPr>
    </w:p>
    <w:p>
      <w:pPr>
        <w:ind w:right="2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 “hereof” and “hereby” and other words of similar import used in this Supplemental Indenture refer to this Supplemental Indenture as a whole and not to any particular section hereof.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420"/>
          </w:cols>
          <w:pgMar w:left="240" w:top="257" w:right="239" w:bottom="1440" w:gutter="0" w:footer="0" w:header="0"/>
        </w:sectPr>
      </w:pPr>
    </w:p>
    <w:bookmarkStart w:id="42" w:name="page43"/>
    <w:bookmarkEnd w:id="42"/>
    <w:p>
      <w:pPr>
        <w:ind w:right="200" w:firstLine="921"/>
        <w:spacing w:after="0" w:line="258" w:lineRule="auto"/>
        <w:tabs>
          <w:tab w:leader="none" w:pos="109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to Guarantee.</w:t>
      </w:r>
      <w:r>
        <w:rPr>
          <w:rFonts w:ascii="Times New Roman" w:cs="Times New Roman" w:eastAsia="Times New Roman" w:hAnsi="Times New Roman"/>
          <w:sz w:val="18"/>
          <w:szCs w:val="18"/>
          <w:color w:val="auto"/>
        </w:rPr>
        <w:t xml:space="preserve"> The Subsidiary Guarantor hereby agrees, jointly and severally with all other Subsidiary Guarantors under the Indenture, if any, to guarantee the Issuers’ obligations under the Notes on the terms and subject to the conditions set forth in Article IX of the Twenty-Ninth Supplemental Indenture and to be bound by all other applicable provisions of the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179" w:lineRule="exact"/>
        <w:rPr>
          <w:rFonts w:ascii="Times New Roman" w:cs="Times New Roman" w:eastAsia="Times New Roman" w:hAnsi="Times New Roman"/>
          <w:sz w:val="18"/>
          <w:szCs w:val="18"/>
          <w:color w:val="auto"/>
        </w:rPr>
      </w:pPr>
    </w:p>
    <w:p>
      <w:pPr>
        <w:ind w:right="20" w:firstLine="921"/>
        <w:spacing w:after="0" w:line="286" w:lineRule="auto"/>
        <w:tabs>
          <w:tab w:leader="none" w:pos="109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THIS SUPPLEMENTAL INDENTURE SHALL BE DEEMED TO BE A NEW YORK CONTRACT, AND FOR ALL PURPOSES SHALL BE CONSTRUED IN ACCORDANCE WITH, THE LAWS OF THE STATE OF NEW YORK.</w:t>
      </w:r>
    </w:p>
    <w:p>
      <w:pPr>
        <w:spacing w:after="0" w:line="158" w:lineRule="exact"/>
        <w:rPr>
          <w:rFonts w:ascii="Times New Roman" w:cs="Times New Roman" w:eastAsia="Times New Roman" w:hAnsi="Times New Roman"/>
          <w:sz w:val="18"/>
          <w:szCs w:val="18"/>
          <w:color w:val="auto"/>
        </w:rPr>
      </w:pPr>
    </w:p>
    <w:p>
      <w:pPr>
        <w:ind w:left="1100" w:hanging="179"/>
        <w:spacing w:after="0"/>
        <w:tabs>
          <w:tab w:leader="none" w:pos="11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Trustee Makes No Representation.</w:t>
      </w:r>
      <w:r>
        <w:rPr>
          <w:rFonts w:ascii="Times New Roman" w:cs="Times New Roman" w:eastAsia="Times New Roman" w:hAnsi="Times New Roman"/>
          <w:sz w:val="18"/>
          <w:szCs w:val="18"/>
          <w:color w:val="auto"/>
        </w:rPr>
        <w:t xml:space="preserve"> The Trustee makes no representation as to the validity or sufficiency of this Supplemental Indenture.</w:t>
      </w:r>
    </w:p>
    <w:p>
      <w:pPr>
        <w:spacing w:after="0" w:line="225" w:lineRule="exact"/>
        <w:rPr>
          <w:rFonts w:ascii="Times New Roman" w:cs="Times New Roman" w:eastAsia="Times New Roman" w:hAnsi="Times New Roman"/>
          <w:sz w:val="18"/>
          <w:szCs w:val="18"/>
          <w:color w:val="auto"/>
        </w:rPr>
      </w:pPr>
    </w:p>
    <w:p>
      <w:pPr>
        <w:ind w:firstLine="921"/>
        <w:spacing w:after="0" w:line="282" w:lineRule="auto"/>
        <w:tabs>
          <w:tab w:leader="none" w:pos="109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The parties may sign any number of copies of this Supplemental Indenture. Each signed copy shall be an original, but all of them together represent the same agreement.</w:t>
      </w:r>
    </w:p>
    <w:p>
      <w:pPr>
        <w:spacing w:after="0" w:line="161" w:lineRule="exact"/>
        <w:rPr>
          <w:rFonts w:ascii="Times New Roman" w:cs="Times New Roman" w:eastAsia="Times New Roman" w:hAnsi="Times New Roman"/>
          <w:sz w:val="18"/>
          <w:szCs w:val="18"/>
          <w:color w:val="auto"/>
        </w:rPr>
      </w:pPr>
    </w:p>
    <w:p>
      <w:pPr>
        <w:ind w:left="1100" w:hanging="179"/>
        <w:spacing w:after="0"/>
        <w:tabs>
          <w:tab w:leader="none" w:pos="11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xml:space="preserve"> The Section headings herein are for convenience only and shall not effect the construction thereof.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420"/>
          </w:cols>
          <w:pgMar w:left="240" w:top="270"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Supplemental Indenture to be duly executed as of the date first above written.</w:t>
      </w:r>
    </w:p>
    <w:p>
      <w:pPr>
        <w:spacing w:after="0" w:line="26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By: PAA GP LLC, its General Partner</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By: Plains AAP, L.P., its Sole Member</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By: Plains All American GP LLC, its General</w:t>
      </w:r>
    </w:p>
    <w:p>
      <w:pPr>
        <w:spacing w:after="0" w:line="2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Partner</w:t>
      </w:r>
    </w:p>
    <w:p>
      <w:pPr>
        <w:spacing w:after="0" w:line="22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17145</wp:posOffset>
            </wp:positionV>
            <wp:extent cx="24872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jc w:val="center"/>
        <w:ind w:left="398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PAA FINANCE CORP.</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17145</wp:posOffset>
            </wp:positionV>
            <wp:extent cx="26587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[SUBSIDIARY GUARANTOR],</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17145</wp:posOffset>
            </wp:positionV>
            <wp:extent cx="26587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U.S. BANK NATIONAL ASSOCIATION, as</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Trustee</w:t>
      </w:r>
    </w:p>
    <w:p>
      <w:pPr>
        <w:spacing w:after="0" w:line="22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17145</wp:posOffset>
            </wp:positionV>
            <wp:extent cx="265874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B-3</w:t>
      </w:r>
    </w:p>
    <w:sectPr>
      <w:pgSz w:w="11900" w:h="16838" w:orient="portrait"/>
      <w:cols w:equalWidth="0" w:num="1">
        <w:col w:w="10100"/>
      </w:cols>
      <w:pgMar w:left="1160" w:top="270"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lvl w:ilvl="1">
      <w:lvlJc w:val="left"/>
      <w:lvlText w:val="•"/>
      <w:numFmt w:val="bullet"/>
      <w:start w:val="1"/>
    </w:lvl>
  </w:abstractNum>
  <w:abstractNum w:abstractNumId="2">
    <w:nsid w:val="721DA317"/>
    <w:multiLevelType w:val="hybridMultilevel"/>
    <w:lvl w:ilvl="0">
      <w:lvlJc w:val="left"/>
      <w:lvlText w:val="(%1)"/>
      <w:numFmt w:val="lowerLetter"/>
      <w:start w:val="1"/>
    </w:lvl>
  </w:abstractNum>
  <w:abstractNum w:abstractNumId="3">
    <w:nsid w:val="2443A858"/>
    <w:multiLevelType w:val="hybridMultilevel"/>
    <w:lvl w:ilvl="0">
      <w:lvlJc w:val="left"/>
      <w:lvlText w:val="(%1)"/>
      <w:numFmt w:val="lowerLetter"/>
      <w:start w:val="2"/>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11"/>
    </w:lvl>
  </w:abstractNum>
  <w:abstractNum w:abstractNumId="6">
    <w:nsid w:val="75A2A8D4"/>
    <w:multiLevelType w:val="hybridMultilevel"/>
    <w:lvl w:ilvl="0">
      <w:lvlJc w:val="left"/>
      <w:lvlText w:val="(%1)"/>
      <w:numFmt w:val="decimal"/>
      <w:start w:val="18"/>
    </w:lvl>
  </w:abstractNum>
  <w:abstractNum w:abstractNumId="7">
    <w:nsid w:val="8EDBDAB"/>
    <w:multiLevelType w:val="hybridMultilevel"/>
    <w:lvl w:ilvl="0">
      <w:lvlJc w:val="left"/>
      <w:lvlText w:val="(%1)"/>
      <w:numFmt w:val="decimal"/>
      <w:start w:val="2"/>
    </w:lvl>
  </w:abstractNum>
  <w:abstractNum w:abstractNumId="8">
    <w:nsid w:val="79838CB2"/>
    <w:multiLevelType w:val="hybridMultilevel"/>
    <w:lvl w:ilvl="0">
      <w:lvlJc w:val="left"/>
      <w:lvlText w:val="(%1)"/>
      <w:numFmt w:val="decimal"/>
      <w:start w:val="2"/>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lowerLetter"/>
      <w:start w:val="1"/>
    </w:lvl>
  </w:abstractNum>
  <w:abstractNum w:abstractNumId="11">
    <w:nsid w:val="189A769B"/>
    <w:multiLevelType w:val="hybridMultilevel"/>
    <w:lvl w:ilvl="0">
      <w:lvlJc w:val="left"/>
      <w:lvlText w:val="(%1)"/>
      <w:numFmt w:val="lowerLetter"/>
      <w:start w:val="1"/>
    </w:lvl>
  </w:abstractNum>
  <w:abstractNum w:abstractNumId="12">
    <w:nsid w:val="54E49EB4"/>
    <w:multiLevelType w:val="hybridMultilevel"/>
    <w:lvl w:ilvl="0">
      <w:lvlJc w:val="left"/>
      <w:lvlText w:val="(%1)"/>
      <w:numFmt w:val="lowerLetter"/>
      <w:start w:val="1"/>
    </w:lvl>
  </w:abstractNum>
  <w:abstractNum w:abstractNumId="13">
    <w:nsid w:val="71F32454"/>
    <w:multiLevelType w:val="hybridMultilevel"/>
    <w:lvl w:ilvl="0">
      <w:lvlJc w:val="left"/>
      <w:lvlText w:val="(%1)"/>
      <w:numFmt w:val="lowerRoman"/>
      <w:start w:val="1"/>
    </w:lvl>
  </w:abstractNum>
  <w:abstractNum w:abstractNumId="14">
    <w:nsid w:val="2CA88611"/>
    <w:multiLevelType w:val="hybridMultilevel"/>
    <w:lvl w:ilvl="0">
      <w:lvlJc w:val="left"/>
      <w:lvlText w:val="(%1)"/>
      <w:numFmt w:val="lowerLetter"/>
      <w:start w:val="1"/>
    </w:lvl>
  </w:abstractNum>
  <w:abstractNum w:abstractNumId="15">
    <w:nsid w:val="836C40E"/>
    <w:multiLevelType w:val="hybridMultilevel"/>
    <w:lvl w:ilvl="0">
      <w:lvlJc w:val="left"/>
      <w:lvlText w:val="(%1)"/>
      <w:numFmt w:val="lowerLetter"/>
      <w:start w:val="1"/>
    </w:lvl>
  </w:abstractNum>
  <w:abstractNum w:abstractNumId="16">
    <w:nsid w:val="2901D82"/>
    <w:multiLevelType w:val="hybridMultilevel"/>
    <w:lvl w:ilvl="0">
      <w:lvlJc w:val="left"/>
      <w:lvlText w:val="(%1)"/>
      <w:numFmt w:val="lowerLetter"/>
      <w:start w:val="1"/>
    </w:lvl>
    <w:lvl w:ilvl="1">
      <w:lvlJc w:val="left"/>
      <w:lvlText w:val="(%2)"/>
      <w:numFmt w:val="lowerRoman"/>
      <w:start w:val="1"/>
    </w:lvl>
  </w:abstractNum>
  <w:abstractNum w:abstractNumId="17">
    <w:nsid w:val="3A95F874"/>
    <w:multiLevelType w:val="hybridMultilevel"/>
    <w:lvl w:ilvl="0">
      <w:lvlJc w:val="left"/>
      <w:lvlText w:val="(%1)"/>
      <w:numFmt w:val="lowerRoman"/>
      <w:start w:val="6"/>
    </w:lvl>
    <w:lvl w:ilvl="1">
      <w:lvlJc w:val="left"/>
      <w:lvlText w:val="(%2)"/>
      <w:numFmt w:val="upperLetter"/>
      <w:start w:val="1"/>
    </w:lvl>
  </w:abstractNum>
  <w:abstractNum w:abstractNumId="18">
    <w:nsid w:val="8138641"/>
    <w:multiLevelType w:val="hybridMultilevel"/>
    <w:lvl w:ilvl="0">
      <w:lvlJc w:val="left"/>
      <w:lvlText w:val="(%1)"/>
      <w:numFmt w:val="lowerLetter"/>
      <w:start w:val="2"/>
    </w:lvl>
  </w:abstractNum>
  <w:abstractNum w:abstractNumId="19">
    <w:nsid w:val="1E7FF521"/>
    <w:multiLevelType w:val="hybridMultilevel"/>
    <w:lvl w:ilvl="0">
      <w:lvlJc w:val="left"/>
      <w:lvlText w:val="(%1)"/>
      <w:numFmt w:val="lowerLetter"/>
      <w:start w:val="1"/>
    </w:lvl>
  </w:abstractNum>
  <w:abstractNum w:abstractNumId="20">
    <w:nsid w:val="7C3DBD3D"/>
    <w:multiLevelType w:val="hybridMultilevel"/>
    <w:lvl w:ilvl="0">
      <w:lvlJc w:val="left"/>
      <w:lvlText w:val="%1"/>
      <w:numFmt w:val="lowerLetter"/>
      <w:start w:val="1"/>
    </w:lvl>
    <w:lvl w:ilvl="1">
      <w:lvlJc w:val="left"/>
      <w:lvlText w:val="(%2)"/>
      <w:numFmt w:val="lowerLetter"/>
      <w:start w:val="1"/>
    </w:lvl>
  </w:abstractNum>
  <w:abstractNum w:abstractNumId="21">
    <w:nsid w:val="737B8DDC"/>
    <w:multiLevelType w:val="hybridMultilevel"/>
    <w:lvl w:ilvl="0">
      <w:lvlJc w:val="left"/>
      <w:lvlText w:val="(%1)"/>
      <w:numFmt w:val="lowerLetter"/>
      <w:start w:val="9"/>
    </w:lvl>
    <w:lvl w:ilvl="1">
      <w:lvlJc w:val="left"/>
      <w:lvlText w:val="(%2)"/>
      <w:numFmt w:val="lowerLetter"/>
      <w:start w:val="3"/>
    </w:lvl>
  </w:abstractNum>
  <w:abstractNum w:abstractNumId="22">
    <w:nsid w:val="6CEAF087"/>
    <w:multiLevelType w:val="hybridMultilevel"/>
    <w:lvl w:ilvl="0">
      <w:lvlJc w:val="left"/>
      <w:lvlText w:val="(%1)"/>
      <w:numFmt w:val="lowerLetter"/>
      <w:start w:val="5"/>
    </w:lvl>
  </w:abstractNum>
  <w:abstractNum w:abstractNumId="23">
    <w:nsid w:val="22221A70"/>
    <w:multiLevelType w:val="hybridMultilevel"/>
    <w:lvl w:ilvl="0">
      <w:lvlJc w:val="left"/>
      <w:lvlText w:val="(%1)"/>
      <w:numFmt w:val="lowerLetter"/>
      <w:start w:val="2"/>
    </w:lvl>
  </w:abstractNum>
  <w:abstractNum w:abstractNumId="24">
    <w:nsid w:val="4516DDE9"/>
    <w:multiLevelType w:val="hybridMultilevel"/>
    <w:lvl w:ilvl="0">
      <w:lvlJc w:val="left"/>
      <w:lvlText w:val="(%1)"/>
      <w:numFmt w:val="lowerLetter"/>
      <w:start w:val="3"/>
    </w:lvl>
  </w:abstractNum>
  <w:abstractNum w:abstractNumId="25">
    <w:nsid w:val="3006C83E"/>
    <w:multiLevelType w:val="hybridMultilevel"/>
    <w:lvl w:ilvl="0">
      <w:lvlJc w:val="left"/>
      <w:lvlText w:val="(%1)"/>
      <w:numFmt w:val="lowerLetter"/>
      <w:start w:val="7"/>
    </w:lvl>
  </w:abstractNum>
  <w:abstractNum w:abstractNumId="26">
    <w:nsid w:val="614FD4A1"/>
    <w:multiLevelType w:val="hybridMultilevel"/>
    <w:lvl w:ilvl="0">
      <w:lvlJc w:val="left"/>
      <w:lvlText w:val="(%1)"/>
      <w:numFmt w:val="lowerLetter"/>
      <w:start w:val="1"/>
    </w:lvl>
  </w:abstractNum>
  <w:abstractNum w:abstractNumId="27">
    <w:nsid w:val="419AC241"/>
    <w:multiLevelType w:val="hybridMultilevel"/>
    <w:lvl w:ilvl="0">
      <w:lvlJc w:val="left"/>
      <w:lvlText w:val="1"/>
      <w:numFmt w:val="bullet"/>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2"/>
      <w:numFmt w:val="bullet"/>
      <w:start w:val="1"/>
    </w:lvl>
  </w:abstractNum>
  <w:abstractNum w:abstractNumId="30">
    <w:nsid w:val="5072367"/>
    <w:multiLevelType w:val="hybridMultilevel"/>
    <w:lvl w:ilvl="0">
      <w:lvlJc w:val="left"/>
      <w:lvlText w:val="%1."/>
      <w:numFmt w:val="decimal"/>
      <w:start w:val="3"/>
    </w:lvl>
  </w:abstractNum>
  <w:abstractNum w:abstractNumId="31">
    <w:nsid w:val="3804823E"/>
    <w:multiLevelType w:val="hybridMultilevel"/>
    <w:lvl w:ilvl="0">
      <w:lvlJc w:val="left"/>
      <w:lvlText w:val="(%1)"/>
      <w:numFmt w:val="lowerLetter"/>
      <w:start w:val="1"/>
    </w:lvl>
  </w:abstractNum>
  <w:abstractNum w:abstractNumId="32">
    <w:nsid w:val="77465F01"/>
    <w:multiLevelType w:val="hybridMultilevel"/>
    <w:lvl w:ilvl="0">
      <w:lvlJc w:val="left"/>
      <w:lvlText w:val="(%1)"/>
      <w:numFmt w:val="lowerLetter"/>
      <w:start w:val="3"/>
    </w:lvl>
  </w:abstractNum>
  <w:abstractNum w:abstractNumId="33">
    <w:nsid w:val="7724C67E"/>
    <w:multiLevelType w:val="hybridMultilevel"/>
    <w:lvl w:ilvl="0">
      <w:lvlJc w:val="left"/>
      <w:lvlText w:val="%1."/>
      <w:numFmt w:val="decimal"/>
      <w:start w:val="6"/>
    </w:lvl>
  </w:abstractNum>
  <w:abstractNum w:abstractNumId="34">
    <w:nsid w:val="5C482A97"/>
    <w:multiLevelType w:val="hybridMultilevel"/>
    <w:lvl w:ilvl="0">
      <w:lvlJc w:val="left"/>
      <w:lvlText w:val="(%1)"/>
      <w:numFmt w:val="lowerLetter"/>
      <w:start w:val="1"/>
    </w:lvl>
    <w:lvl w:ilvl="1">
      <w:lvlJc w:val="left"/>
      <w:lvlText w:val="%2."/>
      <w:numFmt w:val="decimal"/>
      <w:start w:val="11"/>
    </w:lvl>
  </w:abstractNum>
  <w:abstractNum w:abstractNumId="35">
    <w:nsid w:val="2463B9EA"/>
    <w:multiLevelType w:val="hybridMultilevel"/>
    <w:lvl w:ilvl="0">
      <w:lvlJc w:val="left"/>
      <w:lvlText w:val="%1."/>
      <w:numFmt w:val="decimal"/>
      <w:start w:val="12"/>
    </w:lvl>
  </w:abstractNum>
  <w:abstractNum w:abstractNumId="36">
    <w:nsid w:val="5E884ADC"/>
    <w:multiLevelType w:val="hybridMultilevel"/>
    <w:lvl w:ilvl="0">
      <w:lvlJc w:val="left"/>
      <w:lvlText w:val="3"/>
      <w:numFmt w:val="bullet"/>
      <w:start w:val="1"/>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1"/>
      <w:numFmt w:val="lowerLetter"/>
      <w:start w:val="1"/>
    </w:lvl>
    <w:lvl w:ilvl="1">
      <w:lvlJc w:val="left"/>
      <w:lvlText w:val="(%2)"/>
      <w:numFmt w:val="lowerLetter"/>
      <w:start w:val="1"/>
    </w:lvl>
  </w:abstractNum>
  <w:abstractNum w:abstractNumId="39">
    <w:nsid w:val="580BD78F"/>
    <w:multiLevelType w:val="hybridMultilevel"/>
    <w:lvl w:ilvl="0">
      <w:lvlJc w:val="left"/>
      <w:lvlText w:val="(%1)"/>
      <w:numFmt w:val="lowerLetter"/>
      <w:start w:val="9"/>
    </w:lvl>
    <w:lvl w:ilvl="1">
      <w:lvlJc w:val="left"/>
      <w:lvlText w:val="%2"/>
      <w:numFmt w:val="lowerLetter"/>
      <w:start w:val="1"/>
    </w:lvl>
  </w:abstractNum>
  <w:abstractNum w:abstractNumId="40">
    <w:nsid w:val="153EA43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2020-01-24T11:07:43Z</dcterms:created>
  <dcterms:modified xsi:type="dcterms:W3CDTF">2020-01-24T11:07:43Z</dcterms:modified>
</cp:coreProperties>
</file>