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Plains All American Pipeline LP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Units Representing Limited Partner Interests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ALPS Advisors,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COLORADO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70,510,853.00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70,510,853.00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70,510,853.00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Alerian MLP ETF</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70,510,853.00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70,510,853.00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70,510,853.00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IV</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50"/>
        <w:gridCol w:w="8900"/>
        <w:gridCol w:w="155"/>
      </w:tblGrid>
      <w:tr>
        <w:trPr/>
        <w:tc>
          <w:tcPr>
            <w:tcW w:w="1150" w:type="dxa"/>
            <w:tcBorders/>
            <w:vAlign w:val="center"/>
          </w:tcPr>
          <w:p>
            <w:pPr>
              <w:pStyle w:val="TableContents"/>
              <w:bidi w:val="0"/>
              <w:spacing w:before="0" w:after="283"/>
              <w:jc w:val="left"/>
              <w:rPr/>
            </w:pPr>
            <w:r>
              <w:rPr/>
              <w:t>Item 1.</w:t>
            </w:r>
          </w:p>
        </w:tc>
        <w:tc>
          <w:tcPr>
            <w:tcW w:w="890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Name of issuer: </w:t>
            </w:r>
          </w:p>
          <w:p>
            <w:pPr>
              <w:pStyle w:val="TableContents"/>
              <w:bidi w:val="0"/>
              <w:spacing w:before="0" w:after="0"/>
              <w:jc w:val="left"/>
              <w:rPr/>
            </w:pPr>
            <w:r>
              <w:rPr/>
              <w:t>Plains All American Pipeline LP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333 Clay Street, Suite 1600, Houston, TX, 77002</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2.</w:t>
            </w:r>
          </w:p>
        </w:tc>
        <w:tc>
          <w:tcPr>
            <w:tcW w:w="890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Name of person filing: </w:t>
            </w:r>
          </w:p>
          <w:p>
            <w:pPr>
              <w:pStyle w:val="TableContents"/>
              <w:bidi w:val="0"/>
              <w:spacing w:before="0" w:after="0"/>
              <w:jc w:val="left"/>
              <w:rPr/>
            </w:pPr>
            <w:r>
              <w:rPr/>
              <w:t>(1) ALPS Advisors, Inc. (2) Alerian MLP ETF</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 ALPS Advisors, Inc.: 1290 Broadway, Suite 1000, Denver, CO, 80203 (2) Alerian MLP ETF: 1290 Broadway, Suite 1000, Denver, CO, 80203</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jc w:val="left"/>
              <w:rPr/>
            </w:pPr>
            <w:r>
              <w:rPr/>
              <w:t xml:space="preserve">Citizenship: </w:t>
            </w:r>
          </w:p>
          <w:p>
            <w:pPr>
              <w:pStyle w:val="TableContents"/>
              <w:bidi w:val="0"/>
              <w:spacing w:before="0" w:after="0"/>
              <w:jc w:val="left"/>
              <w:rPr/>
            </w:pPr>
            <w:r>
              <w:rPr/>
              <w:t>(1) ALPS Advisors, Inc.: Colorado (2) Alerian MLP ETF: Delaware</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(d)</w:t>
            </w:r>
          </w:p>
        </w:tc>
        <w:tc>
          <w:tcPr>
            <w:tcW w:w="890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Units Representing Limited Partner Interests</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(e)</w:t>
            </w:r>
          </w:p>
        </w:tc>
        <w:tc>
          <w:tcPr>
            <w:tcW w:w="890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3.</w:t>
            </w:r>
          </w:p>
        </w:tc>
        <w:tc>
          <w:tcPr>
            <w:tcW w:w="890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(d)</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(e)</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(f)</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(g)</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(h)</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(j)</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(k)</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9055" w:type="dxa"/>
            <w:gridSpan w:val="2"/>
            <w:tcBorders/>
            <w:vAlign w:val="center"/>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4.</w:t>
            </w:r>
          </w:p>
        </w:tc>
        <w:tc>
          <w:tcPr>
            <w:tcW w:w="890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 ALPS Advisors, Inc.: 70510853 (2) Alerian MLP ETF: 70510853</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 ALPS Advisors, Inc.: 9.99% (2) Alerian MLP ETF: 9.99%  %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 ALPS Advisors, Inc.: 70510853 (2) Alerian MLP ETF: 70510853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 ALPS Advisors, Inc.: 70510853 (2) Alerian MLP ETF: 70510853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5.</w:t>
            </w:r>
          </w:p>
        </w:tc>
        <w:tc>
          <w:tcPr>
            <w:tcW w:w="890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6.</w:t>
            </w:r>
          </w:p>
        </w:tc>
        <w:tc>
          <w:tcPr>
            <w:tcW w:w="890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ALPS Advisors, Inc. ("AAI"), an investment adviser registered under Section 203 of the Investment Advisors Act of 1940, furnishes investment advice to investment companies registered under the Investment Company Act of 1940 (collectively referred to as the "Funds"). In its role as investment advisor, AAI has voting and/or investment power over the securities of the Issuer that are owned by the Funds, and may be deemed to be the beneficial owner of the shares of the Issuer held by the Funds. However, all securities reported in this schedule are owned by the Funds. AAI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 Alerian MLP ETF is an investment company registered under the Investment Company Act of 1940 and is one of the Funds to which AAI provides investment advice.</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7.</w:t>
            </w:r>
          </w:p>
        </w:tc>
        <w:tc>
          <w:tcPr>
            <w:tcW w:w="890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8.</w:t>
            </w:r>
          </w:p>
        </w:tc>
        <w:tc>
          <w:tcPr>
            <w:tcW w:w="890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9.</w:t>
            </w:r>
          </w:p>
        </w:tc>
        <w:tc>
          <w:tcPr>
            <w:tcW w:w="890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558" w:type="dxa"/>
        <w:jc w:val="left"/>
        <w:tblInd w:w="0" w:type="dxa"/>
        <w:tblLayout w:type="fixed"/>
        <w:tblCellMar>
          <w:top w:w="28" w:type="dxa"/>
          <w:left w:w="28" w:type="dxa"/>
          <w:bottom w:w="28" w:type="dxa"/>
          <w:right w:w="28" w:type="dxa"/>
        </w:tblCellMar>
      </w:tblPr>
      <w:tblGrid>
        <w:gridCol w:w="2279"/>
        <w:gridCol w:w="2279"/>
      </w:tblGrid>
      <w:tr>
        <w:trPr/>
        <w:tc>
          <w:tcPr>
            <w:tcW w:w="2279" w:type="dxa"/>
            <w:tcBorders/>
            <w:vAlign w:val="center"/>
          </w:tcPr>
          <w:p>
            <w:pPr>
              <w:pStyle w:val="TableContents"/>
              <w:bidi w:val="0"/>
              <w:spacing w:before="0" w:after="0"/>
              <w:jc w:val="left"/>
              <w:rPr/>
            </w:pPr>
            <w:r>
              <w:rPr/>
              <w:t> </w:t>
            </w:r>
          </w:p>
          <w:tbl>
            <w:tblPr>
              <w:tblW w:w="2161" w:type="dxa"/>
              <w:jc w:val="left"/>
              <w:tblInd w:w="0" w:type="dxa"/>
              <w:tblLayout w:type="fixed"/>
              <w:tblCellMar>
                <w:top w:w="28" w:type="dxa"/>
                <w:left w:w="28" w:type="dxa"/>
                <w:bottom w:w="28" w:type="dxa"/>
                <w:right w:w="28" w:type="dxa"/>
              </w:tblCellMar>
            </w:tblPr>
            <w:tblGrid>
              <w:gridCol w:w="2161"/>
            </w:tblGrid>
            <w:tr>
              <w:trPr/>
              <w:tc>
                <w:tcPr>
                  <w:tcW w:w="2161" w:type="dxa"/>
                  <w:tcBorders/>
                  <w:vAlign w:val="center"/>
                </w:tcPr>
                <w:p>
                  <w:pPr>
                    <w:pStyle w:val="TableContents"/>
                    <w:bidi w:val="0"/>
                    <w:spacing w:before="0" w:after="0"/>
                    <w:jc w:val="left"/>
                    <w:rPr/>
                  </w:pPr>
                  <w:r>
                    <w:rPr/>
                    <w:t>ALPS Advisors, Inc.</w:t>
                  </w:r>
                </w:p>
              </w:tc>
            </w:tr>
          </w:tbl>
          <w:p>
            <w:pPr>
              <w:pStyle w:val="TableContents"/>
              <w:bidi w:val="0"/>
              <w:spacing w:before="0" w:after="283"/>
              <w:jc w:val="left"/>
              <w:rPr/>
            </w:pPr>
            <w:r>
              <w:rPr/>
            </w:r>
          </w:p>
        </w:tc>
        <w:tc>
          <w:tcPr>
            <w:tcW w:w="22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Matthew Sutula</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Matthew Sutula, Chief Compliance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4104" w:type="dxa"/>
        <w:jc w:val="left"/>
        <w:tblInd w:w="0" w:type="dxa"/>
        <w:tblLayout w:type="fixed"/>
        <w:tblCellMar>
          <w:top w:w="28" w:type="dxa"/>
          <w:left w:w="28" w:type="dxa"/>
          <w:bottom w:w="28" w:type="dxa"/>
          <w:right w:w="28" w:type="dxa"/>
        </w:tblCellMar>
      </w:tblPr>
      <w:tblGrid>
        <w:gridCol w:w="2052"/>
        <w:gridCol w:w="2052"/>
      </w:tblGrid>
      <w:tr>
        <w:trPr/>
        <w:tc>
          <w:tcPr>
            <w:tcW w:w="2052" w:type="dxa"/>
            <w:tcBorders/>
            <w:vAlign w:val="center"/>
          </w:tcPr>
          <w:p>
            <w:pPr>
              <w:pStyle w:val="TableContents"/>
              <w:bidi w:val="0"/>
              <w:spacing w:before="0" w:after="0"/>
              <w:jc w:val="left"/>
              <w:rPr/>
            </w:pPr>
            <w:r>
              <w:rPr/>
              <w:t> </w:t>
            </w:r>
          </w:p>
          <w:tbl>
            <w:tblPr>
              <w:tblW w:w="1921" w:type="dxa"/>
              <w:jc w:val="left"/>
              <w:tblInd w:w="0" w:type="dxa"/>
              <w:tblLayout w:type="fixed"/>
              <w:tblCellMar>
                <w:top w:w="28" w:type="dxa"/>
                <w:left w:w="28" w:type="dxa"/>
                <w:bottom w:w="28" w:type="dxa"/>
                <w:right w:w="28" w:type="dxa"/>
              </w:tblCellMar>
            </w:tblPr>
            <w:tblGrid>
              <w:gridCol w:w="1921"/>
            </w:tblGrid>
            <w:tr>
              <w:trPr/>
              <w:tc>
                <w:tcPr>
                  <w:tcW w:w="1921" w:type="dxa"/>
                  <w:tcBorders/>
                  <w:vAlign w:val="center"/>
                </w:tcPr>
                <w:p>
                  <w:pPr>
                    <w:pStyle w:val="TableContents"/>
                    <w:bidi w:val="0"/>
                    <w:spacing w:before="0" w:after="0"/>
                    <w:jc w:val="left"/>
                    <w:rPr/>
                  </w:pPr>
                  <w:r>
                    <w:rPr/>
                    <w:t>Alerian MLP ETF</w:t>
                  </w:r>
                </w:p>
              </w:tc>
            </w:tr>
          </w:tbl>
          <w:p>
            <w:pPr>
              <w:pStyle w:val="TableContents"/>
              <w:bidi w:val="0"/>
              <w:spacing w:before="0" w:after="283"/>
              <w:jc w:val="left"/>
              <w:rPr/>
            </w:pPr>
            <w:r>
              <w:rPr/>
            </w:r>
          </w:p>
        </w:tc>
        <w:tc>
          <w:tcPr>
            <w:tcW w:w="205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Matthew Sutula</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Matthew Sutula, Chief Compliance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1194</Words>
  <Characters>6130</Characters>
  <CharactersWithSpaces>7294</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