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June 17,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8"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17, 2024, Plains All American Pipeline, L.P. (“PAA”) and PAA Finance Corp. (“PAA Finance,” and together with PAA, the “Issuers”), entered into an underwriting agreement (the “Underwriting Agreement”) with Citigroup Global Markets Inc., MUFG Securities Americas Inc., SMBC Nikko Securities America, Inc. and Truist Securities, Inc. as representatives of the several underwriters named therein (collectively, the “Underwriters”), relating to the issuance and sale to the Underwriters (the “Offering”) of $650 million aggregate principal amount of 5.700% Senior Notes due 2034 (the “Notes”), subject to the terms and conditions therein.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are being offered and sold under the Issuers’ shelf registration statement on Form S-3 (Registration No. 333-259387) filed with the U.S. Securities and Exchange Commission on September 8, 2021 (the “Registration Statement”), and are described in a Prospectus Supplement dated June 17, 2024 to the Prospectus dated September 8, 2021, which is included in the Registration Statement.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will be issued pursuant to a supplemental indenture to be dated June 27, 2024, by and among the Issuers and U.S. Bank Trust Company National Association, as successor trustee (the “Trustee”). The supplemental indenture will be entered into in accordance with the provisions of the Indenture dated September 25, 2002 by and among the Issuers and the Trustee.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closing of the Offering is expected to occur on June 27, 2024, subject to customary closing conditions.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filed as of the date hereof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4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410"/>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04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238"/>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040" w:type="dxa"/>
            <w:vAlign w:val="bottom"/>
          </w:tcPr>
          <w:p>
            <w:pPr>
              <w:spacing w:after="0"/>
              <w:rPr>
                <w:sz w:val="20"/>
                <w:szCs w:val="20"/>
                <w:color w:val="auto"/>
              </w:rPr>
            </w:pPr>
          </w:p>
        </w:tc>
        <w:tc>
          <w:tcPr>
            <w:tcW w:w="696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80" w:type="dxa"/>
            <w:vAlign w:val="bottom"/>
            <w:tcBorders>
              <w:top w:val="single" w:sz="8" w:color="auto"/>
            </w:tcBorders>
            <w:gridSpan w:val="2"/>
          </w:tcPr>
          <w:p>
            <w:pPr>
              <w:jc w:val="center"/>
              <w:ind w:left="370"/>
              <w:spacing w:after="0" w:line="169"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Underwriting Agreement dated June 17, 2024 by and among Plains All American Pipeline, L.P., PAA Finance Corp., and Citigroup</w:t>
            </w: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Global Markets Inc., MUFG Securities Americas Inc., SMBC Nikko Securities America, Inc. and Truist Securities, Inc. as representatives</w:t>
            </w: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of the several underwriters named therein.</w:t>
            </w: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80" w:right="4160" w:hanging="5140"/>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414"/>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$650,000,000 5.700% Senior Notes due 2034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17,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u w:val="single" w:color="auto"/>
          <w:color w:val="auto"/>
        </w:rPr>
        <w:t>PAA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for whom Citigroup Global Markets Inc., MUFG Securities Americas Inc., SMBC Nikko Securities America, Inc. and Truist Securities, Inc. are acting as the representatives (the “</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$650,000,000 aggregate principal amount of 5.700% Senior Notes due 2034 (the “</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The Notes are to be issued under an indenture dated as of September 25, 2002 (the “</w:t>
      </w:r>
      <w:r>
        <w:rPr>
          <w:rFonts w:ascii="Times New Roman" w:cs="Times New Roman" w:eastAsia="Times New Roman" w:hAnsi="Times New Roman"/>
          <w:sz w:val="18"/>
          <w:szCs w:val="18"/>
          <w:b w:val="1"/>
          <w:bCs w:val="1"/>
          <w:u w:val="single" w:color="auto"/>
          <w:color w:val="auto"/>
        </w:rPr>
        <w:t>Base Indenture</w:t>
      </w:r>
      <w:r>
        <w:rPr>
          <w:rFonts w:ascii="Times New Roman" w:cs="Times New Roman" w:eastAsia="Times New Roman" w:hAnsi="Times New Roman"/>
          <w:sz w:val="18"/>
          <w:szCs w:val="18"/>
          <w:color w:val="auto"/>
        </w:rPr>
        <w:t>”), among the Issuers and U.S. Bank Trust Company, National Association, as successor trustee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as supplemented by the Thirty-Third Supplemental Indenture to be dated as of June 27, 2024, among the Issuers and the Trustee (the “</w:t>
      </w:r>
      <w:r>
        <w:rPr>
          <w:rFonts w:ascii="Times New Roman" w:cs="Times New Roman" w:eastAsia="Times New Roman" w:hAnsi="Times New Roman"/>
          <w:sz w:val="18"/>
          <w:szCs w:val="18"/>
          <w:b w:val="1"/>
          <w:bCs w:val="1"/>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is the general partner of the Partnership.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owns a 100% membership interest in the General Partner.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is the general partner of Plains AAP. Plains GP Holdings, L.P., a Delaware limited partnership (“</w:t>
      </w:r>
      <w:r>
        <w:rPr>
          <w:rFonts w:ascii="Times New Roman" w:cs="Times New Roman" w:eastAsia="Times New Roman" w:hAnsi="Times New Roman"/>
          <w:sz w:val="18"/>
          <w:szCs w:val="18"/>
          <w:b w:val="1"/>
          <w:bCs w:val="1"/>
          <w:u w:val="single" w:color="auto"/>
          <w:color w:val="auto"/>
        </w:rPr>
        <w:t>PAGP</w:t>
      </w:r>
      <w:r>
        <w:rPr>
          <w:rFonts w:ascii="Times New Roman" w:cs="Times New Roman" w:eastAsia="Times New Roman" w:hAnsi="Times New Roman"/>
          <w:sz w:val="18"/>
          <w:szCs w:val="18"/>
          <w:color w:val="auto"/>
        </w:rPr>
        <w:t>”), owns a 100% membership interest in GP LLC. PAA GP Holdings LLC, a Delaware limited liability company (“</w:t>
      </w:r>
      <w:r>
        <w:rPr>
          <w:rFonts w:ascii="Times New Roman" w:cs="Times New Roman" w:eastAsia="Times New Roman" w:hAnsi="Times New Roman"/>
          <w:sz w:val="18"/>
          <w:szCs w:val="18"/>
          <w:b w:val="1"/>
          <w:bCs w:val="1"/>
          <w:u w:val="single" w:color="auto"/>
          <w:color w:val="auto"/>
        </w:rPr>
        <w:t>PAGP GP</w:t>
      </w:r>
      <w:r>
        <w:rPr>
          <w:rFonts w:ascii="Times New Roman" w:cs="Times New Roman" w:eastAsia="Times New Roman" w:hAnsi="Times New Roman"/>
          <w:sz w:val="18"/>
          <w:szCs w:val="18"/>
          <w:color w:val="auto"/>
        </w:rPr>
        <w:t>” and, collectively with the General Partner, Plains AAP, GP LLC and PAGP, the “</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is the general partner of PAGP.</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and the Material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A registration statement on Form S-3 relating to the Notes (File No. 333-259387) (i) has been prepared by the Issuers in conformity with the requirements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179" w:lineRule="exact"/>
        <w:rPr>
          <w:sz w:val="20"/>
          <w:szCs w:val="20"/>
          <w:color w:val="auto"/>
        </w:rPr>
      </w:pPr>
    </w:p>
    <w:p>
      <w:pPr>
        <w:jc w:val="both"/>
        <w:ind w:left="640" w:firstLine="648"/>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5:25 p.m., New York City time, on June 17, 2024, which the Underwriters have informed the Issuers and their counsel is a time prior to the first sale of the Notes;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u w:val="single" w:color="auto"/>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225" w:lineRule="exact"/>
        <w:rPr>
          <w:sz w:val="20"/>
          <w:szCs w:val="20"/>
          <w:color w:val="auto"/>
        </w:rPr>
      </w:pPr>
    </w:p>
    <w:p>
      <w:pPr>
        <w:jc w:val="both"/>
        <w:ind w:left="640" w:right="20" w:firstLine="648"/>
        <w:spacing w:after="0" w:line="28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55" w:lineRule="exact"/>
        <w:rPr>
          <w:sz w:val="20"/>
          <w:szCs w:val="20"/>
          <w:color w:val="auto"/>
        </w:rPr>
      </w:pPr>
    </w:p>
    <w:p>
      <w:pPr>
        <w:jc w:val="both"/>
        <w:ind w:left="640" w:firstLine="648"/>
        <w:spacing w:after="0" w:line="26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71" w:lineRule="exact"/>
        <w:rPr>
          <w:sz w:val="20"/>
          <w:szCs w:val="20"/>
          <w:color w:val="auto"/>
        </w:rPr>
      </w:pPr>
    </w:p>
    <w:p>
      <w:pPr>
        <w:jc w:val="both"/>
        <w:ind w:left="640" w:firstLine="648"/>
        <w:spacing w:after="0" w:line="26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71" w:lineRule="exact"/>
        <w:rPr>
          <w:sz w:val="20"/>
          <w:szCs w:val="20"/>
          <w:color w:val="auto"/>
        </w:rPr>
      </w:pPr>
    </w:p>
    <w:p>
      <w:pPr>
        <w:jc w:val="both"/>
        <w:ind w:left="640" w:firstLine="648"/>
        <w:spacing w:after="0" w:line="26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 filed or used by the Issuers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 w:name="page6"/>
    <w:bookmarkEnd w:id="5"/>
    <w:p>
      <w:pPr>
        <w:ind w:left="640" w:firstLine="648"/>
        <w:spacing w:after="0" w:line="286"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55" w:lineRule="exact"/>
        <w:rPr>
          <w:sz w:val="20"/>
          <w:szCs w:val="20"/>
          <w:color w:val="auto"/>
        </w:rPr>
      </w:pPr>
    </w:p>
    <w:p>
      <w:pPr>
        <w:ind w:left="640" w:firstLine="648"/>
        <w:spacing w:after="0" w:line="286"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the registration statement on Form S-3 (File No. 333-259387), as amended as of the Effective Date, including any Preliminary Prospectus or the Prospectus and all exhibits to such registration statement.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u w:val="single" w:color="auto"/>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 of Documents</w:t>
      </w:r>
      <w:r>
        <w:rPr>
          <w:rFonts w:ascii="Times New Roman" w:cs="Times New Roman" w:eastAsia="Times New Roman" w:hAnsi="Times New Roman"/>
          <w:sz w:val="18"/>
          <w:szCs w:val="18"/>
          <w:color w:val="auto"/>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 w:name="page7"/>
    <w:bookmarkEnd w:id="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Registration Statement</w:t>
      </w:r>
      <w:r>
        <w:rPr>
          <w:rFonts w:ascii="Times New Roman" w:cs="Times New Roman" w:eastAsia="Times New Roman" w:hAnsi="Times New Roman"/>
          <w:sz w:val="18"/>
          <w:szCs w:val="18"/>
          <w:color w:val="auto"/>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Prospectus</w:t>
      </w:r>
      <w:r>
        <w:rPr>
          <w:rFonts w:ascii="Times New Roman" w:cs="Times New Roman" w:eastAsia="Times New Roman" w:hAnsi="Times New Roman"/>
          <w:sz w:val="18"/>
          <w:szCs w:val="18"/>
          <w:color w:val="auto"/>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7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Material Misstatements or Omissions in Pricing Disclosure Package</w:t>
      </w:r>
      <w:r>
        <w:rPr>
          <w:rFonts w:ascii="Times New Roman" w:cs="Times New Roman" w:eastAsia="Times New Roman" w:hAnsi="Times New Roman"/>
          <w:sz w:val="17"/>
          <w:szCs w:val="17"/>
          <w:color w:val="auto"/>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18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17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Formation and Qualification of Certain Entities</w:t>
      </w:r>
      <w:r>
        <w:rPr>
          <w:rFonts w:ascii="Times New Roman" w:cs="Times New Roman" w:eastAsia="Times New Roman" w:hAnsi="Times New Roman"/>
          <w:sz w:val="18"/>
          <w:szCs w:val="18"/>
          <w:color w:val="auto"/>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w:t>
      </w:r>
    </w:p>
    <w:p>
      <w:pPr>
        <w:spacing w:after="0" w:line="5" w:lineRule="exact"/>
        <w:rPr>
          <w:sz w:val="20"/>
          <w:szCs w:val="20"/>
          <w:color w:val="auto"/>
        </w:rPr>
      </w:pPr>
    </w:p>
    <w:p>
      <w:pPr>
        <w:jc w:val="both"/>
        <w:ind w:left="4" w:hanging="4"/>
        <w:spacing w:after="0" w:line="253" w:lineRule="auto"/>
        <w:tabs>
          <w:tab w:leader="none" w:pos="2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18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3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 w:name="page9"/>
    <w:bookmarkEnd w:id="8"/>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Interests in the Partnership, the General Partner, Plains AAP, GP LLC and PAGP</w:t>
      </w:r>
      <w:r>
        <w:rPr>
          <w:rFonts w:ascii="Times New Roman" w:cs="Times New Roman" w:eastAsia="Times New Roman" w:hAnsi="Times New Roman"/>
          <w:sz w:val="18"/>
          <w:szCs w:val="18"/>
          <w:color w:val="auto"/>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 w:cs="Times New Roman" w:eastAsia="Times New Roman" w:hAnsi="Times New Roman"/>
          <w:sz w:val="18"/>
          <w:szCs w:val="18"/>
          <w:b w:val="1"/>
          <w:bCs w:val="1"/>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w:t>
      </w:r>
      <w:r>
        <w:rPr>
          <w:rFonts w:ascii="Times New Roman" w:cs="Times New Roman" w:eastAsia="Times New Roman" w:hAnsi="Times New Roman"/>
          <w:sz w:val="18"/>
          <w:szCs w:val="18"/>
          <w:color w:val="auto"/>
        </w:rPr>
        <w:t>”) of the Partnership and the GP Entities, and such membership interests and limited partner interests are fully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or Sections 18-607 and 18-804 of the Delaware Limited Liability Company Act (the “</w:t>
      </w:r>
      <w:r>
        <w:rPr>
          <w:rFonts w:ascii="Times New Roman" w:cs="Times New Roman" w:eastAsia="Times New Roman" w:hAnsi="Times New Roman"/>
          <w:sz w:val="18"/>
          <w:szCs w:val="18"/>
          <w:b w:val="1"/>
          <w:bCs w:val="1"/>
          <w:u w:val="single" w:color="auto"/>
          <w:color w:val="auto"/>
        </w:rPr>
        <w:t>Delaware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as applicable, or (B) with respect to the general partner interest of any such entity); and such general partner, limited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interests held by the GP Entities are owned by the applicable GP Entity free and clear of all liens, encumbrances, security interests, equities, charges or claims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except (i) as disclosed in the Registration Statement, the Pricing Disclosure Package and the Prospectus,</w:t>
      </w:r>
    </w:p>
    <w:p>
      <w:pPr>
        <w:spacing w:after="0" w:line="5" w:lineRule="exact"/>
        <w:rPr>
          <w:sz w:val="20"/>
          <w:szCs w:val="20"/>
          <w:color w:val="auto"/>
        </w:rPr>
      </w:pPr>
    </w:p>
    <w:p>
      <w:pPr>
        <w:jc w:val="both"/>
        <w:ind w:left="4" w:hanging="4"/>
        <w:spacing w:after="0" w:line="253" w:lineRule="auto"/>
        <w:tabs>
          <w:tab w:leader="none" w:pos="2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18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w:t>
      </w:r>
    </w:p>
    <w:p>
      <w:pPr>
        <w:spacing w:after="0" w:line="1" w:lineRule="exact"/>
        <w:rPr>
          <w:sz w:val="20"/>
          <w:szCs w:val="20"/>
          <w:color w:val="auto"/>
        </w:rPr>
      </w:pPr>
    </w:p>
    <w:p>
      <w:pPr>
        <w:jc w:val="both"/>
        <w:ind w:left="4" w:hanging="4"/>
        <w:spacing w:after="0" w:line="251" w:lineRule="auto"/>
        <w:tabs>
          <w:tab w:leader="none" w:pos="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9" w:name="page10"/>
    <w:bookmarkEnd w:id="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 the registration of any other securities of the Issuers, except such rights as have been waived or satisfied.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 on behalf of the Issuers.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Enforceability of the Indenture</w:t>
      </w:r>
      <w:r>
        <w:rPr>
          <w:rFonts w:ascii="Times New Roman" w:cs="Times New Roman" w:eastAsia="Times New Roman" w:hAnsi="Times New Roman"/>
          <w:sz w:val="18"/>
          <w:szCs w:val="18"/>
          <w:color w:val="auto"/>
        </w:rPr>
        <w:t xml:space="preserve">. The execution and delivery of the Supplemental Indenture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Valid Issuance of the Notes</w:t>
      </w:r>
      <w:r>
        <w:rPr>
          <w:rFonts w:ascii="Times New Roman" w:cs="Times New Roman" w:eastAsia="Times New Roman" w:hAnsi="Times New Roman"/>
          <w:sz w:val="18"/>
          <w:szCs w:val="18"/>
          <w:color w:val="auto"/>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Enforceability of the Organizational Documents</w:t>
      </w:r>
      <w:r>
        <w:rPr>
          <w:rFonts w:ascii="Times New Roman" w:cs="Times New Roman" w:eastAsia="Times New Roman" w:hAnsi="Times New Roman"/>
          <w:sz w:val="18"/>
          <w:szCs w:val="18"/>
          <w:color w:val="auto"/>
        </w:rPr>
        <w:t xml:space="preserve">. The Organizational Documents of each 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Conflicts or Violations</w:t>
      </w:r>
      <w:r>
        <w:rPr>
          <w:rFonts w:ascii="Times New Roman" w:cs="Times New Roman" w:eastAsia="Times New Roman" w:hAnsi="Times New Roman"/>
          <w:sz w:val="18"/>
          <w:szCs w:val="18"/>
          <w:color w:val="auto"/>
        </w:rPr>
        <w:t xml:space="preserve">. None of (i) the offering, issuance and sale by the Issuers of the Notes, (ii) the execution, delivery and performance of this Agreement by each of the Issuers, (iii) the consummation of the transactions contemplated by this Agreement or (iv) the execution and delivery of the Supplemental Indenture,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would reasonably be expected to have a Material Adverse Effect or materially impair the ability of the Issuers to consummate the transactions contemplated by this Agreement.</w:t>
      </w:r>
    </w:p>
    <w:p>
      <w:pPr>
        <w:spacing w:after="0" w:line="3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1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Default</w:t>
      </w:r>
      <w:r>
        <w:rPr>
          <w:rFonts w:ascii="Times New Roman" w:cs="Times New Roman" w:eastAsia="Times New Roman" w:hAnsi="Times New Roman"/>
          <w:sz w:val="17"/>
          <w:szCs w:val="17"/>
          <w:color w:val="auto"/>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would, if continued, reasonably be expected to have a Material Adverse Effect or materially impair the ability of either of the Issuers to perform its obligations under this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color w:val="auto"/>
        </w:rPr>
        <w:t>.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At March 31, 2024,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No other financial statements or schedules of the Issuers are required by the Securities Act or the Exchange Act to be included in the Registration Statement, the most recent Preliminary Prospectus or the Prospectus.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183" w:lineRule="exact"/>
        <w:rPr>
          <w:sz w:val="20"/>
          <w:szCs w:val="20"/>
          <w:color w:val="auto"/>
        </w:rPr>
      </w:pPr>
    </w:p>
    <w:p>
      <w:pPr>
        <w:jc w:val="both"/>
        <w:ind w:firstLine="644"/>
        <w:spacing w:after="0" w:line="268" w:lineRule="auto"/>
        <w:tabs>
          <w:tab w:leader="none" w:pos="9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70" w:lineRule="exact"/>
        <w:rPr>
          <w:rFonts w:ascii="Times New Roman" w:cs="Times New Roman" w:eastAsia="Times New Roman" w:hAnsi="Times New Roman"/>
          <w:sz w:val="18"/>
          <w:szCs w:val="18"/>
          <w:color w:val="auto"/>
        </w:rPr>
      </w:pPr>
    </w:p>
    <w:p>
      <w:pPr>
        <w:jc w:val="both"/>
        <w:ind w:firstLine="644"/>
        <w:spacing w:after="0" w:line="254" w:lineRule="auto"/>
        <w:tabs>
          <w:tab w:leader="none" w:pos="9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(i) as provided in the Fourth Amended and Restated Credit Agreement dated as of August 20, 2021, as amended (the “</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among Plains Marketing, L.P., a Texas limited partnership (“</w:t>
      </w:r>
      <w:r>
        <w:rPr>
          <w:rFonts w:ascii="Times New Roman" w:cs="Times New Roman" w:eastAsia="Times New Roman" w:hAnsi="Times New Roman"/>
          <w:sz w:val="18"/>
          <w:szCs w:val="18"/>
          <w:b w:val="1"/>
          <w:bCs w:val="1"/>
          <w:u w:val="single" w:color="auto"/>
          <w:color w:val="auto"/>
        </w:rPr>
        <w:t>Plains Marketing</w:t>
      </w:r>
      <w:r>
        <w:rPr>
          <w:rFonts w:ascii="Times New Roman" w:cs="Times New Roman" w:eastAsia="Times New Roman" w:hAnsi="Times New Roman"/>
          <w:sz w:val="18"/>
          <w:szCs w:val="18"/>
          <w:color w:val="auto"/>
        </w:rPr>
        <w:t>”), and Plains Midstream Canada ULC, a British Columbia unlimited liability company (“</w:t>
      </w:r>
      <w:r>
        <w:rPr>
          <w:rFonts w:ascii="Times New Roman" w:cs="Times New Roman" w:eastAsia="Times New Roman" w:hAnsi="Times New Roman"/>
          <w:sz w:val="18"/>
          <w:szCs w:val="18"/>
          <w:b w:val="1"/>
          <w:bCs w:val="1"/>
          <w:u w:val="single" w:color="auto"/>
          <w:color w:val="auto"/>
        </w:rPr>
        <w:t>Plains Midstream Canada</w:t>
      </w:r>
      <w:r>
        <w:rPr>
          <w:rFonts w:ascii="Times New Roman" w:cs="Times New Roman" w:eastAsia="Times New Roman" w:hAnsi="Times New Roman"/>
          <w:sz w:val="18"/>
          <w:szCs w:val="18"/>
          <w:color w:val="auto"/>
        </w:rPr>
        <w:t>”), as borrowers, the Partnership, as guarantor, Bank of America, N.A., as administrative agent and swing line lender thereunder, Bank of America, N.A., Citibank, N.A., JPMorgan Chase Bank, N.A. and Wells Fargo Bank, National Association, as letters of credit issuers, and the other lenders from time to time party thereto,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 w:name="page14"/>
    <w:bookmarkEnd w:id="13"/>
    <w:p>
      <w:pPr>
        <w:jc w:val="both"/>
        <w:ind w:left="-460" w:firstLine="644"/>
        <w:spacing w:after="0" w:line="255" w:lineRule="auto"/>
        <w:tabs>
          <w:tab w:leader="none" w:pos="5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 governmental or regulatory authorities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85"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5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4" w:name="page15"/>
    <w:bookmarkEnd w:id="14"/>
    <w:p>
      <w:pPr>
        <w:jc w:val="both"/>
        <w:ind w:left="-460" w:firstLine="644"/>
        <w:spacing w:after="0" w:line="253" w:lineRule="auto"/>
        <w:tabs>
          <w:tab w:leader="none" w:pos="5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(A) To the knowledge of the Issuers,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 w:cs="Times New Roman" w:eastAsia="Times New Roman" w:hAnsi="Times New Roman"/>
          <w:sz w:val="18"/>
          <w:szCs w:val="18"/>
          <w:b w:val="1"/>
          <w:bCs w:val="1"/>
          <w:u w:val="single" w:color="auto"/>
          <w:color w:val="auto"/>
        </w:rPr>
        <w:t>IT Systems and Sensitive Data</w:t>
      </w:r>
      <w:r>
        <w:rPr>
          <w:rFonts w:ascii="Times New Roman" w:cs="Times New Roman" w:eastAsia="Times New Roman" w:hAnsi="Times New Roman"/>
          <w:sz w:val="18"/>
          <w:szCs w:val="18"/>
          <w:color w:val="auto"/>
        </w:rPr>
        <w:t>”) and (B) none of the Plains Entities nor any of the GP Entities, in the last two years, have been notified in writing of, and the Issuers have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Issuers,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 w:name="page16"/>
    <w:bookmarkEnd w:id="15"/>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 Issuers, is imminent, that would reasonably be expected to have a Material Adverse Effect.</w:t>
      </w:r>
    </w:p>
    <w:p>
      <w:pPr>
        <w:spacing w:after="0" w:line="15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7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(kk)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Legal Actions</w:t>
      </w:r>
      <w:r>
        <w:rPr>
          <w:rFonts w:ascii="Times New Roman" w:cs="Times New Roman" w:eastAsia="Times New Roman" w:hAnsi="Times New Roman"/>
          <w:sz w:val="17"/>
          <w:szCs w:val="17"/>
          <w:color w:val="auto"/>
        </w:rPr>
        <w:t>. Except as described in the Registration Statement, the Pricing Disclosure Package and the Prospectus, there is</w:t>
      </w:r>
    </w:p>
    <w:p>
      <w:pPr>
        <w:spacing w:after="0" w:line="43" w:lineRule="exact"/>
        <w:rPr>
          <w:sz w:val="20"/>
          <w:szCs w:val="20"/>
          <w:color w:val="auto"/>
        </w:rPr>
      </w:pPr>
    </w:p>
    <w:p>
      <w:pPr>
        <w:jc w:val="both"/>
        <w:ind w:left="4" w:hanging="4"/>
        <w:spacing w:after="0" w:line="252" w:lineRule="auto"/>
        <w:tabs>
          <w:tab w:leader="none" w:pos="2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would reasonably be expected to have, individually or in the aggregate, a Material Adverse Effect or prevent or result in the suspension of the offering and issuance of the Notes.</w:t>
      </w:r>
    </w:p>
    <w:p>
      <w:pPr>
        <w:spacing w:after="0" w:line="186"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183"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Distribution of Other Offering Materials</w:t>
      </w:r>
      <w:r>
        <w:rPr>
          <w:rFonts w:ascii="Times New Roman" w:cs="Times New Roman" w:eastAsia="Times New Roman" w:hAnsi="Times New Roman"/>
          <w:sz w:val="18"/>
          <w:szCs w:val="18"/>
          <w:color w:val="auto"/>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xml:space="preserve"> of this Agreement, or other materials, if any, permitted by the Securities Act, including Rule 134 of the Rules and Regulations.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6" w:name="page17"/>
    <w:bookmarkEnd w:id="16"/>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auto"/>
        </w:rPr>
        <w:t>(nn)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Books and Records; Accounting Controls</w:t>
      </w:r>
      <w:r>
        <w:rPr>
          <w:rFonts w:ascii="Times New Roman" w:cs="Times New Roman" w:eastAsia="Times New Roman" w:hAnsi="Times New Roman"/>
          <w:sz w:val="17"/>
          <w:szCs w:val="17"/>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w:t>
      </w:r>
    </w:p>
    <w:p>
      <w:pPr>
        <w:ind w:left="4" w:right="20" w:hanging="4"/>
        <w:spacing w:after="0" w:line="260"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existing assets at reasonable intervals and appropriate action is taken with respect to any differences.</w:t>
      </w:r>
    </w:p>
    <w:p>
      <w:pPr>
        <w:spacing w:after="0" w:line="177"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The Partnership and, to the knowledge of the Issuers, the directors of PAGP GP and the officers of GP LLC, in their capacities as such, are in compliance in all material respects with all applicable and effective provisions of the Sarbanes-Oxley Act of 2002 and the rules and regulations promulgated thereunder.</w:t>
      </w:r>
    </w:p>
    <w:p>
      <w:pPr>
        <w:spacing w:after="0" w:line="171"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83"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7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No Plains Entity or GP Entity, nor any of their respective subsidiaries, directors or officers, nor, to the knowledge of the Issuers, any agent, employee or affiliate of the Plains Entities, the GP Entities or any of their respective subsidiaries or other person acting on behalf of the Issuers, is aware of or has taken any action, directly or indirectly, that would result in a violation by such persons of the Foreign Corrupt Practices Act of 1977, as amended (together with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 w:cs="Times New Roman" w:eastAsia="Times New Roman" w:hAnsi="Times New Roman"/>
          <w:sz w:val="18"/>
          <w:szCs w:val="18"/>
          <w:b w:val="1"/>
          <w:bCs w:val="1"/>
          <w:u w:val="single" w:color="auto"/>
          <w:color w:val="auto"/>
        </w:rPr>
        <w:t>Applicable Anti-Corruption Laws</w:t>
      </w:r>
      <w:r>
        <w:rPr>
          <w:rFonts w:ascii="Times New Roman" w:cs="Times New Roman" w:eastAsia="Times New Roman" w:hAnsi="Times New Roman"/>
          <w:sz w:val="18"/>
          <w:szCs w:val="18"/>
          <w:color w:val="auto"/>
        </w:rPr>
        <w:t>”). Each of the Plains Entities, the GP Entities and their respective subsidiaries and, to the knowledge of any of the Issuers,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have conducted their businesses in material compliance, and have instituted, maintain and enforce policies and procedures designed to promote continued compliance, with all Applicable Anti-Corruption Laws.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(b)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Issuers, threatened.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Sanctions Laws</w:t>
      </w:r>
      <w:r>
        <w:rPr>
          <w:rFonts w:ascii="Times New Roman" w:cs="Times New Roman" w:eastAsia="Times New Roman" w:hAnsi="Times New Roman"/>
          <w:sz w:val="18"/>
          <w:szCs w:val="18"/>
          <w:color w:val="auto"/>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 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Issuers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Each Plains Entity, GP Entity and each of their respective subsidiaries have not for the last five years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8" w:name="page19"/>
    <w:bookmarkEnd w:id="18"/>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applicable statements made in the certificates described in </w:t>
      </w:r>
      <w:r>
        <w:rPr>
          <w:rFonts w:ascii="Times New Roman" w:cs="Times New Roman" w:eastAsia="Times New Roman" w:hAnsi="Times New Roman"/>
          <w:sz w:val="18"/>
          <w:szCs w:val="18"/>
          <w:u w:val="single" w:color="auto"/>
          <w:color w:val="auto"/>
        </w:rPr>
        <w:t>Sections 7(i)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7(j)</w:t>
      </w:r>
      <w:r>
        <w:rPr>
          <w:rFonts w:ascii="Times New Roman" w:cs="Times New Roman" w:eastAsia="Times New Roman" w:hAnsi="Times New Roman"/>
          <w:sz w:val="18"/>
          <w:szCs w:val="18"/>
          <w:color w:val="auto"/>
        </w:rPr>
        <w:t xml:space="preserve"> shall be deemed representations and warranties by the Issuers, as to matters covered thereby, to the Underwriters.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Purchase and Sale</w:t>
      </w:r>
      <w:r>
        <w:rPr>
          <w:rFonts w:ascii="Times New Roman" w:cs="Times New Roman" w:eastAsia="Times New Roman" w:hAnsi="Times New Roman"/>
          <w:sz w:val="18"/>
          <w:szCs w:val="18"/>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the principal amount of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99.303% of the principal amount thereof, plus accrued interest, if any, from the Delivery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and Payment</w:t>
      </w:r>
      <w:r>
        <w:rPr>
          <w:rFonts w:ascii="Times New Roman" w:cs="Times New Roman" w:eastAsia="Times New Roman" w:hAnsi="Times New Roman"/>
          <w:sz w:val="18"/>
          <w:szCs w:val="18"/>
          <w:color w:val="auto"/>
        </w:rPr>
        <w:t xml:space="preserve">. Delivery of and payment for the Notes shall be made at the office of Vinson &amp; Elkins L.L.P., 845 Texas Avenue, Suite 4700, Houston, Texas 77002 at 9:00 a.m., Houston time, on June 27, 2024, or at such time on such later date not more than three business days after the foregoing date as the Representatives shall designate, which date and time may be postponed by agreement between the Representatives and the Issuers or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(such date and time of delivery and payment for the Notes being herein called the “</w:t>
      </w:r>
      <w:r>
        <w:rPr>
          <w:rFonts w:ascii="Times New Roman" w:cs="Times New Roman" w:eastAsia="Times New Roman" w:hAnsi="Times New Roman"/>
          <w:sz w:val="18"/>
          <w:szCs w:val="18"/>
          <w:b w:val="1"/>
          <w:bCs w:val="1"/>
          <w:u w:val="single" w:color="auto"/>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u w:val="single" w:color="auto"/>
          <w:color w:val="auto"/>
        </w:rPr>
        <w:t>Global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Offering by the Underwriters</w:t>
      </w:r>
      <w:r>
        <w:rPr>
          <w:rFonts w:ascii="Times New Roman" w:cs="Times New Roman" w:eastAsia="Times New Roman" w:hAnsi="Times New Roman"/>
          <w:sz w:val="18"/>
          <w:szCs w:val="18"/>
          <w:color w:val="auto"/>
        </w:rPr>
        <w:t>. It is understood that the several Underwriters propose to offer the Notes for sale to the public as set forth in the Prospectus.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225"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Preparation of Prospectus and Registration Statement</w:t>
      </w:r>
      <w:r>
        <w:rPr>
          <w:rFonts w:ascii="Times New Roman" w:cs="Times New Roman" w:eastAsia="Times New Roman" w:hAnsi="Times New Roman"/>
          <w:sz w:val="18"/>
          <w:szCs w:val="18"/>
          <w:color w:val="auto"/>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Final Term Sheet and Issuer Free Writing Prospectuses</w:t>
      </w:r>
      <w:r>
        <w:rPr>
          <w:rFonts w:ascii="Times New Roman" w:cs="Times New Roman" w:eastAsia="Times New Roman" w:hAnsi="Times New Roman"/>
          <w:sz w:val="18"/>
          <w:szCs w:val="18"/>
          <w:color w:val="auto"/>
        </w:rPr>
        <w:t xml:space="preserve">. The Issuers agree (i) to prepare a final term sheet, containing a description of the final 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Registration Statement</w:t>
      </w:r>
      <w:r>
        <w:rPr>
          <w:rFonts w:ascii="Times New Roman" w:cs="Times New Roman" w:eastAsia="Times New Roman" w:hAnsi="Times New Roman"/>
          <w:sz w:val="18"/>
          <w:szCs w:val="18"/>
          <w:color w:val="auto"/>
        </w:rPr>
        <w:t>. The Issuers will furnish to the Underwriters, without charge, such number of copies of (i) the manually signed copy of the registration statement corresponding to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 w:name="page21"/>
    <w:bookmarkEnd w:id="2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Documents to the Underwriters</w:t>
      </w:r>
      <w:r>
        <w:rPr>
          <w:rFonts w:ascii="Times New Roman" w:cs="Times New Roman" w:eastAsia="Times New Roman" w:hAnsi="Times New Roman"/>
          <w:sz w:val="18"/>
          <w:szCs w:val="18"/>
          <w:color w:val="auto"/>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file with the Commission an appropriate supplement or amendment thereto (or to such document), and will expeditiously furnish to the Underwriters and dealers a reasonable number of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Blue Sky Laws</w:t>
      </w:r>
      <w:r>
        <w:rPr>
          <w:rFonts w:ascii="Times New Roman" w:cs="Times New Roman" w:eastAsia="Times New Roman" w:hAnsi="Times New Roman"/>
          <w:sz w:val="18"/>
          <w:szCs w:val="18"/>
          <w:color w:val="auto"/>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Expenses</w:t>
      </w:r>
      <w:r>
        <w:rPr>
          <w:rFonts w:ascii="Times New Roman" w:cs="Times New Roman" w:eastAsia="Times New Roman" w:hAnsi="Times New Roman"/>
          <w:sz w:val="18"/>
          <w:szCs w:val="18"/>
          <w:color w:val="auto"/>
        </w:rPr>
        <w:t xml:space="preserve">. If this Agreement shall terminate or shall be terminated after execution pursuant to any provisions hereof (other than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pursuant to the first clause of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and documented out-of-pocket expenses (including reasonable and documented fees and expenses of counsel for the Underwriters) incurred by the Underwriters in connection herewith.</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 the caption “Use of Proceeds” in the Pricing Disclosure Package and the Prospectus.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 Rules and Regulations and will advise the Underwriters of the time and manner of such filing.</w:t>
      </w: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 documents required to be filed with the Commission pursuant to the Exchange Act within the time periods required by the Exchange Act.</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Free Writing Prospectuses</w:t>
      </w:r>
      <w:r>
        <w:rPr>
          <w:rFonts w:ascii="Times New Roman" w:cs="Times New Roman" w:eastAsia="Times New Roman" w:hAnsi="Times New Roman"/>
          <w:sz w:val="18"/>
          <w:szCs w:val="18"/>
          <w:color w:val="auto"/>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cs="Times New Roman" w:eastAsia="Times New Roman" w:hAnsi="Times New Roman"/>
          <w:sz w:val="18"/>
          <w:szCs w:val="18"/>
          <w:b w:val="1"/>
          <w:bCs w:val="1"/>
          <w:u w:val="single" w:color="auto"/>
          <w:color w:val="auto"/>
        </w:rPr>
        <w:t>Non-Prospectus Road Show</w:t>
      </w:r>
      <w:r>
        <w:rPr>
          <w:rFonts w:ascii="Times New Roman" w:cs="Times New Roman" w:eastAsia="Times New Roman" w:hAnsi="Times New Roman"/>
          <w:sz w:val="18"/>
          <w:szCs w:val="18"/>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foregoing indemnity agreement is in addition to any liability that the Issuers may otherwise have to any Underwriter or to any director, officer, employee or controlling person of that Underwriter.</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4" w:name="page25"/>
    <w:bookmarkEnd w:id="24"/>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and documented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such Underwriter shall have the rights and duties given to the Issuers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The foregoing indemnity agreement shall be in addition to any liability that the Underwriters may otherwise have.</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25" w:name="page26"/>
    <w:bookmarkEnd w:id="25"/>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(d)            If the indemnification provided for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is unavailable to an indemnified party under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is not permitted by applicable law, in such proportion as is appropriate to reflect not only the relative benefits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The Issuers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above. The amount paid or payable by an indemnified party as a result of the losses, claims, damages, liabilities and expenses referred to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several and not joint.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(g)            Any losses, claims, damages, liabilities or expenses for which an indemnified party is entitled to indemnification or contribution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 following conditions:</w:t>
      </w:r>
    </w:p>
    <w:p>
      <w:pPr>
        <w:spacing w:after="0" w:line="15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Representatives shall have received an opinion of Vinson &amp; Elkins L.L.P., counsel for the Issuers, dated the Delivery Date and addressed to the Underwriters, to the effect that:</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            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6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94"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The offering and sale of the Notes as contemplated by this Agreement do not give rise to any rights for or relating to the registration of any other securities of the Issuers under any agreement filed as an exhibit to the Registration Statement, except such rights as have been waived or satisfied.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ind w:left="84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(vii)         This Agreement has been duly authorized, executed and delivered by each of the Issuers.</w:t>
      </w:r>
    </w:p>
    <w:p>
      <w:pPr>
        <w:spacing w:after="0" w:line="225"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(viii)        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92"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(xi)            None of (A) the offering, issuance and sale by the Issuers of the Notes, (B) the execution, delivery and performance of this Agreement by the Issuers, (C) the consummation of the transactions contemplated by this Agreement, (D) the execution and delivery of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and the Credit Agreement dated as of August 20, 2021, as amended, among the Partnership and Plains Midstream Canada, as borrowers, certain subsidiaries of the Partnership from time to time party thereto, as designated borrowers, Bank of America, N.A., as administrative agent and swing line lender thereunder, Bank of America, N.A., Citibank, N.A., JPMorgan Chase Bank, N.A. and Wells Fargo Bank, National Association, as letters of credit issuers, and the lenders from time to time party thereto, described in the Registration Statement, the Pricing Disclosure Package and the Prospectus (the “</w:t>
      </w: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color w:val="auto"/>
        </w:rPr>
        <w:t>”)), (3) results or will result in any violation of the Delaware LP Act, the Delaware LLC Act, the Delaware General Corporation Law (the “</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or</w:t>
      </w:r>
    </w:p>
    <w:p>
      <w:pPr>
        <w:spacing w:after="0" w:line="11" w:lineRule="exact"/>
        <w:rPr>
          <w:sz w:val="20"/>
          <w:szCs w:val="20"/>
          <w:color w:val="auto"/>
        </w:rPr>
      </w:pPr>
    </w:p>
    <w:p>
      <w:pPr>
        <w:jc w:val="both"/>
        <w:ind w:left="180" w:firstLine="4"/>
        <w:spacing w:after="0" w:line="255" w:lineRule="auto"/>
        <w:tabs>
          <w:tab w:leader="none" w:pos="452"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would reasonably be expected to have a Material Adverse Effect or materially impair the ability of the Issuers to consummate the transactions contemplated by this Agreement, it being understood that such counsel need not express an opinion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paragraph (xi)</w:t>
      </w:r>
      <w:r>
        <w:rPr>
          <w:rFonts w:ascii="Times New Roman" w:cs="Times New Roman" w:eastAsia="Times New Roman" w:hAnsi="Times New Roman"/>
          <w:sz w:val="18"/>
          <w:szCs w:val="18"/>
          <w:color w:val="auto"/>
        </w:rPr>
        <w:t xml:space="preserve"> with respect to any securities or other anti-fraud law.</w:t>
      </w:r>
    </w:p>
    <w:p>
      <w:pPr>
        <w:spacing w:after="0" w:line="186"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(xii)          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Section 5 of this Agreement.</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187"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(xiv)        The Registration Statement became effective under the Securities Act upon its filing on September 8, 2021;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180"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83" w:lineRule="exact"/>
        <w:rPr>
          <w:sz w:val="20"/>
          <w:szCs w:val="20"/>
          <w:color w:val="auto"/>
        </w:rPr>
      </w:pPr>
    </w:p>
    <w:p>
      <w:pPr>
        <w:jc w:val="both"/>
        <w:ind w:left="180" w:firstLine="648"/>
        <w:spacing w:after="0" w:line="289" w:lineRule="auto"/>
        <w:rPr>
          <w:sz w:val="20"/>
          <w:szCs w:val="20"/>
          <w:color w:val="auto"/>
        </w:rPr>
      </w:pPr>
      <w:r>
        <w:rPr>
          <w:rFonts w:ascii="Times New Roman" w:cs="Times New Roman" w:eastAsia="Times New Roman" w:hAnsi="Times New Roman"/>
          <w:sz w:val="17"/>
          <w:szCs w:val="17"/>
          <w:color w:val="auto"/>
        </w:rPr>
        <w:t>(xvi)        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158"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189"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(A)           the Registration Statement, as of the most recent Effective Date, contained an untrue statement of a material fact or omitted to state a material fact required to be stated therein or necessary to make the statements therein not misleading;</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76"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0"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w:t>
      </w:r>
    </w:p>
    <w:p>
      <w:pPr>
        <w:jc w:val="both"/>
        <w:ind w:left="180" w:firstLine="4"/>
        <w:spacing w:after="0" w:line="251" w:lineRule="auto"/>
        <w:tabs>
          <w:tab w:leader="none" w:pos="4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2" w:name="page33"/>
    <w:bookmarkEnd w:id="3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Representatives shall have received an opinion of the general counsel for GP LLC dated the Delivery Date and addressed to the Underwriters, to the effect that:</w:t>
      </w:r>
    </w:p>
    <w:p>
      <w:pPr>
        <w:spacing w:after="0" w:line="16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None of (1) the offering, issuance and sale by the Issuers of the Notes, (2) the execution, delivery and performance by the Issuers of this Agreement, (3) the consummation of the transactions contemplated by this Agreement or (4) the execution and delivery of the Supplemental Indenture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both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reasonably be expected to have a Material Adverse Effect or materially impair the ability of the Issuers to consummate the transactions contemplated by this Agreement.</w:t>
      </w:r>
    </w:p>
    <w:p>
      <w:pPr>
        <w:spacing w:after="0" w:line="187"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 w:cs="Times New Roman" w:eastAsia="Times New Roman" w:hAnsi="Times New Roman"/>
          <w:sz w:val="18"/>
          <w:szCs w:val="18"/>
          <w:u w:val="single" w:color="auto"/>
          <w:color w:val="auto"/>
        </w:rPr>
        <w:t>Section 7(d)(i)(4)(B)</w:t>
      </w:r>
      <w:r>
        <w:rPr>
          <w:rFonts w:ascii="Times New Roman" w:cs="Times New Roman" w:eastAsia="Times New Roman" w:hAnsi="Times New Roman"/>
          <w:sz w:val="18"/>
          <w:szCs w:val="18"/>
          <w:color w:val="auto"/>
        </w:rPr>
        <w:t xml:space="preserve"> above or (y) taxes.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ind w:firstLine="648"/>
        <w:spacing w:after="0" w:line="282" w:lineRule="auto"/>
        <w:rPr>
          <w:sz w:val="20"/>
          <w:szCs w:val="20"/>
          <w:color w:val="auto"/>
        </w:rPr>
      </w:pPr>
      <w:r>
        <w:rPr>
          <w:rFonts w:ascii="Times New Roman" w:cs="Times New Roman" w:eastAsia="Times New Roman" w:hAnsi="Times New Roman"/>
          <w:sz w:val="18"/>
          <w:szCs w:val="18"/>
          <w:color w:val="auto"/>
        </w:rPr>
        <w:t>(e)            The Representatives shall have received an opinion of internal Canadian counsel for the Partnership, dated the Delivery Date and addressed to the Underwriters, to the effect that:</w:t>
      </w:r>
    </w:p>
    <w:p>
      <w:pPr>
        <w:spacing w:after="0" w:line="162"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(i)            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Saskatchewan, Quebec, Nova Scotia and New Brunswick.</w:t>
      </w:r>
    </w:p>
    <w:p>
      <w:pPr>
        <w:spacing w:after="0" w:line="187"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(v)           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cut-off date for the procedures performed by such accountants and described in such letter shall be a date not more than five days prior to the date of such letter.</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that the date referred to in the proviso in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hereof shall be a date not more than three business days prior to the Delivery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18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183"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Partnership’s knowledge, threatened;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the Registration Statement, as of the Effective Date, (B) the Prospectus, as of its date and on the Delivery Date, and</w:t>
      </w:r>
    </w:p>
    <w:p>
      <w:pPr>
        <w:spacing w:after="0" w:line="27" w:lineRule="exact"/>
        <w:rPr>
          <w:sz w:val="20"/>
          <w:szCs w:val="20"/>
          <w:color w:val="auto"/>
        </w:rPr>
      </w:pPr>
    </w:p>
    <w:p>
      <w:pPr>
        <w:jc w:val="both"/>
        <w:ind w:left="640" w:firstLine="4"/>
        <w:spacing w:after="0" w:line="255" w:lineRule="auto"/>
        <w:tabs>
          <w:tab w:leader="none" w:pos="9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(k)            At the Delivery Date, the Notes shall be rated at least “Ba1”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(l)            The Issuers and the Trustee shall have executed and delivered the Supplemental Indenture, and the Issuers shall have executed and delivered the Global Notes.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such opinions, certificates, letters and other documents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understood, however, that except as otherwise provided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5(i)</w:t>
      </w:r>
      <w:r>
        <w:rPr>
          <w:rFonts w:ascii="Times New Roman" w:cs="Times New Roman" w:eastAsia="Times New Roman" w:hAnsi="Times New Roman"/>
          <w:sz w:val="18"/>
          <w:szCs w:val="18"/>
          <w:color w:val="auto"/>
        </w:rPr>
        <w:t xml:space="preserve">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Citigroup Global Markets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Any notice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may be given by telegram, telecopy or telephone but shall be subsequently confirmed by letter.</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of Agreement</w:t>
      </w:r>
      <w:r>
        <w:rPr>
          <w:rFonts w:ascii="Times New Roman" w:cs="Times New Roman" w:eastAsia="Times New Roman" w:hAnsi="Times New Roman"/>
          <w:sz w:val="18"/>
          <w:szCs w:val="18"/>
          <w:color w:val="auto"/>
        </w:rPr>
        <w:t>. This Agreement shall be subject to termination in the Representatives’ absolute discretion, without liability on the part of any Underwriter to any Issuer, by notice to the Issuers prior to the Delivery Date, if at any time prior to such time (i) trading in the Partnership’s Common Units shall have been suspended by the Commission or Nasdaq or trading in securities generally on the New York Stock Exchange, the NYSE American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 Successors</w:t>
      </w:r>
      <w:r>
        <w:rPr>
          <w:rFonts w:ascii="Times New Roman" w:cs="Times New Roman" w:eastAsia="Times New Roman" w:hAnsi="Times New Roman"/>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Citigroup Global Markets Inc., 388 Greenwich Street, New York, NY 10013 (fax: 646-291-1469), Attention: General Counsel; and c/o MUFG Securities Americas Inc., 1221 Avenue of the Americas,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10020 (fax: 646-434-3455), Attention: Capital Markets Group; c/o SMBC Nikko Securities America, Inc., 277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 Avenue, New York, NY 10172 (email: prospectus@smbcnikko-si.com), Attention: Debt Capital Markets – Transaction Management; and c/o Truist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 3333 Peachtree Road NE, 11th Floor, Atlanta, GA 30326 (fax: 404-926-5027), Attention: Investment Grade Debt Capital Markets;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shall not constitute notice) to Baker Botts L.L.P., 910 Louisiana St., Houston, Texas 77002, Attention: Joshua Davidson and Douglas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Getten; or, if sent to either of the Issuers, will be mailed, delivered or telefaxed to it at 333 Clay St., Suite 1600, Houston, Texas 77002, Attention: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(fax: (713) 646-4313).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Agreement has been and is made solely for the benefit of the several Underwriters and their directors, officers, employees, agents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Issuers and GP LLC’s directors and officers who sign the Registration Statement,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 Furnished by the Underwriters</w:t>
      </w:r>
      <w:r>
        <w:rPr>
          <w:rFonts w:ascii="Times New Roman" w:cs="Times New Roman" w:eastAsia="Times New Roman" w:hAnsi="Times New Roman"/>
          <w:sz w:val="18"/>
          <w:szCs w:val="18"/>
          <w:color w:val="auto"/>
        </w:rPr>
        <w:t xml:space="preserve">. The Issuers acknowledge that the following statements set forth in the most recent Preliminary Prospectus and the Prospectus constitute the only information furnished by or on behalf of the Underwriters through the Representatives as such information is referred to in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6(c)</w:t>
      </w:r>
      <w:r>
        <w:rPr>
          <w:rFonts w:ascii="Times New Roman" w:cs="Times New Roman" w:eastAsia="Times New Roman" w:hAnsi="Times New Roman"/>
          <w:sz w:val="18"/>
          <w:szCs w:val="18"/>
          <w:color w:val="auto"/>
        </w:rPr>
        <w:t xml:space="preserve"> hereof: (A) the names of the Underwriters, (B) the table under the first paragraph under the heading “Underwriting,” (C) the first paragraph under the heading “Underwriting — Underwriting Discounts” related to concessions and (D) the first paragraph, the first two sentences of the second paragraph and the first sentence of the third paragraph under the heading “Underwriting — Stabilization, Short Positions and Penalty Bids.”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Research Analyst Independence</w:t>
      </w:r>
      <w:r>
        <w:rPr>
          <w:rFonts w:ascii="Times New Roman" w:cs="Times New Roman" w:eastAsia="Times New Roman" w:hAnsi="Times New Roman"/>
          <w:sz w:val="18"/>
          <w:szCs w:val="18"/>
          <w:color w:val="auto"/>
        </w:rPr>
        <w:t>.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used in this Section 14,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 Underwriters, or any of them, with respect to the subject matter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Applicable Law; Counterparts</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the Issuers and the Underwriters.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PAA GP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PLAINS AAP, L.P.,</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PLAINS ALL AMERICAN GP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and Treasurer</w:t>
      </w:r>
    </w:p>
    <w:p>
      <w:pPr>
        <w:spacing w:after="0" w:line="2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foregoing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48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N. Paynter</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Coglaindro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Maria N. Paynter</w:t>
            </w:r>
          </w:p>
        </w:tc>
        <w:tc>
          <w:tcPr>
            <w:tcW w:w="7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Coglaindro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Bausano</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Nordlinger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Bausano</w:t>
            </w:r>
          </w:p>
        </w:tc>
        <w:tc>
          <w:tcPr>
            <w:tcW w:w="7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Nordlinger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39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 Amount of</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Notes to be Purchased</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80" w:type="dxa"/>
            <w:vAlign w:val="bottom"/>
            <w:shd w:val="clear" w:color="auto" w:fill="CCEEFF"/>
          </w:tcPr>
          <w:p>
            <w:pPr>
              <w:spacing w:after="0"/>
              <w:rPr>
                <w:sz w:val="18"/>
                <w:szCs w:val="18"/>
                <w:color w:val="auto"/>
              </w:rPr>
            </w:pPr>
          </w:p>
        </w:tc>
      </w:tr>
      <w:tr>
        <w:trPr>
          <w:trHeight w:val="209"/>
        </w:trPr>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4" w:name="page45"/>
    <w:bookmarkEnd w:id="44"/>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333-259387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17, 2024</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Final Term Sheet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$650,000,000 5.700% Senior Notes due 2034</w:t>
      </w:r>
    </w:p>
    <w:p>
      <w:pPr>
        <w:sectPr>
          <w:pgSz w:w="11900" w:h="16838" w:orient="portrait"/>
          <w:cols w:equalWidth="0" w:num="1">
            <w:col w:w="11140"/>
          </w:cols>
          <w:pgMar w:left="420" w:top="90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 and PAA Finance Corp.</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[Ratings Intentionally Omitted]</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17"/>
          <w:szCs w:val="17"/>
          <w:color w:val="auto"/>
        </w:rPr>
        <w:t>Senior unsecured</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Format: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420"/>
        <w:spacing w:after="0"/>
        <w:rPr>
          <w:sz w:val="20"/>
          <w:szCs w:val="20"/>
          <w:color w:val="auto"/>
        </w:rPr>
      </w:pPr>
      <w:r>
        <w:rPr>
          <w:rFonts w:ascii="Times New Roman" w:cs="Times New Roman" w:eastAsia="Times New Roman" w:hAnsi="Times New Roman"/>
          <w:sz w:val="17"/>
          <w:szCs w:val="17"/>
          <w:color w:val="auto"/>
        </w:rPr>
        <w:t>SEC-registered</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7"/>
          <w:szCs w:val="17"/>
          <w:color w:val="auto"/>
        </w:rPr>
        <w:t>June 17, 2024</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 (T+7):</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27, 2024</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15, 2034</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8"/>
          <w:szCs w:val="18"/>
          <w:color w:val="auto"/>
        </w:rPr>
        <w:t>$650,000,000</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4.375% due May 15, 2034</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4.273%</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+143 bps</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5.703%</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Coupon: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color w:val="auto"/>
        </w:rPr>
        <w:t>5.700%</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99.953%</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(after deducting the underwriting discount and estimated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$643.27 million</w:t>
      </w:r>
    </w:p>
    <w:p>
      <w:pPr>
        <w:spacing w:after="0" w:line="27" w:lineRule="exact"/>
        <w:rPr>
          <w:sz w:val="20"/>
          <w:szCs w:val="20"/>
          <w:color w:val="auto"/>
        </w:rPr>
      </w:pPr>
    </w:p>
    <w:p>
      <w:pPr>
        <w:sectPr>
          <w:pgSz w:w="11900" w:h="16838" w:orient="portrait"/>
          <w:cols w:equalWidth="0" w:num="2">
            <w:col w:w="5080" w:space="540"/>
            <w:col w:w="5520"/>
          </w:cols>
          <w:pgMar w:left="4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 expenses):</w:t>
      </w:r>
    </w:p>
    <w:p>
      <w:pPr>
        <w:sectPr>
          <w:pgSz w:w="11900" w:h="16838" w:orient="portrait"/>
          <w:cols w:equalWidth="0" w:num="1">
            <w:col w:w="11140"/>
          </w:cols>
          <w:pgMar w:left="420" w:top="900"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7"/>
          <w:szCs w:val="17"/>
          <w:color w:val="auto"/>
        </w:rPr>
        <w:t>U.S. Treasury + 25 bps</w:t>
      </w:r>
    </w:p>
    <w:p>
      <w:pPr>
        <w:spacing w:after="0" w:line="200"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at Par: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or after June 15, 2034</w:t>
      </w:r>
    </w:p>
    <w:p>
      <w:pPr>
        <w:spacing w:after="0" w:line="211" w:lineRule="exact"/>
        <w:rPr>
          <w:sz w:val="20"/>
          <w:szCs w:val="20"/>
          <w:color w:val="auto"/>
        </w:rPr>
      </w:pPr>
    </w:p>
    <w:p>
      <w:pPr>
        <w:sectPr>
          <w:pgSz w:w="11900" w:h="16838" w:orient="portrait"/>
          <w:cols w:equalWidth="0" w:num="2">
            <w:col w:w="4900" w:space="720"/>
            <w:col w:w="5520"/>
          </w:cols>
          <w:pgMar w:left="420" w:top="900" w:right="339" w:bottom="1440" w:gutter="0" w:footer="0" w:header="0"/>
          <w:type w:val="continuous"/>
        </w:sectPr>
      </w:pPr>
    </w:p>
    <w:p>
      <w:pPr>
        <w:spacing w:after="0" w:line="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308610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type w:val="continuous"/>
        </w:sectPr>
      </w:pPr>
    </w:p>
    <w:bookmarkStart w:id="45" w:name="page46"/>
    <w:bookmarkEnd w:id="45"/>
    <w:p>
      <w:pPr>
        <w:ind w:left="100"/>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15 and September 15, beginning on March 15, 2025</w:t>
      </w:r>
    </w:p>
    <w:p>
      <w:pPr>
        <w:spacing w:after="0" w:line="200" w:lineRule="exact"/>
        <w:rPr>
          <w:sz w:val="20"/>
          <w:szCs w:val="20"/>
          <w:color w:val="auto"/>
        </w:rPr>
      </w:pPr>
    </w:p>
    <w:p>
      <w:pPr>
        <w:sectPr>
          <w:pgSz w:w="11900" w:h="16838" w:orient="portrait"/>
          <w:cols w:equalWidth="0" w:num="2">
            <w:col w:w="5000" w:space="720"/>
            <w:col w:w="5520"/>
          </w:cols>
          <w:pgMar w:left="320" w:top="931" w:right="339" w:bottom="1440" w:gutter="0" w:footer="0" w:header="0"/>
        </w:sectPr>
      </w:pP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72650R BP6 / US72650RBP64</w:t>
      </w:r>
    </w:p>
    <w:p>
      <w:pPr>
        <w:spacing w:after="0" w:line="211" w:lineRule="exact"/>
        <w:rPr>
          <w:sz w:val="20"/>
          <w:szCs w:val="20"/>
          <w:color w:val="auto"/>
        </w:rPr>
      </w:pPr>
    </w:p>
    <w:p>
      <w:pPr>
        <w:sectPr>
          <w:pgSz w:w="11900" w:h="16838" w:orient="portrait"/>
          <w:cols w:equalWidth="0" w:num="2">
            <w:col w:w="5000" w:space="720"/>
            <w:col w:w="5520"/>
          </w:cols>
          <w:pgMar w:left="320" w:top="931"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ectPr>
          <w:pgSz w:w="11900" w:h="16838" w:orient="portrait"/>
          <w:cols w:equalWidth="0" w:num="2">
            <w:col w:w="5000" w:space="720"/>
            <w:col w:w="5520"/>
          </w:cols>
          <w:pgMar w:left="320" w:top="931"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Direct, Inc.</w:t>
      </w:r>
    </w:p>
    <w:p>
      <w:pPr>
        <w:spacing w:after="0" w:line="200" w:lineRule="exact"/>
        <w:rPr>
          <w:sz w:val="20"/>
          <w:szCs w:val="20"/>
          <w:color w:val="auto"/>
        </w:rPr>
      </w:pPr>
    </w:p>
    <w:p>
      <w:pPr>
        <w:sectPr>
          <w:pgSz w:w="11900" w:h="16838" w:orient="portrait"/>
          <w:cols w:equalWidth="0" w:num="2">
            <w:col w:w="5000" w:space="720"/>
            <w:col w:w="5520"/>
          </w:cols>
          <w:pgMar w:left="320" w:top="931" w:right="339" w:bottom="1440" w:gutter="0" w:footer="0" w:header="0"/>
          <w:type w:val="continuous"/>
        </w:sectPr>
      </w:pPr>
    </w:p>
    <w:p>
      <w:pPr>
        <w:spacing w:after="0" w:line="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June 27, 2024, which is the seventh business day following the date of pricing of the notes (such settlement being referred to as “T+7”).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T+7, to specify an alternate settlement cycle at the time of any such trade to prevent failed settlement and should consult their own advisors.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collect at 1-800-831-9146, MUFG Securities Americas Inc. toll-free at 1-877-649-6848, SMBC Nikko Securities America, Inc. toll-free at 1-888-868-6856 or Truist Securities, Inc. toll-free at 1-800-685-4786.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22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8" w:name="page49"/>
    <w:bookmarkEnd w:id="48"/>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5"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940" w:type="dxa"/>
            <w:vAlign w:val="bottom"/>
            <w:gridSpan w:val="5"/>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1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0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Jurisdiction in which registered or qualified</w:t>
            </w:r>
          </w:p>
        </w:tc>
        <w:tc>
          <w:tcPr>
            <w:tcW w:w="100" w:type="dxa"/>
            <w:vAlign w:val="bottom"/>
          </w:tcPr>
          <w:p>
            <w:pPr>
              <w:spacing w:after="0"/>
              <w:rPr>
                <w:sz w:val="24"/>
                <w:szCs w:val="24"/>
                <w:color w:val="auto"/>
              </w:rPr>
            </w:pPr>
          </w:p>
        </w:tc>
      </w:tr>
      <w:tr>
        <w:trPr>
          <w:trHeight w:val="228"/>
        </w:trPr>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19"/>
                <w:szCs w:val="19"/>
                <w:color w:val="auto"/>
              </w:rPr>
            </w:pPr>
          </w:p>
        </w:tc>
      </w:tr>
      <w:tr>
        <w:trPr>
          <w:trHeight w:val="414"/>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 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w:t>
            </w:r>
          </w:p>
        </w:tc>
        <w:tc>
          <w:tcPr>
            <w:tcW w:w="100" w:type="dxa"/>
            <w:vAlign w:val="bottom"/>
          </w:tcPr>
          <w:p>
            <w:pPr>
              <w:spacing w:after="0"/>
              <w:rPr>
                <w:sz w:val="24"/>
                <w:szCs w:val="24"/>
                <w:color w:val="auto"/>
              </w:rPr>
            </w:pPr>
          </w:p>
        </w:tc>
      </w:tr>
      <w:tr>
        <w:trPr>
          <w:trHeight w:val="414"/>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Manitoba, Ontario, Saskatchewan, British Columbia, Quebec,</w:t>
            </w:r>
          </w:p>
        </w:tc>
        <w:tc>
          <w:tcPr>
            <w:tcW w:w="100" w:type="dxa"/>
            <w:vAlign w:val="bottom"/>
          </w:tcPr>
          <w:p>
            <w:pPr>
              <w:spacing w:after="0"/>
              <w:rPr>
                <w:sz w:val="24"/>
                <w:szCs w:val="24"/>
                <w:color w:val="auto"/>
              </w:rPr>
            </w:pPr>
          </w:p>
        </w:tc>
      </w:tr>
      <w:tr>
        <w:trPr>
          <w:trHeight w:val="234"/>
        </w:trPr>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 Scotia, New Brunswick</w:t>
            </w: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 Texas</w:t>
            </w:r>
          </w:p>
        </w:tc>
        <w:tc>
          <w:tcPr>
            <w:tcW w:w="1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80" w:type="dxa"/>
            <w:vAlign w:val="bottom"/>
            <w:gridSpan w:val="4"/>
          </w:tcPr>
          <w:p>
            <w:pPr>
              <w:jc w:val="center"/>
              <w:ind w:right="5060"/>
              <w:spacing w:after="0"/>
              <w:rPr>
                <w:sz w:val="20"/>
                <w:szCs w:val="20"/>
                <w:color w:val="auto"/>
              </w:rPr>
            </w:pPr>
            <w:r>
              <w:rPr>
                <w:rFonts w:ascii="Times New Roman" w:cs="Times New Roman" w:eastAsia="Times New Roman" w:hAnsi="Times New Roman"/>
                <w:sz w:val="18"/>
                <w:szCs w:val="18"/>
                <w:color w:val="auto"/>
                <w:w w:val="98"/>
              </w:rPr>
              <w:t>Exhibit A-1</w:t>
            </w:r>
          </w:p>
        </w:tc>
        <w:tc>
          <w:tcPr>
            <w:tcW w:w="100" w:type="dxa"/>
            <w:vAlign w:val="bottom"/>
          </w:tcPr>
          <w:p>
            <w:pPr>
              <w:spacing w:after="0"/>
              <w:rPr>
                <w:sz w:val="24"/>
                <w:szCs w:val="24"/>
                <w:color w:val="auto"/>
              </w:rPr>
            </w:pPr>
          </w:p>
        </w:tc>
      </w:tr>
      <w:tr>
        <w:trPr>
          <w:trHeight w:val="459"/>
        </w:trPr>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17,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March 31, 2024. In addition, as of the date of this certificate, the total debt of the Partnership is approximately $7.7 billion.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 the Partnership, PAA Finance Corp., and Citigroup Global Markets Inc., MUFG Securities Americas Inc., SMBC Nikko Securities America, Inc. and Truist Securities, Inc. as the representatives of the several Underwriters.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IN WITNESS WHEREOF, the undersigned has hereunto affixed his signature as of the date first written above.</w:t>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lowerRoman"/>
      <w:start w:val="2"/>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lowerLetter"/>
      <w:start w:val="27"/>
    </w:lvl>
  </w:abstractNum>
  <w:abstractNum w:abstractNumId="6">
    <w:nsid w:val="216231B"/>
    <w:multiLevelType w:val="hybridMultilevel"/>
    <w:lvl w:ilvl="0">
      <w:lvlJc w:val="left"/>
      <w:lvlText w:val="(%1)"/>
      <w:numFmt w:val="lowerLetter"/>
      <w:start w:val="29"/>
    </w:lvl>
  </w:abstractNum>
  <w:abstractNum w:abstractNumId="7">
    <w:nsid w:val="1F16E9E8"/>
    <w:multiLevelType w:val="hybridMultilevel"/>
    <w:lvl w:ilvl="0">
      <w:lvlJc w:val="left"/>
      <w:lvlText w:val="(%1)"/>
      <w:numFmt w:val="lowerLetter"/>
      <w:start w:val="32"/>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lowerRoman"/>
      <w:start w:val="4"/>
    </w:lvl>
  </w:abstractNum>
  <w:abstractNum w:abstractNumId="10">
    <w:nsid w:val="140E0F76"/>
    <w:multiLevelType w:val="hybridMultilevel"/>
    <w:lvl w:ilvl="0">
      <w:lvlJc w:val="left"/>
      <w:lvlText w:val="(%1)"/>
      <w:numFmt w:val="decimal"/>
      <w:start w:val="4"/>
    </w:lvl>
  </w:abstractNum>
  <w:abstractNum w:abstractNumId="11">
    <w:nsid w:val="3352255A"/>
    <w:multiLevelType w:val="hybridMultilevel"/>
    <w:lvl w:ilvl="0">
      <w:lvlJc w:val="left"/>
      <w:lvlText w:val="(%1)"/>
      <w:numFmt w:val="upperLetter"/>
      <w:start w:val="2"/>
    </w:lvl>
  </w:abstractNum>
  <w:abstractNum w:abstractNumId="12">
    <w:nsid w:val="109CF92E"/>
    <w:multiLevelType w:val="hybridMultilevel"/>
    <w:lvl w:ilvl="0">
      <w:lvlJc w:val="left"/>
      <w:lvlText w:val="(%1)"/>
      <w:numFmt w:val="upperLetter"/>
      <w:start w:val="3"/>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2024-06-20T15:13:31Z</dcterms:created>
  <dcterms:modified xsi:type="dcterms:W3CDTF">2024-06-20T15:13:31Z</dcterms:modified>
</cp:coreProperties>
</file>