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bookmarkStart w:id="0" w:name="tm252369d5_defa14a.htm"/>
      <w:bookmarkStart w:id="1" w:name="kstm252369d5_defa14a"/>
      <w:bookmarkEnd w:id="0"/>
      <w:bookmarkEnd w:id="1"/>
      <w:r>
        <w:rPr/>
        <w:t> </w:t>
      </w:r>
    </w:p>
    <w:p>
      <w:pPr>
        <w:pStyle w:val="TextBody"/>
        <w:bidi w:val="0"/>
        <w:jc w:val="left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>UNITED STATES</w:t>
        <w:br/>
        <w:t>SECURITIES AND EXCHANGE COMMISSION</w:t>
      </w: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br/>
        <w:t>Washington, D.C. 20549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SCHEDULE 14A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Proxy Statement Pursuant to Section 14(a) of</w:t>
        <w:br/>
        <w:t>the Securities Exchange Act of 1934 (Amendment No.    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Filed by the Registrant ☒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Filed by a Party other than the Registrant ☐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Check the appropriate box: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99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2750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27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Preliminary Proxy Statement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835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8105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Confidential, for Use of the Commission Only (as permitted by Rule 14a-6(e)(2))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84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2600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26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Definitive Proxy Statement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22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2975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Definitive Additional Materials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88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3635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36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Soliciting Material under §240.14a-12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2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2"/>
        </w:rPr>
        <w:t>PLAINS ALL AMERICAN PIPELINE, L.P.</w:t>
      </w:r>
    </w:p>
    <w:p>
      <w:pPr>
        <w:pStyle w:val="TextBody"/>
        <w:pBdr>
          <w:top w:val="single" w:sz="8" w:space="1" w:color="000000"/>
        </w:pBdr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(Name of Registrant as Specified In Its Charter)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pBdr>
          <w:top w:val="single" w:sz="8" w:space="1" w:color="000000"/>
        </w:pBdr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(Name of Person(s) Filing Proxy Statement, if other than the Registrant)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Payment of Filing Fee (Check the appropriate box):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82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1580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15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 fee required.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72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4475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44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Fee paid previously with preliminary materials.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95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9710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Fee computed on table in exhibit required by Item 25(b) per Exchange Act Rules 14a6(i)(1) and 0 -11.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tbl>
      <w:tblPr>
        <w:tblW w:w="12758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735"/>
        <w:gridCol w:w="23"/>
      </w:tblGrid>
      <w:tr>
        <w:trPr/>
        <w:tc>
          <w:tcPr>
            <w:tcW w:w="12735" w:type="dxa"/>
            <w:tcBorders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  <w:drawing>
                <wp:inline distT="0" distB="0" distL="0" distR="0">
                  <wp:extent cx="8086725" cy="104775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6725" cy="1047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758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735"/>
        <w:gridCol w:w="23"/>
      </w:tblGrid>
      <w:tr>
        <w:trPr/>
        <w:tc>
          <w:tcPr>
            <w:tcW w:w="12735" w:type="dxa"/>
            <w:tcBorders/>
          </w:tcPr>
          <w:p>
            <w:pPr>
              <w:pStyle w:val="TableContents"/>
              <w:bidi w:val="0"/>
              <w:spacing w:before="0" w:after="0"/>
              <w:ind w:left="0" w:right="0" w:hanging="0"/>
              <w:jc w:val="center"/>
              <w:rPr/>
            </w:pPr>
            <w:r>
              <w:rPr/>
              <w:drawing>
                <wp:inline distT="0" distB="0" distL="0" distR="0">
                  <wp:extent cx="8086725" cy="1047750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6725" cy="1047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hanging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ind w:left="0" w:right="0" w:hanging="0"/>
        <w:jc w:val="left"/>
        <w:rPr/>
      </w:pPr>
      <w:r>
        <w:rPr/>
      </w:r>
      <w:r>
        <w:br w:type="page"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137</Words>
  <Characters>739</Characters>
  <CharactersWithSpaces>877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