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As filed with the Securities and Exchange Commission on September 14, 2018</w:t>
      </w:r>
    </w:p>
    <w:p>
      <w:pPr>
        <w:spacing w:after="0" w:line="204" w:lineRule="exact"/>
        <w:rPr>
          <w:sz w:val="24"/>
          <w:szCs w:val="24"/>
          <w:color w:val="auto"/>
        </w:rPr>
      </w:pPr>
    </w:p>
    <w:p>
      <w:pPr>
        <w:ind w:left="93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REGISTRATION STATEMENT</w:t>
      </w:r>
    </w:p>
    <w:p>
      <w:pPr>
        <w:jc w:val="center"/>
        <w:ind w:right="-79"/>
        <w:spacing w:after="0" w:line="221" w:lineRule="auto"/>
        <w:rPr>
          <w:sz w:val="20"/>
          <w:szCs w:val="20"/>
          <w:color w:val="auto"/>
        </w:rPr>
      </w:pPr>
      <w:r>
        <w:rPr>
          <w:rFonts w:ascii="Arial" w:cs="Arial" w:eastAsia="Arial" w:hAnsi="Arial"/>
          <w:sz w:val="14"/>
          <w:szCs w:val="14"/>
          <w:b w:val="1"/>
          <w:bCs w:val="1"/>
          <w:color w:val="auto"/>
        </w:rPr>
        <w:t>UNDER</w:t>
      </w:r>
    </w:p>
    <w:p>
      <w:pPr>
        <w:jc w:val="center"/>
        <w:ind w:right="-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PLAINS ALL AMERICAN PIPELINE, L.P.</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PAA FINANCE CORP.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178" w:lineRule="exact"/>
        <w:rPr>
          <w:sz w:val="24"/>
          <w:szCs w:val="24"/>
          <w:color w:val="auto"/>
        </w:rPr>
      </w:pPr>
    </w:p>
    <w:tbl>
      <w:tblPr>
        <w:tblLayout w:type="fixed"/>
        <w:tblInd w:w="2640" w:type="dxa"/>
        <w:tblCellMar>
          <w:top w:w="0" w:type="dxa"/>
          <w:left w:w="0" w:type="dxa"/>
          <w:bottom w:w="0" w:type="dxa"/>
          <w:right w:w="0" w:type="dxa"/>
        </w:tblCellMar>
      </w:tblPr>
      <w:tr>
        <w:trPr>
          <w:trHeight w:val="161"/>
        </w:trPr>
        <w:tc>
          <w:tcPr>
            <w:tcW w:w="3220" w:type="dxa"/>
            <w:vAlign w:val="bottom"/>
          </w:tcPr>
          <w:p>
            <w:pPr>
              <w:jc w:val="center"/>
              <w:ind w:right="612"/>
              <w:spacing w:after="0"/>
              <w:rPr>
                <w:sz w:val="20"/>
                <w:szCs w:val="20"/>
                <w:color w:val="auto"/>
              </w:rPr>
            </w:pPr>
            <w:r>
              <w:rPr>
                <w:rFonts w:ascii="Arial" w:cs="Arial" w:eastAsia="Arial" w:hAnsi="Arial"/>
                <w:sz w:val="14"/>
                <w:szCs w:val="14"/>
                <w:b w:val="1"/>
                <w:bCs w:val="1"/>
                <w:color w:val="auto"/>
                <w:w w:val="87"/>
              </w:rPr>
              <w:t>Delaware</w:t>
            </w:r>
          </w:p>
        </w:tc>
        <w:tc>
          <w:tcPr>
            <w:tcW w:w="2640" w:type="dxa"/>
            <w:vAlign w:val="bottom"/>
          </w:tcPr>
          <w:p>
            <w:pPr>
              <w:jc w:val="center"/>
              <w:ind w:left="612"/>
              <w:spacing w:after="0"/>
              <w:rPr>
                <w:sz w:val="20"/>
                <w:szCs w:val="20"/>
                <w:color w:val="auto"/>
              </w:rPr>
            </w:pPr>
            <w:r>
              <w:rPr>
                <w:rFonts w:ascii="Arial" w:cs="Arial" w:eastAsia="Arial" w:hAnsi="Arial"/>
                <w:sz w:val="14"/>
                <w:szCs w:val="14"/>
                <w:b w:val="1"/>
                <w:bCs w:val="1"/>
                <w:color w:val="auto"/>
                <w:w w:val="85"/>
              </w:rPr>
              <w:t>76-0582150</w:t>
            </w:r>
          </w:p>
        </w:tc>
      </w:tr>
      <w:tr>
        <w:trPr>
          <w:trHeight w:val="151"/>
        </w:trPr>
        <w:tc>
          <w:tcPr>
            <w:tcW w:w="3220" w:type="dxa"/>
            <w:vAlign w:val="bottom"/>
          </w:tcPr>
          <w:p>
            <w:pPr>
              <w:jc w:val="center"/>
              <w:ind w:right="612"/>
              <w:spacing w:after="0" w:line="151" w:lineRule="exact"/>
              <w:rPr>
                <w:sz w:val="20"/>
                <w:szCs w:val="20"/>
                <w:color w:val="auto"/>
              </w:rPr>
            </w:pPr>
            <w:r>
              <w:rPr>
                <w:rFonts w:ascii="Arial" w:cs="Arial" w:eastAsia="Arial" w:hAnsi="Arial"/>
                <w:sz w:val="14"/>
                <w:szCs w:val="14"/>
                <w:b w:val="1"/>
                <w:bCs w:val="1"/>
                <w:color w:val="auto"/>
                <w:w w:val="87"/>
              </w:rPr>
              <w:t>Delaware</w:t>
            </w:r>
          </w:p>
        </w:tc>
        <w:tc>
          <w:tcPr>
            <w:tcW w:w="2640" w:type="dxa"/>
            <w:vAlign w:val="bottom"/>
          </w:tcPr>
          <w:p>
            <w:pPr>
              <w:jc w:val="center"/>
              <w:ind w:left="612"/>
              <w:spacing w:after="0" w:line="151" w:lineRule="exact"/>
              <w:rPr>
                <w:sz w:val="20"/>
                <w:szCs w:val="20"/>
                <w:color w:val="auto"/>
              </w:rPr>
            </w:pPr>
            <w:r>
              <w:rPr>
                <w:rFonts w:ascii="Arial" w:cs="Arial" w:eastAsia="Arial" w:hAnsi="Arial"/>
                <w:sz w:val="14"/>
                <w:szCs w:val="14"/>
                <w:b w:val="1"/>
                <w:bCs w:val="1"/>
                <w:color w:val="auto"/>
                <w:w w:val="85"/>
              </w:rPr>
              <w:t>56-2464313</w:t>
            </w:r>
          </w:p>
        </w:tc>
      </w:tr>
      <w:tr>
        <w:trPr>
          <w:trHeight w:val="149"/>
        </w:trPr>
        <w:tc>
          <w:tcPr>
            <w:tcW w:w="3220" w:type="dxa"/>
            <w:vAlign w:val="bottom"/>
          </w:tcPr>
          <w:p>
            <w:pPr>
              <w:jc w:val="center"/>
              <w:ind w:right="612"/>
              <w:spacing w:after="0" w:line="149" w:lineRule="exact"/>
              <w:rPr>
                <w:sz w:val="20"/>
                <w:szCs w:val="20"/>
                <w:color w:val="auto"/>
              </w:rPr>
            </w:pPr>
            <w:r>
              <w:rPr>
                <w:rFonts w:ascii="Arial" w:cs="Arial" w:eastAsia="Arial" w:hAnsi="Arial"/>
                <w:sz w:val="14"/>
                <w:szCs w:val="14"/>
                <w:color w:val="auto"/>
                <w:w w:val="89"/>
              </w:rPr>
              <w:t>(State or Other Jurisdiction of Incorporation or</w:t>
            </w:r>
          </w:p>
        </w:tc>
        <w:tc>
          <w:tcPr>
            <w:tcW w:w="2640" w:type="dxa"/>
            <w:vAlign w:val="bottom"/>
          </w:tcPr>
          <w:p>
            <w:pPr>
              <w:jc w:val="center"/>
              <w:ind w:left="612"/>
              <w:spacing w:after="0" w:line="149" w:lineRule="exact"/>
              <w:rPr>
                <w:sz w:val="20"/>
                <w:szCs w:val="20"/>
                <w:color w:val="auto"/>
              </w:rPr>
            </w:pPr>
            <w:r>
              <w:rPr>
                <w:rFonts w:ascii="Arial" w:cs="Arial" w:eastAsia="Arial" w:hAnsi="Arial"/>
                <w:sz w:val="14"/>
                <w:szCs w:val="14"/>
                <w:color w:val="auto"/>
                <w:w w:val="90"/>
              </w:rPr>
              <w:t>(I.R.S. Employer Identification No.)</w:t>
            </w:r>
          </w:p>
        </w:tc>
      </w:tr>
      <w:tr>
        <w:trPr>
          <w:trHeight w:val="172"/>
        </w:trPr>
        <w:tc>
          <w:tcPr>
            <w:tcW w:w="3220" w:type="dxa"/>
            <w:vAlign w:val="bottom"/>
          </w:tcPr>
          <w:p>
            <w:pPr>
              <w:jc w:val="center"/>
              <w:ind w:right="612"/>
              <w:spacing w:after="0"/>
              <w:rPr>
                <w:sz w:val="20"/>
                <w:szCs w:val="20"/>
                <w:color w:val="auto"/>
              </w:rPr>
            </w:pPr>
            <w:r>
              <w:rPr>
                <w:rFonts w:ascii="Arial" w:cs="Arial" w:eastAsia="Arial" w:hAnsi="Arial"/>
                <w:sz w:val="14"/>
                <w:szCs w:val="14"/>
                <w:color w:val="auto"/>
                <w:w w:val="88"/>
              </w:rPr>
              <w:t>Organization)</w:t>
            </w:r>
          </w:p>
        </w:tc>
        <w:tc>
          <w:tcPr>
            <w:tcW w:w="2640" w:type="dxa"/>
            <w:vAlign w:val="bottom"/>
          </w:tcPr>
          <w:p>
            <w:pPr>
              <w:spacing w:after="0"/>
              <w:rPr>
                <w:sz w:val="14"/>
                <w:szCs w:val="14"/>
                <w:color w:val="auto"/>
              </w:rPr>
            </w:pPr>
          </w:p>
        </w:tc>
      </w:tr>
    </w:tbl>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333 Clay Street, Suite 1600</w:t>
      </w:r>
    </w:p>
    <w:p>
      <w:pPr>
        <w:jc w:val="center"/>
        <w:ind w:right="-79"/>
        <w:spacing w:after="0" w:line="223" w:lineRule="auto"/>
        <w:rPr>
          <w:sz w:val="20"/>
          <w:szCs w:val="20"/>
          <w:color w:val="auto"/>
        </w:rPr>
      </w:pPr>
      <w:r>
        <w:rPr>
          <w:rFonts w:ascii="Arial" w:cs="Arial" w:eastAsia="Arial" w:hAnsi="Arial"/>
          <w:sz w:val="14"/>
          <w:szCs w:val="14"/>
          <w:b w:val="1"/>
          <w:bCs w:val="1"/>
          <w:color w:val="auto"/>
        </w:rPr>
        <w:t>Houston, Texas 77002</w:t>
      </w:r>
    </w:p>
    <w:p>
      <w:pPr>
        <w:jc w:val="center"/>
        <w:ind w:right="-79"/>
        <w:spacing w:after="0" w:line="222" w:lineRule="auto"/>
        <w:rPr>
          <w:sz w:val="20"/>
          <w:szCs w:val="20"/>
          <w:color w:val="auto"/>
        </w:rPr>
      </w:pPr>
      <w:r>
        <w:rPr>
          <w:rFonts w:ascii="Arial" w:cs="Arial" w:eastAsia="Arial" w:hAnsi="Arial"/>
          <w:sz w:val="14"/>
          <w:szCs w:val="14"/>
          <w:b w:val="1"/>
          <w:bCs w:val="1"/>
          <w:color w:val="auto"/>
        </w:rPr>
        <w:t>(713) 646-4100</w:t>
      </w:r>
    </w:p>
    <w:p>
      <w:pPr>
        <w:jc w:val="center"/>
        <w:ind w:right="-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Richard McGee</w:t>
      </w:r>
    </w:p>
    <w:p>
      <w:pPr>
        <w:jc w:val="center"/>
        <w:ind w:right="-79"/>
        <w:spacing w:after="0" w:line="223" w:lineRule="auto"/>
        <w:rPr>
          <w:sz w:val="20"/>
          <w:szCs w:val="20"/>
          <w:color w:val="auto"/>
        </w:rPr>
      </w:pPr>
      <w:r>
        <w:rPr>
          <w:rFonts w:ascii="Arial" w:cs="Arial" w:eastAsia="Arial" w:hAnsi="Arial"/>
          <w:sz w:val="14"/>
          <w:szCs w:val="14"/>
          <w:b w:val="1"/>
          <w:bCs w:val="1"/>
          <w:color w:val="auto"/>
        </w:rPr>
        <w:t>Executive Vice President, General</w:t>
      </w:r>
    </w:p>
    <w:p>
      <w:pPr>
        <w:jc w:val="center"/>
        <w:ind w:right="-79"/>
        <w:spacing w:after="0" w:line="222" w:lineRule="auto"/>
        <w:rPr>
          <w:sz w:val="20"/>
          <w:szCs w:val="20"/>
          <w:color w:val="auto"/>
        </w:rPr>
      </w:pPr>
      <w:r>
        <w:rPr>
          <w:rFonts w:ascii="Arial" w:cs="Arial" w:eastAsia="Arial" w:hAnsi="Arial"/>
          <w:sz w:val="14"/>
          <w:szCs w:val="14"/>
          <w:b w:val="1"/>
          <w:bCs w:val="1"/>
          <w:color w:val="auto"/>
        </w:rPr>
        <w:t>Counsel and Secretary</w:t>
      </w:r>
    </w:p>
    <w:p>
      <w:pPr>
        <w:jc w:val="center"/>
        <w:ind w:right="-79"/>
        <w:spacing w:after="0" w:line="221" w:lineRule="auto"/>
        <w:rPr>
          <w:sz w:val="20"/>
          <w:szCs w:val="20"/>
          <w:color w:val="auto"/>
        </w:rPr>
      </w:pPr>
      <w:r>
        <w:rPr>
          <w:rFonts w:ascii="Arial" w:cs="Arial" w:eastAsia="Arial" w:hAnsi="Arial"/>
          <w:sz w:val="14"/>
          <w:szCs w:val="14"/>
          <w:b w:val="1"/>
          <w:bCs w:val="1"/>
          <w:color w:val="auto"/>
        </w:rPr>
        <w:t>333 Clay Street, Suite 1600</w:t>
      </w:r>
    </w:p>
    <w:p>
      <w:pPr>
        <w:jc w:val="center"/>
        <w:ind w:right="-79"/>
        <w:spacing w:after="0" w:line="222" w:lineRule="auto"/>
        <w:rPr>
          <w:sz w:val="20"/>
          <w:szCs w:val="20"/>
          <w:color w:val="auto"/>
        </w:rPr>
      </w:pPr>
      <w:r>
        <w:rPr>
          <w:rFonts w:ascii="Arial" w:cs="Arial" w:eastAsia="Arial" w:hAnsi="Arial"/>
          <w:sz w:val="14"/>
          <w:szCs w:val="14"/>
          <w:b w:val="1"/>
          <w:bCs w:val="1"/>
          <w:color w:val="auto"/>
        </w:rPr>
        <w:t>Houston, Texas 77002</w:t>
      </w:r>
    </w:p>
    <w:p>
      <w:pPr>
        <w:jc w:val="center"/>
        <w:ind w:right="-79"/>
        <w:spacing w:after="0" w:line="221" w:lineRule="auto"/>
        <w:rPr>
          <w:sz w:val="20"/>
          <w:szCs w:val="20"/>
          <w:color w:val="auto"/>
        </w:rPr>
      </w:pPr>
      <w:r>
        <w:rPr>
          <w:rFonts w:ascii="Arial" w:cs="Arial" w:eastAsia="Arial" w:hAnsi="Arial"/>
          <w:sz w:val="14"/>
          <w:szCs w:val="14"/>
          <w:b w:val="1"/>
          <w:bCs w:val="1"/>
          <w:color w:val="auto"/>
        </w:rPr>
        <w:t>(713) 646-4100</w:t>
      </w:r>
    </w:p>
    <w:p>
      <w:pPr>
        <w:jc w:val="center"/>
        <w:ind w:right="-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Copies to:</w:t>
      </w: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David P. Oelman</w:t>
      </w:r>
    </w:p>
    <w:p>
      <w:pPr>
        <w:jc w:val="center"/>
        <w:ind w:right="-79"/>
        <w:spacing w:after="0" w:line="223" w:lineRule="auto"/>
        <w:rPr>
          <w:sz w:val="20"/>
          <w:szCs w:val="20"/>
          <w:color w:val="auto"/>
        </w:rPr>
      </w:pPr>
      <w:r>
        <w:rPr>
          <w:rFonts w:ascii="Arial" w:cs="Arial" w:eastAsia="Arial" w:hAnsi="Arial"/>
          <w:sz w:val="14"/>
          <w:szCs w:val="14"/>
          <w:b w:val="1"/>
          <w:bCs w:val="1"/>
          <w:color w:val="auto"/>
        </w:rPr>
        <w:t>Alan Beck</w:t>
      </w:r>
    </w:p>
    <w:p>
      <w:pPr>
        <w:jc w:val="center"/>
        <w:ind w:right="-79"/>
        <w:spacing w:after="0" w:line="222" w:lineRule="auto"/>
        <w:rPr>
          <w:sz w:val="20"/>
          <w:szCs w:val="20"/>
          <w:color w:val="auto"/>
        </w:rPr>
      </w:pPr>
      <w:r>
        <w:rPr>
          <w:rFonts w:ascii="Arial" w:cs="Arial" w:eastAsia="Arial" w:hAnsi="Arial"/>
          <w:sz w:val="14"/>
          <w:szCs w:val="14"/>
          <w:b w:val="1"/>
          <w:bCs w:val="1"/>
          <w:color w:val="auto"/>
        </w:rPr>
        <w:t>Vinson &amp; Elkins L.L.P.</w:t>
      </w:r>
    </w:p>
    <w:p>
      <w:pPr>
        <w:jc w:val="center"/>
        <w:ind w:right="-79"/>
        <w:spacing w:after="0" w:line="221" w:lineRule="auto"/>
        <w:rPr>
          <w:sz w:val="20"/>
          <w:szCs w:val="20"/>
          <w:color w:val="auto"/>
        </w:rPr>
      </w:pPr>
      <w:r>
        <w:rPr>
          <w:rFonts w:ascii="Arial" w:cs="Arial" w:eastAsia="Arial" w:hAnsi="Arial"/>
          <w:sz w:val="14"/>
          <w:szCs w:val="14"/>
          <w:b w:val="1"/>
          <w:bCs w:val="1"/>
          <w:color w:val="auto"/>
        </w:rPr>
        <w:t>1001 Fannin Street, Suite 2500</w:t>
      </w:r>
    </w:p>
    <w:p>
      <w:pPr>
        <w:jc w:val="center"/>
        <w:ind w:right="-79"/>
        <w:spacing w:after="0" w:line="222" w:lineRule="auto"/>
        <w:rPr>
          <w:sz w:val="20"/>
          <w:szCs w:val="20"/>
          <w:color w:val="auto"/>
        </w:rPr>
      </w:pPr>
      <w:r>
        <w:rPr>
          <w:rFonts w:ascii="Arial" w:cs="Arial" w:eastAsia="Arial" w:hAnsi="Arial"/>
          <w:sz w:val="14"/>
          <w:szCs w:val="14"/>
          <w:b w:val="1"/>
          <w:bCs w:val="1"/>
          <w:color w:val="auto"/>
        </w:rPr>
        <w:t>Houston, Texas 77002</w:t>
      </w:r>
    </w:p>
    <w:p>
      <w:pPr>
        <w:jc w:val="center"/>
        <w:ind w:right="-79"/>
        <w:spacing w:after="0"/>
        <w:rPr>
          <w:sz w:val="20"/>
          <w:szCs w:val="20"/>
          <w:color w:val="auto"/>
        </w:rPr>
      </w:pPr>
      <w:r>
        <w:rPr>
          <w:rFonts w:ascii="Arial" w:cs="Arial" w:eastAsia="Arial" w:hAnsi="Arial"/>
          <w:sz w:val="14"/>
          <w:szCs w:val="14"/>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192" w:lineRule="exact"/>
        <w:rPr>
          <w:sz w:val="24"/>
          <w:szCs w:val="24"/>
          <w:color w:val="auto"/>
        </w:rPr>
      </w:pPr>
    </w:p>
    <w:p>
      <w:pPr>
        <w:ind w:left="440"/>
        <w:spacing w:after="0"/>
        <w:tabs>
          <w:tab w:leader="none" w:pos="880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420" w:firstLine="439"/>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300" w:firstLine="439"/>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439"/>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60" w:firstLine="439"/>
        <w:spacing w:after="0" w:line="239"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93" w:lineRule="exact"/>
        <w:rPr>
          <w:sz w:val="24"/>
          <w:szCs w:val="24"/>
          <w:color w:val="auto"/>
        </w:rPr>
      </w:pPr>
    </w:p>
    <w:p>
      <w:pPr>
        <w:ind w:right="480" w:firstLine="439"/>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93" w:lineRule="exact"/>
        <w:rPr>
          <w:sz w:val="24"/>
          <w:szCs w:val="24"/>
          <w:color w:val="auto"/>
        </w:rPr>
      </w:pPr>
    </w:p>
    <w:p>
      <w:pPr>
        <w:ind w:firstLine="43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685" w:right="319" w:bottom="0" w:gutter="0" w:footer="0" w:header="0"/>
        </w:sectPr>
      </w:pPr>
    </w:p>
    <w:bookmarkStart w:id="1" w:name="page2"/>
    <w:bookmarkEnd w:id="1"/>
    <w:p>
      <w:pPr>
        <w:ind w:left="2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260"/>
        <w:spacing w:after="0"/>
        <w:rPr>
          <w:sz w:val="20"/>
          <w:szCs w:val="20"/>
          <w:color w:val="auto"/>
        </w:rPr>
      </w:pPr>
      <w:r>
        <w:rPr>
          <w:rFonts w:ascii="Arial" w:cs="Arial" w:eastAsia="Arial" w:hAnsi="Arial"/>
          <w:sz w:val="12"/>
          <w:szCs w:val="12"/>
          <w:color w:val="auto"/>
        </w:rPr>
        <w:t>Non-accelerated filer 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Emerging growth company o</w:t>
      </w:r>
    </w:p>
    <w:p>
      <w:pPr>
        <w:spacing w:after="0" w:line="200" w:lineRule="exact"/>
        <w:rPr>
          <w:sz w:val="20"/>
          <w:szCs w:val="20"/>
          <w:color w:val="auto"/>
        </w:rPr>
      </w:pPr>
    </w:p>
    <w:p>
      <w:pPr>
        <w:sectPr>
          <w:pgSz w:w="11900" w:h="16838" w:orient="portrait"/>
          <w:cols w:equalWidth="0" w:num="4">
            <w:col w:w="2760" w:space="720"/>
            <w:col w:w="2200" w:space="720"/>
            <w:col w:w="2500" w:space="720"/>
            <w:col w:w="1780"/>
          </w:cols>
          <w:pgMar w:left="240" w:top="104" w:right="259" w:bottom="1440" w:gutter="0" w:footer="0" w:header="0"/>
        </w:sectPr>
      </w:pPr>
    </w:p>
    <w:p>
      <w:pPr>
        <w:spacing w:after="0" w:line="15" w:lineRule="exact"/>
        <w:rPr>
          <w:sz w:val="20"/>
          <w:szCs w:val="20"/>
          <w:color w:val="auto"/>
        </w:rPr>
      </w:pPr>
    </w:p>
    <w:p>
      <w:pPr>
        <w:ind w:right="400" w:firstLine="439"/>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560" w:type="dxa"/>
        <w:tblCellMar>
          <w:top w:w="0" w:type="dxa"/>
          <w:left w:w="0" w:type="dxa"/>
          <w:bottom w:w="0" w:type="dxa"/>
          <w:right w:w="0" w:type="dxa"/>
        </w:tblCellMar>
      </w:tblPr>
      <w:tr>
        <w:trPr>
          <w:trHeight w:val="40"/>
        </w:trPr>
        <w:tc>
          <w:tcPr>
            <w:tcW w:w="4300" w:type="dxa"/>
            <w:vAlign w:val="bottom"/>
            <w:tcBorders>
              <w:top w:val="single" w:sz="8" w:color="auto"/>
              <w:bottom w:val="single" w:sz="8" w:color="auto"/>
            </w:tcBorders>
          </w:tcPr>
          <w:p>
            <w:pPr>
              <w:spacing w:after="0"/>
              <w:rPr>
                <w:sz w:val="3"/>
                <w:szCs w:val="3"/>
                <w:color w:val="auto"/>
              </w:rPr>
            </w:pPr>
          </w:p>
        </w:tc>
        <w:tc>
          <w:tcPr>
            <w:tcW w:w="270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r>
      <w:tr>
        <w:trPr>
          <w:trHeight w:val="116"/>
        </w:trPr>
        <w:tc>
          <w:tcPr>
            <w:tcW w:w="4300" w:type="dxa"/>
            <w:vAlign w:val="bottom"/>
          </w:tcPr>
          <w:p>
            <w:pPr>
              <w:spacing w:after="0"/>
              <w:rPr>
                <w:sz w:val="10"/>
                <w:szCs w:val="10"/>
                <w:color w:val="auto"/>
              </w:rPr>
            </w:pPr>
          </w:p>
        </w:tc>
        <w:tc>
          <w:tcPr>
            <w:tcW w:w="2700" w:type="dxa"/>
            <w:vAlign w:val="bottom"/>
          </w:tcPr>
          <w:p>
            <w:pPr>
              <w:jc w:val="center"/>
              <w:ind w:left="633"/>
              <w:spacing w:after="0" w:line="117" w:lineRule="exact"/>
              <w:rPr>
                <w:sz w:val="20"/>
                <w:szCs w:val="20"/>
                <w:color w:val="auto"/>
              </w:rPr>
            </w:pPr>
            <w:r>
              <w:rPr>
                <w:rFonts w:ascii="Arial" w:cs="Arial" w:eastAsia="Arial" w:hAnsi="Arial"/>
                <w:sz w:val="12"/>
                <w:szCs w:val="12"/>
                <w:b w:val="1"/>
                <w:bCs w:val="1"/>
                <w:color w:val="auto"/>
              </w:rPr>
              <w:t>Amount to be</w:t>
            </w:r>
          </w:p>
        </w:tc>
        <w:tc>
          <w:tcPr>
            <w:tcW w:w="1300" w:type="dxa"/>
            <w:vAlign w:val="bottom"/>
          </w:tcPr>
          <w:p>
            <w:pPr>
              <w:spacing w:after="0"/>
              <w:rPr>
                <w:sz w:val="10"/>
                <w:szCs w:val="10"/>
                <w:color w:val="auto"/>
              </w:rPr>
            </w:pPr>
          </w:p>
        </w:tc>
      </w:tr>
      <w:tr>
        <w:trPr>
          <w:trHeight w:val="149"/>
        </w:trPr>
        <w:tc>
          <w:tcPr>
            <w:tcW w:w="4300" w:type="dxa"/>
            <w:vAlign w:val="bottom"/>
          </w:tcPr>
          <w:p>
            <w:pPr>
              <w:spacing w:after="0"/>
              <w:rPr>
                <w:sz w:val="12"/>
                <w:szCs w:val="12"/>
                <w:color w:val="auto"/>
              </w:rPr>
            </w:pPr>
          </w:p>
        </w:tc>
        <w:tc>
          <w:tcPr>
            <w:tcW w:w="2700" w:type="dxa"/>
            <w:vAlign w:val="bottom"/>
          </w:tcPr>
          <w:p>
            <w:pPr>
              <w:jc w:val="center"/>
              <w:ind w:left="633"/>
              <w:spacing w:after="0" w:line="149" w:lineRule="exact"/>
              <w:rPr>
                <w:sz w:val="20"/>
                <w:szCs w:val="20"/>
                <w:color w:val="auto"/>
              </w:rPr>
            </w:pPr>
            <w:r>
              <w:rPr>
                <w:rFonts w:ascii="Arial" w:cs="Arial" w:eastAsia="Arial" w:hAnsi="Arial"/>
                <w:sz w:val="14"/>
                <w:szCs w:val="14"/>
                <w:b w:val="1"/>
                <w:bCs w:val="1"/>
                <w:color w:val="auto"/>
                <w:w w:val="85"/>
              </w:rPr>
              <w:t>Registered/Proposed</w:t>
            </w:r>
          </w:p>
        </w:tc>
        <w:tc>
          <w:tcPr>
            <w:tcW w:w="1300" w:type="dxa"/>
            <w:vAlign w:val="bottom"/>
          </w:tcPr>
          <w:p>
            <w:pPr>
              <w:spacing w:after="0"/>
              <w:rPr>
                <w:sz w:val="12"/>
                <w:szCs w:val="12"/>
                <w:color w:val="auto"/>
              </w:rPr>
            </w:pPr>
          </w:p>
        </w:tc>
      </w:tr>
      <w:tr>
        <w:trPr>
          <w:trHeight w:val="149"/>
        </w:trPr>
        <w:tc>
          <w:tcPr>
            <w:tcW w:w="4300" w:type="dxa"/>
            <w:vAlign w:val="bottom"/>
          </w:tcPr>
          <w:p>
            <w:pPr>
              <w:spacing w:after="0"/>
              <w:rPr>
                <w:sz w:val="12"/>
                <w:szCs w:val="12"/>
                <w:color w:val="auto"/>
              </w:rPr>
            </w:pPr>
          </w:p>
        </w:tc>
        <w:tc>
          <w:tcPr>
            <w:tcW w:w="2700" w:type="dxa"/>
            <w:vAlign w:val="bottom"/>
          </w:tcPr>
          <w:p>
            <w:pPr>
              <w:jc w:val="center"/>
              <w:ind w:left="633"/>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1300" w:type="dxa"/>
            <w:vAlign w:val="bottom"/>
          </w:tcPr>
          <w:p>
            <w:pPr>
              <w:spacing w:after="0"/>
              <w:rPr>
                <w:sz w:val="12"/>
                <w:szCs w:val="12"/>
                <w:color w:val="auto"/>
              </w:rPr>
            </w:pPr>
          </w:p>
        </w:tc>
      </w:tr>
      <w:tr>
        <w:trPr>
          <w:trHeight w:val="149"/>
        </w:trPr>
        <w:tc>
          <w:tcPr>
            <w:tcW w:w="4300" w:type="dxa"/>
            <w:vAlign w:val="bottom"/>
          </w:tcPr>
          <w:p>
            <w:pPr>
              <w:spacing w:after="0"/>
              <w:rPr>
                <w:sz w:val="12"/>
                <w:szCs w:val="12"/>
                <w:color w:val="auto"/>
              </w:rPr>
            </w:pPr>
          </w:p>
        </w:tc>
        <w:tc>
          <w:tcPr>
            <w:tcW w:w="2700" w:type="dxa"/>
            <w:vAlign w:val="bottom"/>
          </w:tcPr>
          <w:p>
            <w:pPr>
              <w:jc w:val="center"/>
              <w:ind w:left="613"/>
              <w:spacing w:after="0" w:line="149" w:lineRule="exact"/>
              <w:rPr>
                <w:sz w:val="20"/>
                <w:szCs w:val="20"/>
                <w:color w:val="auto"/>
              </w:rPr>
            </w:pPr>
            <w:r>
              <w:rPr>
                <w:rFonts w:ascii="Arial" w:cs="Arial" w:eastAsia="Arial" w:hAnsi="Arial"/>
                <w:sz w:val="14"/>
                <w:szCs w:val="14"/>
                <w:b w:val="1"/>
                <w:bCs w:val="1"/>
                <w:color w:val="auto"/>
                <w:w w:val="89"/>
              </w:rPr>
              <w:t>Price Per Unit/</w:t>
            </w:r>
          </w:p>
        </w:tc>
        <w:tc>
          <w:tcPr>
            <w:tcW w:w="1300" w:type="dxa"/>
            <w:vAlign w:val="bottom"/>
          </w:tcPr>
          <w:p>
            <w:pPr>
              <w:spacing w:after="0"/>
              <w:rPr>
                <w:sz w:val="12"/>
                <w:szCs w:val="12"/>
                <w:color w:val="auto"/>
              </w:rPr>
            </w:pPr>
          </w:p>
        </w:tc>
      </w:tr>
      <w:tr>
        <w:trPr>
          <w:trHeight w:val="149"/>
        </w:trPr>
        <w:tc>
          <w:tcPr>
            <w:tcW w:w="4300" w:type="dxa"/>
            <w:vAlign w:val="bottom"/>
          </w:tcPr>
          <w:p>
            <w:pPr>
              <w:ind w:left="1580"/>
              <w:spacing w:after="0" w:line="149" w:lineRule="exact"/>
              <w:rPr>
                <w:sz w:val="20"/>
                <w:szCs w:val="20"/>
                <w:color w:val="auto"/>
              </w:rPr>
            </w:pPr>
            <w:r>
              <w:rPr>
                <w:rFonts w:ascii="Arial" w:cs="Arial" w:eastAsia="Arial" w:hAnsi="Arial"/>
                <w:sz w:val="14"/>
                <w:szCs w:val="14"/>
                <w:b w:val="1"/>
                <w:bCs w:val="1"/>
                <w:color w:val="auto"/>
              </w:rPr>
              <w:t>Title of Each Class of Securities</w:t>
            </w:r>
          </w:p>
        </w:tc>
        <w:tc>
          <w:tcPr>
            <w:tcW w:w="2700" w:type="dxa"/>
            <w:vAlign w:val="bottom"/>
          </w:tcPr>
          <w:p>
            <w:pPr>
              <w:jc w:val="center"/>
              <w:ind w:left="633"/>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43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to be Registered</w:t>
            </w:r>
          </w:p>
        </w:tc>
        <w:tc>
          <w:tcPr>
            <w:tcW w:w="2700" w:type="dxa"/>
            <w:vAlign w:val="bottom"/>
            <w:tcBorders>
              <w:bottom w:val="single" w:sz="8" w:color="auto"/>
            </w:tcBorders>
          </w:tcPr>
          <w:p>
            <w:pPr>
              <w:jc w:val="center"/>
              <w:ind w:left="633"/>
              <w:spacing w:after="0"/>
              <w:rPr>
                <w:sz w:val="20"/>
                <w:szCs w:val="20"/>
                <w:color w:val="auto"/>
              </w:rPr>
            </w:pPr>
            <w:r>
              <w:rPr>
                <w:rFonts w:ascii="Arial" w:cs="Arial" w:eastAsia="Arial" w:hAnsi="Arial"/>
                <w:sz w:val="14"/>
                <w:szCs w:val="14"/>
                <w:b w:val="1"/>
                <w:bCs w:val="1"/>
                <w:color w:val="auto"/>
                <w:w w:val="87"/>
              </w:rPr>
              <w:t>Aggregate Offering Price(1)</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r>
      <w:tr>
        <w:trPr>
          <w:trHeight w:val="174"/>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units representing limited partner interests</w:t>
            </w:r>
          </w:p>
        </w:tc>
        <w:tc>
          <w:tcPr>
            <w:tcW w:w="2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69"/>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Preferred units representing limited partner interests</w:t>
            </w:r>
          </w:p>
        </w:tc>
        <w:tc>
          <w:tcPr>
            <w:tcW w:w="2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9"/>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Debt securities</w:t>
            </w:r>
          </w:p>
        </w:tc>
        <w:tc>
          <w:tcPr>
            <w:tcW w:w="27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9"/>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700" w:type="dxa"/>
            <w:vAlign w:val="bottom"/>
            <w:tcBorders>
              <w:bottom w:val="single" w:sz="8" w:color="auto"/>
            </w:tcBorders>
          </w:tcPr>
          <w:p>
            <w:pPr>
              <w:jc w:val="center"/>
              <w:ind w:left="633"/>
              <w:spacing w:after="0"/>
              <w:rPr>
                <w:sz w:val="20"/>
                <w:szCs w:val="20"/>
                <w:color w:val="auto"/>
              </w:rPr>
            </w:pPr>
            <w:r>
              <w:rPr>
                <w:rFonts w:ascii="Arial" w:cs="Arial" w:eastAsia="Arial" w:hAnsi="Arial"/>
                <w:sz w:val="14"/>
                <w:szCs w:val="14"/>
                <w:color w:val="auto"/>
                <w:w w:val="88"/>
              </w:rPr>
              <w:t>$1,100,000,000(2)(3)(4)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$136,950(5)(6)</w:t>
            </w: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right="3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If any debt securities are issued at an original issue discount, then the offering price of those debt securities shall be in an amount that will result in an aggregate initial offering price not to exceed $1,100,000,000, less the dollar amount of any registered securities previously issued.</w:t>
      </w:r>
    </w:p>
    <w:p>
      <w:pPr>
        <w:spacing w:after="0" w:line="111" w:lineRule="exact"/>
        <w:rPr>
          <w:rFonts w:ascii="Arial" w:cs="Arial" w:eastAsia="Arial" w:hAnsi="Arial"/>
          <w:sz w:val="14"/>
          <w:szCs w:val="14"/>
          <w:color w:val="auto"/>
        </w:rPr>
      </w:pPr>
    </w:p>
    <w:p>
      <w:pPr>
        <w:ind w:left="540" w:right="80" w:hanging="532"/>
        <w:spacing w:after="0" w:line="28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In no event will the aggregate initial offering price of all securities offered from time to time pursuant to the prospectus included as a part of this Registration Statement exceed $1,100,000,000. To the extent applicable, the aggregate amount of common units registered is further limited to that which is permissible under Rule 415(a)(4) of the Securities Act. Any securities registered hereunder may be sold separately or as units with other securities registered hereunder.</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There are being registered hereunder a presently indeterminate number of common units and preferred units and an indeterminate principal amount of debt securities.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for each class of securities to be registered is not specified pursuant to General Instruction, II.D. of Form S-3.</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in accordance with Rule 457(o).</w:t>
      </w:r>
    </w:p>
    <w:p>
      <w:pPr>
        <w:spacing w:after="0" w:line="122" w:lineRule="exact"/>
        <w:rPr>
          <w:rFonts w:ascii="Arial" w:cs="Arial" w:eastAsia="Arial" w:hAnsi="Arial"/>
          <w:sz w:val="14"/>
          <w:szCs w:val="14"/>
          <w:color w:val="auto"/>
        </w:rPr>
      </w:pPr>
    </w:p>
    <w:p>
      <w:pPr>
        <w:jc w:val="both"/>
        <w:ind w:left="540" w:right="60" w:hanging="532"/>
        <w:spacing w:after="0" w:line="288"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Securities having an aggregate offering price of $1,064,565,092.63, registered under a registration statement on Form S-3 (File No. 333-207140) filed by the Registrant on September 25, 2015, remain unsold. Pursuant to Rule 457(p) under the Securities Act, the registration fee of $123,702.46 previously paid with respect to such unsold securities is offset against the total registration fee of $136,950 due in connection with this registration statement. Accordingly, a registration fee of $13,248 has been paid in connection with the initial filing of this registration statement.</w:t>
      </w:r>
    </w:p>
    <w:p>
      <w:pPr>
        <w:spacing w:after="0" w:line="164" w:lineRule="exact"/>
        <w:rPr>
          <w:rFonts w:ascii="Arial" w:cs="Arial" w:eastAsia="Arial" w:hAnsi="Arial"/>
          <w:sz w:val="12"/>
          <w:szCs w:val="12"/>
          <w:color w:val="auto"/>
        </w:rPr>
      </w:pPr>
    </w:p>
    <w:p>
      <w:pPr>
        <w:ind w:left="540" w:right="560"/>
        <w:spacing w:after="0" w:line="239" w:lineRule="auto"/>
        <w:rPr>
          <w:rFonts w:ascii="Arial" w:cs="Arial" w:eastAsia="Arial" w:hAnsi="Arial"/>
          <w:sz w:val="12"/>
          <w:szCs w:val="12"/>
          <w:color w:val="auto"/>
        </w:rPr>
      </w:pPr>
      <w:r>
        <w:rPr>
          <w:rFonts w:ascii="Arial" w:cs="Arial" w:eastAsia="Arial" w:hAnsi="Arial"/>
          <w:sz w:val="14"/>
          <w:szCs w:val="14"/>
          <w:color w:val="auto"/>
        </w:rPr>
        <w:t>Pursuant to Rule 457(p), the offering of the common units and debt securities covered by Registration Statement No. 333-207140 will be deemed terminated as of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128905</wp:posOffset>
            </wp:positionV>
            <wp:extent cx="1741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39"/>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461645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SEPTEMBER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auto"/>
        </w:rPr>
        <w:t>Preferred Units</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6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33" w:lineRule="exact"/>
        <w:rPr>
          <w:sz w:val="20"/>
          <w:szCs w:val="20"/>
          <w:color w:val="auto"/>
        </w:rPr>
      </w:pPr>
    </w:p>
    <w:p>
      <w:pPr>
        <w:jc w:val="both"/>
        <w:ind w:right="240" w:firstLine="351"/>
        <w:spacing w:after="0" w:line="243" w:lineRule="auto"/>
        <w:rPr>
          <w:sz w:val="20"/>
          <w:szCs w:val="20"/>
          <w:color w:val="auto"/>
        </w:rPr>
      </w:pPr>
      <w:r>
        <w:rPr>
          <w:rFonts w:ascii="Arial" w:cs="Arial" w:eastAsia="Arial" w:hAnsi="Arial"/>
          <w:sz w:val="22"/>
          <w:szCs w:val="22"/>
          <w:b w:val="1"/>
          <w:bCs w:val="1"/>
          <w:color w:val="auto"/>
        </w:rPr>
        <w:t>Investing in our common units, preferred units and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preferred units or debt securities we may offer.</w:t>
      </w:r>
    </w:p>
    <w:p>
      <w:pPr>
        <w:spacing w:after="0" w:line="180"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60" w:type="dxa"/>
            <w:vAlign w:val="bottom"/>
          </w:tcPr>
          <w:p>
            <w:pPr>
              <w:ind w:left="3860"/>
              <w:spacing w:after="0"/>
              <w:rPr>
                <w:sz w:val="20"/>
                <w:szCs w:val="20"/>
                <w:color w:val="auto"/>
              </w:rPr>
            </w:pPr>
            <w:r>
              <w:rPr>
                <w:rFonts w:ascii="Arial" w:cs="Arial" w:eastAsia="Arial" w:hAnsi="Arial"/>
                <w:sz w:val="18"/>
                <w:szCs w:val="18"/>
                <w:b w:val="1"/>
                <w:bCs w:val="1"/>
                <w:color w:val="auto"/>
              </w:rPr>
              <w:t>The date of this prospectus is</w:t>
            </w:r>
          </w:p>
        </w:tc>
        <w:tc>
          <w:tcPr>
            <w:tcW w:w="4860" w:type="dxa"/>
            <w:vAlign w:val="bottom"/>
          </w:tcPr>
          <w:p>
            <w:pPr>
              <w:jc w:val="right"/>
              <w:ind w:right="3752"/>
              <w:spacing w:after="0"/>
              <w:rPr>
                <w:sz w:val="20"/>
                <w:szCs w:val="20"/>
                <w:color w:val="auto"/>
              </w:rPr>
            </w:pPr>
            <w:r>
              <w:rPr>
                <w:rFonts w:ascii="Arial" w:cs="Arial" w:eastAsia="Arial" w:hAnsi="Arial"/>
                <w:sz w:val="18"/>
                <w:szCs w:val="18"/>
                <w:b w:val="1"/>
                <w:bCs w:val="1"/>
                <w:color w:val="auto"/>
              </w:rPr>
              <w:t>, 2018.</w:t>
            </w:r>
          </w:p>
        </w:tc>
      </w:tr>
      <w:tr>
        <w:trPr>
          <w:trHeight w:val="228"/>
        </w:trPr>
        <w:tc>
          <w:tcPr>
            <w:tcW w:w="656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1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90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4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100" w:type="dxa"/>
            <w:vAlign w:val="bottom"/>
            <w:gridSpan w:val="2"/>
          </w:tcPr>
          <w:p>
            <w:pPr>
              <w:jc w:val="right"/>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Forward-Looking Statements</w:t>
              </w:r>
            </w:hyperlink>
          </w:p>
        </w:tc>
        <w:tc>
          <w:tcPr>
            <w:tcW w:w="720" w:type="dxa"/>
            <w:vAlign w:val="bottom"/>
            <w:gridSpan w:val="2"/>
          </w:tcPr>
          <w:p>
            <w:pPr>
              <w:spacing w:after="0"/>
              <w:rPr>
                <w:sz w:val="17"/>
                <w:szCs w:val="17"/>
                <w:color w:val="auto"/>
              </w:rPr>
            </w:pPr>
          </w:p>
        </w:tc>
        <w:tc>
          <w:tcPr>
            <w:tcW w:w="6240" w:type="dxa"/>
            <w:vAlign w:val="bottom"/>
            <w:gridSpan w:val="5"/>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6"/>
                <w:szCs w:val="16"/>
                <w:color w:val="0000EE"/>
                <w:w w:val="74"/>
              </w:rPr>
            </w:pPr>
            <w:hyperlink w:anchor="page6">
              <w:r>
                <w:rPr>
                  <w:rFonts w:ascii="Arial" w:cs="Arial" w:eastAsia="Arial" w:hAnsi="Arial"/>
                  <w:sz w:val="16"/>
                  <w:szCs w:val="16"/>
                  <w:color w:val="0000EE"/>
                  <w:w w:val="74"/>
                </w:rPr>
                <w:t>iii</w:t>
              </w:r>
            </w:hyperlink>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About Plains All American Pipeline, L.P.</w:t>
              </w:r>
            </w:hyperlink>
          </w:p>
        </w:tc>
        <w:tc>
          <w:tcPr>
            <w:tcW w:w="6100" w:type="dxa"/>
            <w:vAlign w:val="bottom"/>
            <w:gridSpan w:val="4"/>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6100" w:type="dxa"/>
            <w:vAlign w:val="bottom"/>
            <w:gridSpan w:val="4"/>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Use of Proceeds</w:t>
              </w:r>
            </w:hyperlink>
          </w:p>
        </w:tc>
        <w:tc>
          <w:tcPr>
            <w:tcW w:w="7880" w:type="dxa"/>
            <w:vAlign w:val="bottom"/>
            <w:gridSpan w:val="11"/>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Ratio of Earnings to Fixed Charges and Ratio of Earnings to Combined Fixed Charges and Preferred Unit Distributions</w:t>
              </w:r>
            </w:hyperlink>
          </w:p>
        </w:tc>
        <w:tc>
          <w:tcPr>
            <w:tcW w:w="64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Description of Our Debt Securities</w:t>
              </w:r>
            </w:hyperlink>
          </w:p>
        </w:tc>
        <w:tc>
          <w:tcPr>
            <w:tcW w:w="594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Description of Our Preferred Units</w:t>
              </w:r>
            </w:hyperlink>
          </w:p>
        </w:tc>
        <w:tc>
          <w:tcPr>
            <w:tcW w:w="6580" w:type="dxa"/>
            <w:vAlign w:val="bottom"/>
            <w:gridSpan w:val="6"/>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22">
              <w:r>
                <w:rPr>
                  <w:rFonts w:ascii="Arial" w:cs="Arial" w:eastAsia="Arial" w:hAnsi="Arial"/>
                  <w:sz w:val="10"/>
                  <w:szCs w:val="10"/>
                  <w:color w:val="0000EE"/>
                  <w:w w:val="71"/>
                </w:rPr>
                <w:t>15</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Description of Our Common Units</w:t>
              </w:r>
            </w:hyperlink>
          </w:p>
        </w:tc>
        <w:tc>
          <w:tcPr>
            <w:tcW w:w="6580" w:type="dxa"/>
            <w:vAlign w:val="bottom"/>
            <w:gridSpan w:val="6"/>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24">
              <w:r>
                <w:rPr>
                  <w:rFonts w:ascii="Arial" w:cs="Arial" w:eastAsia="Arial" w:hAnsi="Arial"/>
                  <w:sz w:val="10"/>
                  <w:szCs w:val="10"/>
                  <w:color w:val="0000EE"/>
                  <w:w w:val="71"/>
                </w:rPr>
                <w:t>17</w:t>
              </w:r>
            </w:hyperlink>
          </w:p>
        </w:tc>
      </w:tr>
      <w:tr>
        <w:trPr>
          <w:trHeight w:val="196"/>
        </w:trPr>
        <w:tc>
          <w:tcPr>
            <w:tcW w:w="1140" w:type="dxa"/>
            <w:vAlign w:val="bottom"/>
          </w:tcPr>
          <w:p>
            <w:pPr>
              <w:spacing w:after="0"/>
              <w:rPr>
                <w:sz w:val="17"/>
                <w:szCs w:val="17"/>
                <w:color w:val="auto"/>
              </w:rPr>
            </w:pPr>
          </w:p>
        </w:tc>
        <w:tc>
          <w:tcPr>
            <w:tcW w:w="9040" w:type="dxa"/>
            <w:vAlign w:val="bottom"/>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Cash Distribution Policy</w:t>
              </w:r>
            </w:hyperlink>
          </w:p>
        </w:tc>
        <w:tc>
          <w:tcPr>
            <w:tcW w:w="100" w:type="dxa"/>
            <w:vAlign w:val="bottom"/>
            <w:gridSpan w:val="2"/>
          </w:tcPr>
          <w:p>
            <w:pPr>
              <w:jc w:val="right"/>
              <w:spacing w:after="0"/>
              <w:rPr>
                <w:rFonts w:ascii="Arial" w:cs="Arial" w:eastAsia="Arial" w:hAnsi="Arial"/>
                <w:sz w:val="10"/>
                <w:szCs w:val="10"/>
                <w:color w:val="0000EE"/>
                <w:w w:val="71"/>
              </w:rPr>
            </w:pPr>
            <w:hyperlink w:anchor="page27">
              <w:r>
                <w:rPr>
                  <w:rFonts w:ascii="Arial" w:cs="Arial" w:eastAsia="Arial" w:hAnsi="Arial"/>
                  <w:sz w:val="10"/>
                  <w:szCs w:val="10"/>
                  <w:color w:val="0000EE"/>
                  <w:w w:val="71"/>
                </w:rPr>
                <w:t>20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8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4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Our Partnership Agreement</w:t>
              </w:r>
            </w:hyperlink>
          </w:p>
        </w:tc>
        <w:tc>
          <w:tcPr>
            <w:tcW w:w="100" w:type="dxa"/>
            <w:vAlign w:val="bottom"/>
            <w:gridSpan w:val="2"/>
          </w:tcPr>
          <w:p>
            <w:pPr>
              <w:jc w:val="right"/>
              <w:spacing w:after="0"/>
              <w:rPr>
                <w:rFonts w:ascii="Arial" w:cs="Arial" w:eastAsia="Arial" w:hAnsi="Arial"/>
                <w:sz w:val="10"/>
                <w:szCs w:val="10"/>
                <w:color w:val="0000EE"/>
                <w:w w:val="71"/>
              </w:rPr>
            </w:pPr>
            <w:hyperlink w:anchor="page29">
              <w:r>
                <w:rPr>
                  <w:rFonts w:ascii="Arial" w:cs="Arial" w:eastAsia="Arial" w:hAnsi="Arial"/>
                  <w:sz w:val="10"/>
                  <w:szCs w:val="10"/>
                  <w:color w:val="0000EE"/>
                  <w:w w:val="71"/>
                </w:rPr>
                <w:t>22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8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Material U.S. Federal Income Tax Consequences</w:t>
              </w:r>
            </w:hyperlink>
          </w:p>
        </w:tc>
        <w:tc>
          <w:tcPr>
            <w:tcW w:w="5580" w:type="dxa"/>
            <w:vAlign w:val="bottom"/>
            <w:gridSpan w:val="2"/>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33">
              <w:r>
                <w:rPr>
                  <w:rFonts w:ascii="Arial" w:cs="Arial" w:eastAsia="Arial" w:hAnsi="Arial"/>
                  <w:sz w:val="10"/>
                  <w:szCs w:val="10"/>
                  <w:color w:val="0000EE"/>
                  <w:w w:val="71"/>
                </w:rPr>
                <w:t>26</w:t>
              </w:r>
            </w:hyperlink>
          </w:p>
        </w:tc>
      </w:tr>
      <w:tr>
        <w:trPr>
          <w:trHeight w:val="196"/>
        </w:trPr>
        <w:tc>
          <w:tcPr>
            <w:tcW w:w="1140" w:type="dxa"/>
            <w:vAlign w:val="bottom"/>
          </w:tcPr>
          <w:p>
            <w:pPr>
              <w:spacing w:after="0"/>
              <w:rPr>
                <w:sz w:val="17"/>
                <w:szCs w:val="17"/>
                <w:color w:val="auto"/>
              </w:rPr>
            </w:pPr>
          </w:p>
        </w:tc>
        <w:tc>
          <w:tcPr>
            <w:tcW w:w="9040" w:type="dxa"/>
            <w:vAlign w:val="bottom"/>
            <w:gridSpan w:val="16"/>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Plan of Distribution</w:t>
              </w:r>
            </w:hyperlink>
          </w:p>
        </w:tc>
        <w:tc>
          <w:tcPr>
            <w:tcW w:w="100" w:type="dxa"/>
            <w:vAlign w:val="bottom"/>
            <w:gridSpan w:val="2"/>
          </w:tcPr>
          <w:p>
            <w:pPr>
              <w:jc w:val="right"/>
              <w:spacing w:after="0"/>
              <w:rPr>
                <w:rFonts w:ascii="Arial" w:cs="Arial" w:eastAsia="Arial" w:hAnsi="Arial"/>
                <w:sz w:val="10"/>
                <w:szCs w:val="10"/>
                <w:color w:val="0000EE"/>
                <w:w w:val="71"/>
              </w:rPr>
            </w:pPr>
            <w:hyperlink w:anchor="page51">
              <w:r>
                <w:rPr>
                  <w:rFonts w:ascii="Arial" w:cs="Arial" w:eastAsia="Arial" w:hAnsi="Arial"/>
                  <w:sz w:val="10"/>
                  <w:szCs w:val="10"/>
                  <w:color w:val="0000EE"/>
                  <w:w w:val="71"/>
                </w:rPr>
                <w:t>44</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7640" w:type="dxa"/>
            <w:vAlign w:val="bottom"/>
            <w:gridSpan w:val="10"/>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46</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8060" w:type="dxa"/>
            <w:vAlign w:val="bottom"/>
            <w:gridSpan w:val="12"/>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53">
              <w:r>
                <w:rPr>
                  <w:rFonts w:ascii="Arial" w:cs="Arial" w:eastAsia="Arial" w:hAnsi="Arial"/>
                  <w:sz w:val="10"/>
                  <w:szCs w:val="10"/>
                  <w:color w:val="0000EE"/>
                  <w:w w:val="71"/>
                </w:rPr>
                <w:t>46</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91" w:lineRule="exact"/>
        <w:rPr>
          <w:sz w:val="20"/>
          <w:szCs w:val="20"/>
          <w:color w:val="auto"/>
        </w:rPr>
      </w:pPr>
    </w:p>
    <w:p>
      <w:pPr>
        <w:ind w:right="8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2017;</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2018 and June 30, 2018;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Current Reports on Form 8-K filed on January 8, 2018, March 27, 2018, May 17, 2018, August 20, 2018 and August 21, 2018; and</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16, 2016 and any subsequent amendment thereto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ir.paalp.com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right="10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discussed in Item 1A. of our Annual Report on Form 10-K for the year ended December 31, 2017 (File No. 001-14569), which is incorporated into this prospectus by reference. Except as required by applicable securities laws, we do not intend to update these forward-looking statements and information.</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w:t>
      </w:r>
    </w:p>
    <w:p>
      <w:pPr>
        <w:spacing w:after="0" w:line="186"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expect the acquisitions and investments we make to be accretive in the long term, we can provide no assurance that our expectations will ultimately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For additional information about us please refer to the documents set forth under "Where You Can Find More Information" in this prospectus, including our Annual Report on Form 10-K for the fiscal year ended December 31, 2017 (File No. 001-14569), which is incorporated by reference herein.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2017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20" w:right="260"/>
        <w:spacing w:after="0" w:line="275" w:lineRule="auto"/>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UNIT DISTRIBUTIONS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our ratio of earnings to fixed charges and ratio of earnings to combined fixed charges and preferred unit distributions for the periods indicated on a consolidated historical basis. For purposes of computing the ratio of earnings to fixed charges and the ratio of earnings to combined fixed charges and preferred unit distributions,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2.76x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2.45x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2.25x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4.41x</w:t>
            </w:r>
          </w:p>
        </w:tc>
      </w:tr>
      <w:tr>
        <w:trPr>
          <w:trHeight w:val="208"/>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7"/>
              </w:rPr>
              <w:t>Ratio of Earnings to Combined Fixed Charges and Preferred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Unit Distributions(1)(2)(3)</w:t>
            </w:r>
          </w:p>
        </w:tc>
        <w:tc>
          <w:tcPr>
            <w:tcW w:w="840" w:type="dxa"/>
            <w:vAlign w:val="bottom"/>
          </w:tcPr>
          <w:p>
            <w:pPr>
              <w:ind w:left="440"/>
              <w:spacing w:after="0"/>
              <w:rPr>
                <w:sz w:val="20"/>
                <w:szCs w:val="20"/>
                <w:color w:val="auto"/>
              </w:rPr>
            </w:pPr>
            <w:r>
              <w:rPr>
                <w:rFonts w:ascii="Arial" w:cs="Arial" w:eastAsia="Arial" w:hAnsi="Arial"/>
                <w:sz w:val="18"/>
                <w:szCs w:val="18"/>
                <w:color w:val="auto"/>
                <w:w w:val="86"/>
              </w:rPr>
              <w:t>2.00x</w:t>
            </w:r>
          </w:p>
        </w:tc>
        <w:tc>
          <w:tcPr>
            <w:tcW w:w="16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1.96x</w:t>
            </w:r>
          </w:p>
        </w:tc>
        <w:tc>
          <w:tcPr>
            <w:tcW w:w="16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1.86x</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8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spacing w:after="0" w:line="212" w:lineRule="exact"/>
        <w:rPr>
          <w:rFonts w:ascii="Arial" w:cs="Arial" w:eastAsia="Arial" w:hAnsi="Arial"/>
          <w:sz w:val="18"/>
          <w:szCs w:val="18"/>
          <w:color w:val="auto"/>
        </w:rPr>
      </w:pPr>
    </w:p>
    <w:p>
      <w:pPr>
        <w:ind w:left="1680" w:right="20" w:hanging="531"/>
        <w:spacing w:after="0" w:line="255"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on our Series A preferred units (as defined below) were paid in additional Series A preferred units for the years ended December 31, 2017 and 2016, respectively.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spacing w:after="0" w:line="210" w:lineRule="exact"/>
        <w:rPr>
          <w:rFonts w:ascii="Arial" w:cs="Arial" w:eastAsia="Arial" w:hAnsi="Arial"/>
          <w:sz w:val="18"/>
          <w:szCs w:val="18"/>
          <w:color w:val="auto"/>
        </w:rPr>
      </w:pPr>
    </w:p>
    <w:p>
      <w:pPr>
        <w:ind w:left="1680" w:right="8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Distributions on our Series B preferred units (as defined below) accrue and are cumulative at a rate of 6.125% per year from October 10, 2017, the date of original issue, and are payable in cash semiannually.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780" w:firstLine="188"/>
        <w:spacing w:after="0" w:line="601" w:lineRule="auto"/>
        <w:tabs>
          <w:tab w:leader="none" w:pos="1092" w:val="left"/>
        </w:tabs>
        <w:numPr>
          <w:ilvl w:val="0"/>
          <w:numId w:val="12"/>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680" w:hanging="321"/>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540" w:firstLine="359"/>
        <w:spacing w:after="0" w:line="259" w:lineRule="auto"/>
        <w:tabs>
          <w:tab w:leader="none" w:pos="12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540" w:right="100" w:firstLine="359"/>
        <w:spacing w:after="0" w:line="290" w:lineRule="auto"/>
        <w:tabs>
          <w:tab w:leader="none" w:pos="122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right="60" w:firstLine="359"/>
        <w:spacing w:after="0" w:line="268" w:lineRule="auto"/>
        <w:tabs>
          <w:tab w:leader="none" w:pos="6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Units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January 28, 2016, we completed a private placement of 61,030,127 Series A Convertible Preferred Units representing limited partner interests in us (the "Series A preferred units") for a cash purchase price of $26.25 per unit (the "Issue Price").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ending on or prior to December 31, 2017 (the "Initial Distribution Period"), we elected to pay distributions on the Series A preferred units in additional Series A preferred units. With respect to any quarter ending after the Initial Distribution Period, we must pay distributions on the Series A preferred units in cash. For a period of 30 days following (a) the fifth anniversary of the issue date of the Series A preferred units and</w:t>
      </w:r>
    </w:p>
    <w:p>
      <w:pPr>
        <w:ind w:right="40" w:firstLine="8"/>
        <w:spacing w:after="0" w:line="252"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0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holders of Series A preferred units may convert such units into common units, generally on a one-for-one basis and subject to customary anti-dilution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after January 28, 2019,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Units</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Preferred Units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units with respect to distributions and (ii) the holders of our Series B preferred units for the issuance of parity securities or senior securities as described above under "—Series B Preferred Units." As of the date of this prospectus, we had 71,090,468 Series A preferred units outstanding and 800,000 Series B preferred units outstanding.</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19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provided in the Third Amended and Restated Limited Liability Company Agreement of PAGP GP, as amended, our board of directors consists of 12 members divided into three classes (excluding those directors who are also officers of PAGP GP or employees of GP LLC). Three of the board members are designated to serve on the board of directors of PAGP GP by the three members of PAGP GP that currently hold board designation rights (affiliates of The Energy &amp; Minerals Group, Kayne Anderson Investment Management Inc. and Occidental Petroleum Corporation). Of the remaining nine members, three must be independent directors eligible to serve on the audit committee.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PAGP will hold annual meetings of its shareholders for the purpose of electing PAGP GP directors with expiring terms other than the designated directors, any directors who are officers of PAGP GP or employees of GP LLC, and any director subject to appointment by the holders of the Series A preferred units.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such election of eligible PAGP GP directors. We will vote (or refrain from voting) our Class C shares for the election of eligible PAGP GP directors in the same proportion as the votes received from or withheld by our limited partners. At our annual meetings, common units held by AAP will not be voted and will not be counted for purposes of determining whether a quorum exists.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1"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PAGP GP company units (if any), in each case, to PAGP. The AAP Class A units transferred to AAP will be cancelled, the PAGP Class B shares transferred to PAGP will be cancelled and the PAGP GP company units transferred to PAGP will remain outstanding and increase PAGP's ownership percentage in PAGP GP.</w:t>
      </w:r>
    </w:p>
    <w:p>
      <w:pPr>
        <w:spacing w:after="0" w:line="170"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AAP management units who convert such units into AAP Class A units and PAGP Class B shares will not receive PAGP GP company units and thus will not need to include any PAGP GP company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8"/>
          <w:szCs w:val="18"/>
          <w:color w:val="auto"/>
        </w:rPr>
        <w:t>We will distribute to our unitholders, on a quarterly basis, all of our available cash in the manner described below.</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and cash equivalents on hand at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that quarter less the amount of cash reserves that are necessary or appropriate in the reasonable discretion of the general partner to:</w:t>
      </w:r>
    </w:p>
    <w:p>
      <w:pPr>
        <w:spacing w:after="0" w:line="15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funds for distributions to common and preferred unitholders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common unitholders will be characterized as either operating surplus or capital surplus. We distribute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other than current holders of Series A preferred units and Series B preferred units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circumstances. We may fund acquisitions through the issuance of additional common units or other equity securities.</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Our Preferred Units—Series A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B preferred units and notable provisions with respect to distributions on the Series B preferred units are described under "Description of Our Preferred Units—Series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common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jc w:val="both"/>
        <w:ind w:right="480" w:firstLine="348"/>
        <w:spacing w:after="0" w:line="223"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Series B preferred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80" w:firstLine="351"/>
        <w:spacing w:after="0" w:line="305" w:lineRule="auto"/>
        <w:rPr>
          <w:sz w:val="20"/>
          <w:szCs w:val="20"/>
          <w:color w:val="auto"/>
        </w:rPr>
      </w:pPr>
      <w:r>
        <w:rPr>
          <w:rFonts w:ascii="Arial" w:cs="Arial" w:eastAsia="Arial" w:hAnsi="Arial"/>
          <w:sz w:val="15"/>
          <w:szCs w:val="15"/>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w:t>
      </w:r>
    </w:p>
    <w:p>
      <w:pPr>
        <w:ind w:right="120" w:firstLine="8"/>
        <w:spacing w:after="0" w:line="261" w:lineRule="auto"/>
        <w:tabs>
          <w:tab w:leader="none" w:pos="2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second to the holders of outstanding preferred units in accordance with their adjusted capital account balances and (iii) thereafter, to the common unitholders in accordance with their adjusted capital account balances.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rights of holders of our preferred units are described under "Description of our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rights of holders of our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that the liquidator deems necessary or desirable in its good faith judgment, liquidate our assets. The proceeds of the liquidation will be applied as follows:</w:t>
      </w:r>
    </w:p>
    <w:p>
      <w:pPr>
        <w:spacing w:after="0" w:line="26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252"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shall not be personally liable for, or have any obligation to contribute or loan funds or assets to us to enable us to effectuate any indemnification.</w:t>
      </w:r>
    </w:p>
    <w:p>
      <w:pPr>
        <w:spacing w:after="0" w:line="248"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7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w:t>
      </w:r>
    </w:p>
    <w:p>
      <w:pPr>
        <w:spacing w:after="0" w:line="262" w:lineRule="exact"/>
        <w:rPr>
          <w:sz w:val="20"/>
          <w:szCs w:val="20"/>
          <w:color w:val="auto"/>
        </w:rPr>
      </w:pPr>
    </w:p>
    <w:p>
      <w:pPr>
        <w:ind w:left="1080" w:right="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"—Tax Consequences of Unit Ownership—Treatment of Securities Loans");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Units—Allocations Between Transferors and Transferees");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"—Tax Consequences of Unit Ownership—Section 754 Election" and "—Disposition of Units—Uniformity of Units");</w:t>
      </w:r>
    </w:p>
    <w:p>
      <w:pPr>
        <w:spacing w:after="0" w:line="199" w:lineRule="exact"/>
        <w:rPr>
          <w:rFonts w:ascii="Arial" w:cs="Arial" w:eastAsia="Arial" w:hAnsi="Arial"/>
          <w:sz w:val="18"/>
          <w:szCs w:val="18"/>
          <w:color w:val="auto"/>
        </w:rPr>
      </w:pPr>
    </w:p>
    <w:p>
      <w:pPr>
        <w:jc w:val="both"/>
        <w:ind w:left="1080" w:right="3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use of simplifying conventions for making adjustments to "book" basis and relevant allocations is permitted by existing Treasury Regulations (please read "—Tax Consequences of Unit Ownership—Allocation of Income, Gain, Loss and Deduction" and "—Uniformity of Units"); and</w:t>
      </w:r>
    </w:p>
    <w:p>
      <w:pPr>
        <w:spacing w:after="0" w:line="207" w:lineRule="exact"/>
        <w:rPr>
          <w:rFonts w:ascii="Arial" w:cs="Arial" w:eastAsia="Arial" w:hAnsi="Arial"/>
          <w:sz w:val="18"/>
          <w:szCs w:val="18"/>
          <w:color w:val="auto"/>
        </w:rPr>
      </w:pPr>
    </w:p>
    <w:p>
      <w:pPr>
        <w:ind w:left="1080" w:right="10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"—Tax Consequences of Unit Ownership—Allocation of Income, Gain, Loss and Deduction").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72"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61" w:lineRule="exact"/>
        <w:rPr>
          <w:sz w:val="20"/>
          <w:szCs w:val="20"/>
          <w:color w:val="auto"/>
        </w:rPr>
      </w:pPr>
    </w:p>
    <w:p>
      <w:pPr>
        <w:ind w:left="540" w:right="140" w:firstLine="359"/>
        <w:spacing w:after="0" w:line="268" w:lineRule="auto"/>
        <w:tabs>
          <w:tab w:leader="none" w:pos="12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332" w:lineRule="auto"/>
        <w:tabs>
          <w:tab w:leader="none" w:pos="12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80" w:firstLine="359"/>
        <w:spacing w:after="0" w:line="259" w:lineRule="auto"/>
        <w:tabs>
          <w:tab w:leader="none" w:pos="12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current or accumulated earnings and profits, then (ii) a nontaxable return of capital to the extent of the unitholder's adjusted tax basis in its units (determined separately for each unit), and thereafter (iii) taxable capital gain.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61"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Subject to the discussion below under "—Entity-Level Collections of Unitholder Taxes" and "—Administrative Matters—Information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70"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basis in his or her units will generally be increased by the amount of any excess business interest upon a disposition of such units.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153"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adjustments and allocations, which may include the aggregation of certain issuances of units. Our counsel, Vinson &amp; Elkins, L.L.P., is unable to opine as to the validity of such conventions.</w:t>
      </w:r>
    </w:p>
    <w:p>
      <w:pPr>
        <w:spacing w:after="0" w:line="186"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94"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140" w:firstLine="8"/>
        <w:spacing w:after="0" w:line="261" w:lineRule="auto"/>
        <w:tabs>
          <w:tab w:leader="none" w:pos="2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undistributed net investment income, or (ii) the excess adjusted gross income over the dollar amount at which the highest income tax bracket applicable to an estate or trust begins.</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taxable years beginning after December 31, 2017 and ending on or before December 31, 2025, an individual unitholder is entitled to a deduction equal to 20% of his or her allocable share of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"qualified business income." For purposes of this deduction, our "qualified business income" is equal to the sum of:</w:t>
      </w:r>
    </w:p>
    <w:p>
      <w:pPr>
        <w:spacing w:after="0" w:line="239" w:lineRule="exact"/>
        <w:rPr>
          <w:sz w:val="20"/>
          <w:szCs w:val="20"/>
          <w:color w:val="auto"/>
        </w:rPr>
      </w:pPr>
    </w:p>
    <w:p>
      <w:pPr>
        <w:ind w:left="1080" w:right="22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net amount of our U.S. items of income, gain, deduction, and loss to the extent such items are included or allowed in the determination of taxable income for the year, </w:t>
      </w:r>
      <w:r>
        <w:rPr>
          <w:rFonts w:ascii="Arial" w:cs="Arial" w:eastAsia="Arial" w:hAnsi="Arial"/>
          <w:sz w:val="18"/>
          <w:szCs w:val="18"/>
          <w:i w:val="1"/>
          <w:iCs w:val="1"/>
          <w:color w:val="auto"/>
        </w:rPr>
        <w:t>excluding</w:t>
      </w:r>
      <w:r>
        <w:rPr>
          <w:rFonts w:ascii="Arial" w:cs="Arial" w:eastAsia="Arial" w:hAnsi="Arial"/>
          <w:sz w:val="18"/>
          <w:szCs w:val="18"/>
          <w:color w:val="auto"/>
        </w:rPr>
        <w:t>, however, certain specified types of passive investment income (such as capital gains and dividends) and certain payments made to the unitholder for services rendered to the Partnership;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limitations, a Section 743(b) adjustment may create additional depreciable basis that is eligible for bonus depreciation under</w:t>
      </w:r>
    </w:p>
    <w:p>
      <w:pPr>
        <w:spacing w:after="0" w:line="3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63"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5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are made on the basis of assumptions as to the value of our assets and other matters. The IRS could seek to reallocate some or all of any Section 743(b)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340" w:firstLine="348"/>
        <w:spacing w:after="0" w:line="291"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Units—Recognition of Gain or Loss."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deduction instead of the 100% deduction for our first taxable year ending after September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19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200" w:firstLine="341"/>
        <w:spacing w:after="0" w:line="291"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74" w:lineRule="exact"/>
        <w:rPr>
          <w:sz w:val="20"/>
          <w:szCs w:val="20"/>
          <w:color w:val="auto"/>
        </w:rPr>
      </w:pPr>
    </w:p>
    <w:p>
      <w:pPr>
        <w:jc w:val="both"/>
        <w:ind w:right="280" w:firstLine="341"/>
        <w:spacing w:after="0" w:line="306" w:lineRule="auto"/>
        <w:rPr>
          <w:sz w:val="20"/>
          <w:szCs w:val="20"/>
          <w:color w:val="auto"/>
        </w:rPr>
      </w:pPr>
      <w:r>
        <w:rPr>
          <w:rFonts w:ascii="Arial" w:cs="Arial" w:eastAsia="Arial" w:hAnsi="Arial"/>
          <w:sz w:val="16"/>
          <w:szCs w:val="16"/>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9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as described above at "—Tax Consequences of Unit Ownership—Allocation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Employee benefit plans and most other tax-exempt organizations, including IRAs and other retirement plans, are subject to federal income tax on unrelated business taxable income. Virtually 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of our income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could exceed the total cash purchase price for the units. For this and other reasons, the IRS has suspended the application of this withholding rule to open market transfers of interest in publicly traded partnerships, pending promulgation of regulations that address the amount to be withheld, the reporting necessary to determine such amount and the appropriate party to withhold such amounts, but it is not clear if or when such regulations will be issued.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72"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Additionally, pursuant to the Bipartisan Budget Act of 2015, the Code will no longer require that we designate a Tax Matters Partner. Instead, for taxable years beginning after December 31, 2017,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Generally, these rules apply to current payments of FDAP Income and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5620" w:right="600" w:hanging="4532"/>
        <w:spacing w:after="0" w:line="519" w:lineRule="auto"/>
        <w:tabs>
          <w:tab w:leader="none" w:pos="162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tax-exempt entity;</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9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231"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Further, it is the responsibility of each unitholder to file all state, local and non-U.S., as well as federal tax returns that may be required of it. Vinson &amp;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2017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securities registered hereby. With the exception of the SEC registration fee, the amounts set forth below are estimates.</w:t>
      </w:r>
    </w:p>
    <w:p>
      <w:pPr>
        <w:spacing w:after="0" w:line="14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13,248</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240,000*</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120,000*</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expenses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413,248*</w:t>
            </w:r>
          </w:p>
        </w:tc>
      </w:tr>
      <w:tr>
        <w:trPr>
          <w:trHeight w:val="20"/>
        </w:trPr>
        <w:tc>
          <w:tcPr>
            <w:tcW w:w="2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780" w:hanging="540"/>
        <w:spacing w:after="0" w:line="268" w:lineRule="auto"/>
        <w:tabs>
          <w:tab w:leader="none" w:pos="2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fees are calculated based on the number of issuances and amount of securities offered and accordingly cannot be definitively estimated at this time.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Officers and Members of Our Board of Directors</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Section 17-108 of the Delaware Revised Uniform Limited Partnership Act empowers a Delaware limited partnership to indemnify and hold harmless any partner or other person from and against all claims and demands whatsoever. The partnership agreement of Plains All American Pipeline, L.P. provides that Plains All American Pipeline, L.P. will indemnify the general partner, any departing partner, any person who is or was an affiliate of the general partner or any departing partner, and any person who is or was a member, partner, officer, director, employee, agent or trustee of the general partner or any departing partner or any affiliate of the general partner or any departing partner, or any person who is or was serving at the request of the general partner or any departing partner or any affiliate of the general partner or any departing partner as an officer, director, employee, member, partner, agent, fiduciary or trustee of another person (each, an "Indemnitee"), to the fullest extent permitted by law, from and against any and all losses, claims, damages, liabilities (joint or several), expenses (including, without limitation, legal fees and expenses), judgments, fines, penalties, interest, settlements and other amounts arising from any and all claims, demands, actions, suits or proceedings, whether civil, criminal, administrative or investigative, in which any Indemnitee may be involved, or is threatened to be involved, as a party or otherwise, by reason of its status as any of the foregoing; provided that in each case the Indemnitee acted in good faith and in a manner that such Indemnitee reasonably believed to be in or not opposed to the best interests of Plains All American Pipeline, L.P. and, with respect to any criminal proceeding, had no reasonable cause to believe his, her or its conduct was unlawful. Insofar as indemnification for liabilities arising under the Securities Act may be permitted to any Indemnitee pursuant to the foregoing provisions, the registrant has been informed that in the opinion of the SEC such indemnification is against public policy as expressed in the Act and is therefore unenforceable.</w:t>
      </w:r>
    </w:p>
    <w:p>
      <w:pPr>
        <w:spacing w:after="0" w:line="18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Any indemnification under these provisions will be only out of the assets of Plains All American Pipeline, L.P., and the general partner shall not be personally liable for, or have any obligation to contribute or loan funds or assets to Plains All American Pipeline, L.P. to enable it to effectuate, such indemnification. Plains All American Pipeline, L.P. is authorized to purchase (or to reimburse the PAA GP Holdings LLC or its affiliates for the cost of) insurance against liabilities asserted against and expenses incurred by such persons in connection with Plains All American Pipeline, L.P.'s activities,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regardless of whether Plains All American Pipeline, L.P. would have the power to indemnify such person against such liabilities under the provisions described above.</w:t>
      </w:r>
    </w:p>
    <w:p>
      <w:pPr>
        <w:spacing w:after="0" w:line="186"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Section 18-108 of the Delaware Limited Liability Company Act provides that, subject to such standards and restrictions, if any, as are set forth in its limited liability company agreement, a Delaware limited liability company may, and has the power to, indemnify and hold harmless any member or manager or other person from and against any and all claims and demands whatsoever. The limited liability company agreement of PAA GP Holdings LLC provides for the indemnification of (a) any of its original members ("Existing Owner") or any owner of a direct or indirect 10% ownership interest in Plains AAP, L.P.'s Class A units ("Qualifying Interest Holder"), (b) any Person who is or was an affiliate of PAA GP Holdings LLC, any Existing Owner or any Qualifying Interest Holder,</w:t>
      </w:r>
    </w:p>
    <w:p>
      <w:pPr>
        <w:spacing w:after="0" w:line="2" w:lineRule="exact"/>
        <w:rPr>
          <w:sz w:val="20"/>
          <w:szCs w:val="20"/>
          <w:color w:val="auto"/>
        </w:rPr>
      </w:pPr>
    </w:p>
    <w:p>
      <w:pPr>
        <w:ind w:right="20" w:firstLine="8"/>
        <w:spacing w:after="0" w:line="284" w:lineRule="auto"/>
        <w:tabs>
          <w:tab w:leader="none" w:pos="2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shareholder, director, officer, fiduciary, agent or trustee of PAA GP Holdings LLC, any Existing Owner or any Qualifying Interest Holder or any affiliate thereof, (d) any Person who is or was serving at the request of PAA GP Holdings LLC, any Existing Owner or any Qualifying Interest Holder or any affiliate of thereof as a member, manager, partner, director, officer, fiduciary, agent or trustee of another person in furtherance of the business or affairs of PAA GP Holdings LLC or its subsidiaries (provided, that a person shall not be indemnified by reason of providing, on a fee-for-services basis, trustee, fiduciary or custodial services), and (e) any person the board of directors of PAA GP Holdings LLC designates an indemnitee (collectively, the "Indemnitees"),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such person may be involved, or threatened to be involved, as a party or otherwise, by reason of his, her or its status as an Indemnitee, regardless of whether an Indemnitee continues to be an Indemnitee at the time any such liability or expense is paid or incurred, if such Indemnitee acted in good faith and in a manner he, she or it reasonably believed to be in, or not opposed to, the interests of PAA GP Holdings LLC and with respect to any criminal proceeding, had no reason to believe his, her or its conduct was unlawful. Expenses incurred by an Indemnitee in defending any such claim, demand, action, suit or proceeding will, from time to time, be advanced by PAA GP Holdings LLC prior to the final disposition of such claim, demand, action, suit or proceeding upon receipt by PAA GP Holdings LLC of an undertaking by or on behalf of the Indemnitee to repay such amounts if it is ultimately determined that the Indemnitee is not entitled to be indemnified. PAA GP Holdings LLC is authorized to purchase and maintain insurance, on behalf of the members of its Board of Directors, its officers and such other persons as the Board of Directors may determine, against any liability that may be asserted against or expense that may be incurred by such person in connection with the activities of PAA GP Holdings LLC.</w:t>
      </w:r>
    </w:p>
    <w:p>
      <w:pPr>
        <w:spacing w:after="0" w:line="18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by reason of the fact that he is or was a director,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of the circumstances of the case, such person is fairly and reasonably entitled to indemnity for such expenses which the Delaware Court of Chancery or such other court shall deem proper. PAA Finance Corp.'s certificate of incorporation and bylaws provide that indemnification shall be to the fullest extent permitted by the DGCL for all its current or former directors or officers. As permitted by the DGCL, PAA Finance Corp.'s certificate of incorporation provides that PAA Finance Corp. will indemnify its directors against liability to PAA Finance Corp. or its stockholders for monetary damages for breach of fiduciary duty as a director, except (1) for any breach of the director's duty of loyalty to PAA Finance Corp. or its stockholders, (2) for acts or omissions not in good faith or which involve intentional misconduct or knowing violation of law, (3) under Section 174 of the DGCL or (4) for any transaction from which a director derived an improper personal benefit.</w:t>
      </w:r>
    </w:p>
    <w:p>
      <w:pPr>
        <w:spacing w:after="0" w:line="178"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underwriting agreements that we may enter into with respect to the offer and sale of securities covered by this registration statement will contain certain provisions for the indemnification of directors and officers and the underwriters or sales agent, as applicable, against civil liabilities under the Securities Act.</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Registration Statement, and such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700" w:hanging="351"/>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right="60" w:firstLine="360"/>
        <w:spacing w:after="0" w:line="253" w:lineRule="auto"/>
        <w:tabs>
          <w:tab w:leader="none" w:pos="1764"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1" w:lineRule="exact"/>
        <w:rPr>
          <w:rFonts w:ascii="Arial" w:cs="Arial" w:eastAsia="Arial" w:hAnsi="Arial"/>
          <w:sz w:val="18"/>
          <w:szCs w:val="18"/>
          <w:color w:val="auto"/>
        </w:rPr>
      </w:pPr>
    </w:p>
    <w:p>
      <w:pPr>
        <w:ind w:left="1080" w:right="80" w:firstLine="360"/>
        <w:spacing w:after="0" w:line="268" w:lineRule="auto"/>
        <w:tabs>
          <w:tab w:leader="none" w:pos="1755"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the information in this registration statement;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(l)(a), (l)(b) and (1)(c) above do not apply if the information required to be included in a post-effective amendment by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paragraphs is contained in reports filed with or furnished to the SEC by the registrant pursuant to Section 13 or 15(d) of the Exchange Act that are incorporated by reference in this registration statement, or is contained in a form of prospectus filed pursuant to Rule 424(b) that is part of the registration statement.</w:t>
      </w:r>
    </w:p>
    <w:p>
      <w:pPr>
        <w:spacing w:after="0" w:line="161" w:lineRule="exact"/>
        <w:rPr>
          <w:sz w:val="20"/>
          <w:szCs w:val="20"/>
          <w:color w:val="auto"/>
        </w:rPr>
      </w:pPr>
    </w:p>
    <w:p>
      <w:pPr>
        <w:jc w:val="both"/>
        <w:ind w:left="540" w:right="340" w:firstLine="359"/>
        <w:spacing w:after="0" w:line="259" w:lineRule="auto"/>
        <w:tabs>
          <w:tab w:leader="none" w:pos="12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the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40" w:firstLine="359"/>
        <w:spacing w:after="0" w:line="268" w:lineRule="auto"/>
        <w:tabs>
          <w:tab w:leader="none" w:pos="12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60" w:firstLine="360"/>
        <w:spacing w:after="0" w:line="268" w:lineRule="auto"/>
        <w:tabs>
          <w:tab w:leader="none" w:pos="17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right="40"/>
        <w:spacing w:after="0" w:line="286" w:lineRule="auto"/>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8" w:lineRule="exact"/>
        <w:rPr>
          <w:sz w:val="20"/>
          <w:szCs w:val="20"/>
          <w:color w:val="auto"/>
        </w:rPr>
      </w:pPr>
    </w:p>
    <w:p>
      <w:pPr>
        <w:ind w:left="540" w:firstLine="359"/>
        <w:spacing w:after="0" w:line="255" w:lineRule="auto"/>
        <w:tabs>
          <w:tab w:leader="none" w:pos="12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60" w:hanging="320"/>
        <w:spacing w:after="0"/>
        <w:tabs>
          <w:tab w:leader="none" w:pos="17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240" w:firstLine="360"/>
        <w:spacing w:after="0" w:line="268" w:lineRule="auto"/>
        <w:tabs>
          <w:tab w:leader="none" w:pos="175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80" w:right="80" w:firstLine="360"/>
        <w:spacing w:after="0" w:line="268" w:lineRule="auto"/>
        <w:tabs>
          <w:tab w:leader="none" w:pos="17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760" w:hanging="320"/>
        <w:spacing w:after="0"/>
        <w:tabs>
          <w:tab w:leader="none" w:pos="17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60" w:firstLine="359"/>
        <w:spacing w:after="0" w:line="255" w:lineRule="auto"/>
        <w:tabs>
          <w:tab w:leader="none" w:pos="6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 each filing of Plains All American Pipeline, L.P.'s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the securities at that time shall be deemed to be the initial bona fide offering thereof.</w:t>
      </w:r>
    </w:p>
    <w:p>
      <w:pPr>
        <w:spacing w:after="0" w:line="196" w:lineRule="exact"/>
        <w:rPr>
          <w:rFonts w:ascii="Arial" w:cs="Arial" w:eastAsia="Arial" w:hAnsi="Arial"/>
          <w:sz w:val="18"/>
          <w:szCs w:val="18"/>
          <w:color w:val="auto"/>
        </w:rPr>
      </w:pPr>
    </w:p>
    <w:p>
      <w:pPr>
        <w:ind w:right="40" w:firstLine="359"/>
        <w:spacing w:after="0" w:line="290" w:lineRule="auto"/>
        <w:tabs>
          <w:tab w:leader="none" w:pos="688"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described in Item 15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whether indemnification by it is against public policy as expressed in the Securities Act and will be governed by the final adjudication of the issue.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the undersigned registrants hereby undertakes that, for purposes of determining any liability under the Securities Act:</w:t>
      </w:r>
    </w:p>
    <w:p>
      <w:pPr>
        <w:spacing w:after="0" w:line="225" w:lineRule="exact"/>
        <w:rPr>
          <w:rFonts w:ascii="Arial" w:cs="Arial" w:eastAsia="Arial" w:hAnsi="Arial"/>
          <w:sz w:val="18"/>
          <w:szCs w:val="18"/>
          <w:color w:val="auto"/>
        </w:rPr>
      </w:pPr>
    </w:p>
    <w:p>
      <w:pPr>
        <w:ind w:left="540" w:firstLine="359"/>
        <w:spacing w:after="0" w:line="259" w:lineRule="auto"/>
        <w:tabs>
          <w:tab w:leader="none" w:pos="122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this registration statement in reliance on Rule 430A and contained in a form of prospectus filed by the registrant pursuant to Rule 424(b) (1) or (4) or 497(h) under the Securities Act shall be deemed to be part of this registration statement as of the time it was declared effective.</w:t>
      </w:r>
    </w:p>
    <w:p>
      <w:pPr>
        <w:spacing w:after="0" w:line="194" w:lineRule="exact"/>
        <w:rPr>
          <w:rFonts w:ascii="Arial" w:cs="Arial" w:eastAsia="Arial" w:hAnsi="Arial"/>
          <w:sz w:val="18"/>
          <w:szCs w:val="18"/>
          <w:color w:val="auto"/>
        </w:rPr>
      </w:pPr>
    </w:p>
    <w:p>
      <w:pPr>
        <w:ind w:left="540" w:right="220" w:firstLine="359"/>
        <w:spacing w:after="0" w:line="332" w:lineRule="auto"/>
        <w:tabs>
          <w:tab w:leader="none" w:pos="1228"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0900"/>
          </w:cols>
          <w:pgMar w:left="240" w:top="131" w:right="759"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4420"/>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22225</wp:posOffset>
            </wp:positionV>
            <wp:extent cx="5240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100" w:space="720"/>
            <w:col w:w="5080"/>
          </w:cols>
          <w:pgMar w:left="240" w:top="131" w:right="759" w:bottom="1440" w:gutter="0" w:footer="0" w:header="0"/>
          <w:type w:val="continuous"/>
        </w:sectPr>
      </w:pPr>
    </w:p>
    <w:p>
      <w:pPr>
        <w:ind w:left="1560"/>
        <w:spacing w:after="0"/>
        <w:rPr>
          <w:sz w:val="20"/>
          <w:szCs w:val="20"/>
          <w:color w:val="auto"/>
        </w:rPr>
      </w:pPr>
      <w:r>
        <w:rPr>
          <w:rFonts w:ascii="Arial" w:cs="Arial" w:eastAsia="Arial" w:hAnsi="Arial"/>
          <w:sz w:val="18"/>
          <w:szCs w:val="18"/>
          <w:color w:val="auto"/>
        </w:rPr>
        <w:t>1.1** Form of Underwriting Agreement</w:t>
      </w:r>
    </w:p>
    <w:p>
      <w:pPr>
        <w:spacing w:after="0" w:line="244" w:lineRule="exact"/>
        <w:rPr>
          <w:sz w:val="20"/>
          <w:szCs w:val="20"/>
          <w:color w:val="auto"/>
        </w:rPr>
      </w:pPr>
    </w:p>
    <w:p>
      <w:pPr>
        <w:ind w:left="2020" w:right="660" w:hanging="461"/>
        <w:spacing w:after="0" w:line="286" w:lineRule="auto"/>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76">
        <w:r>
          <w:rPr>
            <w:rFonts w:ascii="Arial" w:cs="Arial" w:eastAsia="Arial" w:hAnsi="Arial"/>
            <w:sz w:val="16"/>
            <w:szCs w:val="16"/>
            <w:u w:val="single" w:color="auto"/>
            <w:color w:val="0000EE"/>
          </w:rPr>
          <w:t>Indenture for Senior Debt Securities dated as of September 25, 2002 among Plains All American Pipeline, L.P., PAA</w:t>
        </w:r>
      </w:hyperlink>
      <w:r>
        <w:rPr>
          <w:rFonts w:ascii="Arial" w:cs="Arial" w:eastAsia="Arial" w:hAnsi="Arial"/>
          <w:sz w:val="16"/>
          <w:szCs w:val="16"/>
          <w:u w:val="single" w:color="auto"/>
          <w:color w:val="0000EE"/>
        </w:rPr>
        <w:t xml:space="preserve"> </w:t>
      </w:r>
      <w:hyperlink r:id="rId76">
        <w:r>
          <w:rPr>
            <w:rFonts w:ascii="Arial" w:cs="Arial" w:eastAsia="Arial" w:hAnsi="Arial"/>
            <w:sz w:val="16"/>
            <w:szCs w:val="16"/>
            <w:u w:val="single" w:color="auto"/>
            <w:color w:val="0000EE"/>
          </w:rPr>
          <w:t>Finance Corp. and Wachovia Bank, National Association, as original trustee (incorporated by reference to</w:t>
        </w:r>
      </w:hyperlink>
    </w:p>
    <w:p>
      <w:pPr>
        <w:ind w:left="2020" w:right="1080"/>
        <w:spacing w:after="0" w:line="261" w:lineRule="auto"/>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Exhibit 4.1 of the Partnership's Quarterly Report on Form 10-Q for the quarter ended September 30, 2002 (File</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No. 001-14569)).</w:t>
        </w:r>
      </w:hyperlink>
    </w:p>
    <w:p>
      <w:pPr>
        <w:spacing w:after="0" w:line="219" w:lineRule="exact"/>
        <w:rPr>
          <w:sz w:val="20"/>
          <w:szCs w:val="20"/>
          <w:color w:val="auto"/>
        </w:rPr>
      </w:pPr>
    </w:p>
    <w:p>
      <w:pPr>
        <w:ind w:left="2020" w:right="900" w:hanging="461"/>
        <w:spacing w:after="0" w:line="332" w:lineRule="auto"/>
        <w:tabs>
          <w:tab w:leader="none" w:pos="20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77">
        <w:r>
          <w:rPr>
            <w:rFonts w:ascii="Arial" w:cs="Arial" w:eastAsia="Arial" w:hAnsi="Arial"/>
            <w:sz w:val="16"/>
            <w:szCs w:val="16"/>
            <w:u w:val="single" w:color="auto"/>
            <w:color w:val="0000EE"/>
          </w:rPr>
          <w:t>Form of Subordinated Indenture for Subordinated Debt Securities (incorporated by reference to Exhibit 4.2 of the</w:t>
        </w:r>
      </w:hyperlink>
      <w:r>
        <w:rPr>
          <w:rFonts w:ascii="Arial" w:cs="Arial" w:eastAsia="Arial" w:hAnsi="Arial"/>
          <w:sz w:val="16"/>
          <w:szCs w:val="16"/>
          <w:u w:val="single" w:color="auto"/>
          <w:color w:val="0000EE"/>
        </w:rPr>
        <w:t xml:space="preserve"> </w:t>
      </w:r>
      <w:hyperlink r:id="rId77">
        <w:r>
          <w:rPr>
            <w:rFonts w:ascii="Arial" w:cs="Arial" w:eastAsia="Arial" w:hAnsi="Arial"/>
            <w:sz w:val="16"/>
            <w:szCs w:val="16"/>
            <w:u w:val="single" w:color="auto"/>
            <w:color w:val="0000EE"/>
          </w:rPr>
          <w:t>Partnership's Registration Statement on Form S-3 filed on August 27, 2001 (File No. 333-68446))</w:t>
        </w:r>
      </w:hyperlink>
    </w:p>
    <w:p>
      <w:pPr>
        <w:spacing w:after="0" w:line="13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4.3** Form of Senior Debt Securities</w:t>
      </w:r>
    </w:p>
    <w:p>
      <w:pPr>
        <w:spacing w:after="0" w:line="25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4.4** Form of Subordinated Debt Securities</w:t>
      </w:r>
    </w:p>
    <w:p>
      <w:pPr>
        <w:spacing w:after="0" w:line="252" w:lineRule="exact"/>
        <w:rPr>
          <w:sz w:val="20"/>
          <w:szCs w:val="20"/>
          <w:color w:val="auto"/>
        </w:rPr>
      </w:pPr>
    </w:p>
    <w:tbl>
      <w:tblPr>
        <w:tblLayout w:type="fixed"/>
        <w:tblInd w:w="1160" w:type="dxa"/>
        <w:tblCellMar>
          <w:top w:w="0" w:type="dxa"/>
          <w:left w:w="0" w:type="dxa"/>
          <w:bottom w:w="0" w:type="dxa"/>
          <w:right w:w="0" w:type="dxa"/>
        </w:tblCellMar>
      </w:tblPr>
      <w:tr>
        <w:trPr>
          <w:trHeight w:val="211"/>
        </w:trPr>
        <w:tc>
          <w:tcPr>
            <w:tcW w:w="86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59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Opinion of Vinson &amp; Elkins L.L.P. as to the legality of the securities being registered</w:t>
              </w:r>
            </w:hyperlink>
          </w:p>
        </w:tc>
        <w:tc>
          <w:tcPr>
            <w:tcW w:w="2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0" w:type="dxa"/>
            <w:vAlign w:val="bottom"/>
          </w:tcPr>
          <w:p>
            <w:pPr>
              <w:jc w:val="right"/>
              <w:ind w:right="52"/>
              <w:spacing w:after="0"/>
              <w:rPr>
                <w:sz w:val="20"/>
                <w:szCs w:val="20"/>
                <w:color w:val="auto"/>
              </w:rPr>
            </w:pPr>
            <w:r>
              <w:rPr>
                <w:rFonts w:ascii="Arial" w:cs="Arial" w:eastAsia="Arial" w:hAnsi="Arial"/>
                <w:sz w:val="18"/>
                <w:szCs w:val="18"/>
                <w:color w:val="auto"/>
              </w:rPr>
              <w:t>8.1*</w:t>
            </w:r>
          </w:p>
        </w:tc>
        <w:tc>
          <w:tcPr>
            <w:tcW w:w="40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Opinion of Vinson &amp; Elkins L.L.P. relating to tax matters</w:t>
              </w:r>
            </w:hyperlink>
          </w:p>
        </w:tc>
        <w:tc>
          <w:tcPr>
            <w:tcW w:w="41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jc w:val="right"/>
              <w:ind w:right="52"/>
              <w:spacing w:after="0"/>
              <w:rPr>
                <w:sz w:val="20"/>
                <w:szCs w:val="20"/>
                <w:color w:val="auto"/>
              </w:rPr>
            </w:pPr>
            <w:r>
              <w:rPr>
                <w:rFonts w:ascii="Arial" w:cs="Arial" w:eastAsia="Arial" w:hAnsi="Arial"/>
                <w:sz w:val="18"/>
                <w:szCs w:val="18"/>
                <w:color w:val="auto"/>
              </w:rPr>
              <w:t>12.1*</w:t>
            </w:r>
          </w:p>
        </w:tc>
        <w:tc>
          <w:tcPr>
            <w:tcW w:w="81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Computation of ratio of earnings to fixed charges and ratio of earnings to combined fixed charges and preferred unit</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16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distributions</w:t>
              </w:r>
            </w:hyperlink>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52"/>
              <w:spacing w:after="0"/>
              <w:rPr>
                <w:sz w:val="20"/>
                <w:szCs w:val="20"/>
                <w:color w:val="auto"/>
              </w:rPr>
            </w:pPr>
            <w:r>
              <w:rPr>
                <w:rFonts w:ascii="Arial" w:cs="Arial" w:eastAsia="Arial" w:hAnsi="Arial"/>
                <w:sz w:val="18"/>
                <w:szCs w:val="18"/>
                <w:color w:val="auto"/>
              </w:rPr>
              <w:t>23.1*</w:t>
            </w:r>
          </w:p>
        </w:tc>
        <w:tc>
          <w:tcPr>
            <w:tcW w:w="8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0" w:type="dxa"/>
            <w:vAlign w:val="bottom"/>
            <w:vMerge w:val="continue"/>
          </w:tcPr>
          <w:p>
            <w:pPr>
              <w:spacing w:after="0"/>
              <w:rPr>
                <w:sz w:val="24"/>
                <w:szCs w:val="24"/>
                <w:color w:val="auto"/>
              </w:rPr>
            </w:pPr>
          </w:p>
        </w:tc>
        <w:tc>
          <w:tcPr>
            <w:tcW w:w="29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Consent of PricewaterhouseCoopers LLP</w:t>
              </w:r>
            </w:hyperlink>
          </w:p>
        </w:tc>
        <w:tc>
          <w:tcPr>
            <w:tcW w:w="5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816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Vinson &amp; Elkins L.L.P. (contained in </w:t>
            </w:r>
            <w:hyperlink w:anchor="page65">
              <w:r>
                <w:rPr>
                  <w:rFonts w:ascii="Arial" w:cs="Arial" w:eastAsia="Arial" w:hAnsi="Arial"/>
                  <w:sz w:val="18"/>
                  <w:szCs w:val="18"/>
                  <w:color w:val="0000EE"/>
                </w:rPr>
                <w:t>Exhibits 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67">
              <w:r>
                <w:rPr>
                  <w:rFonts w:ascii="Arial" w:cs="Arial" w:eastAsia="Arial" w:hAnsi="Arial"/>
                  <w:sz w:val="18"/>
                  <w:szCs w:val="18"/>
                  <w:color w:val="0000EE"/>
                </w:rPr>
                <w:t>8.1</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52"/>
              <w:spacing w:after="0"/>
              <w:rPr>
                <w:sz w:val="20"/>
                <w:szCs w:val="20"/>
                <w:color w:val="auto"/>
              </w:rPr>
            </w:pPr>
            <w:r>
              <w:rPr>
                <w:rFonts w:ascii="Arial" w:cs="Arial" w:eastAsia="Arial" w:hAnsi="Arial"/>
                <w:sz w:val="18"/>
                <w:szCs w:val="18"/>
                <w:color w:val="auto"/>
              </w:rPr>
              <w:t>24.1*</w:t>
            </w:r>
          </w:p>
        </w:tc>
        <w:tc>
          <w:tcPr>
            <w:tcW w:w="1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0" w:type="dxa"/>
            <w:vAlign w:val="bottom"/>
            <w:vMerge w:val="continue"/>
          </w:tcPr>
          <w:p>
            <w:pPr>
              <w:spacing w:after="0"/>
              <w:rPr>
                <w:sz w:val="24"/>
                <w:szCs w:val="24"/>
                <w:color w:val="auto"/>
              </w:rPr>
            </w:pPr>
          </w:p>
        </w:tc>
        <w:tc>
          <w:tcPr>
            <w:tcW w:w="57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Powers of Attorney (included on the signature page of this registration statement)</w:t>
              </w:r>
            </w:hyperlink>
          </w:p>
        </w:tc>
        <w:tc>
          <w:tcPr>
            <w:tcW w:w="2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jc w:val="right"/>
              <w:ind w:right="52"/>
              <w:spacing w:after="0"/>
              <w:rPr>
                <w:sz w:val="20"/>
                <w:szCs w:val="20"/>
                <w:color w:val="auto"/>
              </w:rPr>
            </w:pPr>
            <w:r>
              <w:rPr>
                <w:rFonts w:ascii="Arial" w:cs="Arial" w:eastAsia="Arial" w:hAnsi="Arial"/>
                <w:sz w:val="18"/>
                <w:szCs w:val="18"/>
                <w:color w:val="auto"/>
              </w:rPr>
              <w:t>25.1*</w:t>
            </w:r>
          </w:p>
        </w:tc>
        <w:tc>
          <w:tcPr>
            <w:tcW w:w="80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Form T-1 Statement of Eligibility and Qualification under the Trust Indenture Act of 1939 of the trustee under the</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160" w:type="dxa"/>
            <w:vAlign w:val="bottom"/>
            <w:gridSpan w:val="1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Senior Indenture</w:t>
              </w:r>
            </w:hyperlink>
          </w:p>
        </w:tc>
        <w:tc>
          <w:tcPr>
            <w:tcW w:w="0" w:type="dxa"/>
            <w:vAlign w:val="bottom"/>
          </w:tcPr>
          <w:p>
            <w:pPr>
              <w:spacing w:after="0"/>
              <w:rPr>
                <w:sz w:val="1"/>
                <w:szCs w:val="1"/>
                <w:color w:val="auto"/>
              </w:rPr>
            </w:pPr>
          </w:p>
        </w:tc>
      </w:tr>
      <w:tr>
        <w:trPr>
          <w:trHeight w:val="20"/>
        </w:trPr>
        <w:tc>
          <w:tcPr>
            <w:tcW w:w="860" w:type="dxa"/>
            <w:vAlign w:val="bottom"/>
            <w:vMerge w:val="restart"/>
          </w:tcPr>
          <w:p>
            <w:pPr>
              <w:jc w:val="right"/>
              <w:ind w:right="52"/>
              <w:spacing w:after="0"/>
              <w:rPr>
                <w:sz w:val="20"/>
                <w:szCs w:val="20"/>
                <w:color w:val="auto"/>
              </w:rPr>
            </w:pPr>
            <w:r>
              <w:rPr>
                <w:rFonts w:ascii="Arial" w:cs="Arial" w:eastAsia="Arial" w:hAnsi="Arial"/>
                <w:sz w:val="18"/>
                <w:szCs w:val="18"/>
                <w:color w:val="auto"/>
              </w:rPr>
              <w:t>25.2*</w:t>
            </w:r>
          </w:p>
        </w:tc>
        <w:tc>
          <w:tcPr>
            <w:tcW w:w="11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0" w:type="dxa"/>
            <w:vAlign w:val="bottom"/>
            <w:vMerge w:val="continue"/>
          </w:tcPr>
          <w:p>
            <w:pPr>
              <w:spacing w:after="0"/>
              <w:rPr>
                <w:sz w:val="24"/>
                <w:szCs w:val="24"/>
                <w:color w:val="auto"/>
              </w:rPr>
            </w:pPr>
          </w:p>
        </w:tc>
        <w:tc>
          <w:tcPr>
            <w:tcW w:w="80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Form T-1 Statement of Eligibility and Qualification under the Trust Indenture Act of 1939 of the trustee under the</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160" w:type="dxa"/>
            <w:vAlign w:val="bottom"/>
            <w:gridSpan w:val="1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Subordinated Indenture</w:t>
              </w:r>
            </w:hyperlink>
          </w:p>
        </w:tc>
        <w:tc>
          <w:tcPr>
            <w:tcW w:w="0" w:type="dxa"/>
            <w:vAlign w:val="bottom"/>
          </w:tcPr>
          <w:p>
            <w:pPr>
              <w:spacing w:after="0"/>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880" w:type="dxa"/>
            <w:vAlign w:val="bottom"/>
            <w:tcBorders>
              <w:top w:val="single" w:sz="8" w:color="0000EE"/>
              <w:bottom w:val="single" w:sz="8" w:color="auto"/>
            </w:tcBorders>
          </w:tcPr>
          <w:p>
            <w:pPr>
              <w:spacing w:after="0"/>
              <w:rPr>
                <w:sz w:val="11"/>
                <w:szCs w:val="11"/>
                <w:color w:val="auto"/>
              </w:rPr>
            </w:pPr>
          </w:p>
        </w:tc>
        <w:tc>
          <w:tcPr>
            <w:tcW w:w="300" w:type="dxa"/>
            <w:vAlign w:val="bottom"/>
            <w:tcBorders>
              <w:top w:val="single" w:sz="8" w:color="0000EE"/>
              <w:bottom w:val="single" w:sz="8" w:color="auto"/>
            </w:tcBorders>
          </w:tcPr>
          <w:p>
            <w:pPr>
              <w:spacing w:after="0"/>
              <w:rPr>
                <w:sz w:val="11"/>
                <w:szCs w:val="11"/>
                <w:color w:val="auto"/>
              </w:rPr>
            </w:pPr>
          </w:p>
        </w:tc>
        <w:tc>
          <w:tcPr>
            <w:tcW w:w="340" w:type="dxa"/>
            <w:vAlign w:val="bottom"/>
            <w:tcBorders>
              <w:top w:val="single" w:sz="8" w:color="0000EE"/>
              <w:bottom w:val="single" w:sz="8" w:color="auto"/>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be filed as an exhibit to a report pursuant to Section 13(a) or 15(d) of the Exchange Act or in a post-effective amendment to this registration statement.</w:t>
      </w:r>
    </w:p>
    <w:p>
      <w:pPr>
        <w:spacing w:after="0" w:line="18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14, 2018.</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258"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Plains AAP, L.P., its sole member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Plains All American GP LLC, its general partner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Plains GP Holdings, L.P., its sole member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Holdings LLC, its general partner</w:t>
      </w:r>
    </w:p>
    <w:p>
      <w:pPr>
        <w:spacing w:after="0" w:line="252"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71120</wp:posOffset>
            </wp:positionV>
            <wp:extent cx="26930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78"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Name:</w:t>
        <w:tab/>
        <w:t>Richard K. McGee</w:t>
      </w:r>
    </w:p>
    <w:p>
      <w:pPr>
        <w:spacing w:after="0" w:line="15"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General Counsel</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and Secretary</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 below.</w:t>
      </w:r>
    </w:p>
    <w:p>
      <w:pPr>
        <w:spacing w:after="0" w:line="180" w:lineRule="exact"/>
        <w:rPr>
          <w:sz w:val="20"/>
          <w:szCs w:val="20"/>
          <w:color w:val="auto"/>
        </w:rPr>
      </w:pPr>
    </w:p>
    <w:p>
      <w:pPr>
        <w:ind w:right="280" w:firstLine="351"/>
        <w:spacing w:after="0" w:line="262" w:lineRule="auto"/>
        <w:rPr>
          <w:sz w:val="20"/>
          <w:szCs w:val="20"/>
          <w:color w:val="auto"/>
        </w:rPr>
      </w:pPr>
      <w:r>
        <w:rPr>
          <w:rFonts w:ascii="Arial" w:cs="Arial" w:eastAsia="Arial" w:hAnsi="Arial"/>
          <w:sz w:val="18"/>
          <w:szCs w:val="18"/>
          <w:b w:val="1"/>
          <w:bCs w:val="1"/>
          <w:color w:val="auto"/>
        </w:rPr>
        <w:t>PAA GP HOLDINGS LLC, for itself and as the general partner of PLAINS GP HOLDINGS, L.P., which is the sole member of PLAINS ALL AMERICAN GP LLC, which is the general partner of PLAINS AAP, L.P., which is the sole member of PAA GP LLC, which is the general partner of PLAINS ALL AMERICAN PIPELINE, L.P.</w:t>
      </w:r>
    </w:p>
    <w:p>
      <w:pPr>
        <w:spacing w:after="0" w:line="188" w:lineRule="exact"/>
        <w:rPr>
          <w:sz w:val="20"/>
          <w:szCs w:val="20"/>
          <w:color w:val="auto"/>
        </w:rPr>
      </w:pPr>
    </w:p>
    <w:p>
      <w:pPr>
        <w:ind w:left="2660"/>
        <w:spacing w:after="0"/>
        <w:tabs>
          <w:tab w:leader="none" w:pos="6260" w:val="left"/>
          <w:tab w:leader="none" w:pos="91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3560" w:type="dxa"/>
            <w:vAlign w:val="bottom"/>
          </w:tcPr>
          <w:p>
            <w:pPr>
              <w:jc w:val="center"/>
              <w:ind w:left="52"/>
              <w:spacing w:after="0"/>
              <w:rPr>
                <w:sz w:val="20"/>
                <w:szCs w:val="20"/>
                <w:color w:val="auto"/>
              </w:rPr>
            </w:pPr>
            <w:r>
              <w:rPr>
                <w:rFonts w:ascii="Arial" w:cs="Arial" w:eastAsia="Arial" w:hAnsi="Arial"/>
                <w:sz w:val="18"/>
                <w:szCs w:val="18"/>
                <w:color w:val="auto"/>
                <w:w w:val="88"/>
              </w:rPr>
              <w:t>Chairman of the Board and Chief</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5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Executive Officer</w:t>
            </w:r>
          </w:p>
        </w:tc>
        <w:tc>
          <w:tcPr>
            <w:tcW w:w="3300" w:type="dxa"/>
            <w:vAlign w:val="bottom"/>
            <w:vMerge w:val="restart"/>
          </w:tcPr>
          <w:p>
            <w:pPr>
              <w:ind w:left="4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3560" w:type="dxa"/>
            <w:vAlign w:val="bottom"/>
            <w:vMerge w:val="continue"/>
          </w:tcPr>
          <w:p>
            <w:pPr>
              <w:spacing w:after="0"/>
              <w:rPr>
                <w:sz w:val="6"/>
                <w:szCs w:val="6"/>
                <w:color w:val="auto"/>
              </w:rPr>
            </w:pPr>
          </w:p>
        </w:tc>
        <w:tc>
          <w:tcPr>
            <w:tcW w:w="3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560" w:type="dxa"/>
            <w:vAlign w:val="bottom"/>
          </w:tcPr>
          <w:p>
            <w:pPr>
              <w:jc w:val="center"/>
              <w:ind w:left="72"/>
              <w:spacing w:after="0"/>
              <w:rPr>
                <w:sz w:val="20"/>
                <w:szCs w:val="20"/>
                <w:color w:val="auto"/>
              </w:rPr>
            </w:pPr>
            <w:r>
              <w:rPr>
                <w:rFonts w:ascii="Arial" w:cs="Arial" w:eastAsia="Arial" w:hAnsi="Arial"/>
                <w:sz w:val="18"/>
                <w:szCs w:val="18"/>
                <w:color w:val="auto"/>
                <w:w w:val="91"/>
              </w:rPr>
              <w:t>(Principal Executive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560" w:type="dxa"/>
            <w:vAlign w:val="bottom"/>
            <w:vMerge w:val="restart"/>
          </w:tcPr>
          <w:p>
            <w:pPr>
              <w:jc w:val="center"/>
              <w:ind w:left="72"/>
              <w:spacing w:after="0"/>
              <w:rPr>
                <w:sz w:val="20"/>
                <w:szCs w:val="20"/>
                <w:color w:val="auto"/>
              </w:rPr>
            </w:pPr>
            <w:r>
              <w:rPr>
                <w:rFonts w:ascii="Arial" w:cs="Arial" w:eastAsia="Arial" w:hAnsi="Arial"/>
                <w:sz w:val="18"/>
                <w:szCs w:val="18"/>
                <w:color w:val="auto"/>
                <w:w w:val="89"/>
              </w:rPr>
              <w:t>President, Chief Commercial</w:t>
            </w:r>
          </w:p>
        </w:tc>
        <w:tc>
          <w:tcPr>
            <w:tcW w:w="3300" w:type="dxa"/>
            <w:vAlign w:val="bottom"/>
            <w:vMerge w:val="restart"/>
          </w:tcPr>
          <w:p>
            <w:pPr>
              <w:ind w:left="4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560" w:type="dxa"/>
            <w:vAlign w:val="bottom"/>
            <w:vMerge w:val="continue"/>
          </w:tcPr>
          <w:p>
            <w:pPr>
              <w:spacing w:after="0"/>
              <w:rPr>
                <w:sz w:val="8"/>
                <w:szCs w:val="8"/>
                <w:color w:val="auto"/>
              </w:rPr>
            </w:pPr>
          </w:p>
        </w:tc>
        <w:tc>
          <w:tcPr>
            <w:tcW w:w="3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9"/>
              </w:rPr>
              <w:t>Harry N. Pefanis</w:t>
            </w:r>
          </w:p>
        </w:tc>
        <w:tc>
          <w:tcPr>
            <w:tcW w:w="3560" w:type="dxa"/>
            <w:vAlign w:val="bottom"/>
            <w:vMerge w:val="restart"/>
          </w:tcPr>
          <w:p>
            <w:pPr>
              <w:jc w:val="center"/>
              <w:ind w:left="72"/>
              <w:spacing w:after="0" w:line="202" w:lineRule="exact"/>
              <w:rPr>
                <w:sz w:val="20"/>
                <w:szCs w:val="20"/>
                <w:color w:val="auto"/>
              </w:rPr>
            </w:pPr>
            <w:r>
              <w:rPr>
                <w:rFonts w:ascii="Arial" w:cs="Arial" w:eastAsia="Arial" w:hAnsi="Arial"/>
                <w:sz w:val="18"/>
                <w:szCs w:val="18"/>
                <w:color w:val="auto"/>
                <w:w w:val="92"/>
              </w:rPr>
              <w:t>Officer and Director</w:t>
            </w: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3560" w:type="dxa"/>
            <w:vAlign w:val="bottom"/>
            <w:vMerge w:val="continue"/>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5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6"/>
              </w:rPr>
              <w:t>/s/ WILLIE C. CHIANG</w:t>
            </w:r>
          </w:p>
        </w:tc>
        <w:tc>
          <w:tcPr>
            <w:tcW w:w="3560" w:type="dxa"/>
            <w:vAlign w:val="bottom"/>
            <w:vMerge w:val="restart"/>
          </w:tcPr>
          <w:p>
            <w:pPr>
              <w:jc w:val="center"/>
              <w:ind w:left="72"/>
              <w:spacing w:after="0"/>
              <w:rPr>
                <w:sz w:val="20"/>
                <w:szCs w:val="20"/>
                <w:color w:val="auto"/>
              </w:rPr>
            </w:pPr>
            <w:r>
              <w:rPr>
                <w:rFonts w:ascii="Arial" w:cs="Arial" w:eastAsia="Arial" w:hAnsi="Arial"/>
                <w:sz w:val="18"/>
                <w:szCs w:val="18"/>
                <w:color w:val="auto"/>
                <w:w w:val="89"/>
              </w:rPr>
              <w:t>Executive Vice President, Chief</w:t>
            </w:r>
          </w:p>
        </w:tc>
        <w:tc>
          <w:tcPr>
            <w:tcW w:w="3300" w:type="dxa"/>
            <w:vAlign w:val="bottom"/>
            <w:vMerge w:val="restart"/>
          </w:tcPr>
          <w:p>
            <w:pPr>
              <w:ind w:left="4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560" w:type="dxa"/>
            <w:vAlign w:val="bottom"/>
            <w:vMerge w:val="continue"/>
          </w:tcPr>
          <w:p>
            <w:pPr>
              <w:spacing w:after="0"/>
              <w:rPr>
                <w:sz w:val="8"/>
                <w:szCs w:val="8"/>
                <w:color w:val="auto"/>
              </w:rPr>
            </w:pPr>
          </w:p>
        </w:tc>
        <w:tc>
          <w:tcPr>
            <w:tcW w:w="3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3"/>
              </w:rPr>
              <w:t>Willie C. Chiang</w:t>
            </w:r>
          </w:p>
        </w:tc>
        <w:tc>
          <w:tcPr>
            <w:tcW w:w="3560" w:type="dxa"/>
            <w:vAlign w:val="bottom"/>
            <w:vMerge w:val="restart"/>
          </w:tcPr>
          <w:p>
            <w:pPr>
              <w:jc w:val="center"/>
              <w:ind w:left="52"/>
              <w:spacing w:after="0" w:line="202" w:lineRule="exact"/>
              <w:rPr>
                <w:sz w:val="20"/>
                <w:szCs w:val="20"/>
                <w:color w:val="auto"/>
              </w:rPr>
            </w:pPr>
            <w:r>
              <w:rPr>
                <w:rFonts w:ascii="Arial" w:cs="Arial" w:eastAsia="Arial" w:hAnsi="Arial"/>
                <w:sz w:val="18"/>
                <w:szCs w:val="18"/>
                <w:color w:val="auto"/>
                <w:w w:val="90"/>
              </w:rPr>
              <w:t>Operating Officer and Director</w:t>
            </w: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3560" w:type="dxa"/>
            <w:vAlign w:val="bottom"/>
            <w:vMerge w:val="continue"/>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5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560" w:type="dxa"/>
            <w:vAlign w:val="bottom"/>
          </w:tcPr>
          <w:p>
            <w:pPr>
              <w:jc w:val="center"/>
              <w:ind w:left="52"/>
              <w:spacing w:after="0"/>
              <w:rPr>
                <w:sz w:val="20"/>
                <w:szCs w:val="20"/>
                <w:color w:val="auto"/>
              </w:rPr>
            </w:pPr>
            <w:r>
              <w:rPr>
                <w:rFonts w:ascii="Arial" w:cs="Arial" w:eastAsia="Arial" w:hAnsi="Arial"/>
                <w:sz w:val="18"/>
                <w:szCs w:val="18"/>
                <w:color w:val="auto"/>
                <w:w w:val="88"/>
              </w:rPr>
              <w:t>Executive Vice President and Chief</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560" w:type="dxa"/>
            <w:vAlign w:val="bottom"/>
            <w:vMerge w:val="restart"/>
          </w:tcPr>
          <w:p>
            <w:pPr>
              <w:jc w:val="center"/>
              <w:ind w:left="72"/>
              <w:spacing w:after="0"/>
              <w:rPr>
                <w:sz w:val="20"/>
                <w:szCs w:val="20"/>
                <w:color w:val="auto"/>
              </w:rPr>
            </w:pPr>
            <w:r>
              <w:rPr>
                <w:rFonts w:ascii="Arial" w:cs="Arial" w:eastAsia="Arial" w:hAnsi="Arial"/>
                <w:sz w:val="18"/>
                <w:szCs w:val="18"/>
                <w:color w:val="auto"/>
                <w:w w:val="92"/>
              </w:rPr>
              <w:t>Financial Officer</w:t>
            </w:r>
          </w:p>
        </w:tc>
        <w:tc>
          <w:tcPr>
            <w:tcW w:w="3300" w:type="dxa"/>
            <w:vAlign w:val="bottom"/>
            <w:vMerge w:val="restart"/>
          </w:tcPr>
          <w:p>
            <w:pPr>
              <w:ind w:left="4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560" w:type="dxa"/>
            <w:vAlign w:val="bottom"/>
            <w:vMerge w:val="continue"/>
          </w:tcPr>
          <w:p>
            <w:pPr>
              <w:spacing w:after="0"/>
              <w:rPr>
                <w:sz w:val="6"/>
                <w:szCs w:val="6"/>
                <w:color w:val="auto"/>
              </w:rPr>
            </w:pPr>
          </w:p>
        </w:tc>
        <w:tc>
          <w:tcPr>
            <w:tcW w:w="3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560" w:type="dxa"/>
            <w:vAlign w:val="bottom"/>
          </w:tcPr>
          <w:p>
            <w:pPr>
              <w:jc w:val="center"/>
              <w:ind w:left="72"/>
              <w:spacing w:after="0"/>
              <w:rPr>
                <w:sz w:val="20"/>
                <w:szCs w:val="20"/>
                <w:color w:val="auto"/>
              </w:rPr>
            </w:pPr>
            <w:r>
              <w:rPr>
                <w:rFonts w:ascii="Arial" w:cs="Arial" w:eastAsia="Arial" w:hAnsi="Arial"/>
                <w:sz w:val="18"/>
                <w:szCs w:val="18"/>
                <w:color w:val="auto"/>
                <w:w w:val="92"/>
              </w:rPr>
              <w:t>(Principal Financial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3560" w:type="dxa"/>
            <w:vAlign w:val="bottom"/>
          </w:tcPr>
          <w:p>
            <w:pPr>
              <w:jc w:val="center"/>
              <w:ind w:left="72"/>
              <w:spacing w:after="0"/>
              <w:rPr>
                <w:sz w:val="20"/>
                <w:szCs w:val="20"/>
                <w:color w:val="auto"/>
              </w:rPr>
            </w:pPr>
            <w:r>
              <w:rPr>
                <w:rFonts w:ascii="Arial" w:cs="Arial" w:eastAsia="Arial" w:hAnsi="Arial"/>
                <w:sz w:val="18"/>
                <w:szCs w:val="18"/>
                <w:color w:val="auto"/>
                <w:w w:val="87"/>
              </w:rPr>
              <w:t>Senior Vice President and Chief</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560" w:type="dxa"/>
            <w:vAlign w:val="bottom"/>
            <w:vMerge w:val="restart"/>
          </w:tcPr>
          <w:p>
            <w:pPr>
              <w:jc w:val="center"/>
              <w:ind w:left="72"/>
              <w:spacing w:after="0"/>
              <w:rPr>
                <w:sz w:val="20"/>
                <w:szCs w:val="20"/>
                <w:color w:val="auto"/>
              </w:rPr>
            </w:pPr>
            <w:r>
              <w:rPr>
                <w:rFonts w:ascii="Arial" w:cs="Arial" w:eastAsia="Arial" w:hAnsi="Arial"/>
                <w:sz w:val="18"/>
                <w:szCs w:val="18"/>
                <w:color w:val="auto"/>
                <w:w w:val="92"/>
              </w:rPr>
              <w:t>Accounting Officer</w:t>
            </w:r>
          </w:p>
        </w:tc>
        <w:tc>
          <w:tcPr>
            <w:tcW w:w="3300" w:type="dxa"/>
            <w:vAlign w:val="bottom"/>
            <w:vMerge w:val="restart"/>
          </w:tcPr>
          <w:p>
            <w:pPr>
              <w:ind w:left="46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560" w:type="dxa"/>
            <w:vAlign w:val="bottom"/>
            <w:vMerge w:val="continue"/>
          </w:tcPr>
          <w:p>
            <w:pPr>
              <w:spacing w:after="0"/>
              <w:rPr>
                <w:sz w:val="6"/>
                <w:szCs w:val="6"/>
                <w:color w:val="auto"/>
              </w:rPr>
            </w:pPr>
          </w:p>
        </w:tc>
        <w:tc>
          <w:tcPr>
            <w:tcW w:w="3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560" w:type="dxa"/>
            <w:vAlign w:val="bottom"/>
          </w:tcPr>
          <w:p>
            <w:pPr>
              <w:jc w:val="center"/>
              <w:ind w:left="72"/>
              <w:spacing w:after="0"/>
              <w:rPr>
                <w:sz w:val="20"/>
                <w:szCs w:val="20"/>
                <w:color w:val="auto"/>
              </w:rPr>
            </w:pPr>
            <w:r>
              <w:rPr>
                <w:rFonts w:ascii="Arial" w:cs="Arial" w:eastAsia="Arial" w:hAnsi="Arial"/>
                <w:sz w:val="18"/>
                <w:szCs w:val="18"/>
                <w:color w:val="auto"/>
                <w:w w:val="92"/>
              </w:rPr>
              <w:t>(Principal Accounting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560" w:type="dxa"/>
            <w:vAlign w:val="bottom"/>
          </w:tcPr>
          <w:p>
            <w:pPr>
              <w:ind w:left="1020"/>
              <w:spacing w:after="0"/>
              <w:rPr>
                <w:sz w:val="20"/>
                <w:szCs w:val="20"/>
                <w:color w:val="auto"/>
              </w:rPr>
            </w:pPr>
            <w:r>
              <w:rPr>
                <w:rFonts w:ascii="Arial" w:cs="Arial" w:eastAsia="Arial" w:hAnsi="Arial"/>
                <w:sz w:val="18"/>
                <w:szCs w:val="18"/>
                <w:color w:val="auto"/>
              </w:rPr>
              <w:t>II-8</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60"/>
        <w:spacing w:after="0"/>
        <w:tabs>
          <w:tab w:leader="none" w:pos="6260" w:val="left"/>
          <w:tab w:leader="none" w:pos="91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93"/>
              </w:rPr>
              <w:t>/s/ OSCAR K. BROWN</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080" w:type="dxa"/>
            <w:vAlign w:val="bottom"/>
            <w:vMerge w:val="restart"/>
          </w:tcPr>
          <w:p>
            <w:pPr>
              <w:ind w:left="156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91"/>
              </w:rPr>
              <w:t>Oscar K. Brown</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95"/>
              </w:rPr>
              <w:t>/s/ VICTOR BURK</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080" w:type="dxa"/>
            <w:vAlign w:val="bottom"/>
            <w:vMerge w:val="restart"/>
          </w:tcPr>
          <w:p>
            <w:pPr>
              <w:ind w:left="156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95"/>
              </w:rPr>
              <w:t>Victor Burk</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93"/>
              </w:rPr>
              <w:t>/s/ EVERARDO GOYANES</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080" w:type="dxa"/>
            <w:vAlign w:val="bottom"/>
            <w:vMerge w:val="restart"/>
          </w:tcPr>
          <w:p>
            <w:pPr>
              <w:ind w:left="156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3052"/>
              <w:spacing w:after="0"/>
              <w:rPr>
                <w:sz w:val="20"/>
                <w:szCs w:val="20"/>
                <w:color w:val="auto"/>
              </w:rPr>
            </w:pPr>
            <w:r>
              <w:rPr>
                <w:rFonts w:ascii="Arial" w:cs="Arial" w:eastAsia="Arial" w:hAnsi="Arial"/>
                <w:sz w:val="18"/>
                <w:szCs w:val="18"/>
                <w:color w:val="auto"/>
                <w:w w:val="86"/>
              </w:rPr>
              <w:t>Everardo Goyanes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89"/>
              </w:rPr>
              <w:t>/s/ GARY R. PETERSEN</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080" w:type="dxa"/>
            <w:vAlign w:val="bottom"/>
            <w:vMerge w:val="restart"/>
          </w:tcPr>
          <w:p>
            <w:pPr>
              <w:ind w:left="156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86"/>
              </w:rPr>
              <w:t>Gary R. Petersen</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3052"/>
              <w:spacing w:after="0"/>
              <w:rPr>
                <w:sz w:val="20"/>
                <w:szCs w:val="20"/>
                <w:color w:val="auto"/>
              </w:rPr>
            </w:pPr>
            <w:r>
              <w:rPr>
                <w:rFonts w:ascii="Arial" w:cs="Arial" w:eastAsia="Arial" w:hAnsi="Arial"/>
                <w:sz w:val="18"/>
                <w:szCs w:val="18"/>
                <w:color w:val="auto"/>
                <w:w w:val="93"/>
              </w:rPr>
              <w:t>/s/ JOHN T. RAYMOND</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080" w:type="dxa"/>
            <w:vAlign w:val="bottom"/>
            <w:vMerge w:val="restart"/>
          </w:tcPr>
          <w:p>
            <w:pPr>
              <w:ind w:left="156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87"/>
              </w:rPr>
              <w:t>John T. Raymond</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3052"/>
              <w:spacing w:after="0"/>
              <w:rPr>
                <w:sz w:val="20"/>
                <w:szCs w:val="20"/>
                <w:color w:val="auto"/>
              </w:rPr>
            </w:pPr>
            <w:r>
              <w:rPr>
                <w:rFonts w:ascii="Arial" w:cs="Arial" w:eastAsia="Arial" w:hAnsi="Arial"/>
                <w:sz w:val="18"/>
                <w:szCs w:val="18"/>
                <w:color w:val="auto"/>
                <w:w w:val="93"/>
              </w:rPr>
              <w:t>/s/ BOBBY S. SHACKOULS</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080" w:type="dxa"/>
            <w:vAlign w:val="bottom"/>
            <w:vMerge w:val="restart"/>
          </w:tcPr>
          <w:p>
            <w:pPr>
              <w:ind w:left="156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3052"/>
              <w:spacing w:after="0"/>
              <w:rPr>
                <w:sz w:val="20"/>
                <w:szCs w:val="20"/>
                <w:color w:val="auto"/>
              </w:rPr>
            </w:pPr>
            <w:r>
              <w:rPr>
                <w:rFonts w:ascii="Arial" w:cs="Arial" w:eastAsia="Arial" w:hAnsi="Arial"/>
                <w:sz w:val="18"/>
                <w:szCs w:val="18"/>
                <w:color w:val="auto"/>
                <w:w w:val="88"/>
              </w:rPr>
              <w:t>Bobby S. Shackouls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91"/>
              </w:rPr>
              <w:t>/s/ ROBERT V. SINNOTT</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080" w:type="dxa"/>
            <w:vAlign w:val="bottom"/>
            <w:vMerge w:val="restart"/>
          </w:tcPr>
          <w:p>
            <w:pPr>
              <w:ind w:left="156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3052"/>
              <w:spacing w:after="0"/>
              <w:rPr>
                <w:sz w:val="20"/>
                <w:szCs w:val="20"/>
                <w:color w:val="auto"/>
              </w:rPr>
            </w:pPr>
            <w:r>
              <w:rPr>
                <w:rFonts w:ascii="Arial" w:cs="Arial" w:eastAsia="Arial" w:hAnsi="Arial"/>
                <w:sz w:val="18"/>
                <w:szCs w:val="18"/>
                <w:color w:val="auto"/>
                <w:w w:val="88"/>
              </w:rPr>
              <w:t>Robert V. Sinnott</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91"/>
              </w:rPr>
              <w:t>/s/ J. TAFT SYMONDS</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080" w:type="dxa"/>
            <w:vAlign w:val="bottom"/>
            <w:vMerge w:val="restart"/>
          </w:tcPr>
          <w:p>
            <w:pPr>
              <w:ind w:left="156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86"/>
              </w:rPr>
              <w:t>J. Taft Symonds</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160" w:type="dxa"/>
            <w:vAlign w:val="bottom"/>
          </w:tcPr>
          <w:p>
            <w:pPr>
              <w:spacing w:after="0"/>
              <w:rPr>
                <w:sz w:val="24"/>
                <w:szCs w:val="24"/>
                <w:color w:val="auto"/>
              </w:rPr>
            </w:pPr>
          </w:p>
        </w:tc>
        <w:tc>
          <w:tcPr>
            <w:tcW w:w="6480" w:type="dxa"/>
            <w:vAlign w:val="bottom"/>
            <w:gridSpan w:val="2"/>
          </w:tcPr>
          <w:p>
            <w:pPr>
              <w:jc w:val="center"/>
              <w:ind w:right="3052"/>
              <w:spacing w:after="0"/>
              <w:rPr>
                <w:sz w:val="20"/>
                <w:szCs w:val="20"/>
                <w:color w:val="auto"/>
              </w:rPr>
            </w:pPr>
            <w:r>
              <w:rPr>
                <w:rFonts w:ascii="Arial" w:cs="Arial" w:eastAsia="Arial" w:hAnsi="Arial"/>
                <w:sz w:val="18"/>
                <w:szCs w:val="18"/>
                <w:color w:val="auto"/>
                <w:w w:val="92"/>
              </w:rPr>
              <w:t>/s/ CHRISTOPHER M. TEMPLE</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080" w:type="dxa"/>
            <w:vAlign w:val="bottom"/>
            <w:vMerge w:val="restart"/>
          </w:tcPr>
          <w:p>
            <w:pPr>
              <w:ind w:left="1560"/>
              <w:spacing w:after="0" w:line="202" w:lineRule="exact"/>
              <w:rPr>
                <w:sz w:val="20"/>
                <w:szCs w:val="20"/>
                <w:color w:val="auto"/>
              </w:rPr>
            </w:pPr>
            <w:r>
              <w:rPr>
                <w:rFonts w:ascii="Arial" w:cs="Arial" w:eastAsia="Arial" w:hAnsi="Arial"/>
                <w:sz w:val="18"/>
                <w:szCs w:val="18"/>
                <w:color w:val="auto"/>
              </w:rPr>
              <w:t>Director</w:t>
            </w:r>
          </w:p>
        </w:tc>
        <w:tc>
          <w:tcPr>
            <w:tcW w:w="3780" w:type="dxa"/>
            <w:vAlign w:val="bottom"/>
            <w:vMerge w:val="restart"/>
          </w:tcPr>
          <w:p>
            <w:pPr>
              <w:ind w:left="940"/>
              <w:spacing w:after="0" w:line="202" w:lineRule="exact"/>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80" w:type="dxa"/>
            <w:vAlign w:val="bottom"/>
            <w:gridSpan w:val="2"/>
          </w:tcPr>
          <w:p>
            <w:pPr>
              <w:jc w:val="center"/>
              <w:ind w:right="3032"/>
              <w:spacing w:after="0"/>
              <w:rPr>
                <w:sz w:val="20"/>
                <w:szCs w:val="20"/>
                <w:color w:val="auto"/>
              </w:rPr>
            </w:pPr>
            <w:r>
              <w:rPr>
                <w:rFonts w:ascii="Arial" w:cs="Arial" w:eastAsia="Arial" w:hAnsi="Arial"/>
                <w:sz w:val="18"/>
                <w:szCs w:val="18"/>
                <w:color w:val="auto"/>
                <w:w w:val="89"/>
              </w:rPr>
              <w:t>Christopher M. Temple</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80" w:type="dxa"/>
            <w:vAlign w:val="bottom"/>
          </w:tcPr>
          <w:p>
            <w:pPr>
              <w:ind w:left="1020"/>
              <w:spacing w:after="0"/>
              <w:rPr>
                <w:sz w:val="20"/>
                <w:szCs w:val="20"/>
                <w:color w:val="auto"/>
              </w:rPr>
            </w:pPr>
            <w:r>
              <w:rPr>
                <w:rFonts w:ascii="Arial" w:cs="Arial" w:eastAsia="Arial" w:hAnsi="Arial"/>
                <w:sz w:val="18"/>
                <w:szCs w:val="18"/>
                <w:color w:val="auto"/>
              </w:rPr>
              <w:t>II-9</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September 14, 2018.</w:t>
      </w:r>
    </w:p>
    <w:p>
      <w:pPr>
        <w:spacing w:after="0" w:line="188"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PAA FINANCE CORP.</w:t>
      </w:r>
    </w:p>
    <w:p>
      <w:pPr>
        <w:spacing w:after="0" w:line="258" w:lineRule="exact"/>
        <w:rPr>
          <w:sz w:val="20"/>
          <w:szCs w:val="20"/>
          <w:color w:val="auto"/>
        </w:rPr>
      </w:pPr>
    </w:p>
    <w:p>
      <w:pPr>
        <w:ind w:left="556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71120</wp:posOffset>
            </wp:positionV>
            <wp:extent cx="27527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78" w:lineRule="exact"/>
        <w:rPr>
          <w:sz w:val="20"/>
          <w:szCs w:val="20"/>
          <w:color w:val="auto"/>
        </w:rPr>
      </w:pPr>
    </w:p>
    <w:p>
      <w:pPr>
        <w:ind w:left="5980"/>
        <w:spacing w:after="0"/>
        <w:tabs>
          <w:tab w:leader="none" w:pos="6620" w:val="left"/>
        </w:tabs>
        <w:rPr>
          <w:sz w:val="20"/>
          <w:szCs w:val="20"/>
          <w:color w:val="auto"/>
        </w:rPr>
      </w:pPr>
      <w:r>
        <w:rPr>
          <w:rFonts w:ascii="Arial" w:cs="Arial" w:eastAsia="Arial" w:hAnsi="Arial"/>
          <w:sz w:val="18"/>
          <w:szCs w:val="18"/>
          <w:color w:val="auto"/>
        </w:rPr>
        <w:t>Name:</w:t>
        <w:tab/>
        <w:t>Richard K. McGee</w:t>
      </w:r>
    </w:p>
    <w:p>
      <w:pPr>
        <w:spacing w:after="0" w:line="15" w:lineRule="exact"/>
        <w:rPr>
          <w:sz w:val="20"/>
          <w:szCs w:val="20"/>
          <w:color w:val="auto"/>
        </w:rPr>
      </w:pPr>
    </w:p>
    <w:p>
      <w:pPr>
        <w:ind w:left="59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General Counsel and</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as amended,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 below.</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PAA FINANCE CORP.</w:t>
      </w:r>
    </w:p>
    <w:p>
      <w:pPr>
        <w:spacing w:after="0" w:line="227" w:lineRule="exact"/>
        <w:rPr>
          <w:sz w:val="20"/>
          <w:szCs w:val="20"/>
          <w:color w:val="auto"/>
        </w:rPr>
      </w:pPr>
    </w:p>
    <w:p>
      <w:pPr>
        <w:ind w:left="2660"/>
        <w:spacing w:after="0"/>
        <w:tabs>
          <w:tab w:leader="none" w:pos="6260" w:val="left"/>
          <w:tab w:leader="none" w:pos="91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/s/ GREG L. ARMSTRONG</w:t>
            </w:r>
          </w:p>
        </w:tc>
        <w:tc>
          <w:tcPr>
            <w:tcW w:w="3500" w:type="dxa"/>
            <w:vAlign w:val="bottom"/>
            <w:vMerge w:val="restart"/>
          </w:tcPr>
          <w:p>
            <w:pPr>
              <w:jc w:val="center"/>
              <w:ind w:left="132"/>
              <w:spacing w:after="0"/>
              <w:rPr>
                <w:sz w:val="20"/>
                <w:szCs w:val="20"/>
                <w:color w:val="auto"/>
              </w:rPr>
            </w:pPr>
            <w:r>
              <w:rPr>
                <w:rFonts w:ascii="Arial" w:cs="Arial" w:eastAsia="Arial" w:hAnsi="Arial"/>
                <w:sz w:val="18"/>
                <w:szCs w:val="18"/>
                <w:color w:val="auto"/>
                <w:w w:val="91"/>
              </w:rPr>
              <w:t>Chief Executive Officer</w:t>
            </w:r>
          </w:p>
        </w:tc>
        <w:tc>
          <w:tcPr>
            <w:tcW w:w="3360" w:type="dxa"/>
            <w:vAlign w:val="bottom"/>
            <w:vMerge w:val="restart"/>
          </w:tcPr>
          <w:p>
            <w:pPr>
              <w:ind w:left="5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500" w:type="dxa"/>
            <w:vAlign w:val="bottom"/>
            <w:vMerge w:val="continue"/>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1"/>
              </w:rPr>
              <w:t>Greg L. Armstrong</w:t>
            </w:r>
          </w:p>
        </w:tc>
        <w:tc>
          <w:tcPr>
            <w:tcW w:w="3500" w:type="dxa"/>
            <w:vAlign w:val="bottom"/>
            <w:vMerge w:val="restart"/>
          </w:tcPr>
          <w:p>
            <w:pPr>
              <w:jc w:val="center"/>
              <w:ind w:left="132"/>
              <w:spacing w:after="0" w:line="202" w:lineRule="exact"/>
              <w:rPr>
                <w:sz w:val="20"/>
                <w:szCs w:val="20"/>
                <w:color w:val="auto"/>
              </w:rPr>
            </w:pPr>
            <w:r>
              <w:rPr>
                <w:rFonts w:ascii="Arial" w:cs="Arial" w:eastAsia="Arial" w:hAnsi="Arial"/>
                <w:sz w:val="18"/>
                <w:szCs w:val="18"/>
                <w:color w:val="auto"/>
                <w:w w:val="91"/>
              </w:rPr>
              <w:t>(Principal Executive Officer)</w:t>
            </w: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40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3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7"/>
              </w:rPr>
              <w:t>/s/ WILLIE CHIANG</w:t>
            </w:r>
          </w:p>
        </w:tc>
        <w:tc>
          <w:tcPr>
            <w:tcW w:w="3500" w:type="dxa"/>
            <w:vAlign w:val="bottom"/>
            <w:vMerge w:val="restart"/>
          </w:tcPr>
          <w:p>
            <w:pPr>
              <w:jc w:val="center"/>
              <w:ind w:left="112"/>
              <w:spacing w:after="0"/>
              <w:rPr>
                <w:sz w:val="20"/>
                <w:szCs w:val="20"/>
                <w:color w:val="auto"/>
              </w:rPr>
            </w:pPr>
            <w:r>
              <w:rPr>
                <w:rFonts w:ascii="Arial" w:cs="Arial" w:eastAsia="Arial" w:hAnsi="Arial"/>
                <w:sz w:val="18"/>
                <w:szCs w:val="18"/>
                <w:color w:val="auto"/>
                <w:w w:val="91"/>
              </w:rPr>
              <w:t>Director</w:t>
            </w:r>
          </w:p>
        </w:tc>
        <w:tc>
          <w:tcPr>
            <w:tcW w:w="3360" w:type="dxa"/>
            <w:vAlign w:val="bottom"/>
            <w:vMerge w:val="restart"/>
          </w:tcPr>
          <w:p>
            <w:pPr>
              <w:ind w:left="5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500" w:type="dxa"/>
            <w:vAlign w:val="bottom"/>
            <w:vMerge w:val="continue"/>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3"/>
              </w:rPr>
              <w:t>Willie Chiang</w:t>
            </w:r>
          </w:p>
        </w:tc>
        <w:tc>
          <w:tcPr>
            <w:tcW w:w="3500" w:type="dxa"/>
            <w:vAlign w:val="bottom"/>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35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AL SWANSON</w:t>
            </w:r>
          </w:p>
        </w:tc>
        <w:tc>
          <w:tcPr>
            <w:tcW w:w="3500" w:type="dxa"/>
            <w:vAlign w:val="bottom"/>
          </w:tcPr>
          <w:p>
            <w:pPr>
              <w:jc w:val="center"/>
              <w:ind w:left="132"/>
              <w:spacing w:after="0"/>
              <w:rPr>
                <w:sz w:val="20"/>
                <w:szCs w:val="20"/>
                <w:color w:val="auto"/>
              </w:rPr>
            </w:pPr>
            <w:r>
              <w:rPr>
                <w:rFonts w:ascii="Arial" w:cs="Arial" w:eastAsia="Arial" w:hAnsi="Arial"/>
                <w:sz w:val="18"/>
                <w:szCs w:val="18"/>
                <w:color w:val="auto"/>
                <w:w w:val="89"/>
              </w:rPr>
              <w:t>Executive Vice President, Chief</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500" w:type="dxa"/>
            <w:vAlign w:val="bottom"/>
            <w:vMerge w:val="restart"/>
          </w:tcPr>
          <w:p>
            <w:pPr>
              <w:jc w:val="center"/>
              <w:ind w:left="132"/>
              <w:spacing w:after="0"/>
              <w:rPr>
                <w:sz w:val="20"/>
                <w:szCs w:val="20"/>
                <w:color w:val="auto"/>
              </w:rPr>
            </w:pPr>
            <w:r>
              <w:rPr>
                <w:rFonts w:ascii="Arial" w:cs="Arial" w:eastAsia="Arial" w:hAnsi="Arial"/>
                <w:sz w:val="18"/>
                <w:szCs w:val="18"/>
                <w:color w:val="auto"/>
                <w:w w:val="90"/>
              </w:rPr>
              <w:t>Financial Officer and Director</w:t>
            </w:r>
          </w:p>
        </w:tc>
        <w:tc>
          <w:tcPr>
            <w:tcW w:w="3360" w:type="dxa"/>
            <w:vAlign w:val="bottom"/>
            <w:vMerge w:val="restart"/>
          </w:tcPr>
          <w:p>
            <w:pPr>
              <w:ind w:left="5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8"/>
              </w:rPr>
              <w:t>Al Swanson</w:t>
            </w:r>
          </w:p>
        </w:tc>
        <w:tc>
          <w:tcPr>
            <w:tcW w:w="3500" w:type="dxa"/>
            <w:vAlign w:val="bottom"/>
            <w:vMerge w:val="continue"/>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500" w:type="dxa"/>
            <w:vAlign w:val="bottom"/>
          </w:tcPr>
          <w:p>
            <w:pPr>
              <w:jc w:val="center"/>
              <w:ind w:left="132"/>
              <w:spacing w:after="0"/>
              <w:rPr>
                <w:sz w:val="20"/>
                <w:szCs w:val="20"/>
                <w:color w:val="auto"/>
              </w:rPr>
            </w:pPr>
            <w:r>
              <w:rPr>
                <w:rFonts w:ascii="Arial" w:cs="Arial" w:eastAsia="Arial" w:hAnsi="Arial"/>
                <w:sz w:val="18"/>
                <w:szCs w:val="18"/>
                <w:color w:val="auto"/>
                <w:w w:val="92"/>
              </w:rPr>
              <w:t>(Principal Financial Officer)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3500" w:type="dxa"/>
            <w:vAlign w:val="bottom"/>
          </w:tcPr>
          <w:p>
            <w:pPr>
              <w:jc w:val="center"/>
              <w:ind w:left="132"/>
              <w:spacing w:after="0"/>
              <w:rPr>
                <w:sz w:val="20"/>
                <w:szCs w:val="20"/>
                <w:color w:val="auto"/>
              </w:rPr>
            </w:pPr>
            <w:r>
              <w:rPr>
                <w:rFonts w:ascii="Arial" w:cs="Arial" w:eastAsia="Arial" w:hAnsi="Arial"/>
                <w:sz w:val="18"/>
                <w:szCs w:val="18"/>
                <w:color w:val="auto"/>
                <w:w w:val="87"/>
              </w:rPr>
              <w:t>Senior Vice President and Chief</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3500" w:type="dxa"/>
            <w:vAlign w:val="bottom"/>
            <w:vMerge w:val="restart"/>
          </w:tcPr>
          <w:p>
            <w:pPr>
              <w:jc w:val="center"/>
              <w:ind w:left="132"/>
              <w:spacing w:after="0"/>
              <w:rPr>
                <w:sz w:val="20"/>
                <w:szCs w:val="20"/>
                <w:color w:val="auto"/>
              </w:rPr>
            </w:pPr>
            <w:r>
              <w:rPr>
                <w:rFonts w:ascii="Arial" w:cs="Arial" w:eastAsia="Arial" w:hAnsi="Arial"/>
                <w:sz w:val="18"/>
                <w:szCs w:val="18"/>
                <w:color w:val="auto"/>
                <w:w w:val="92"/>
              </w:rPr>
              <w:t>Accounting Officer</w:t>
            </w:r>
          </w:p>
        </w:tc>
        <w:tc>
          <w:tcPr>
            <w:tcW w:w="3360" w:type="dxa"/>
            <w:vAlign w:val="bottom"/>
            <w:vMerge w:val="restart"/>
          </w:tcPr>
          <w:p>
            <w:pPr>
              <w:ind w:left="5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500" w:type="dxa"/>
            <w:vAlign w:val="bottom"/>
            <w:vMerge w:val="continue"/>
          </w:tcPr>
          <w:p>
            <w:pPr>
              <w:spacing w:after="0"/>
              <w:rPr>
                <w:sz w:val="6"/>
                <w:szCs w:val="6"/>
                <w:color w:val="auto"/>
              </w:rPr>
            </w:pPr>
          </w:p>
        </w:tc>
        <w:tc>
          <w:tcPr>
            <w:tcW w:w="3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0" w:type="dxa"/>
            <w:vAlign w:val="bottom"/>
            <w:vMerge w:val="continue"/>
          </w:tcPr>
          <w:p>
            <w:pPr>
              <w:spacing w:after="0"/>
              <w:rPr>
                <w:sz w:val="19"/>
                <w:szCs w:val="19"/>
                <w:color w:val="auto"/>
              </w:rPr>
            </w:pPr>
          </w:p>
        </w:tc>
        <w:tc>
          <w:tcPr>
            <w:tcW w:w="3500" w:type="dxa"/>
            <w:vAlign w:val="bottom"/>
          </w:tcPr>
          <w:p>
            <w:pPr>
              <w:jc w:val="center"/>
              <w:ind w:left="132"/>
              <w:spacing w:after="0"/>
              <w:rPr>
                <w:sz w:val="20"/>
                <w:szCs w:val="20"/>
                <w:color w:val="auto"/>
              </w:rPr>
            </w:pPr>
            <w:r>
              <w:rPr>
                <w:rFonts w:ascii="Arial" w:cs="Arial" w:eastAsia="Arial" w:hAnsi="Arial"/>
                <w:sz w:val="18"/>
                <w:szCs w:val="18"/>
                <w:color w:val="auto"/>
                <w:w w:val="92"/>
              </w:rPr>
              <w:t>(Principal Accounting Officer)</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1"/>
              </w:rPr>
              <w:t>/s/ HARRY N. PEFANIS</w:t>
            </w:r>
          </w:p>
        </w:tc>
        <w:tc>
          <w:tcPr>
            <w:tcW w:w="3500" w:type="dxa"/>
            <w:vAlign w:val="bottom"/>
            <w:vMerge w:val="restart"/>
          </w:tcPr>
          <w:p>
            <w:pPr>
              <w:jc w:val="center"/>
              <w:ind w:left="112"/>
              <w:spacing w:after="0"/>
              <w:rPr>
                <w:sz w:val="20"/>
                <w:szCs w:val="20"/>
                <w:color w:val="auto"/>
              </w:rPr>
            </w:pPr>
            <w:r>
              <w:rPr>
                <w:rFonts w:ascii="Arial" w:cs="Arial" w:eastAsia="Arial" w:hAnsi="Arial"/>
                <w:sz w:val="18"/>
                <w:szCs w:val="18"/>
                <w:color w:val="auto"/>
                <w:w w:val="88"/>
              </w:rPr>
              <w:t>President and Director</w:t>
            </w:r>
          </w:p>
        </w:tc>
        <w:tc>
          <w:tcPr>
            <w:tcW w:w="3360" w:type="dxa"/>
            <w:vAlign w:val="bottom"/>
            <w:vMerge w:val="restart"/>
          </w:tcPr>
          <w:p>
            <w:pPr>
              <w:ind w:left="520"/>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3500" w:type="dxa"/>
            <w:vAlign w:val="bottom"/>
            <w:vMerge w:val="continue"/>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3400" w:type="dxa"/>
            <w:vAlign w:val="bottom"/>
            <w:vMerge w:val="restart"/>
          </w:tcPr>
          <w:p>
            <w:pPr>
              <w:jc w:val="center"/>
              <w:spacing w:after="0"/>
              <w:rPr>
                <w:sz w:val="20"/>
                <w:szCs w:val="20"/>
                <w:color w:val="auto"/>
              </w:rPr>
            </w:pPr>
            <w:r>
              <w:rPr>
                <w:rFonts w:ascii="Arial" w:cs="Arial" w:eastAsia="Arial" w:hAnsi="Arial"/>
                <w:sz w:val="18"/>
                <w:szCs w:val="18"/>
                <w:color w:val="auto"/>
                <w:w w:val="89"/>
              </w:rPr>
              <w:t>Harry N. Pefanis</w:t>
            </w:r>
          </w:p>
        </w:tc>
        <w:tc>
          <w:tcPr>
            <w:tcW w:w="3500" w:type="dxa"/>
            <w:vAlign w:val="bottom"/>
            <w:vMerge w:val="continue"/>
          </w:tcPr>
          <w:p>
            <w:pPr>
              <w:spacing w:after="0"/>
              <w:rPr>
                <w:sz w:val="7"/>
                <w:szCs w:val="7"/>
                <w:color w:val="auto"/>
              </w:rPr>
            </w:pPr>
          </w:p>
        </w:tc>
        <w:tc>
          <w:tcPr>
            <w:tcW w:w="3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3400" w:type="dxa"/>
            <w:vAlign w:val="bottom"/>
            <w:vMerge w:val="continue"/>
          </w:tcPr>
          <w:p>
            <w:pPr>
              <w:spacing w:after="0"/>
              <w:rPr>
                <w:sz w:val="17"/>
                <w:szCs w:val="17"/>
                <w:color w:val="auto"/>
              </w:rPr>
            </w:pPr>
          </w:p>
        </w:tc>
        <w:tc>
          <w:tcPr>
            <w:tcW w:w="35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500" w:type="dxa"/>
            <w:vAlign w:val="bottom"/>
          </w:tcPr>
          <w:p>
            <w:pPr>
              <w:ind w:left="980"/>
              <w:spacing w:after="0"/>
              <w:rPr>
                <w:sz w:val="20"/>
                <w:szCs w:val="20"/>
                <w:color w:val="auto"/>
              </w:rPr>
            </w:pPr>
            <w:r>
              <w:rPr>
                <w:rFonts w:ascii="Arial" w:cs="Arial" w:eastAsia="Arial" w:hAnsi="Arial"/>
                <w:sz w:val="18"/>
                <w:szCs w:val="18"/>
                <w:color w:val="auto"/>
              </w:rPr>
              <w:t>II-10</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counsel for Plains All American Pipeline, L.P., a Delaware limited partnership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with respect to the preparation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the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on the date hereof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connection with the registration by the Partnership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of the offer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 by the Partnership from time to time, pursuant to Rule 415 under the Securities Act, of:</w:t>
      </w:r>
    </w:p>
    <w:p>
      <w:pPr>
        <w:spacing w:after="0" w:line="211" w:lineRule="exact"/>
        <w:rPr>
          <w:sz w:val="20"/>
          <w:szCs w:val="20"/>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common units representing limited partner interests in the Partnership (the “</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preferred units representing limited partner interests in the Partnership (the “</w:t>
      </w:r>
      <w:r>
        <w:rPr>
          <w:rFonts w:ascii="Arial" w:cs="Arial" w:eastAsia="Arial" w:hAnsi="Arial"/>
          <w:sz w:val="18"/>
          <w:szCs w:val="18"/>
          <w:b w:val="1"/>
          <w:bCs w:val="1"/>
          <w:i w:val="1"/>
          <w:iCs w:val="1"/>
          <w:color w:val="auto"/>
        </w:rPr>
        <w:t>Preferred Units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right="180" w:firstLine="645"/>
        <w:spacing w:after="0" w:line="277" w:lineRule="auto"/>
        <w:tabs>
          <w:tab w:leader="none" w:pos="19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debt securities, which may be co-issued by PAA Finance Corp., a Delaware corporation (“</w:t>
      </w:r>
      <w:r>
        <w:rPr>
          <w:rFonts w:ascii="Arial" w:cs="Arial" w:eastAsia="Arial" w:hAnsi="Arial"/>
          <w:sz w:val="18"/>
          <w:szCs w:val="18"/>
          <w:b w:val="1"/>
          <w:bCs w:val="1"/>
          <w:i w:val="1"/>
          <w:iCs w:val="1"/>
          <w:color w:val="auto"/>
        </w:rPr>
        <w:t>PAA Finance</w:t>
      </w:r>
      <w:r>
        <w:rPr>
          <w:rFonts w:ascii="Arial" w:cs="Arial" w:eastAsia="Arial" w:hAnsi="Arial"/>
          <w:sz w:val="18"/>
          <w:szCs w:val="18"/>
          <w:color w:val="auto"/>
        </w:rPr>
        <w:t>”), in one or more series, consisting of notes, debentures or other evidences of indebtedness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7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Common Units, the Preferred Units and Debt Securities are collectively referred to herein as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The aggregate initial offering price of the Securities that may be offered and sold by the Partnership will not exceed $1,100,000,000 or, if applicable, the equivalent thereof in any other security or currency unit.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also participated in the preparation of the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contained in the Registration Statement to which this opinion is 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11"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In rendering the opinions set forth below, we have examined and relied upon (i) the Delaware Revised Uniform Limited Partnership Act (the “</w:t>
      </w:r>
      <w:r>
        <w:rPr>
          <w:rFonts w:ascii="Arial" w:cs="Arial" w:eastAsia="Arial" w:hAnsi="Arial"/>
          <w:sz w:val="18"/>
          <w:szCs w:val="18"/>
          <w:b w:val="1"/>
          <w:bCs w:val="1"/>
          <w:i w:val="1"/>
          <w:iCs w:val="1"/>
          <w:color w:val="auto"/>
        </w:rPr>
        <w:t>Delaware LP Act</w:t>
      </w:r>
      <w:r>
        <w:rPr>
          <w:rFonts w:ascii="Arial" w:cs="Arial" w:eastAsia="Arial" w:hAnsi="Arial"/>
          <w:sz w:val="18"/>
          <w:szCs w:val="18"/>
          <w:color w:val="auto"/>
        </w:rPr>
        <w:t>”), (ii)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(iii) the Registration Statement, including the Prospectus, (iv) the Senior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Senior Indenture</w:t>
      </w:r>
      <w:r>
        <w:rPr>
          <w:rFonts w:ascii="Arial" w:cs="Arial" w:eastAsia="Arial" w:hAnsi="Arial"/>
          <w:sz w:val="16"/>
          <w:szCs w:val="16"/>
          <w:color w:val="auto"/>
        </w:rPr>
        <w:t>”), incorporated by reference as Exhibit 4.1 to the Registration Statement, (v) the form of Subordinated Indenture (the “</w:t>
      </w:r>
      <w:r>
        <w:rPr>
          <w:rFonts w:ascii="Arial" w:cs="Arial" w:eastAsia="Arial" w:hAnsi="Arial"/>
          <w:sz w:val="16"/>
          <w:szCs w:val="16"/>
          <w:b w:val="1"/>
          <w:bCs w:val="1"/>
          <w:i w:val="1"/>
          <w:iCs w:val="1"/>
          <w:color w:val="auto"/>
        </w:rPr>
        <w:t>Subordinated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together with the Senior Indenture, the “</w:t>
      </w:r>
      <w:r>
        <w:rPr>
          <w:rFonts w:ascii="Arial" w:cs="Arial" w:eastAsia="Arial" w:hAnsi="Arial"/>
          <w:sz w:val="16"/>
          <w:szCs w:val="16"/>
          <w:b w:val="1"/>
          <w:bCs w:val="1"/>
          <w:i w:val="1"/>
          <w:iCs w:val="1"/>
          <w:color w:val="auto"/>
        </w:rPr>
        <w:t>Indentures</w:t>
      </w:r>
      <w:r>
        <w:rPr>
          <w:rFonts w:ascii="Arial" w:cs="Arial" w:eastAsia="Arial" w:hAnsi="Arial"/>
          <w:sz w:val="16"/>
          <w:szCs w:val="16"/>
          <w:color w:val="auto"/>
        </w:rPr>
        <w:t>”), incorporated by reference as Exhibit 4.2 to the Registration Statement, (vi) the Seventh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and Restated Agreement of Limited Partnership of the Partnership, as amended (the “</w:t>
      </w:r>
      <w:r>
        <w:rPr>
          <w:rFonts w:ascii="Arial" w:cs="Arial" w:eastAsia="Arial" w:hAnsi="Arial"/>
          <w:sz w:val="16"/>
          <w:szCs w:val="16"/>
          <w:b w:val="1"/>
          <w:bCs w:val="1"/>
          <w:i w:val="1"/>
          <w:iCs w:val="1"/>
          <w:color w:val="auto"/>
        </w:rPr>
        <w:t>Partnership Agreement</w:t>
      </w:r>
      <w:r>
        <w:rPr>
          <w:rFonts w:ascii="Arial" w:cs="Arial" w:eastAsia="Arial" w:hAnsi="Arial"/>
          <w:sz w:val="16"/>
          <w:szCs w:val="16"/>
          <w:color w:val="auto"/>
        </w:rPr>
        <w:t>”), (vii) the Certificate of Limited Partnership filed with the Secretary of State of Delaware pursuant to the Delaware LP Act in connection with the formation of the Partnership, (viii) the bylaws and certificate of incorporation of PAA Finance, and (ix) such other certificates, statutes and other instruments and documents as we consider appropriate for purposes of the opinions hereafter expressed. In addition, we have reviewed such questions of law as we consider appropriate.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this opinion, we have assumed that:</w:t>
      </w:r>
    </w:p>
    <w:p>
      <w:pPr>
        <w:spacing w:after="0" w:line="225" w:lineRule="exact"/>
        <w:rPr>
          <w:sz w:val="20"/>
          <w:szCs w:val="20"/>
          <w:color w:val="auto"/>
        </w:rPr>
      </w:pPr>
    </w:p>
    <w:p>
      <w:pPr>
        <w:ind w:left="1960" w:hanging="655"/>
        <w:spacing w:after="0"/>
        <w:tabs>
          <w:tab w:leader="none" w:pos="1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Registration Statement, and any amendments thereto (including post-effective amendments), will have become effective;</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Prospectus Supplement will have been prepared and filed with the Commission describing the Securities offered thereby;</w:t>
      </w:r>
    </w:p>
    <w:p>
      <w:pPr>
        <w:spacing w:after="0" w:line="236" w:lineRule="exact"/>
        <w:rPr>
          <w:rFonts w:ascii="Arial" w:cs="Arial" w:eastAsia="Arial" w:hAnsi="Arial"/>
          <w:sz w:val="17"/>
          <w:szCs w:val="17"/>
          <w:color w:val="auto"/>
        </w:rPr>
      </w:pPr>
    </w:p>
    <w:p>
      <w:pPr>
        <w:ind w:left="660" w:right="60" w:firstLine="645"/>
        <w:spacing w:after="0" w:line="277" w:lineRule="auto"/>
        <w:tabs>
          <w:tab w:leader="none" w:pos="1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Securities will be issued and sold in compliance with applicable federal and state securities laws and in the manner stated in the Registration Statement and the appropriate Prospectus Supplement;</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offered will have been duly authorized and validly executed and delivered by the Partnership and the other parties thereto; and</w:t>
      </w:r>
    </w:p>
    <w:p>
      <w:pPr>
        <w:spacing w:after="0" w:line="170"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Securities issuable upon conversion, exchange or exercise of any Security being offered will be duly authorized, created, and, if appropriate, reserved for issuance upon such conversion, exercise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left="660" w:right="140" w:firstLine="645"/>
        <w:spacing w:after="0" w:line="255" w:lineRule="auto"/>
        <w:tabs>
          <w:tab w:leader="none" w:pos="1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fully paid (to the extent required under the Partnership Agreement) and non-assessable (as such nonassessability may be limited by Sections 17-303, 17-607 and 17-804 of the Delaware LP Act or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right="140" w:firstLine="645"/>
        <w:spacing w:after="0" w:line="342" w:lineRule="auto"/>
        <w:tabs>
          <w:tab w:leader="none" w:pos="1964" w:val="left"/>
        </w:tabs>
        <w:numPr>
          <w:ilvl w:val="0"/>
          <w:numId w:val="54"/>
        </w:numPr>
        <w:rPr>
          <w:rFonts w:ascii="Arial" w:cs="Arial" w:eastAsia="Arial" w:hAnsi="Arial"/>
          <w:sz w:val="16"/>
          <w:szCs w:val="16"/>
          <w:color w:val="auto"/>
        </w:rPr>
      </w:pPr>
      <w:r>
        <w:rPr>
          <w:rFonts w:ascii="Arial" w:cs="Arial" w:eastAsia="Arial" w:hAnsi="Arial"/>
          <w:sz w:val="16"/>
          <w:szCs w:val="16"/>
          <w:color w:val="auto"/>
        </w:rPr>
        <w:t>With respect to the Preferred Units, when (i) the Partnership has taken all necessary action to approve the issuance of such Preferred Units, the terms of the offering thereof and related matters; and (ii) the Preferred Units have been issued and delivered in accordance with</w:t>
      </w:r>
    </w:p>
    <w:p>
      <w:pPr>
        <w:sectPr>
          <w:pgSz w:w="11900" w:h="16838" w:orient="portrait"/>
          <w:cols w:equalWidth="0" w:num="1">
            <w:col w:w="11420"/>
          </w:cols>
          <w:pgMar w:left="240" w:top="364" w:right="239" w:bottom="0" w:gutter="0" w:footer="0" w:header="0"/>
          <w:type w:val="continuous"/>
        </w:sectPr>
      </w:pPr>
    </w:p>
    <w:bookmarkStart w:id="65" w:name="page66"/>
    <w:bookmarkEnd w:id="65"/>
    <w:p>
      <w:pPr>
        <w:ind w:left="660" w:right="200"/>
        <w:spacing w:after="0" w:line="259" w:lineRule="auto"/>
        <w:rPr>
          <w:sz w:val="20"/>
          <w:szCs w:val="20"/>
          <w:color w:val="auto"/>
        </w:rPr>
      </w:pPr>
      <w:r>
        <w:rPr>
          <w:rFonts w:ascii="Arial" w:cs="Arial" w:eastAsia="Arial" w:hAnsi="Arial"/>
          <w:sz w:val="18"/>
          <w:szCs w:val="18"/>
          <w:color w:val="auto"/>
        </w:rPr>
        <w:t>the terms of the applicable definitive purchase, underwriting or similar agreement approved by the Partnership upon payment of the consideration thereof or provided for therein, then the Preferred Units will be validly issued, fully paid (to the extent required under the Partnership Agreement) and non-assessable (as such nonassessability may be limited by Sections 17-303, 17-607 and 17-804 of the Delaware LP Act or the Partnership Agreement).</w:t>
      </w:r>
    </w:p>
    <w:p>
      <w:pPr>
        <w:spacing w:after="0" w:line="187" w:lineRule="exact"/>
        <w:rPr>
          <w:sz w:val="20"/>
          <w:szCs w:val="20"/>
          <w:color w:val="auto"/>
        </w:rPr>
      </w:pPr>
    </w:p>
    <w:p>
      <w:pPr>
        <w:ind w:left="660" w:firstLine="645"/>
        <w:spacing w:after="0" w:line="269" w:lineRule="auto"/>
        <w:tabs>
          <w:tab w:leader="none" w:pos="196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 respect to the Debt Securities, when (i) the applicable Indenture has been duly qualified under the Trust Indenture Act of 1939, as amended; (ii) the Partnership and PAA Finance, as applicable, have taken all necessary action to duly authorize and approve the issuance and terms of such Debt Securities, the terms of the offering thereof and related matters; and (iii) such Debt Securities have been duly authorized, executed, authenticated, issued and delivered in accordance with the provisions of the applicable Indenture and the applicable definitive purchase, underwriting or similar agreement approved by the Partnership and PAA Finance, as applicable, upon payment of the consideration thereof or provided for therein, such Debt Securities will be legally issued and will constitute valid and legally binding obligations of the Partnership and PAA Finance, as applicable, enforceable against the Partnership and PAA Finance, as applicable, in accordance with their terms, except as such enforcement may be limited by (x) 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 (y) public policy, applicable law relating to fiduciary duties and indemnification and an implied covenant of good faith and fair dealing.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jc w:val="both"/>
        <w:ind w:left="660" w:right="60" w:firstLine="645"/>
        <w:spacing w:after="0" w:line="264" w:lineRule="auto"/>
        <w:tabs>
          <w:tab w:leader="none" w:pos="1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w:t>
      </w:r>
    </w:p>
    <w:p>
      <w:pPr>
        <w:spacing w:after="0" w:line="181" w:lineRule="exact"/>
        <w:rPr>
          <w:rFonts w:ascii="Arial" w:cs="Arial" w:eastAsia="Arial" w:hAnsi="Arial"/>
          <w:sz w:val="18"/>
          <w:szCs w:val="18"/>
          <w:color w:val="auto"/>
        </w:rPr>
      </w:pPr>
    </w:p>
    <w:p>
      <w:pPr>
        <w:ind w:left="660" w:right="360" w:firstLine="645"/>
        <w:spacing w:after="0" w:line="342" w:lineRule="auto"/>
        <w:tabs>
          <w:tab w:leader="none" w:pos="1964"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have assumed, without independent verification, that the certificates for the Common Units will conform to the specimens thereof examined by us and will have been duly countersigned by a transfer agent and duly registered by a registrar of the Common Units.</w:t>
      </w:r>
    </w:p>
    <w:p>
      <w:pPr>
        <w:spacing w:after="0" w:line="123" w:lineRule="exact"/>
        <w:rPr>
          <w:rFonts w:ascii="Arial" w:cs="Arial" w:eastAsia="Arial" w:hAnsi="Arial"/>
          <w:sz w:val="16"/>
          <w:szCs w:val="16"/>
          <w:color w:val="auto"/>
        </w:rPr>
      </w:pPr>
    </w:p>
    <w:p>
      <w:pPr>
        <w:ind w:left="660" w:right="80" w:firstLine="645"/>
        <w:spacing w:after="0" w:line="342" w:lineRule="auto"/>
        <w:tabs>
          <w:tab w:leader="none" w:pos="1964"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right="660"/>
        <w:spacing w:after="0" w:line="308" w:lineRule="auto"/>
        <w:rPr>
          <w:sz w:val="20"/>
          <w:szCs w:val="20"/>
          <w:color w:val="auto"/>
        </w:rPr>
      </w:pPr>
      <w:r>
        <w:rPr>
          <w:rFonts w:ascii="Arial" w:cs="Arial" w:eastAsia="Arial" w:hAnsi="Arial"/>
          <w:sz w:val="17"/>
          <w:szCs w:val="17"/>
          <w:color w:val="auto"/>
        </w:rPr>
        <w:t>such document, (iii) all signatures on each such document examined by us are genuine, and (iv) each certificate from governmental officials reviewed by us is accurate, complete and authentic, and all official public records are accurate and complete.</w:t>
      </w:r>
    </w:p>
    <w:p>
      <w:pPr>
        <w:spacing w:after="0" w:line="147" w:lineRule="exact"/>
        <w:rPr>
          <w:sz w:val="20"/>
          <w:szCs w:val="20"/>
          <w:color w:val="auto"/>
        </w:rPr>
      </w:pPr>
    </w:p>
    <w:p>
      <w:pPr>
        <w:ind w:left="660" w:firstLine="645"/>
        <w:spacing w:after="0" w:line="259" w:lineRule="auto"/>
        <w:tabs>
          <w:tab w:leader="none" w:pos="1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opinion is limited in all respects to U.S. federal laws, the laws of the State of New York, the Delaware LP Act and the DGCL.</w:t>
      </w:r>
    </w:p>
    <w:p>
      <w:pPr>
        <w:spacing w:after="0" w:line="24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We have acted as counsel for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xml:space="preserve">), a Delaware limited partnership, with respect to certain legal matters in connection with the preparation of a Prospectus dated on or about the date hereof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xml:space="preserve">)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xml:space="preserve">), to which this opinion is an exhibit.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common units representing limited partner interests in the Partnership, preferred units representing limited partner interests in the Partnership, and debt securities, which may be co-issued by PAA Finance Corp., consisting of senior debt securities or subordinated debt securities.</w:t>
      </w:r>
    </w:p>
    <w:p>
      <w:pPr>
        <w:spacing w:after="0" w:line="19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hereby confirm that all statements of legal conclusions contained in the discussion in the Registration Statement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No opinion is expressed as to any matter not discussed in the Registration Statement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5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hereby consent to the filing of this opinion of counsel as an exhibit to the Registration Statement and the use of our name in the Registration Statement. In giving such consent, we do not admit that we are within the category of persons whose consent is required under Section 7 of the Securities Act.</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left="260" w:right="1540"/>
        <w:spacing w:after="0" w:line="266" w:lineRule="auto"/>
        <w:rPr>
          <w:sz w:val="20"/>
          <w:szCs w:val="20"/>
          <w:color w:val="auto"/>
        </w:rPr>
      </w:pPr>
      <w:r>
        <w:rPr>
          <w:rFonts w:ascii="Arial" w:cs="Arial" w:eastAsia="Arial" w:hAnsi="Arial"/>
          <w:sz w:val="18"/>
          <w:szCs w:val="18"/>
          <w:b w:val="1"/>
          <w:bCs w:val="1"/>
          <w:color w:val="auto"/>
        </w:rPr>
        <w:t>STATEMENT OF COMPUTATION OF RATIO OF EARNINGS TO FIXED CHARGES AND RATIO OF EARNINGS TO COMBINED FIXED CHARGES AND PREFERRED UNIT DISTRIBUTIONS (in millions, except ratio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7"/>
            <w:vMerge w:val="restart"/>
          </w:tcPr>
          <w:p>
            <w:pPr>
              <w:jc w:val="right"/>
              <w:ind w:right="45"/>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ind w:left="180"/>
              <w:spacing w:after="0" w:line="201" w:lineRule="exact"/>
              <w:rPr>
                <w:sz w:val="20"/>
                <w:szCs w:val="20"/>
                <w:color w:val="auto"/>
              </w:rPr>
            </w:pPr>
            <w:r>
              <w:rPr>
                <w:rFonts w:ascii="Arial" w:cs="Arial" w:eastAsia="Arial" w:hAnsi="Arial"/>
                <w:sz w:val="18"/>
                <w:szCs w:val="18"/>
                <w:color w:val="auto"/>
              </w:rPr>
              <w:t>Pre-tax income from continuing operations before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noncontrolling interests and income from equity</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investees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612</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823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1,449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 (1)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Interest expensed and capitalized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545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360"/>
              <w:spacing w:after="0"/>
              <w:rPr>
                <w:sz w:val="20"/>
                <w:szCs w:val="20"/>
                <w:color w:val="auto"/>
              </w:rPr>
            </w:pPr>
            <w:r>
              <w:rPr>
                <w:rFonts w:ascii="Arial" w:cs="Arial" w:eastAsia="Arial" w:hAnsi="Arial"/>
                <w:sz w:val="18"/>
                <w:szCs w:val="18"/>
                <w:color w:val="auto"/>
              </w:rPr>
              <w:t>Total Fixed Charges</w:t>
            </w:r>
          </w:p>
        </w:tc>
        <w:tc>
          <w:tcPr>
            <w:tcW w:w="3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30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A preferred unit distributions (2)(3)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Series B preferred unit distributions (2)(4)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rPr>
              <w:t>Total Combined Fixed Charges and Preferred Unit</w:t>
            </w: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20" w:type="dxa"/>
            <w:vAlign w:val="bottom"/>
            <w:vMerge w:val="continue"/>
            <w:shd w:val="clear" w:color="auto" w:fill="CCEEFF"/>
          </w:tcPr>
          <w:p>
            <w:pPr>
              <w:spacing w:after="0"/>
              <w:rPr>
                <w:sz w:val="15"/>
                <w:szCs w:val="15"/>
                <w:color w:val="auto"/>
              </w:rPr>
            </w:pPr>
          </w:p>
        </w:tc>
        <w:tc>
          <w:tcPr>
            <w:tcW w:w="36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vMerge w:val="restart"/>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30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710</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548</w:t>
            </w:r>
          </w:p>
        </w:tc>
        <w:tc>
          <w:tcPr>
            <w:tcW w:w="30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w:t>
            </w:r>
          </w:p>
        </w:tc>
        <w:tc>
          <w:tcPr>
            <w:tcW w:w="3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 (5)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2.76x</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2.45x</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2.25x</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2.80x</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4.30x</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RATIO OF EARNINGS TO COMBINED FIXED</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CHARGES AND PREFERRED UNIT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DISTRIBUTIONS (2)(5)</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2.00x</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1.96x</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1.86x</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57" w:lineRule="auto"/>
        <w:tabs>
          <w:tab w:leader="none" w:pos="3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 and the ratio of earnings to combined fixed charges and preferred unit distributions,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88" w:lineRule="exact"/>
        <w:rPr>
          <w:rFonts w:ascii="Arial" w:cs="Arial" w:eastAsia="Arial" w:hAnsi="Arial"/>
          <w:sz w:val="18"/>
          <w:szCs w:val="18"/>
          <w:color w:val="auto"/>
        </w:rPr>
      </w:pPr>
    </w:p>
    <w:p>
      <w:pPr>
        <w:ind w:left="340" w:right="180" w:hanging="332"/>
        <w:spacing w:after="0" w:line="277" w:lineRule="auto"/>
        <w:tabs>
          <w:tab w:leader="none" w:pos="3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spacing w:after="0" w:line="170" w:lineRule="exact"/>
        <w:rPr>
          <w:rFonts w:ascii="Arial" w:cs="Arial" w:eastAsia="Arial" w:hAnsi="Arial"/>
          <w:sz w:val="18"/>
          <w:szCs w:val="18"/>
          <w:color w:val="auto"/>
        </w:rPr>
      </w:pPr>
    </w:p>
    <w:p>
      <w:pPr>
        <w:ind w:left="340" w:right="40" w:hanging="332"/>
        <w:spacing w:after="0" w:line="279" w:lineRule="auto"/>
        <w:tabs>
          <w:tab w:leader="none" w:pos="347" w:val="left"/>
        </w:tabs>
        <w:numPr>
          <w:ilvl w:val="0"/>
          <w:numId w:val="58"/>
        </w:numPr>
        <w:rPr>
          <w:rFonts w:ascii="Arial" w:cs="Arial" w:eastAsia="Arial" w:hAnsi="Arial"/>
          <w:sz w:val="17"/>
          <w:szCs w:val="17"/>
          <w:color w:val="auto"/>
        </w:rPr>
      </w:pPr>
      <w:r>
        <w:rPr>
          <w:rFonts w:ascii="Arial" w:cs="Arial" w:eastAsia="Arial" w:hAnsi="Arial"/>
          <w:sz w:val="17"/>
          <w:szCs w:val="17"/>
          <w:color w:val="auto"/>
        </w:rPr>
        <w:t>Distributions on our Series A convertible preferred units (the “Series A preferred units”) were paid in additional Series A preferred units for the years ended December 31, 2017 and 2016.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spacing w:after="0" w:line="171" w:lineRule="exact"/>
        <w:rPr>
          <w:rFonts w:ascii="Arial" w:cs="Arial" w:eastAsia="Arial" w:hAnsi="Arial"/>
          <w:sz w:val="17"/>
          <w:szCs w:val="17"/>
          <w:color w:val="auto"/>
        </w:rPr>
      </w:pPr>
    </w:p>
    <w:p>
      <w:pPr>
        <w:ind w:left="340" w:right="40" w:hanging="332"/>
        <w:spacing w:after="0" w:line="277" w:lineRule="auto"/>
        <w:tabs>
          <w:tab w:leader="none" w:pos="347"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Distributions on our Series B perpetual preferred units accrue and are cumulative at a rate of 6.125% per year from October 10, 2017, the date of original issue, and are payable in cash semiannually.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Plains All American Pipeline, L.P. of our report dated February 26, 2018 relating to the financial statements, and the effectiveness of internal control over financial reporting, which appears in Plains All American Pipeline, L.P.’s Annual Report on Form 10-K for the year ended December 31, 2017.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Check if an Application to Determine Eligibility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Trustee Pursuant to Section 305(b)(2)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 BANK NATIONAL ASSOCIATION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1420"/>
          </w:cols>
          <w:pgMar w:left="240" w:top="378" w:right="239" w:bottom="0" w:gutter="0" w:footer="0" w:header="0"/>
        </w:sectPr>
      </w:pPr>
    </w:p>
    <w:p>
      <w:pPr>
        <w:spacing w:after="0" w:line="20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800 Nicollet Mall</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Minneapolis, Minnesota</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55402</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00" w:space="720"/>
            <w:col w:w="3200"/>
          </w:cols>
          <w:pgMar w:left="240" w:top="378" w:right="239" w:bottom="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Alejandro Hoyos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Greenway Plaza, Suite 1100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TX 77046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212-7576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76-0582150</w:t>
            </w: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56-2464313</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333 Clay Street, Suite 1600</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8"/>
              </w:rPr>
              <w:t>Houston, Texas</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87"/>
              </w:rPr>
              <w:t>77002</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Debt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440" w:hanging="460"/>
        <w:spacing w:after="0"/>
        <w:tabs>
          <w:tab w:leader="none" w:pos="14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ectPr>
          <w:pgSz w:w="11900" w:h="16838" w:orient="portrait"/>
          <w:cols w:equalWidth="0" w:num="1">
            <w:col w:w="11420"/>
          </w:cols>
          <w:pgMar w:left="240" w:top="378" w:right="239" w:bottom="0" w:gutter="0" w:footer="0" w:header="0"/>
          <w:type w:val="continuous"/>
        </w:sectPr>
      </w:pPr>
    </w:p>
    <w:bookmarkStart w:id="70" w:name="page71"/>
    <w:bookmarkEnd w:id="70"/>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right="8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440" w:hanging="460"/>
        <w:spacing w:after="0"/>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440" w:right="420" w:hanging="460"/>
        <w:spacing w:after="0" w:line="277" w:lineRule="auto"/>
        <w:tabs>
          <w:tab w:leader="none" w:pos="14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2018 published pursuant to law or the requirements of its supervising or examining authority, attached as Exhibit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00" w:right="38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Form S-4, Registration Number 333-128217 filed on November 15, 2005.</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1826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14th of September, 2018.</w:t>
      </w:r>
    </w:p>
    <w:p>
      <w:pPr>
        <w:spacing w:after="0" w:line="166"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Alejandro Hoyos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91465"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91465" cy="3003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Office of the Comptroller of the Currency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right="300" w:firstLine="8"/>
        <w:spacing w:after="0" w:line="277"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70"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IN TESTIMONY WHEREOF, today, May 8, 2018, I have hereunto subscribed</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my name and caused my seal of office to be affixed to these presents at the</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Department of the Treasury, in the City of Washington, District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71880" cy="1054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107188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Otting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02" w:gutter="0" w:footer="0" w:header="0"/>
        </w:sectPr>
      </w:pPr>
    </w:p>
    <w:bookmarkStart w:id="71" w:name="page72"/>
    <w:bookmarkEnd w:id="7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91465"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91465" cy="3003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Office of the Comptroller of the Currency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right="280" w:firstLine="8"/>
        <w:spacing w:after="0" w:line="308"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right="60" w:firstLine="8"/>
        <w:spacing w:after="0" w:line="264"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IN TESTIMONY WHEREOF, today, May 8, 2018, I have hereunto subscribed</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my name and caused my seal of office to be affixed to these presents at the</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Department of the Treasury, in the City of Washington, District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71880" cy="1054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107188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Otting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2018</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Alejandro Hoyos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gridSpan w:val="3"/>
          </w:tcPr>
          <w:p>
            <w:pPr>
              <w:jc w:val="center"/>
              <w:ind w:right="4050"/>
              <w:spacing w:after="0"/>
              <w:rPr>
                <w:sz w:val="20"/>
                <w:szCs w:val="20"/>
                <w:color w:val="auto"/>
              </w:rPr>
            </w:pPr>
            <w:r>
              <w:rPr>
                <w:rFonts w:ascii="Arial" w:cs="Arial" w:eastAsia="Arial" w:hAnsi="Arial"/>
                <w:sz w:val="18"/>
                <w:szCs w:val="18"/>
                <w:b w:val="1"/>
                <w:bCs w:val="1"/>
                <w:color w:val="auto"/>
                <w:w w:val="93"/>
              </w:rPr>
              <w:t>Exhibit 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960" w:type="dxa"/>
            <w:vAlign w:val="bottom"/>
            <w:gridSpan w:val="4"/>
          </w:tcPr>
          <w:p>
            <w:pPr>
              <w:jc w:val="center"/>
              <w:ind w:right="2910"/>
              <w:spacing w:after="0"/>
              <w:rPr>
                <w:sz w:val="20"/>
                <w:szCs w:val="20"/>
                <w:color w:val="auto"/>
              </w:rPr>
            </w:pPr>
            <w:r>
              <w:rPr>
                <w:rFonts w:ascii="Arial" w:cs="Arial" w:eastAsia="Arial" w:hAnsi="Arial"/>
                <w:sz w:val="18"/>
                <w:szCs w:val="18"/>
                <w:b w:val="1"/>
                <w:bCs w:val="1"/>
                <w:color w:val="auto"/>
                <w:w w:val="89"/>
              </w:rPr>
              <w:t>U.S. Bank National Association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960" w:type="dxa"/>
            <w:vAlign w:val="bottom"/>
            <w:gridSpan w:val="4"/>
          </w:tcPr>
          <w:p>
            <w:pPr>
              <w:jc w:val="center"/>
              <w:ind w:right="2910"/>
              <w:spacing w:after="0"/>
              <w:rPr>
                <w:sz w:val="20"/>
                <w:szCs w:val="20"/>
                <w:color w:val="auto"/>
              </w:rPr>
            </w:pPr>
            <w:r>
              <w:rPr>
                <w:rFonts w:ascii="Arial" w:cs="Arial" w:eastAsia="Arial" w:hAnsi="Arial"/>
                <w:sz w:val="18"/>
                <w:szCs w:val="18"/>
                <w:b w:val="1"/>
                <w:bCs w:val="1"/>
                <w:color w:val="auto"/>
                <w:w w:val="91"/>
              </w:rPr>
              <w:t>Statement of Financial Condition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960" w:type="dxa"/>
            <w:vAlign w:val="bottom"/>
            <w:gridSpan w:val="4"/>
          </w:tcPr>
          <w:p>
            <w:pPr>
              <w:jc w:val="center"/>
              <w:ind w:right="2930"/>
              <w:spacing w:after="0"/>
              <w:rPr>
                <w:sz w:val="20"/>
                <w:szCs w:val="20"/>
                <w:color w:val="auto"/>
              </w:rPr>
            </w:pPr>
            <w:r>
              <w:rPr>
                <w:rFonts w:ascii="Arial" w:cs="Arial" w:eastAsia="Arial" w:hAnsi="Arial"/>
                <w:sz w:val="18"/>
                <w:szCs w:val="18"/>
                <w:b w:val="1"/>
                <w:bCs w:val="1"/>
                <w:color w:val="auto"/>
                <w:w w:val="90"/>
              </w:rPr>
              <w:t>As of 6/30/2018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40" w:type="dxa"/>
            <w:vAlign w:val="bottom"/>
            <w:gridSpan w:val="3"/>
          </w:tcPr>
          <w:p>
            <w:pPr>
              <w:jc w:val="center"/>
              <w:ind w:right="4030"/>
              <w:spacing w:after="0"/>
              <w:rPr>
                <w:sz w:val="20"/>
                <w:szCs w:val="20"/>
                <w:color w:val="auto"/>
              </w:rPr>
            </w:pPr>
            <w:r>
              <w:rPr>
                <w:rFonts w:ascii="Arial" w:cs="Arial" w:eastAsia="Arial" w:hAnsi="Arial"/>
                <w:sz w:val="18"/>
                <w:szCs w:val="18"/>
                <w:b w:val="1"/>
                <w:bCs w:val="1"/>
                <w:color w:val="auto"/>
                <w:w w:val="89"/>
              </w:rPr>
              <w:t>($000’s)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59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18,933,741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111,465,209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Federal Funds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&amp; Lease Financing Receivables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279,066,037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3,726,559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26,714,957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453,023,045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59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350,952,197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 Funds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Treasury Demand Notes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2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9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80" w:right="239" w:bottom="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Trading Liabilities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Other Borrowed Money</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34,319,863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Acceptances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Subordinated Notes and Debentures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13,252,394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405,226,423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and Preferred Stock</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Surplus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14,266,915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Undivided Profits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32,711,429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Minority Interest in Subsidiaries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800,078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47,796,622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453,023,045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 UNDER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Check if an Application to Determine Eligibility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Trustee Pursuant to Section 305(b)(2)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 BANK NATIONAL ASSOCIATION</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I.R.S. Employer Identification No.</w:t>
      </w:r>
    </w:p>
    <w:p>
      <w:pPr>
        <w:sectPr>
          <w:pgSz w:w="11900" w:h="16838" w:orient="portrait"/>
          <w:cols w:equalWidth="0" w:num="1">
            <w:col w:w="11420"/>
          </w:cols>
          <w:pgMar w:left="240" w:top="364" w:right="239" w:bottom="0" w:gutter="0" w:footer="0" w:header="0"/>
        </w:sectPr>
      </w:pPr>
    </w:p>
    <w:p>
      <w:pPr>
        <w:spacing w:after="0" w:line="20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800 Nicollet Mall</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Minneapolis, Minnesota</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55402</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0"/>
          <w:szCs w:val="20"/>
          <w:color w:val="auto"/>
        </w:rPr>
      </w:pPr>
    </w:p>
    <w:p>
      <w:pPr>
        <w:sectPr>
          <w:pgSz w:w="11900" w:h="16838" w:orient="portrait"/>
          <w:cols w:equalWidth="0" w:num="2">
            <w:col w:w="7500" w:space="720"/>
            <w:col w:w="3200"/>
          </w:cols>
          <w:pgMar w:left="240" w:top="364" w:right="239" w:bottom="0" w:gutter="0" w:footer="0" w:header="0"/>
          <w:type w:val="continuous"/>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Alejandro Hoyos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Greenway Plaza, Suite 1100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TX 77046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212-7576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76-0582150</w:t>
            </w: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56-2464313</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333 Clay Street, Suite 1600</w:t>
            </w:r>
          </w:p>
        </w:tc>
        <w:tc>
          <w:tcPr>
            <w:tcW w:w="3800" w:type="dxa"/>
            <w:vAlign w:val="bottom"/>
          </w:tcPr>
          <w:p>
            <w:pPr>
              <w:spacing w:after="0"/>
              <w:rPr>
                <w:sz w:val="24"/>
                <w:szCs w:val="24"/>
                <w:color w:val="auto"/>
              </w:rPr>
            </w:pPr>
          </w:p>
        </w:tc>
      </w:tr>
      <w:tr>
        <w:trPr>
          <w:trHeight w:val="22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88"/>
              </w:rPr>
              <w:t>Houston, Texas</w:t>
            </w:r>
          </w:p>
        </w:tc>
        <w:tc>
          <w:tcPr>
            <w:tcW w:w="3800" w:type="dxa"/>
            <w:vAlign w:val="bottom"/>
          </w:tcPr>
          <w:p>
            <w:pPr>
              <w:jc w:val="center"/>
              <w:ind w:left="1070"/>
              <w:spacing w:after="0"/>
              <w:rPr>
                <w:sz w:val="20"/>
                <w:szCs w:val="20"/>
                <w:color w:val="auto"/>
              </w:rPr>
            </w:pPr>
            <w:r>
              <w:rPr>
                <w:rFonts w:ascii="Arial" w:cs="Arial" w:eastAsia="Arial" w:hAnsi="Arial"/>
                <w:sz w:val="18"/>
                <w:szCs w:val="18"/>
                <w:b w:val="1"/>
                <w:bCs w:val="1"/>
                <w:color w:val="auto"/>
                <w:w w:val="87"/>
              </w:rPr>
              <w:t>77002</w:t>
            </w:r>
          </w:p>
        </w:tc>
      </w:tr>
      <w:tr>
        <w:trPr>
          <w:trHeight w:val="23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Subordinated Debt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440" w:hanging="460"/>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60" w:right="5820" w:hanging="980"/>
        <w:spacing w:after="0" w:line="498" w:lineRule="auto"/>
        <w:tabs>
          <w:tab w:leader="none" w:pos="1313"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ectPr>
          <w:pgSz w:w="11900" w:h="16838" w:orient="portrait"/>
          <w:cols w:equalWidth="0" w:num="1">
            <w:col w:w="11420"/>
          </w:cols>
          <w:pgMar w:left="240" w:top="364" w:right="239" w:bottom="0" w:gutter="0" w:footer="0" w:header="0"/>
          <w:type w:val="continuous"/>
        </w:sectPr>
      </w:pPr>
    </w:p>
    <w:bookmarkStart w:id="74" w:name="page75"/>
    <w:bookmarkEnd w:id="74"/>
    <w:p>
      <w:pPr>
        <w:ind w:left="1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right="8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440" w:hanging="460"/>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440" w:hanging="460"/>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225" w:lineRule="exact"/>
        <w:rPr>
          <w:rFonts w:ascii="Arial" w:cs="Arial" w:eastAsia="Arial" w:hAnsi="Arial"/>
          <w:sz w:val="18"/>
          <w:szCs w:val="18"/>
          <w:color w:val="auto"/>
        </w:rPr>
      </w:pPr>
    </w:p>
    <w:p>
      <w:pPr>
        <w:ind w:left="1440" w:right="420" w:hanging="460"/>
        <w:spacing w:after="0" w:line="277" w:lineRule="auto"/>
        <w:tabs>
          <w:tab w:leader="none" w:pos="1445"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Report of Condition of the Trustee as of June 30, 2018 published pursuant to law or the requirements of its supervising or examining authority, attached as Exhibit 7.</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00" w:right="380"/>
        <w:spacing w:after="0" w:line="277" w:lineRule="auto"/>
        <w:rPr>
          <w:rFonts w:ascii="Arial" w:cs="Arial" w:eastAsia="Arial" w:hAnsi="Arial"/>
          <w:sz w:val="18"/>
          <w:szCs w:val="18"/>
          <w:color w:val="auto"/>
        </w:rPr>
      </w:pPr>
      <w:r>
        <w:rPr>
          <w:rFonts w:ascii="Arial" w:cs="Arial" w:eastAsia="Arial" w:hAnsi="Arial"/>
          <w:sz w:val="18"/>
          <w:szCs w:val="18"/>
          <w:color w:val="auto"/>
        </w:rPr>
        <w:t>* Incorporated by reference to Exhibit 25.1 to Amendment No. 2 to registration statement on Form S-4, Registration Number 333-128217 filed on November 15, 2005.</w:t>
      </w:r>
    </w:p>
    <w:p>
      <w:pPr>
        <w:spacing w:after="0" w:line="170" w:lineRule="exact"/>
        <w:rPr>
          <w:rFonts w:ascii="Arial" w:cs="Arial" w:eastAsia="Arial" w:hAnsi="Arial"/>
          <w:sz w:val="18"/>
          <w:szCs w:val="18"/>
          <w:color w:val="auto"/>
        </w:rPr>
      </w:pPr>
    </w:p>
    <w:p>
      <w:pPr>
        <w:ind w:left="720" w:hanging="226"/>
        <w:spacing w:after="0"/>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1826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Houston, State of Texas on the 14th of September, 2018.</w:t>
      </w:r>
    </w:p>
    <w:p>
      <w:pPr>
        <w:spacing w:after="0" w:line="166"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Alejandro Hoyos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91465" cy="300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91465" cy="3003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Office of the Comptroller of the Currency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right="300" w:firstLine="8"/>
        <w:spacing w:after="0" w:line="277"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70"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IN TESTIMONY WHEREOF, today, May 8, 2018, I have hereunto subscribed</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my name and caused my seal of office to be affixed to these presents at the</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Department of the Treasury, in the City of Washington, District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71880" cy="1054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107188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Otting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18" w:gutter="0" w:footer="0" w:header="0"/>
        </w:sectPr>
      </w:pPr>
    </w:p>
    <w:bookmarkStart w:id="75" w:name="page76"/>
    <w:bookmarkEnd w:id="7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91465" cy="3003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291465" cy="3003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Office of the Comptroller of the Currency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right="280" w:firstLine="8"/>
        <w:spacing w:after="0" w:line="308" w:lineRule="auto"/>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right="60" w:firstLine="8"/>
        <w:spacing w:after="0" w:line="264" w:lineRule="auto"/>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IN TESTIMONY WHEREOF, today, May 8, 2018, I have hereunto subscribed</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my name and caused my seal of office to be affixed to these presents at the</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Department of the Treasury, in the City of Washington, District of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71880" cy="1054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07188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Otting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14, 2018</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Alejandro Hoyos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Alejandro Hoyos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40" w:type="dxa"/>
            <w:vAlign w:val="bottom"/>
            <w:gridSpan w:val="3"/>
          </w:tcPr>
          <w:p>
            <w:pPr>
              <w:jc w:val="center"/>
              <w:ind w:right="4050"/>
              <w:spacing w:after="0"/>
              <w:rPr>
                <w:sz w:val="20"/>
                <w:szCs w:val="20"/>
                <w:color w:val="auto"/>
              </w:rPr>
            </w:pPr>
            <w:r>
              <w:rPr>
                <w:rFonts w:ascii="Arial" w:cs="Arial" w:eastAsia="Arial" w:hAnsi="Arial"/>
                <w:sz w:val="18"/>
                <w:szCs w:val="18"/>
                <w:b w:val="1"/>
                <w:bCs w:val="1"/>
                <w:color w:val="auto"/>
                <w:w w:val="93"/>
              </w:rPr>
              <w:t>Exhibit 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960" w:type="dxa"/>
            <w:vAlign w:val="bottom"/>
            <w:gridSpan w:val="4"/>
          </w:tcPr>
          <w:p>
            <w:pPr>
              <w:jc w:val="center"/>
              <w:ind w:right="2910"/>
              <w:spacing w:after="0"/>
              <w:rPr>
                <w:sz w:val="20"/>
                <w:szCs w:val="20"/>
                <w:color w:val="auto"/>
              </w:rPr>
            </w:pPr>
            <w:r>
              <w:rPr>
                <w:rFonts w:ascii="Arial" w:cs="Arial" w:eastAsia="Arial" w:hAnsi="Arial"/>
                <w:sz w:val="18"/>
                <w:szCs w:val="18"/>
                <w:b w:val="1"/>
                <w:bCs w:val="1"/>
                <w:color w:val="auto"/>
                <w:w w:val="89"/>
              </w:rPr>
              <w:t>U.S. Bank National Association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960" w:type="dxa"/>
            <w:vAlign w:val="bottom"/>
            <w:gridSpan w:val="4"/>
          </w:tcPr>
          <w:p>
            <w:pPr>
              <w:jc w:val="center"/>
              <w:ind w:right="2910"/>
              <w:spacing w:after="0"/>
              <w:rPr>
                <w:sz w:val="20"/>
                <w:szCs w:val="20"/>
                <w:color w:val="auto"/>
              </w:rPr>
            </w:pPr>
            <w:r>
              <w:rPr>
                <w:rFonts w:ascii="Arial" w:cs="Arial" w:eastAsia="Arial" w:hAnsi="Arial"/>
                <w:sz w:val="18"/>
                <w:szCs w:val="18"/>
                <w:b w:val="1"/>
                <w:bCs w:val="1"/>
                <w:color w:val="auto"/>
                <w:w w:val="91"/>
              </w:rPr>
              <w:t>Statement of Financial Condition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960" w:type="dxa"/>
            <w:vAlign w:val="bottom"/>
            <w:gridSpan w:val="4"/>
          </w:tcPr>
          <w:p>
            <w:pPr>
              <w:jc w:val="center"/>
              <w:ind w:right="2930"/>
              <w:spacing w:after="0"/>
              <w:rPr>
                <w:sz w:val="20"/>
                <w:szCs w:val="20"/>
                <w:color w:val="auto"/>
              </w:rPr>
            </w:pPr>
            <w:r>
              <w:rPr>
                <w:rFonts w:ascii="Arial" w:cs="Arial" w:eastAsia="Arial" w:hAnsi="Arial"/>
                <w:sz w:val="18"/>
                <w:szCs w:val="18"/>
                <w:b w:val="1"/>
                <w:bCs w:val="1"/>
                <w:color w:val="auto"/>
                <w:w w:val="90"/>
              </w:rPr>
              <w:t>As of 6/30/2018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40" w:type="dxa"/>
            <w:vAlign w:val="bottom"/>
            <w:gridSpan w:val="3"/>
          </w:tcPr>
          <w:p>
            <w:pPr>
              <w:jc w:val="center"/>
              <w:ind w:right="4030"/>
              <w:spacing w:after="0"/>
              <w:rPr>
                <w:sz w:val="20"/>
                <w:szCs w:val="20"/>
                <w:color w:val="auto"/>
              </w:rPr>
            </w:pPr>
            <w:r>
              <w:rPr>
                <w:rFonts w:ascii="Arial" w:cs="Arial" w:eastAsia="Arial" w:hAnsi="Arial"/>
                <w:sz w:val="18"/>
                <w:szCs w:val="18"/>
                <w:b w:val="1"/>
                <w:bCs w:val="1"/>
                <w:color w:val="auto"/>
                <w:w w:val="89"/>
              </w:rPr>
              <w:t>($000’s)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9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6/30/2018</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w w:val="95"/>
              </w:rPr>
              <w:t>Cash and Balances Due From Depository Institutions</w:t>
            </w:r>
          </w:p>
        </w:tc>
        <w:tc>
          <w:tcPr>
            <w:tcW w:w="59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18,933,741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111,465,209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Federal Funds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&amp; Lease Financing Receivables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279,066,037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Fixed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3,726,559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26,714,957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453,023,045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59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350,952,197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 Funds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Treasury Demand Notes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Trading Liabilities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Other Borrowed Money</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34,319,863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2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39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80" w:right="2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Acceptances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Subordinated Notes and Debentures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13,252,394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405,226,423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and Preferred Stock</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Surplus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14,266,915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Undivided Profits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32,711,429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Minority Interest in Subsidiaries</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800,078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Equity Capital</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47,796,622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453,023,045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99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1)"/>
      <w:numFmt w:val="lowerLetter"/>
      <w:start w:val="1"/>
    </w:lvl>
    <w:lvl w:ilvl="1">
      <w:lvlJc w:val="left"/>
      <w:lvlText w:val="(%2)"/>
      <w:numFmt w:val="decimal"/>
      <w:start w:val="1"/>
    </w:lvl>
  </w:abstractNum>
  <w:abstractNum w:abstractNumId="18">
    <w:nsid w:val="2CD89A32"/>
    <w:multiLevelType w:val="hybridMultilevel"/>
    <w:lvl w:ilvl="0">
      <w:lvlJc w:val="left"/>
      <w:lvlText w:val="(%1)"/>
      <w:numFmt w:val="lowerLetter"/>
      <w:start w:val="2"/>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lowerRoman"/>
      <w:start w:val="2"/>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lowerLetter"/>
      <w:start w:val="1"/>
    </w:lvl>
  </w:abstractNum>
  <w:abstractNum w:abstractNumId="31">
    <w:nsid w:val="1BA026FA"/>
    <w:multiLevelType w:val="hybridMultilevel"/>
    <w:lvl w:ilvl="0">
      <w:lvlJc w:val="left"/>
      <w:lvlText w:val="(%1)"/>
      <w:numFmt w:val="lowerLetter"/>
      <w:start w:val="2"/>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1)"/>
      <w:numFmt w:val="lowerRoman"/>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lvl w:ilvl="1">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lowerLetter"/>
      <w:start w:val="3"/>
    </w:lvl>
  </w:abstractNum>
  <w:abstractNum w:abstractNumId="43">
    <w:nsid w:val="1CF10FD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4">
    <w:nsid w:val="180115BE"/>
    <w:multiLevelType w:val="hybridMultilevel"/>
    <w:lvl w:ilvl="0">
      <w:lvlJc w:val="left"/>
      <w:lvlText w:val="(%1)"/>
      <w:numFmt w:val="decimal"/>
      <w:start w:val="2"/>
    </w:lvl>
    <w:lvl w:ilvl="1">
      <w:lvlJc w:val="left"/>
      <w:lvlText w:val="(%2)"/>
      <w:numFmt w:val="lowerLetter"/>
      <w:start w:val="1"/>
    </w:lvl>
  </w:abstractNum>
  <w:abstractNum w:abstractNumId="45">
    <w:nsid w:val="235BA861"/>
    <w:multiLevelType w:val="hybridMultilevel"/>
    <w:lvl w:ilvl="0">
      <w:lvlJc w:val="left"/>
      <w:lvlText w:val="(%1)"/>
      <w:numFmt w:val="decimal"/>
      <w:start w:val="5"/>
    </w:lvl>
    <w:lvl w:ilvl="1">
      <w:lvlJc w:val="left"/>
      <w:lvlText w:val="(%2)"/>
      <w:numFmt w:val="lowerLetter"/>
      <w:start w:val="1"/>
    </w:lvl>
  </w:abstractNum>
  <w:abstractNum w:abstractNumId="46">
    <w:nsid w:val="47398C8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47">
    <w:nsid w:val="354FE9F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2"/>
    </w:lvl>
  </w:abstractNum>
  <w:abstractNum w:abstractNumId="54">
    <w:nsid w:val="7E0C57B1"/>
    <w:multiLevelType w:val="hybridMultilevel"/>
    <w:lvl w:ilvl="0">
      <w:lvlJc w:val="left"/>
      <w:lvlText w:val="(%1)"/>
      <w:numFmt w:val="decimal"/>
      <w:start w:val="3"/>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4"/>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1)"/>
      <w:numFmt w:val="lowerLetter"/>
      <w:start w:val="1"/>
    </w:lvl>
  </w:abstractNum>
  <w:abstractNum w:abstractNumId="59">
    <w:nsid w:val="2F305DEF"/>
    <w:multiLevelType w:val="hybridMultilevel"/>
    <w:lvl w:ilvl="0">
      <w:lvlJc w:val="left"/>
      <w:lvlText w:val="%1)"/>
      <w:numFmt w:val="lowerLetter"/>
      <w:start w:val="2"/>
    </w:lvl>
  </w:abstractNum>
  <w:abstractNum w:abstractNumId="60">
    <w:nsid w:val="25A70BF7"/>
    <w:multiLevelType w:val="hybridMultilevel"/>
    <w:lvl w:ilvl="0">
      <w:lvlJc w:val="left"/>
      <w:lvlText w:val="*"/>
      <w:numFmt w:val="bullet"/>
      <w:start w:val="1"/>
    </w:lvl>
    <w:lvl w:ilvl="1">
      <w:lvlJc w:val="left"/>
      <w:lvlText w:val="%2."/>
      <w:numFmt w:val="decimal"/>
      <w:start w:val="1"/>
    </w:lvl>
  </w:abstractNum>
  <w:abstractNum w:abstractNumId="61">
    <w:nsid w:val="1DBABF00"/>
    <w:multiLevelType w:val="hybridMultilevel"/>
    <w:lvl w:ilvl="0">
      <w:lvlJc w:val="left"/>
      <w:lvlText w:val="**"/>
      <w:numFmt w:val="bullet"/>
      <w:start w:val="1"/>
    </w:lvl>
    <w:lvl w:ilvl="1">
      <w:lvlJc w:val="left"/>
      <w:lvlText w:val="%2"/>
      <w:numFmt w:val="decimal"/>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lowerLetter"/>
      <w:start w:val="1"/>
    </w:lvl>
  </w:abstractNum>
  <w:abstractNum w:abstractNumId="65">
    <w:nsid w:val="5DB70AE5"/>
    <w:multiLevelType w:val="hybridMultilevel"/>
    <w:lvl w:ilvl="0">
      <w:lvlJc w:val="left"/>
      <w:lvlText w:val="%1)"/>
      <w:numFmt w:val="lowerLetter"/>
      <w:start w:val="2"/>
    </w:lvl>
  </w:abstractNum>
  <w:abstractNum w:abstractNumId="66">
    <w:nsid w:val="100F8FCA"/>
    <w:multiLevelType w:val="hybridMultilevel"/>
    <w:lvl w:ilvl="0">
      <w:lvlJc w:val="left"/>
      <w:lvlText w:val="*"/>
      <w:numFmt w:val="bullet"/>
      <w:start w:val="1"/>
    </w:lvl>
    <w:lvl w:ilvl="1">
      <w:lvlJc w:val="left"/>
      <w:lvlText w:val="%2."/>
      <w:numFmt w:val="decimal"/>
      <w:start w:val="1"/>
    </w:lvl>
  </w:abstractNum>
  <w:abstractNum w:abstractNumId="67">
    <w:nsid w:val="6590700B"/>
    <w:multiLevelType w:val="hybridMultilevel"/>
    <w:lvl w:ilvl="0">
      <w:lvlJc w:val="left"/>
      <w:lvlText w:val="**"/>
      <w:numFmt w:val="bullet"/>
      <w:start w:val="1"/>
    </w:lvl>
    <w:lvl w:ilvl="1">
      <w:lvlJc w:val="left"/>
      <w:lvlText w:val="%2"/>
      <w:numFmt w:val="decimal"/>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jpeg"/><Relationship Id="rId112" Type="http://schemas.openxmlformats.org/officeDocument/2006/relationships/image" Target="media/image103.jpe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jpeg"/><Relationship Id="rId116" Type="http://schemas.openxmlformats.org/officeDocument/2006/relationships/image" Target="media/image107.jpe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jpeg"/><Relationship Id="rId135" Type="http://schemas.openxmlformats.org/officeDocument/2006/relationships/image" Target="media/image126.jpe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jpeg"/><Relationship Id="rId139" Type="http://schemas.openxmlformats.org/officeDocument/2006/relationships/image" Target="media/image130.jpe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76" Type="http://schemas.openxmlformats.org/officeDocument/2006/relationships/hyperlink" Target="http://www.sec.gov/Archives/edgar/data/1070423/000089924302002834/dex41.txt" TargetMode="External"/><Relationship Id="rId77" Type="http://schemas.openxmlformats.org/officeDocument/2006/relationships/hyperlink" Target="http://www.sec.gov/Archives/edgar/data/1070423/000089924301501392/dex4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2020-01-12T22:35:41Z</dcterms:created>
  <dcterms:modified xsi:type="dcterms:W3CDTF">2020-01-12T22:35:41Z</dcterms:modified>
</cp:coreProperties>
</file>