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16" w:space="1" w:color="000000"/>
        </w:rPr>
      </w:pPr>
      <w:bookmarkStart w:id="0" w:name="scotch"/>
      <w:bookmarkStart w:id="1" w:name="a05-10626_18k.htm"/>
      <w:bookmarkStart w:id="2" w:name="ksa0510626_18k"/>
      <w:bookmarkEnd w:id="0"/>
      <w:bookmarkEnd w:id="1"/>
      <w:bookmarkEnd w:id="2"/>
      <w:r>
        <w:rPr>
          <w:bdr w:val="double" w:sz="16"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false"/>
        <w:pageBreakBefore w:val="false"/>
        <w:spacing w:before="0" w:after="340"/>
        <w:ind w:left="0" w:right="0" w:hanging="0"/>
        <w:jc w:val="center"/>
        <w:rPr>
          <w:rFonts w:ascii="Times New Roman" w:hAnsi="Times New Roman"/>
          <w:b/>
          <w:sz w:val="17"/>
        </w:rPr>
      </w:pPr>
      <w:r>
        <w:rPr>
          <w:rFonts w:ascii="Times New Roman" w:hAnsi="Times New Roman"/>
          <w:b/>
          <w:sz w:val="17"/>
        </w:rPr>
        <w:t>Washington, D.C. 20549</w:t>
      </w:r>
    </w:p>
    <w:p>
      <w:pPr>
        <w:pStyle w:val="TextBody"/>
        <w:keepNext w:val="false"/>
        <w:pageBreakBefore w:val="false"/>
        <w:spacing w:before="0" w:after="340"/>
        <w:ind w:left="0" w:right="0" w:hanging="0"/>
        <w:jc w:val="center"/>
        <w:rPr>
          <w:rFonts w:ascii="Times New Roman" w:hAnsi="Times New Roman"/>
          <w:b/>
          <w:sz w:val="30"/>
        </w:rPr>
      </w:pPr>
      <w:r>
        <w:rPr>
          <w:rFonts w:ascii="Times New Roman" w:hAnsi="Times New Roman"/>
          <w:b/>
          <w:sz w:val="30"/>
        </w:rPr>
        <w:t>FORM 8-K</w:t>
      </w:r>
    </w:p>
    <w:p>
      <w:pPr>
        <w:pStyle w:val="TextBody"/>
        <w:keepNext w:val="false"/>
        <w:pageBreakBefore w:val="false"/>
        <w:spacing w:before="0" w:after="34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keepNext w:val="false"/>
        <w:pageBreakBefore w:val="false"/>
        <w:spacing w:before="0" w:after="340"/>
        <w:ind w:left="0" w:right="0" w:hanging="0"/>
        <w:jc w:val="center"/>
        <w:rPr>
          <w:rFonts w:ascii="Times New Roman" w:hAnsi="Times New Roman"/>
          <w:sz w:val="17"/>
        </w:rPr>
      </w:pPr>
      <w:r>
        <w:rPr>
          <w:rFonts w:ascii="Times New Roman" w:hAnsi="Times New Roman"/>
          <w:sz w:val="17"/>
        </w:rPr>
        <w:t>Date of Report (Date of earliest event reported)</w:t>
      </w:r>
      <w:r>
        <w:rPr>
          <w:rFonts w:ascii="Times New Roman" w:hAnsi="Times New Roman"/>
          <w:b/>
          <w:sz w:val="17"/>
        </w:rPr>
        <w:t>June 13, 2005</w:t>
      </w:r>
    </w:p>
    <w:p>
      <w:pPr>
        <w:pStyle w:val="TextBody"/>
        <w:spacing w:before="0" w:after="0"/>
        <w:ind w:left="0" w:right="0" w:hanging="0"/>
        <w:rPr>
          <w:rFonts w:ascii="Times New Roman" w:hAnsi="Times New Roman"/>
          <w:b/>
          <w:sz w:val="30"/>
        </w:rPr>
      </w:pPr>
      <w:r>
        <w:rPr>
          <w:rFonts w:ascii="Times New Roman" w:hAnsi="Times New Roman"/>
          <w:b/>
          <w:sz w:val="30"/>
        </w:rPr>
        <w:t>Plains All American Pipeline, L.P.</w:t>
      </w:r>
    </w:p>
    <w:p>
      <w:pPr>
        <w:pStyle w:val="TextBody"/>
        <w:keepNext w:val="false"/>
        <w:pageBreakBefore w:val="false"/>
        <w:spacing w:before="0" w:after="34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jc w:val="center"/>
              <w:rPr>
                <w:b/>
                <w:sz w:val="17"/>
              </w:rPr>
            </w:pPr>
            <w:r>
              <w:rPr>
                <w:b/>
                <w:sz w:val="17"/>
              </w:rPr>
              <w:t>DELAWARE</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4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br/>
              <w:t>File Number)</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bl>
    <w:p>
      <w:pPr>
        <w:pStyle w:val="TextBody"/>
        <w:spacing w:lineRule="atLeast" w:line="141" w:before="0" w:after="320"/>
        <w:ind w:left="0" w:right="0" w:hanging="0"/>
        <w:rPr/>
      </w:pPr>
      <w:r>
        <w:rPr/>
        <w:t> </w:t>
      </w:r>
    </w:p>
    <w:p>
      <w:pPr>
        <w:pStyle w:val="TextBody"/>
        <w:keepNext w:val="false"/>
        <w:pageBreakBefore w:val="false"/>
        <w:spacing w:before="0" w:after="340"/>
        <w:ind w:left="0" w:right="0" w:hanging="0"/>
        <w:jc w:val="center"/>
        <w:rPr>
          <w:rFonts w:ascii="Times New Roman" w:hAnsi="Times New Roman"/>
          <w:sz w:val="17"/>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keepNext w:val="false"/>
        <w:pageBreakBefore w:val="false"/>
        <w:spacing w:before="0" w:after="34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keepNext w:val="false"/>
        <w:pageBreakBefore w:val="false"/>
        <w:spacing w:before="0" w:after="34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340"/>
        <w:ind w:left="0" w:right="0" w:firstLine="40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340"/>
        <w:ind w:left="400" w:right="0" w:hanging="40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340"/>
        <w:ind w:left="400" w:right="0" w:hanging="40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34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34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r>
        <w:rPr>
          <w:rFonts w:ascii="Times New Roman" w:hAnsi="Times New Roman"/>
          <w:b/>
          <w:sz w:val="17"/>
        </w:rPr>
        <w:t>Item 9.01.   Financial Statements and Exhibits</w:t>
      </w:r>
    </w:p>
    <w:p>
      <w:pPr>
        <w:pStyle w:val="TextBody"/>
        <w:spacing w:before="0" w:after="240"/>
        <w:ind w:left="0" w:right="0" w:firstLine="400"/>
        <w:rPr>
          <w:rFonts w:ascii="Times New Roman" w:hAnsi="Times New Roman"/>
          <w:sz w:val="17"/>
        </w:rPr>
      </w:pPr>
      <w:r>
        <w:rPr>
          <w:rFonts w:ascii="Times New Roman" w:hAnsi="Times New Roman"/>
          <w:sz w:val="17"/>
        </w:rPr>
        <w:t>(c)          Exhibit 99.1Press Release dated June 13, 2005</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Item 7.01.   Regulation FD Disclosure</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(the Partnership) today issued a press release updating its second quarter 2005 guidance and establishing initial quarterly guidance for the third and fourth quarters of 2005. We are furnishing the press release, attached as Exhibit 99.1, pursuant to Item 7.01 of Form 8-K. In accordance with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pStyle w:val="TextBody"/>
        <w:keepNext w:val="true"/>
        <w:spacing w:before="0" w:after="120"/>
        <w:ind w:left="200" w:right="0" w:hanging="200"/>
        <w:rPr>
          <w:rFonts w:ascii="Times New Roman" w:hAnsi="Times New Roman"/>
          <w:b/>
          <w:sz w:val="17"/>
        </w:rPr>
      </w:pPr>
      <w:r>
        <w:rPr>
          <w:rFonts w:ascii="Times New Roman" w:hAnsi="Times New Roman"/>
          <w:b/>
          <w:sz w:val="17"/>
        </w:rPr>
        <w:t>Update of Second Quarter and Full Year 2005 Guidance and Disclosure of Third and Fourth Quarter 2005 Estimates</w:t>
      </w:r>
    </w:p>
    <w:p>
      <w:pPr>
        <w:pStyle w:val="TextBody"/>
        <w:spacing w:before="0" w:after="120"/>
        <w:ind w:left="0" w:right="0" w:firstLine="40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periods presented. We also encourage you to visit our website at </w:t>
      </w:r>
      <w:r>
        <w:rPr>
          <w:rFonts w:ascii="Times New Roman" w:hAnsi="Times New Roman"/>
          <w:i/>
          <w:sz w:val="17"/>
        </w:rPr>
        <w:t>www.paalp.com</w:t>
      </w:r>
      <w:r>
        <w:rPr>
          <w:rFonts w:ascii="Times New Roman" w:hAnsi="Times New Roman"/>
          <w:sz w:val="17"/>
        </w:rPr>
        <w:t>,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on EBITDA, Net Income and Net Income per Limited Partner Unit of our long-term incentive program, revaluations of foreign currency and, to the extent known, gains and losses related to SFAS 133 (primarily non-cash, mark-to-market adjustments).</w:t>
      </w:r>
    </w:p>
    <w:p>
      <w:pPr>
        <w:pStyle w:val="TextBody"/>
        <w:spacing w:before="0" w:after="120"/>
        <w:ind w:left="0" w:right="0" w:firstLine="400"/>
        <w:rPr>
          <w:rFonts w:ascii="Times New Roman" w:hAnsi="Times New Roman"/>
          <w:sz w:val="17"/>
        </w:rPr>
      </w:pPr>
      <w:r>
        <w:rPr>
          <w:rFonts w:ascii="Times New Roman" w:hAnsi="Times New Roman"/>
          <w:sz w:val="17"/>
        </w:rPr>
        <w:t>The following guidance for the three months ending June 30, September 30, and December 31, 2005 and the twelve months ending December 31, 2005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and also include projections for several recent acquisitions,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June 10, 2005. We undertake no obligation to publicly update or revise any forward-looking statements.</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hanging="0"/>
        <w:jc w:val="center"/>
        <w:rPr>
          <w:rFonts w:ascii="Times New Roman" w:hAnsi="Times New Roman"/>
          <w:b/>
          <w:sz w:val="17"/>
        </w:rPr>
      </w:pPr>
      <w:r>
        <w:rPr>
          <w:rFonts w:ascii="Times New Roman" w:hAnsi="Times New Roman"/>
          <w:b/>
          <w:sz w:val="17"/>
        </w:rPr>
        <w:t>Plains All American Pipeline, L.P.</w:t>
        <w:br/>
        <w:t>Operating and Financial Guidance</w:t>
        <w:br/>
        <w:t>(in millions, except per unit data)</w:t>
      </w:r>
    </w:p>
    <w:tbl>
      <w:tblPr>
        <w:tblW w:w="9341" w:type="dxa"/>
        <w:jc w:val="left"/>
        <w:tblInd w:w="0" w:type="dxa"/>
        <w:tblCellMar>
          <w:top w:w="0" w:type="dxa"/>
          <w:left w:w="0" w:type="dxa"/>
          <w:bottom w:w="0" w:type="dxa"/>
          <w:right w:w="0" w:type="dxa"/>
        </w:tblCellMar>
      </w:tblPr>
      <w:tblGrid>
        <w:gridCol w:w="2760"/>
        <w:gridCol w:w="195"/>
        <w:gridCol w:w="75"/>
        <w:gridCol w:w="455"/>
        <w:gridCol w:w="79"/>
        <w:gridCol w:w="195"/>
        <w:gridCol w:w="60"/>
        <w:gridCol w:w="420"/>
        <w:gridCol w:w="75"/>
        <w:gridCol w:w="195"/>
        <w:gridCol w:w="87"/>
        <w:gridCol w:w="442"/>
        <w:gridCol w:w="76"/>
        <w:gridCol w:w="195"/>
        <w:gridCol w:w="105"/>
        <w:gridCol w:w="451"/>
        <w:gridCol w:w="105"/>
        <w:gridCol w:w="195"/>
        <w:gridCol w:w="89"/>
        <w:gridCol w:w="437"/>
        <w:gridCol w:w="79"/>
        <w:gridCol w:w="195"/>
        <w:gridCol w:w="105"/>
        <w:gridCol w:w="451"/>
        <w:gridCol w:w="105"/>
        <w:gridCol w:w="195"/>
        <w:gridCol w:w="62"/>
        <w:gridCol w:w="474"/>
        <w:gridCol w:w="75"/>
        <w:gridCol w:w="195"/>
        <w:gridCol w:w="75"/>
        <w:gridCol w:w="470"/>
        <w:gridCol w:w="79"/>
        <w:gridCol w:w="90"/>
      </w:tblGrid>
      <w:tr>
        <w:trPr/>
        <w:tc>
          <w:tcPr>
            <w:tcW w:w="2760" w:type="dxa"/>
            <w:tcBorders/>
            <w:shd w:fill="auto" w:val="clear"/>
            <w:vAlign w:val="bottom"/>
          </w:tcPr>
          <w:p>
            <w:pPr>
              <w:pStyle w:val="TableContents"/>
              <w:spacing w:before="0" w:after="283"/>
              <w:ind w:left="0" w:right="0" w:hanging="0"/>
              <w:rPr>
                <w:sz w:val="4"/>
                <w:szCs w:val="4"/>
              </w:rPr>
            </w:pPr>
            <w:r>
              <w:rPr>
                <w:sz w:val="4"/>
                <w:szCs w:val="4"/>
              </w:rPr>
            </w:r>
          </w:p>
        </w:tc>
        <w:tc>
          <w:tcPr>
            <w:tcW w:w="195" w:type="dxa"/>
            <w:tcBorders/>
            <w:shd w:fill="auto" w:val="clear"/>
            <w:vAlign w:val="bottom"/>
          </w:tcPr>
          <w:p>
            <w:pPr>
              <w:pStyle w:val="TableContents"/>
              <w:spacing w:lineRule="atLeast" w:line="141" w:before="0" w:after="0"/>
              <w:ind w:left="0" w:right="0" w:hanging="0"/>
              <w:rPr/>
            </w:pPr>
            <w:r>
              <w:rPr/>
              <w:t> </w:t>
            </w:r>
          </w:p>
        </w:tc>
        <w:tc>
          <w:tcPr>
            <w:tcW w:w="6296" w:type="dxa"/>
            <w:gridSpan w:val="31"/>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Guidance(1)</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2760" w:type="dxa"/>
            <w:tcBorders/>
            <w:shd w:fill="auto" w:val="clear"/>
            <w:vAlign w:val="bottom"/>
          </w:tcPr>
          <w:p>
            <w:pPr>
              <w:pStyle w:val="TableContents"/>
              <w:spacing w:lineRule="atLeast" w:line="141" w:before="0" w:after="0"/>
              <w:ind w:left="0" w:right="0" w:hanging="0"/>
              <w:rPr/>
            </w:pPr>
            <w:r>
              <w:rPr/>
              <w:t> </w:t>
            </w:r>
          </w:p>
        </w:tc>
        <w:tc>
          <w:tcPr>
            <w:tcW w:w="195" w:type="dxa"/>
            <w:tcBorders/>
            <w:shd w:fill="auto" w:val="clear"/>
            <w:vAlign w:val="bottom"/>
          </w:tcPr>
          <w:p>
            <w:pPr>
              <w:pStyle w:val="TableContents"/>
              <w:spacing w:lineRule="atLeast" w:line="141" w:before="0" w:after="0"/>
              <w:ind w:left="0" w:right="0" w:hanging="0"/>
              <w:rPr/>
            </w:pPr>
            <w:r>
              <w:rPr/>
              <w:t> </w:t>
            </w:r>
          </w:p>
        </w:tc>
        <w:tc>
          <w:tcPr>
            <w:tcW w:w="4671" w:type="dxa"/>
            <w:gridSpan w:val="23"/>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Three Months Ended</w:t>
            </w:r>
          </w:p>
        </w:tc>
        <w:tc>
          <w:tcPr>
            <w:tcW w:w="195" w:type="dxa"/>
            <w:tcBorders/>
            <w:shd w:fill="auto" w:val="clear"/>
            <w:vAlign w:val="bottom"/>
          </w:tcPr>
          <w:p>
            <w:pPr>
              <w:pStyle w:val="TableContents"/>
              <w:spacing w:lineRule="atLeast" w:line="141" w:before="0" w:after="0"/>
              <w:ind w:left="0" w:right="0" w:hanging="0"/>
              <w:rPr/>
            </w:pPr>
            <w:r>
              <w:rPr/>
              <w:t> </w:t>
            </w:r>
          </w:p>
        </w:tc>
        <w:tc>
          <w:tcPr>
            <w:tcW w:w="1430" w:type="dxa"/>
            <w:gridSpan w:val="7"/>
            <w:tcBorders/>
            <w:shd w:fill="auto" w:val="cle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Twelve Months 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2760" w:type="dxa"/>
            <w:tcBorders/>
            <w:shd w:fill="auto" w:val="clear"/>
            <w:vAlign w:val="bottom"/>
          </w:tcPr>
          <w:p>
            <w:pPr>
              <w:pStyle w:val="TableContents"/>
              <w:spacing w:lineRule="atLeast" w:line="141" w:before="0" w:after="0"/>
              <w:ind w:left="0" w:right="0" w:hanging="0"/>
              <w:rPr/>
            </w:pPr>
            <w:r>
              <w:rPr/>
              <w:t> </w:t>
            </w:r>
          </w:p>
        </w:tc>
        <w:tc>
          <w:tcPr>
            <w:tcW w:w="195" w:type="dxa"/>
            <w:tcBorders/>
            <w:shd w:fill="auto" w:val="clear"/>
            <w:vAlign w:val="bottom"/>
          </w:tcPr>
          <w:p>
            <w:pPr>
              <w:pStyle w:val="TableContents"/>
              <w:spacing w:lineRule="atLeast" w:line="141" w:before="0" w:after="0"/>
              <w:ind w:left="0" w:right="0" w:hanging="0"/>
              <w:rPr/>
            </w:pPr>
            <w:r>
              <w:rPr/>
              <w:t> </w:t>
            </w:r>
          </w:p>
        </w:tc>
        <w:tc>
          <w:tcPr>
            <w:tcW w:w="1359"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June 30, 2005</w:t>
            </w:r>
          </w:p>
        </w:tc>
        <w:tc>
          <w:tcPr>
            <w:tcW w:w="195" w:type="dxa"/>
            <w:tcBorders>
              <w:top w:val="single" w:sz="8" w:space="0" w:color="000000"/>
            </w:tcBorders>
            <w:shd w:fill="auto" w:val="clear"/>
            <w:tcMar>
              <w:top w:w="28" w:type="dxa"/>
            </w:tcMar>
            <w:vAlign w:val="bottom"/>
          </w:tcPr>
          <w:p>
            <w:pPr>
              <w:pStyle w:val="TableContents"/>
              <w:spacing w:lineRule="atLeast" w:line="141" w:before="0" w:after="0"/>
              <w:ind w:left="0" w:right="0" w:hanging="0"/>
              <w:rPr/>
            </w:pPr>
            <w:r>
              <w:rPr/>
              <w:t> </w:t>
            </w:r>
          </w:p>
        </w:tc>
        <w:tc>
          <w:tcPr>
            <w:tcW w:w="1461" w:type="dxa"/>
            <w:gridSpan w:val="7"/>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September 30, 2005</w:t>
            </w:r>
          </w:p>
        </w:tc>
        <w:tc>
          <w:tcPr>
            <w:tcW w:w="195" w:type="dxa"/>
            <w:tcBorders>
              <w:top w:val="single" w:sz="8" w:space="0" w:color="000000"/>
            </w:tcBorders>
            <w:shd w:fill="auto" w:val="clear"/>
            <w:tcMar>
              <w:top w:w="28" w:type="dxa"/>
            </w:tcMar>
            <w:vAlign w:val="bottom"/>
          </w:tcPr>
          <w:p>
            <w:pPr>
              <w:pStyle w:val="TableContents"/>
              <w:spacing w:lineRule="atLeast" w:line="141" w:before="0" w:after="0"/>
              <w:ind w:left="0" w:right="0" w:hanging="0"/>
              <w:rPr/>
            </w:pPr>
            <w:r>
              <w:rPr/>
              <w:t> </w:t>
            </w:r>
          </w:p>
        </w:tc>
        <w:tc>
          <w:tcPr>
            <w:tcW w:w="1461" w:type="dxa"/>
            <w:gridSpan w:val="7"/>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December 31, 2005</w:t>
            </w:r>
          </w:p>
        </w:tc>
        <w:tc>
          <w:tcPr>
            <w:tcW w:w="195" w:type="dxa"/>
            <w:tcBorders/>
            <w:shd w:fill="auto" w:val="clear"/>
            <w:vAlign w:val="bottom"/>
          </w:tcPr>
          <w:p>
            <w:pPr>
              <w:pStyle w:val="TableContents"/>
              <w:spacing w:lineRule="atLeast" w:line="141" w:before="0" w:after="0"/>
              <w:ind w:left="0" w:right="0" w:hanging="0"/>
              <w:rPr/>
            </w:pPr>
            <w:r>
              <w:rPr/>
              <w:t> </w:t>
            </w:r>
          </w:p>
        </w:tc>
        <w:tc>
          <w:tcPr>
            <w:tcW w:w="1430"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2"/>
              </w:rPr>
            </w:pPr>
            <w:r>
              <w:rPr>
                <w:rFonts w:ascii="Times New Roman" w:hAnsi="Times New Roman"/>
                <w:b/>
                <w:sz w:val="12"/>
              </w:rPr>
              <w:t>December 31, 2005</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2760" w:type="dxa"/>
            <w:tcBorders/>
            <w:shd w:fill="auto" w:val="clear"/>
            <w:vAlign w:val="bottom"/>
          </w:tcPr>
          <w:p>
            <w:pPr>
              <w:pStyle w:val="TableContents"/>
              <w:spacing w:lineRule="atLeast" w:line="141" w:before="0" w:after="0"/>
              <w:ind w:left="0" w:right="0" w:hanging="0"/>
              <w:rPr/>
            </w:pPr>
            <w:r>
              <w:rPr/>
              <w:t> </w:t>
            </w:r>
          </w:p>
        </w:tc>
        <w:tc>
          <w:tcPr>
            <w:tcW w:w="195" w:type="dxa"/>
            <w:tcBorders/>
            <w:shd w:fill="auto" w:val="clear"/>
            <w:vAlign w:val="bottom"/>
          </w:tcPr>
          <w:p>
            <w:pPr>
              <w:pStyle w:val="TableContents"/>
              <w:spacing w:lineRule="atLeast" w:line="141" w:before="0" w:after="0"/>
              <w:ind w:left="0" w:right="0" w:hanging="0"/>
              <w:rPr/>
            </w:pPr>
            <w:r>
              <w:rPr/>
              <w:t> </w:t>
            </w:r>
          </w:p>
        </w:tc>
        <w:tc>
          <w:tcPr>
            <w:tcW w:w="609"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Low    </w:t>
            </w:r>
          </w:p>
        </w:tc>
        <w:tc>
          <w:tcPr>
            <w:tcW w:w="195" w:type="dxa"/>
            <w:tcBorders/>
            <w:shd w:fill="auto" w:val="clear"/>
            <w:vAlign w:val="bottom"/>
          </w:tcPr>
          <w:p>
            <w:pPr>
              <w:pStyle w:val="TableContents"/>
              <w:spacing w:lineRule="atLeast" w:line="141" w:before="0" w:after="0"/>
              <w:ind w:left="0" w:right="0" w:hanging="0"/>
              <w:rPr/>
            </w:pPr>
            <w:r>
              <w:rPr/>
              <w:t> </w:t>
            </w:r>
          </w:p>
        </w:tc>
        <w:tc>
          <w:tcPr>
            <w:tcW w:w="55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High   </w:t>
            </w:r>
          </w:p>
        </w:tc>
        <w:tc>
          <w:tcPr>
            <w:tcW w:w="195" w:type="dxa"/>
            <w:tcBorders/>
            <w:shd w:fill="auto" w:val="clear"/>
            <w:vAlign w:val="bottom"/>
          </w:tcPr>
          <w:p>
            <w:pPr>
              <w:pStyle w:val="TableContents"/>
              <w:spacing w:lineRule="atLeast" w:line="141" w:before="0" w:after="0"/>
              <w:ind w:left="0" w:right="0" w:hanging="0"/>
              <w:rPr/>
            </w:pPr>
            <w:r>
              <w:rPr/>
              <w:t> </w:t>
            </w:r>
          </w:p>
        </w:tc>
        <w:tc>
          <w:tcPr>
            <w:tcW w:w="60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Low    </w:t>
            </w:r>
          </w:p>
        </w:tc>
        <w:tc>
          <w:tcPr>
            <w:tcW w:w="195" w:type="dxa"/>
            <w:tcBorders/>
            <w:shd w:fill="auto" w:val="clear"/>
            <w:vAlign w:val="bottom"/>
          </w:tcPr>
          <w:p>
            <w:pPr>
              <w:pStyle w:val="TableContents"/>
              <w:spacing w:lineRule="atLeast" w:line="141" w:before="0" w:after="0"/>
              <w:ind w:left="0" w:right="0" w:hanging="0"/>
              <w:rPr/>
            </w:pPr>
            <w:r>
              <w:rPr/>
              <w:t> </w:t>
            </w:r>
          </w:p>
        </w:tc>
        <w:tc>
          <w:tcPr>
            <w:tcW w:w="661"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High    </w:t>
            </w:r>
          </w:p>
        </w:tc>
        <w:tc>
          <w:tcPr>
            <w:tcW w:w="195" w:type="dxa"/>
            <w:tcBorders/>
            <w:shd w:fill="auto" w:val="clear"/>
            <w:vAlign w:val="bottom"/>
          </w:tcPr>
          <w:p>
            <w:pPr>
              <w:pStyle w:val="TableContents"/>
              <w:spacing w:lineRule="atLeast" w:line="141" w:before="0" w:after="0"/>
              <w:ind w:left="0" w:right="0" w:hanging="0"/>
              <w:rPr/>
            </w:pPr>
            <w:r>
              <w:rPr/>
              <w:t> </w:t>
            </w:r>
          </w:p>
        </w:tc>
        <w:tc>
          <w:tcPr>
            <w:tcW w:w="60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Low    </w:t>
            </w:r>
          </w:p>
        </w:tc>
        <w:tc>
          <w:tcPr>
            <w:tcW w:w="195" w:type="dxa"/>
            <w:tcBorders/>
            <w:shd w:fill="auto" w:val="clear"/>
            <w:vAlign w:val="bottom"/>
          </w:tcPr>
          <w:p>
            <w:pPr>
              <w:pStyle w:val="TableContents"/>
              <w:spacing w:lineRule="atLeast" w:line="141" w:before="0" w:after="0"/>
              <w:ind w:left="0" w:right="0" w:hanging="0"/>
              <w:rPr/>
            </w:pPr>
            <w:r>
              <w:rPr/>
              <w:t> </w:t>
            </w:r>
          </w:p>
        </w:tc>
        <w:tc>
          <w:tcPr>
            <w:tcW w:w="661"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High    </w:t>
            </w:r>
          </w:p>
        </w:tc>
        <w:tc>
          <w:tcPr>
            <w:tcW w:w="195" w:type="dxa"/>
            <w:tcBorders/>
            <w:shd w:fill="auto" w:val="clear"/>
            <w:vAlign w:val="bottom"/>
          </w:tcPr>
          <w:p>
            <w:pPr>
              <w:pStyle w:val="TableContents"/>
              <w:spacing w:lineRule="atLeast" w:line="141" w:before="0" w:after="0"/>
              <w:ind w:left="0" w:right="0" w:hanging="0"/>
              <w:rPr/>
            </w:pPr>
            <w:r>
              <w:rPr/>
              <w:t> </w:t>
            </w:r>
          </w:p>
        </w:tc>
        <w:tc>
          <w:tcPr>
            <w:tcW w:w="611"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Low    </w:t>
            </w:r>
          </w:p>
        </w:tc>
        <w:tc>
          <w:tcPr>
            <w:tcW w:w="195" w:type="dxa"/>
            <w:tcBorders/>
            <w:shd w:fill="auto" w:val="clear"/>
            <w:vAlign w:val="bottom"/>
          </w:tcPr>
          <w:p>
            <w:pPr>
              <w:pStyle w:val="TableContents"/>
              <w:spacing w:lineRule="atLeast" w:line="141" w:before="0" w:after="0"/>
              <w:ind w:left="0" w:right="0" w:hanging="0"/>
              <w:rPr/>
            </w:pPr>
            <w:r>
              <w:rPr/>
              <w:t> </w:t>
            </w:r>
          </w:p>
        </w:tc>
        <w:tc>
          <w:tcPr>
            <w:tcW w:w="624"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2"/>
              </w:rPr>
              <w:t>High    </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2760" w:type="dxa"/>
            <w:tcBorders/>
            <w:shd w:fill="CCEEFF" w:val="clear"/>
          </w:tcPr>
          <w:p>
            <w:pPr>
              <w:pStyle w:val="TableContents"/>
              <w:spacing w:before="0" w:after="0"/>
              <w:ind w:left="0" w:right="0" w:hanging="0"/>
              <w:rPr>
                <w:b/>
                <w:sz w:val="12"/>
              </w:rPr>
            </w:pPr>
            <w:r>
              <w:rPr>
                <w:b/>
                <w:sz w:val="12"/>
              </w:rPr>
              <w:t>Pipeline</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pPr>
            <w:r>
              <w:rPr/>
              <w:t> </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Net revenues</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92.0</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94.0</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$ 95.2</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$ 98.0</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$ 94.5</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$ 96.0</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$ 377.2</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$ 383.5</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Field operating costs</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(37.4</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(35.6</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(36.4</w:t>
            </w:r>
          </w:p>
        </w:tc>
        <w:tc>
          <w:tcPr>
            <w:tcW w:w="76"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(35.2</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(36.9</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(35.8</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(144.8</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(140.7</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General and administrative expenses</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(13.2</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(12.8</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(13.0</w:t>
            </w:r>
          </w:p>
        </w:tc>
        <w:tc>
          <w:tcPr>
            <w:tcW w:w="76"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(12.2</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(13.3</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(12.9</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(50.8</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(49.2</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283"/>
              <w:ind w:left="0" w:right="0" w:hanging="0"/>
              <w:rPr>
                <w:sz w:val="4"/>
                <w:szCs w:val="4"/>
              </w:rPr>
            </w:pPr>
            <w:r>
              <w:rPr>
                <w:sz w:val="4"/>
                <w:szCs w:val="4"/>
              </w:rPr>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41.4</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45.6</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45.8</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50.6</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44.3</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47.3</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181.6</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193.6</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b/>
                <w:sz w:val="12"/>
              </w:rPr>
            </w:pPr>
            <w:r>
              <w:rPr>
                <w:rFonts w:ascii="Times New Roman" w:hAnsi="Times New Roman"/>
                <w:b/>
                <w:sz w:val="12"/>
              </w:rPr>
              <w:t>Gathering, Marketing, Terminalling &amp; Storage</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pPr>
            <w:r>
              <w:rPr/>
              <w:t> </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Net revenues</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99.0</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103.7</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73.0</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77.0</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65.0</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71.3</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293.8</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308.8</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Field operating costs</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(29.4</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(28.8</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(30.4</w:t>
            </w:r>
          </w:p>
        </w:tc>
        <w:tc>
          <w:tcPr>
            <w:tcW w:w="76"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(29.9</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(30.7</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(30.4</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(120.2</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(118.8</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General and administrative expenses</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(12.1</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(11.6</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(12.3</w:t>
            </w:r>
          </w:p>
        </w:tc>
        <w:tc>
          <w:tcPr>
            <w:tcW w:w="76"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(11.6</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(12.5</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(12.1</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(47.7</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(46.1</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57.5</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63.3</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30.3</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35.5</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21.8</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28.8</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125.9</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143.9</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b/>
                <w:sz w:val="12"/>
              </w:rPr>
            </w:pPr>
            <w:r>
              <w:rPr>
                <w:b/>
                <w:sz w:val="12"/>
              </w:rPr>
              <w:t>Segment Profit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98.9</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108.9</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76.1</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86.1</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66.1</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76.1</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307.5</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337.5</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Depreciation and amortization expense</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(19.3</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(19.1</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(19.9</w:t>
            </w:r>
          </w:p>
        </w:tc>
        <w:tc>
          <w:tcPr>
            <w:tcW w:w="76"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(19.6</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(20.4</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(20.0</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(78.7</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(77.8</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Interest expense</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(14.7</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(14.5</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(16.3</w:t>
            </w:r>
          </w:p>
        </w:tc>
        <w:tc>
          <w:tcPr>
            <w:tcW w:w="76"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(16.0</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(17.0</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(16.6</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(62.6</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(61.7</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Other Income (Expense)</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0.3</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0.3</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b/>
                <w:sz w:val="12"/>
              </w:rPr>
            </w:pPr>
            <w:r>
              <w:rPr>
                <w:b/>
                <w:sz w:val="12"/>
              </w:rPr>
              <w:t>Net Income</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65.2</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75.6</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$ 39.9</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$ 50.5</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$ 28.7</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$ 39.5</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$ 166.6</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$ 198.4</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80" w:after="80"/>
              <w:ind w:left="0" w:right="0" w:hanging="0"/>
              <w:rPr>
                <w:rFonts w:ascii="Times New Roman" w:hAnsi="Times New Roman"/>
                <w:sz w:val="12"/>
              </w:rPr>
            </w:pPr>
            <w:r>
              <w:rPr>
                <w:rFonts w:ascii="Times New Roman" w:hAnsi="Times New Roman"/>
                <w:sz w:val="12"/>
              </w:rPr>
              <w:t>Net Income to Limited Partners</w:t>
            </w:r>
          </w:p>
        </w:tc>
        <w:tc>
          <w:tcPr>
            <w:tcW w:w="19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c>
          <w:tcPr>
            <w:tcW w:w="455"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60.5</w:t>
            </w:r>
          </w:p>
        </w:tc>
        <w:tc>
          <w:tcPr>
            <w:tcW w:w="79"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420"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70.7</w:t>
            </w:r>
          </w:p>
        </w:tc>
        <w:tc>
          <w:tcPr>
            <w:tcW w:w="75"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7" w:type="dxa"/>
            <w:tcBorders/>
            <w:shd w:fill="auto" w:val="clear"/>
            <w:vAlign w:val="bottom"/>
          </w:tcPr>
          <w:p>
            <w:pPr>
              <w:pStyle w:val="TableContents"/>
              <w:spacing w:before="80" w:after="80"/>
              <w:ind w:left="0" w:right="0" w:hanging="0"/>
              <w:rPr/>
            </w:pPr>
            <w:r>
              <w:rPr/>
              <w:t> </w:t>
            </w:r>
          </w:p>
        </w:tc>
        <w:tc>
          <w:tcPr>
            <w:tcW w:w="442"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$ 35.7</w:t>
            </w:r>
          </w:p>
        </w:tc>
        <w:tc>
          <w:tcPr>
            <w:tcW w:w="76"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105" w:type="dxa"/>
            <w:tcBorders/>
            <w:shd w:fill="auto" w:val="clear"/>
            <w:vAlign w:val="bottom"/>
          </w:tcPr>
          <w:p>
            <w:pPr>
              <w:pStyle w:val="TableContents"/>
              <w:spacing w:before="80" w:after="80"/>
              <w:ind w:left="0" w:right="0" w:hanging="0"/>
              <w:rPr/>
            </w:pPr>
            <w:r>
              <w:rPr/>
              <w:t> </w:t>
            </w:r>
          </w:p>
        </w:tc>
        <w:tc>
          <w:tcPr>
            <w:tcW w:w="451"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$ 46.1</w:t>
            </w:r>
          </w:p>
        </w:tc>
        <w:tc>
          <w:tcPr>
            <w:tcW w:w="105"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9" w:type="dxa"/>
            <w:tcBorders/>
            <w:shd w:fill="auto" w:val="clear"/>
            <w:vAlign w:val="bottom"/>
          </w:tcPr>
          <w:p>
            <w:pPr>
              <w:pStyle w:val="TableContents"/>
              <w:spacing w:before="80" w:after="80"/>
              <w:ind w:left="0" w:right="0" w:hanging="0"/>
              <w:rPr/>
            </w:pPr>
            <w:r>
              <w:rPr/>
              <w:t> </w:t>
            </w:r>
          </w:p>
        </w:tc>
        <w:tc>
          <w:tcPr>
            <w:tcW w:w="437"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$ 24.7</w:t>
            </w:r>
          </w:p>
        </w:tc>
        <w:tc>
          <w:tcPr>
            <w:tcW w:w="79"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105" w:type="dxa"/>
            <w:tcBorders/>
            <w:shd w:fill="auto" w:val="clear"/>
            <w:vAlign w:val="bottom"/>
          </w:tcPr>
          <w:p>
            <w:pPr>
              <w:pStyle w:val="TableContents"/>
              <w:spacing w:before="80" w:after="80"/>
              <w:ind w:left="0" w:right="0" w:hanging="0"/>
              <w:rPr/>
            </w:pPr>
            <w:r>
              <w:rPr/>
              <w:t> </w:t>
            </w:r>
          </w:p>
        </w:tc>
        <w:tc>
          <w:tcPr>
            <w:tcW w:w="451"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$ 35.3</w:t>
            </w:r>
          </w:p>
        </w:tc>
        <w:tc>
          <w:tcPr>
            <w:tcW w:w="105"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62" w:type="dxa"/>
            <w:tcBorders/>
            <w:shd w:fill="auto" w:val="clear"/>
            <w:vAlign w:val="bottom"/>
          </w:tcPr>
          <w:p>
            <w:pPr>
              <w:pStyle w:val="TableContents"/>
              <w:spacing w:before="80" w:after="80"/>
              <w:ind w:left="0" w:right="0" w:hanging="0"/>
              <w:rPr/>
            </w:pPr>
            <w:r>
              <w:rPr/>
              <w:t> </w:t>
            </w:r>
          </w:p>
        </w:tc>
        <w:tc>
          <w:tcPr>
            <w:tcW w:w="474"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$ 150.2</w:t>
            </w:r>
          </w:p>
        </w:tc>
        <w:tc>
          <w:tcPr>
            <w:tcW w:w="75"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c>
          <w:tcPr>
            <w:tcW w:w="470" w:type="dxa"/>
            <w:tcBorders/>
            <w:shd w:fill="auto" w:val="clear"/>
            <w:vAlign w:val="bottom"/>
          </w:tcPr>
          <w:p>
            <w:pPr>
              <w:pStyle w:val="TableContents"/>
              <w:spacing w:before="80" w:after="80"/>
              <w:ind w:left="0" w:right="0" w:hanging="0"/>
              <w:rPr>
                <w:rFonts w:ascii="Times New Roman" w:hAnsi="Times New Roman"/>
                <w:sz w:val="12"/>
              </w:rPr>
            </w:pPr>
            <w:r>
              <w:rPr>
                <w:rFonts w:ascii="Times New Roman" w:hAnsi="Times New Roman"/>
                <w:sz w:val="12"/>
              </w:rPr>
              <w:t>$ 181.3</w:t>
            </w:r>
          </w:p>
        </w:tc>
        <w:tc>
          <w:tcPr>
            <w:tcW w:w="79"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r>
      <w:tr>
        <w:trPr/>
        <w:tc>
          <w:tcPr>
            <w:tcW w:w="2760" w:type="dxa"/>
            <w:tcBorders/>
            <w:shd w:fill="CCEEFF" w:val="clear"/>
          </w:tcPr>
          <w:p>
            <w:pPr>
              <w:pStyle w:val="TableContents"/>
              <w:spacing w:before="80" w:after="80"/>
              <w:ind w:left="0" w:right="0" w:hanging="0"/>
              <w:rPr>
                <w:sz w:val="12"/>
              </w:rPr>
            </w:pPr>
            <w:r>
              <w:rPr>
                <w:sz w:val="12"/>
              </w:rPr>
              <w:t>Basic:</w:t>
            </w:r>
          </w:p>
        </w:tc>
        <w:tc>
          <w:tcPr>
            <w:tcW w:w="19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455" w:type="dxa"/>
            <w:tcBorders/>
            <w:shd w:fill="CCEEFF" w:val="clear"/>
            <w:vAlign w:val="bottom"/>
          </w:tcPr>
          <w:p>
            <w:pPr>
              <w:pStyle w:val="TableContents"/>
              <w:spacing w:before="80" w:after="80"/>
              <w:ind w:left="0" w:right="0" w:hanging="0"/>
              <w:rPr/>
            </w:pPr>
            <w:r>
              <w:rPr/>
              <w:t> </w:t>
            </w:r>
          </w:p>
        </w:tc>
        <w:tc>
          <w:tcPr>
            <w:tcW w:w="79"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420"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87" w:type="dxa"/>
            <w:tcBorders/>
            <w:shd w:fill="CCEEFF" w:val="clear"/>
            <w:vAlign w:val="bottom"/>
          </w:tcPr>
          <w:p>
            <w:pPr>
              <w:pStyle w:val="TableContents"/>
              <w:spacing w:before="80" w:after="80"/>
              <w:ind w:left="0" w:right="0" w:hanging="0"/>
              <w:rPr/>
            </w:pPr>
            <w:r>
              <w:rPr/>
              <w:t> </w:t>
            </w:r>
          </w:p>
        </w:tc>
        <w:tc>
          <w:tcPr>
            <w:tcW w:w="442" w:type="dxa"/>
            <w:tcBorders/>
            <w:shd w:fill="CCEEFF" w:val="clear"/>
            <w:vAlign w:val="bottom"/>
          </w:tcPr>
          <w:p>
            <w:pPr>
              <w:pStyle w:val="TableContents"/>
              <w:spacing w:before="80" w:after="80"/>
              <w:ind w:left="0" w:right="0" w:hanging="0"/>
              <w:rPr/>
            </w:pPr>
            <w:r>
              <w:rPr/>
              <w:t> </w:t>
            </w:r>
          </w:p>
        </w:tc>
        <w:tc>
          <w:tcPr>
            <w:tcW w:w="76"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451"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89" w:type="dxa"/>
            <w:tcBorders/>
            <w:shd w:fill="CCEEFF" w:val="clear"/>
            <w:vAlign w:val="bottom"/>
          </w:tcPr>
          <w:p>
            <w:pPr>
              <w:pStyle w:val="TableContents"/>
              <w:spacing w:before="80" w:after="80"/>
              <w:ind w:left="0" w:right="0" w:hanging="0"/>
              <w:rPr/>
            </w:pPr>
            <w:r>
              <w:rPr/>
              <w:t> </w:t>
            </w:r>
          </w:p>
        </w:tc>
        <w:tc>
          <w:tcPr>
            <w:tcW w:w="437" w:type="dxa"/>
            <w:tcBorders/>
            <w:shd w:fill="CCEEFF" w:val="clear"/>
            <w:vAlign w:val="bottom"/>
          </w:tcPr>
          <w:p>
            <w:pPr>
              <w:pStyle w:val="TableContents"/>
              <w:spacing w:before="80" w:after="80"/>
              <w:ind w:left="0" w:right="0" w:hanging="0"/>
              <w:rPr/>
            </w:pPr>
            <w:r>
              <w:rPr/>
              <w:t> </w:t>
            </w:r>
          </w:p>
        </w:tc>
        <w:tc>
          <w:tcPr>
            <w:tcW w:w="79"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451"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2" w:type="dxa"/>
            <w:tcBorders/>
            <w:shd w:fill="CCEEFF" w:val="clear"/>
            <w:vAlign w:val="bottom"/>
          </w:tcPr>
          <w:p>
            <w:pPr>
              <w:pStyle w:val="TableContents"/>
              <w:spacing w:before="80" w:after="80"/>
              <w:ind w:left="0" w:right="0" w:hanging="0"/>
              <w:rPr/>
            </w:pPr>
            <w:r>
              <w:rPr/>
              <w:t> </w:t>
            </w:r>
          </w:p>
        </w:tc>
        <w:tc>
          <w:tcPr>
            <w:tcW w:w="474"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470" w:type="dxa"/>
            <w:tcBorders/>
            <w:shd w:fill="CCEEFF" w:val="clear"/>
            <w:vAlign w:val="bottom"/>
          </w:tcPr>
          <w:p>
            <w:pPr>
              <w:pStyle w:val="TableContents"/>
              <w:spacing w:before="80" w:after="80"/>
              <w:ind w:left="0" w:right="0" w:hanging="0"/>
              <w:rPr/>
            </w:pPr>
            <w:r>
              <w:rPr/>
              <w:t> </w:t>
            </w:r>
          </w:p>
        </w:tc>
        <w:tc>
          <w:tcPr>
            <w:tcW w:w="79"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Weighted Average Units Outstanding</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67.9</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67.8</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67.8</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Net Income Per Limited Partner Unit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0.89</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1.04</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$ 0.53</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$ 0.68</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$ 0.36</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$ 0.52</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2.21</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2.67</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Diluted:</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pPr>
            <w:r>
              <w:rPr/>
              <w:t> </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pPr>
            <w:r>
              <w:rPr/>
              <w:t> </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0" w:after="0"/>
              <w:ind w:left="0" w:right="0" w:hanging="0"/>
              <w:rPr>
                <w:sz w:val="12"/>
              </w:rPr>
            </w:pPr>
            <w:r>
              <w:rPr>
                <w:sz w:val="12"/>
              </w:rPr>
              <w:t>Weighted Average Units Outstanding</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69.3</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69.0</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69.0</w:t>
            </w:r>
          </w:p>
        </w:tc>
        <w:tc>
          <w:tcPr>
            <w:tcW w:w="79"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Net Income Per Limited Partner Unit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0.87</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1.02</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$ 0.51</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$ 0.66</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$ 0.36</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$ 0.51</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2.18</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2.63</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CCEEFF" w:val="clear"/>
          </w:tcPr>
          <w:p>
            <w:pPr>
              <w:pStyle w:val="TableContents"/>
              <w:spacing w:before="80" w:after="80"/>
              <w:ind w:left="0" w:right="0" w:hanging="0"/>
              <w:rPr>
                <w:b/>
                <w:sz w:val="12"/>
              </w:rPr>
            </w:pPr>
            <w:r>
              <w:rPr>
                <w:b/>
                <w:sz w:val="12"/>
              </w:rPr>
              <w:t>EBIT</w:t>
            </w:r>
          </w:p>
        </w:tc>
        <w:tc>
          <w:tcPr>
            <w:tcW w:w="19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455"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79.9</w:t>
            </w:r>
          </w:p>
        </w:tc>
        <w:tc>
          <w:tcPr>
            <w:tcW w:w="79"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420"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90.1</w:t>
            </w:r>
          </w:p>
        </w:tc>
        <w:tc>
          <w:tcPr>
            <w:tcW w:w="7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87" w:type="dxa"/>
            <w:tcBorders/>
            <w:shd w:fill="CCEEFF" w:val="clear"/>
            <w:vAlign w:val="bottom"/>
          </w:tcPr>
          <w:p>
            <w:pPr>
              <w:pStyle w:val="TableContents"/>
              <w:spacing w:before="80" w:after="8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$ 56.2</w:t>
            </w:r>
          </w:p>
        </w:tc>
        <w:tc>
          <w:tcPr>
            <w:tcW w:w="76"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$ 66.5</w:t>
            </w:r>
          </w:p>
        </w:tc>
        <w:tc>
          <w:tcPr>
            <w:tcW w:w="10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89" w:type="dxa"/>
            <w:tcBorders/>
            <w:shd w:fill="CCEEFF" w:val="clear"/>
            <w:vAlign w:val="bottom"/>
          </w:tcPr>
          <w:p>
            <w:pPr>
              <w:pStyle w:val="TableContents"/>
              <w:spacing w:before="80" w:after="80"/>
              <w:ind w:left="0" w:right="0" w:hanging="0"/>
              <w:rPr/>
            </w:pPr>
            <w:r>
              <w:rPr/>
              <w:t> </w:t>
            </w:r>
          </w:p>
        </w:tc>
        <w:tc>
          <w:tcPr>
            <w:tcW w:w="437"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$ 45.7</w:t>
            </w:r>
          </w:p>
        </w:tc>
        <w:tc>
          <w:tcPr>
            <w:tcW w:w="79"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05" w:type="dxa"/>
            <w:tcBorders/>
            <w:shd w:fill="CCEEFF" w:val="clear"/>
            <w:vAlign w:val="bottom"/>
          </w:tcPr>
          <w:p>
            <w:pPr>
              <w:pStyle w:val="TableContents"/>
              <w:spacing w:before="80" w:after="8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$ 56.1</w:t>
            </w:r>
          </w:p>
        </w:tc>
        <w:tc>
          <w:tcPr>
            <w:tcW w:w="10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2" w:type="dxa"/>
            <w:tcBorders/>
            <w:shd w:fill="CCEEFF" w:val="clear"/>
            <w:vAlign w:val="bottom"/>
          </w:tcPr>
          <w:p>
            <w:pPr>
              <w:pStyle w:val="TableContents"/>
              <w:spacing w:before="80" w:after="80"/>
              <w:ind w:left="0" w:right="0" w:hanging="0"/>
              <w:rPr/>
            </w:pPr>
            <w:r>
              <w:rPr/>
              <w:t> </w:t>
            </w:r>
          </w:p>
        </w:tc>
        <w:tc>
          <w:tcPr>
            <w:tcW w:w="474"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$ 229.2</w:t>
            </w:r>
          </w:p>
        </w:tc>
        <w:tc>
          <w:tcPr>
            <w:tcW w:w="75"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c>
          <w:tcPr>
            <w:tcW w:w="470"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2"/>
              </w:rPr>
            </w:pPr>
            <w:r>
              <w:rPr>
                <w:rFonts w:ascii="Times New Roman" w:hAnsi="Times New Roman"/>
                <w:b/>
                <w:sz w:val="12"/>
              </w:rPr>
              <w:t>$ 260.1</w:t>
            </w:r>
          </w:p>
        </w:tc>
        <w:tc>
          <w:tcPr>
            <w:tcW w:w="79"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r>
      <w:tr>
        <w:trPr/>
        <w:tc>
          <w:tcPr>
            <w:tcW w:w="2760" w:type="dxa"/>
            <w:tcBorders/>
            <w:shd w:fill="auto" w:val="clear"/>
          </w:tcPr>
          <w:p>
            <w:pPr>
              <w:pStyle w:val="TableContents"/>
              <w:spacing w:before="0" w:after="0"/>
              <w:ind w:left="0" w:right="0" w:hanging="0"/>
              <w:rPr>
                <w:rFonts w:ascii="Times New Roman" w:hAnsi="Times New Roman"/>
                <w:b/>
                <w:sz w:val="12"/>
              </w:rPr>
            </w:pPr>
            <w:r>
              <w:rPr>
                <w:rFonts w:ascii="Times New Roman" w:hAnsi="Times New Roman"/>
                <w:b/>
                <w:sz w:val="12"/>
              </w:rPr>
              <w:t>EBITDA</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99.2</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$ 109.2</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$ 76.1</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$ 86.1</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$ 66.1</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$ 76.1</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$ 307.9</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2"/>
              </w:rPr>
            </w:pPr>
            <w:r>
              <w:rPr>
                <w:rFonts w:ascii="Times New Roman" w:hAnsi="Times New Roman"/>
                <w:b/>
                <w:sz w:val="12"/>
              </w:rPr>
              <w:t>$ 337.9</w:t>
            </w:r>
          </w:p>
        </w:tc>
        <w:tc>
          <w:tcPr>
            <w:tcW w:w="79"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shd w:fill="auto" w:val="clear"/>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455"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60" w:type="dxa"/>
            <w:tcBorders/>
            <w:shd w:fill="auto" w:val="clear"/>
            <w:vAlign w:val="bottom"/>
          </w:tcPr>
          <w:p>
            <w:pPr>
              <w:pStyle w:val="TableContents"/>
              <w:spacing w:lineRule="atLeast" w:line="141" w:before="240" w:after="240"/>
              <w:ind w:left="0" w:right="0" w:hanging="0"/>
              <w:rPr/>
            </w:pPr>
            <w:r>
              <w:rPr/>
              <w:t> </w:t>
            </w:r>
          </w:p>
        </w:tc>
        <w:tc>
          <w:tcPr>
            <w:tcW w:w="420"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87" w:type="dxa"/>
            <w:tcBorders/>
            <w:shd w:fill="auto" w:val="clear"/>
            <w:vAlign w:val="bottom"/>
          </w:tcPr>
          <w:p>
            <w:pPr>
              <w:pStyle w:val="TableContents"/>
              <w:spacing w:lineRule="atLeast" w:line="141" w:before="240" w:after="240"/>
              <w:ind w:left="0" w:right="0" w:hanging="0"/>
              <w:rPr/>
            </w:pPr>
            <w:r>
              <w:rPr/>
              <w:t> </w:t>
            </w:r>
          </w:p>
        </w:tc>
        <w:tc>
          <w:tcPr>
            <w:tcW w:w="442" w:type="dxa"/>
            <w:tcBorders/>
            <w:shd w:fill="auto" w:val="clear"/>
            <w:vAlign w:val="bottom"/>
          </w:tcPr>
          <w:p>
            <w:pPr>
              <w:pStyle w:val="TableContents"/>
              <w:spacing w:lineRule="atLeast" w:line="141" w:before="240" w:after="240"/>
              <w:ind w:left="0" w:right="0" w:hanging="0"/>
              <w:rPr/>
            </w:pPr>
            <w:r>
              <w:rPr/>
              <w:t> </w:t>
            </w:r>
          </w:p>
        </w:tc>
        <w:tc>
          <w:tcPr>
            <w:tcW w:w="76"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451"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89" w:type="dxa"/>
            <w:tcBorders/>
            <w:shd w:fill="auto" w:val="clear"/>
            <w:vAlign w:val="bottom"/>
          </w:tcPr>
          <w:p>
            <w:pPr>
              <w:pStyle w:val="TableContents"/>
              <w:spacing w:lineRule="atLeast" w:line="141" w:before="240" w:after="240"/>
              <w:ind w:left="0" w:right="0" w:hanging="0"/>
              <w:rPr/>
            </w:pPr>
            <w:r>
              <w:rPr/>
              <w:t> </w:t>
            </w:r>
          </w:p>
        </w:tc>
        <w:tc>
          <w:tcPr>
            <w:tcW w:w="437"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451"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62" w:type="dxa"/>
            <w:tcBorders/>
            <w:shd w:fill="auto" w:val="clear"/>
            <w:vAlign w:val="bottom"/>
          </w:tcPr>
          <w:p>
            <w:pPr>
              <w:pStyle w:val="TableContents"/>
              <w:spacing w:lineRule="atLeast" w:line="141" w:before="240" w:after="240"/>
              <w:ind w:left="0" w:right="0" w:hanging="0"/>
              <w:rPr/>
            </w:pPr>
            <w:r>
              <w:rPr/>
              <w:t> </w:t>
            </w:r>
          </w:p>
        </w:tc>
        <w:tc>
          <w:tcPr>
            <w:tcW w:w="474"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470"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90" w:type="dxa"/>
            <w:tcBorders/>
            <w:shd w:fill="auto" w:val="clear"/>
            <w:vAlign w:val="bottom"/>
          </w:tcPr>
          <w:p>
            <w:pPr>
              <w:pStyle w:val="TableContents"/>
              <w:spacing w:lineRule="atLeast" w:line="141" w:before="240" w:after="240"/>
              <w:ind w:left="0" w:right="0" w:hanging="0"/>
              <w:rPr/>
            </w:pPr>
            <w:r>
              <w:rPr/>
              <w:t> </w:t>
            </w:r>
          </w:p>
        </w:tc>
      </w:tr>
      <w:tr>
        <w:trPr/>
        <w:tc>
          <w:tcPr>
            <w:tcW w:w="2760" w:type="dxa"/>
            <w:tcBorders>
              <w:bottom w:val="single" w:sz="8" w:space="0" w:color="000000"/>
            </w:tcBorders>
            <w:shd w:fill="auto" w:val="clear"/>
            <w:tcMar>
              <w:bottom w:w="28" w:type="dxa"/>
            </w:tcMar>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6"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90" w:type="dxa"/>
            <w:tcBorders/>
            <w:shd w:fill="auto" w:val="clear"/>
            <w:vAlign w:val="bottom"/>
          </w:tcPr>
          <w:p>
            <w:pPr>
              <w:pStyle w:val="TableContents"/>
              <w:spacing w:lineRule="atLeast" w:line="141"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0"/>
              <w:ind w:left="0" w:right="0" w:hanging="0"/>
              <w:rPr>
                <w:b/>
                <w:i/>
                <w:sz w:val="12"/>
              </w:rPr>
            </w:pPr>
            <w:r>
              <w:rPr>
                <w:b/>
                <w:i/>
                <w:sz w:val="12"/>
              </w:rPr>
              <w:t>Selected Items Impacting Comparability</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pPr>
            <w:r>
              <w:rPr/>
              <w:t> </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pPr>
            <w:r>
              <w:rPr/>
              <w:t> </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LTIP charge(2)</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(6.2</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(6.2</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76"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79"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10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(20.2</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  (20.2</w:t>
            </w:r>
          </w:p>
        </w:tc>
        <w:tc>
          <w:tcPr>
            <w:tcW w:w="7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0"/>
              <w:ind w:left="0" w:right="0" w:hanging="0"/>
              <w:rPr>
                <w:sz w:val="12"/>
              </w:rPr>
            </w:pPr>
            <w:r>
              <w:rPr>
                <w:sz w:val="12"/>
              </w:rPr>
              <w:t>FAS 133 non-cash mark-to-market adjustment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(13.4</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(13.4</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FX gain (loss)</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5" w:type="dxa"/>
            <w:tcBorders/>
            <w:shd w:fill="auto"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(0.4</w:t>
            </w:r>
          </w:p>
        </w:tc>
        <w:tc>
          <w:tcPr>
            <w:tcW w:w="7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(5.8</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(5.8</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76"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79"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(5.9</w:t>
            </w:r>
          </w:p>
        </w:tc>
        <w:tc>
          <w:tcPr>
            <w:tcW w:w="10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(34.1</w:t>
            </w:r>
          </w:p>
        </w:tc>
        <w:tc>
          <w:tcPr>
            <w:tcW w:w="75" w:type="dxa"/>
            <w:tcBorders/>
            <w:shd w:fill="CCEEFF" w:val="cle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(34.1</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bottom w:val="single" w:sz="8" w:space="0" w:color="000000"/>
            </w:tcBorders>
            <w:shd w:fill="auto" w:val="clear"/>
            <w:tcMar>
              <w:left w:w="28" w:type="dxa"/>
              <w:bottom w:w="28" w:type="dxa"/>
            </w:tcMar>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6"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right w:val="single" w:sz="8" w:space="0" w:color="000000"/>
            </w:tcBorders>
            <w:shd w:fill="auto" w:val="clear"/>
            <w:tcMar>
              <w:bottom w:w="28" w:type="dxa"/>
              <w:right w:w="28" w:type="dxa"/>
            </w:tcMar>
            <w:vAlign w:val="bottom"/>
          </w:tcPr>
          <w:p>
            <w:pPr>
              <w:pStyle w:val="TableContents"/>
              <w:spacing w:lineRule="atLeast" w:line="141" w:before="0" w:after="0"/>
              <w:ind w:left="0" w:right="0" w:hanging="0"/>
              <w:rPr/>
            </w:pPr>
            <w:r>
              <w:rPr/>
              <w:t> </w:t>
            </w:r>
          </w:p>
        </w:tc>
        <w:tc>
          <w:tcPr>
            <w:tcW w:w="90" w:type="dxa"/>
            <w:tcBorders/>
            <w:shd w:fill="auto" w:val="clear"/>
            <w:vAlign w:val="bottom"/>
          </w:tcPr>
          <w:p>
            <w:pPr>
              <w:pStyle w:val="TableContents"/>
              <w:spacing w:lineRule="atLeast" w:line="141" w:before="0" w:after="0"/>
              <w:ind w:left="0" w:right="0" w:hanging="0"/>
              <w:rPr/>
            </w:pPr>
            <w:r>
              <w:rPr/>
              <w:t> </w:t>
            </w:r>
          </w:p>
        </w:tc>
      </w:tr>
      <w:tr>
        <w:trPr/>
        <w:tc>
          <w:tcPr>
            <w:tcW w:w="2760" w:type="dxa"/>
            <w:tcBorders/>
            <w:shd w:fill="auto" w:val="clear"/>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455"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60" w:type="dxa"/>
            <w:tcBorders/>
            <w:shd w:fill="auto" w:val="clear"/>
            <w:vAlign w:val="bottom"/>
          </w:tcPr>
          <w:p>
            <w:pPr>
              <w:pStyle w:val="TableContents"/>
              <w:spacing w:lineRule="atLeast" w:line="141" w:before="240" w:after="240"/>
              <w:ind w:left="0" w:right="0" w:hanging="0"/>
              <w:rPr/>
            </w:pPr>
            <w:r>
              <w:rPr/>
              <w:t> </w:t>
            </w:r>
          </w:p>
        </w:tc>
        <w:tc>
          <w:tcPr>
            <w:tcW w:w="420"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87" w:type="dxa"/>
            <w:tcBorders/>
            <w:shd w:fill="auto" w:val="clear"/>
            <w:vAlign w:val="bottom"/>
          </w:tcPr>
          <w:p>
            <w:pPr>
              <w:pStyle w:val="TableContents"/>
              <w:spacing w:lineRule="atLeast" w:line="141" w:before="240" w:after="240"/>
              <w:ind w:left="0" w:right="0" w:hanging="0"/>
              <w:rPr/>
            </w:pPr>
            <w:r>
              <w:rPr/>
              <w:t> </w:t>
            </w:r>
          </w:p>
        </w:tc>
        <w:tc>
          <w:tcPr>
            <w:tcW w:w="442" w:type="dxa"/>
            <w:tcBorders/>
            <w:shd w:fill="auto" w:val="clear"/>
            <w:vAlign w:val="bottom"/>
          </w:tcPr>
          <w:p>
            <w:pPr>
              <w:pStyle w:val="TableContents"/>
              <w:spacing w:lineRule="atLeast" w:line="141" w:before="240" w:after="240"/>
              <w:ind w:left="0" w:right="0" w:hanging="0"/>
              <w:rPr/>
            </w:pPr>
            <w:r>
              <w:rPr/>
              <w:t> </w:t>
            </w:r>
          </w:p>
        </w:tc>
        <w:tc>
          <w:tcPr>
            <w:tcW w:w="76"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451"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89" w:type="dxa"/>
            <w:tcBorders/>
            <w:shd w:fill="auto" w:val="clear"/>
            <w:vAlign w:val="bottom"/>
          </w:tcPr>
          <w:p>
            <w:pPr>
              <w:pStyle w:val="TableContents"/>
              <w:spacing w:lineRule="atLeast" w:line="141" w:before="240" w:after="240"/>
              <w:ind w:left="0" w:right="0" w:hanging="0"/>
              <w:rPr/>
            </w:pPr>
            <w:r>
              <w:rPr/>
              <w:t> </w:t>
            </w:r>
          </w:p>
        </w:tc>
        <w:tc>
          <w:tcPr>
            <w:tcW w:w="437"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451" w:type="dxa"/>
            <w:tcBorders/>
            <w:shd w:fill="auto" w:val="clear"/>
            <w:vAlign w:val="bottom"/>
          </w:tcPr>
          <w:p>
            <w:pPr>
              <w:pStyle w:val="TableContents"/>
              <w:spacing w:lineRule="atLeast" w:line="141" w:before="240" w:after="240"/>
              <w:ind w:left="0" w:right="0" w:hanging="0"/>
              <w:rPr/>
            </w:pPr>
            <w:r>
              <w:rPr/>
              <w:t> </w:t>
            </w:r>
          </w:p>
        </w:tc>
        <w:tc>
          <w:tcPr>
            <w:tcW w:w="10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62" w:type="dxa"/>
            <w:tcBorders/>
            <w:shd w:fill="auto" w:val="clear"/>
            <w:vAlign w:val="bottom"/>
          </w:tcPr>
          <w:p>
            <w:pPr>
              <w:pStyle w:val="TableContents"/>
              <w:spacing w:lineRule="atLeast" w:line="141" w:before="240" w:after="240"/>
              <w:ind w:left="0" w:right="0" w:hanging="0"/>
              <w:rPr/>
            </w:pPr>
            <w:r>
              <w:rPr/>
              <w:t> </w:t>
            </w:r>
          </w:p>
        </w:tc>
        <w:tc>
          <w:tcPr>
            <w:tcW w:w="474"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195" w:type="dxa"/>
            <w:tcBorders/>
            <w:shd w:fill="auto" w:val="clear"/>
            <w:vAlign w:val="bottom"/>
          </w:tcPr>
          <w:p>
            <w:pPr>
              <w:pStyle w:val="TableContents"/>
              <w:spacing w:lineRule="atLeast" w:line="141" w:before="240" w:after="240"/>
              <w:ind w:left="0" w:right="0" w:hanging="0"/>
              <w:rPr/>
            </w:pPr>
            <w:r>
              <w:rPr/>
              <w:t> </w:t>
            </w:r>
          </w:p>
        </w:tc>
        <w:tc>
          <w:tcPr>
            <w:tcW w:w="75" w:type="dxa"/>
            <w:tcBorders/>
            <w:shd w:fill="auto" w:val="clear"/>
            <w:vAlign w:val="bottom"/>
          </w:tcPr>
          <w:p>
            <w:pPr>
              <w:pStyle w:val="TableContents"/>
              <w:spacing w:lineRule="atLeast" w:line="141" w:before="240" w:after="240"/>
              <w:ind w:left="0" w:right="0" w:hanging="0"/>
              <w:rPr/>
            </w:pPr>
            <w:r>
              <w:rPr/>
              <w:t> </w:t>
            </w:r>
          </w:p>
        </w:tc>
        <w:tc>
          <w:tcPr>
            <w:tcW w:w="470" w:type="dxa"/>
            <w:tcBorders/>
            <w:shd w:fill="auto" w:val="clear"/>
            <w:vAlign w:val="bottom"/>
          </w:tcPr>
          <w:p>
            <w:pPr>
              <w:pStyle w:val="TableContents"/>
              <w:spacing w:lineRule="atLeast" w:line="141" w:before="240" w:after="240"/>
              <w:ind w:left="0" w:right="0" w:hanging="0"/>
              <w:rPr/>
            </w:pPr>
            <w:r>
              <w:rPr/>
              <w:t> </w:t>
            </w:r>
          </w:p>
        </w:tc>
        <w:tc>
          <w:tcPr>
            <w:tcW w:w="79" w:type="dxa"/>
            <w:tcBorders/>
            <w:shd w:fill="auto" w:val="clear"/>
            <w:vAlign w:val="bottom"/>
          </w:tcPr>
          <w:p>
            <w:pPr>
              <w:pStyle w:val="TableContents"/>
              <w:spacing w:lineRule="atLeast" w:line="141" w:before="240" w:after="240"/>
              <w:ind w:left="0" w:right="0" w:hanging="0"/>
              <w:rPr/>
            </w:pPr>
            <w:r>
              <w:rPr/>
              <w:t> </w:t>
            </w:r>
          </w:p>
        </w:tc>
        <w:tc>
          <w:tcPr>
            <w:tcW w:w="90" w:type="dxa"/>
            <w:tcBorders/>
            <w:shd w:fill="auto" w:val="clear"/>
            <w:vAlign w:val="bottom"/>
          </w:tcPr>
          <w:p>
            <w:pPr>
              <w:pStyle w:val="TableContents"/>
              <w:spacing w:lineRule="atLeast" w:line="141" w:before="240" w:after="240"/>
              <w:ind w:left="0" w:right="0" w:hanging="0"/>
              <w:rPr/>
            </w:pPr>
            <w:r>
              <w:rPr/>
              <w:t> </w:t>
            </w:r>
          </w:p>
        </w:tc>
      </w:tr>
      <w:tr>
        <w:trPr/>
        <w:tc>
          <w:tcPr>
            <w:tcW w:w="2760" w:type="dxa"/>
            <w:tcBorders>
              <w:bottom w:val="single" w:sz="8" w:space="0" w:color="000000"/>
            </w:tcBorders>
            <w:shd w:fill="auto" w:val="clear"/>
            <w:tcMar>
              <w:bottom w:w="28" w:type="dxa"/>
            </w:tcMar>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6"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90" w:type="dxa"/>
            <w:tcBorders/>
            <w:shd w:fill="auto" w:val="clear"/>
            <w:vAlign w:val="bottom"/>
          </w:tcPr>
          <w:p>
            <w:pPr>
              <w:pStyle w:val="TableContents"/>
              <w:spacing w:lineRule="atLeast" w:line="141"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0"/>
              <w:ind w:left="0" w:right="0" w:hanging="0"/>
              <w:rPr>
                <w:b/>
                <w:i/>
                <w:sz w:val="12"/>
              </w:rPr>
            </w:pPr>
            <w:r>
              <w:rPr>
                <w:b/>
                <w:i/>
                <w:sz w:val="12"/>
              </w:rPr>
              <w:t>Excluding Selected Items Impacting Comparability</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shd w:fill="CCEEFF" w:val="clear"/>
            <w:vAlign w:val="bottom"/>
          </w:tcPr>
          <w:p>
            <w:pPr>
              <w:pStyle w:val="TableContents"/>
              <w:spacing w:before="0" w:after="0"/>
              <w:ind w:left="0" w:right="0" w:hanging="0"/>
              <w:rPr/>
            </w:pPr>
            <w:r>
              <w:rPr/>
              <w:t> </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shd w:fill="CCEEFF" w:val="clear"/>
            <w:vAlign w:val="bottom"/>
          </w:tcPr>
          <w:p>
            <w:pPr>
              <w:pStyle w:val="TableContents"/>
              <w:spacing w:before="0" w:after="0"/>
              <w:ind w:left="0" w:right="0" w:hanging="0"/>
              <w:rPr/>
            </w:pPr>
            <w:r>
              <w:rPr/>
              <w:t> </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shd w:fill="CCEEFF" w:val="clear"/>
            <w:vAlign w:val="bottom"/>
          </w:tcPr>
          <w:p>
            <w:pPr>
              <w:pStyle w:val="TableContents"/>
              <w:spacing w:before="0" w:after="0"/>
              <w:ind w:left="0" w:right="0" w:hanging="0"/>
              <w:rPr/>
            </w:pPr>
            <w:r>
              <w:rPr/>
              <w:t> </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Adjusted EBITDA</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$ 105.0</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$ 115.0</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$ 82.0</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$ 92.0</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$ 72.0</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$ 82.0</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$ 342.0</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$ 372.0</w:t>
            </w:r>
          </w:p>
        </w:tc>
        <w:tc>
          <w:tcPr>
            <w:tcW w:w="7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0"/>
              <w:ind w:left="0" w:right="0" w:hanging="0"/>
              <w:rPr>
                <w:sz w:val="12"/>
              </w:rPr>
            </w:pPr>
            <w:r>
              <w:rPr>
                <w:sz w:val="12"/>
              </w:rPr>
              <w:t>Adjusted Net Income</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71.0</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81.4</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$ 45.8</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$ 56.4</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$ 34.6</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$ 45.4</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$ 200.7</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$ 232.5</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Adjusted Basic Net Income per Limited Partner Unit</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0.97</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1.13</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7" w:type="dxa"/>
            <w:tcBorders/>
            <w:shd w:fill="auto" w:val="clear"/>
            <w:vAlign w:val="bottom"/>
          </w:tcPr>
          <w:p>
            <w:pPr>
              <w:pStyle w:val="TableContents"/>
              <w:spacing w:before="0" w:after="0"/>
              <w:ind w:left="0" w:right="0" w:hanging="0"/>
              <w:rPr/>
            </w:pPr>
            <w:r>
              <w:rPr/>
              <w:t> </w:t>
            </w:r>
          </w:p>
        </w:tc>
        <w:tc>
          <w:tcPr>
            <w:tcW w:w="4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$ 0.61</w:t>
            </w:r>
          </w:p>
        </w:tc>
        <w:tc>
          <w:tcPr>
            <w:tcW w:w="7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$ 0.76</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9" w:type="dxa"/>
            <w:tcBorders/>
            <w:shd w:fill="auto" w:val="clear"/>
            <w:vAlign w:val="bottom"/>
          </w:tcPr>
          <w:p>
            <w:pPr>
              <w:pStyle w:val="TableContents"/>
              <w:spacing w:before="0" w:after="0"/>
              <w:ind w:left="0" w:right="0" w:hanging="0"/>
              <w:rPr/>
            </w:pPr>
            <w:r>
              <w:rPr/>
              <w:t> </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$ 0.45</w:t>
            </w:r>
          </w:p>
        </w:tc>
        <w:tc>
          <w:tcPr>
            <w:tcW w:w="79"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$ 0.60</w:t>
            </w:r>
          </w:p>
        </w:tc>
        <w:tc>
          <w:tcPr>
            <w:tcW w:w="10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2" w:type="dxa"/>
            <w:tcBorders/>
            <w:shd w:fill="auto" w:val="clear"/>
            <w:vAlign w:val="bottom"/>
          </w:tcPr>
          <w:p>
            <w:pPr>
              <w:pStyle w:val="TableContents"/>
              <w:spacing w:before="0" w:after="0"/>
              <w:ind w:left="0" w:right="0" w:hanging="0"/>
              <w:rPr/>
            </w:pPr>
            <w:r>
              <w:rPr/>
              <w:t> </w:t>
            </w:r>
          </w:p>
        </w:tc>
        <w:tc>
          <w:tcPr>
            <w:tcW w:w="4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2.71</w:t>
            </w:r>
          </w:p>
        </w:tc>
        <w:tc>
          <w:tcPr>
            <w:tcW w:w="7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4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3.16</w:t>
            </w:r>
          </w:p>
        </w:tc>
        <w:tc>
          <w:tcPr>
            <w:tcW w:w="7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2760" w:type="dxa"/>
            <w:tcBorders>
              <w:left w:val="single" w:sz="8" w:space="0" w:color="000000"/>
            </w:tcBorders>
            <w:shd w:fill="CCEEFF" w:val="clear"/>
            <w:tcMar>
              <w:left w:w="28" w:type="dxa"/>
            </w:tcMar>
          </w:tcPr>
          <w:p>
            <w:pPr>
              <w:pStyle w:val="TableContents"/>
              <w:spacing w:before="0" w:after="0"/>
              <w:ind w:left="0" w:right="0" w:hanging="0"/>
              <w:rPr>
                <w:sz w:val="12"/>
              </w:rPr>
            </w:pPr>
            <w:r>
              <w:rPr>
                <w:sz w:val="12"/>
              </w:rPr>
              <w:t>Adjusted Diluted Net Income per Limited Partner Unit</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0.96</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1.10</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7" w:type="dxa"/>
            <w:tcBorders/>
            <w:shd w:fill="CCEEFF" w:val="clear"/>
            <w:vAlign w:val="bottom"/>
          </w:tcPr>
          <w:p>
            <w:pPr>
              <w:pStyle w:val="TableContents"/>
              <w:spacing w:before="0" w:after="0"/>
              <w:ind w:left="0" w:right="0" w:hanging="0"/>
              <w:rPr/>
            </w:pPr>
            <w:r>
              <w:rPr/>
              <w:t> </w:t>
            </w:r>
          </w:p>
        </w:tc>
        <w:tc>
          <w:tcPr>
            <w:tcW w:w="4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$ 0.60</w:t>
            </w:r>
          </w:p>
        </w:tc>
        <w:tc>
          <w:tcPr>
            <w:tcW w:w="7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$ 0.75</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9" w:type="dxa"/>
            <w:tcBorders/>
            <w:shd w:fill="CCEEFF" w:val="clear"/>
            <w:vAlign w:val="bottom"/>
          </w:tcPr>
          <w:p>
            <w:pPr>
              <w:pStyle w:val="TableContents"/>
              <w:spacing w:before="0" w:after="0"/>
              <w:ind w:left="0" w:right="0" w:hanging="0"/>
              <w:rPr/>
            </w:pPr>
            <w:r>
              <w:rPr/>
              <w:t> </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$ 0.44</w:t>
            </w:r>
          </w:p>
        </w:tc>
        <w:tc>
          <w:tcPr>
            <w:tcW w:w="79"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$ 0.59</w:t>
            </w:r>
          </w:p>
        </w:tc>
        <w:tc>
          <w:tcPr>
            <w:tcW w:w="10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2" w:type="dxa"/>
            <w:tcBorders/>
            <w:shd w:fill="CCEEFF" w:val="clear"/>
            <w:vAlign w:val="bottom"/>
          </w:tcPr>
          <w:p>
            <w:pPr>
              <w:pStyle w:val="TableContents"/>
              <w:spacing w:before="0" w:after="0"/>
              <w:ind w:left="0" w:right="0" w:hanging="0"/>
              <w:rPr/>
            </w:pPr>
            <w:r>
              <w:rPr/>
              <w:t> </w:t>
            </w:r>
          </w:p>
        </w:tc>
        <w:tc>
          <w:tcPr>
            <w:tcW w:w="4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2.66</w:t>
            </w:r>
          </w:p>
        </w:tc>
        <w:tc>
          <w:tcPr>
            <w:tcW w:w="75"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47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   3.11</w:t>
            </w:r>
          </w:p>
        </w:tc>
        <w:tc>
          <w:tcPr>
            <w:tcW w:w="7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2760" w:type="dxa"/>
            <w:tcBorders>
              <w:left w:val="single" w:sz="8" w:space="0" w:color="000000"/>
              <w:bottom w:val="single" w:sz="8" w:space="0" w:color="000000"/>
            </w:tcBorders>
            <w:shd w:fill="auto" w:val="clear"/>
            <w:tcMar>
              <w:left w:w="28" w:type="dxa"/>
              <w:bottom w:w="28" w:type="dxa"/>
            </w:tcMar>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2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4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6"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8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37"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51"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0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62"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4"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19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5"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470" w:type="dxa"/>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p>
        </w:tc>
        <w:tc>
          <w:tcPr>
            <w:tcW w:w="79" w:type="dxa"/>
            <w:tcBorders>
              <w:bottom w:val="single" w:sz="8" w:space="0" w:color="000000"/>
              <w:right w:val="single" w:sz="8" w:space="0" w:color="000000"/>
            </w:tcBorders>
            <w:shd w:fill="auto" w:val="clear"/>
            <w:tcMar>
              <w:bottom w:w="28" w:type="dxa"/>
              <w:right w:w="28" w:type="dxa"/>
            </w:tcMar>
            <w:vAlign w:val="bottom"/>
          </w:tcPr>
          <w:p>
            <w:pPr>
              <w:pStyle w:val="TableContents"/>
              <w:spacing w:lineRule="atLeast" w:line="141" w:before="0" w:after="0"/>
              <w:ind w:left="0" w:right="0" w:hanging="0"/>
              <w:rPr/>
            </w:pPr>
            <w:r>
              <w:rPr/>
              <w:t> </w:t>
            </w:r>
          </w:p>
        </w:tc>
        <w:tc>
          <w:tcPr>
            <w:tcW w:w="90" w:type="dxa"/>
            <w:tcBorders/>
            <w:shd w:fill="auto" w:val="clear"/>
            <w:vAlign w:val="bottom"/>
          </w:tcPr>
          <w:p>
            <w:pPr>
              <w:pStyle w:val="TableContents"/>
              <w:spacing w:lineRule="atLeast" w:line="141"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80"/>
        <w:ind w:left="400" w:right="0" w:hanging="400"/>
        <w:rPr>
          <w:rFonts w:ascii="Times New Roman" w:hAnsi="Times New Roman"/>
        </w:rPr>
      </w:pPr>
      <w:r>
        <w:rPr>
          <w:rFonts w:ascii="Times New Roman" w:hAnsi="Times New Roman"/>
          <w:sz w:val="12"/>
        </w:rPr>
        <w:t>(1)</w:t>
      </w:r>
      <w:r>
        <w:rPr>
          <w:rFonts w:ascii="Times New Roman" w:hAnsi="Times New Roman"/>
        </w:rPr>
        <w:t xml:space="preserve">                </w:t>
      </w:r>
      <w:r>
        <w:rPr>
          <w:rFonts w:ascii="Times New Roman" w:hAnsi="Times New Roman"/>
          <w:sz w:val="12"/>
        </w:rPr>
        <w:t>The projected average foreign exchange rate is $1.25 CAD to $1 USD.</w:t>
      </w:r>
    </w:p>
    <w:p>
      <w:pPr>
        <w:pStyle w:val="TextBody"/>
        <w:spacing w:lineRule="atLeast" w:line="200" w:before="0" w:after="80"/>
        <w:ind w:left="400" w:right="0" w:hanging="400"/>
        <w:rPr>
          <w:rFonts w:ascii="Times New Roman" w:hAnsi="Times New Roman"/>
        </w:rPr>
      </w:pPr>
      <w:r>
        <w:rPr>
          <w:rFonts w:ascii="Times New Roman" w:hAnsi="Times New Roman"/>
          <w:sz w:val="12"/>
        </w:rPr>
        <w:t>(2)</w:t>
      </w:r>
      <w:r>
        <w:rPr>
          <w:rFonts w:ascii="Times New Roman" w:hAnsi="Times New Roman"/>
        </w:rPr>
        <w:t xml:space="preserve">                </w:t>
      </w:r>
      <w:r>
        <w:rPr>
          <w:rFonts w:ascii="Times New Roman" w:hAnsi="Times New Roman"/>
          <w:sz w:val="12"/>
        </w:rPr>
        <w:t>If a $2.80 distribution were to be deemed probable, the LTIP charge would increase by $1.4 million, $0.9 million and $0.9 million for the second, third and fourth quarters of 2005, respectively. The correlating impact to earnings per limited partner unit is $(0.02), $(0.01) and $(0.01) for the second, third and fourth quarters of 2005, respectively. See Note 10.</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80"/>
        <w:ind w:left="0" w:right="0" w:hanging="0"/>
        <w:rPr>
          <w:rFonts w:ascii="Times New Roman" w:hAnsi="Times New Roman"/>
          <w:sz w:val="17"/>
        </w:rPr>
      </w:pPr>
      <w:r>
        <w:rPr>
          <w:rFonts w:ascii="Times New Roman" w:hAnsi="Times New Roman"/>
          <w:sz w:val="17"/>
        </w:rPr>
        <w:t>Notes and Significant Assumptions:</w:t>
      </w:r>
    </w:p>
    <w:p>
      <w:pPr>
        <w:pStyle w:val="TextBody"/>
        <w:keepNext w:val="true"/>
        <w:spacing w:before="0" w:after="180"/>
        <w:ind w:left="400" w:right="0" w:hanging="40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r>
        <w:rPr>
          <w:rFonts w:ascii="Times New Roman" w:hAnsi="Times New Roman"/>
          <w:sz w:val="17"/>
        </w:rPr>
        <w:t>.</w:t>
      </w:r>
    </w:p>
    <w:tbl>
      <w:tblPr>
        <w:tblW w:w="8310" w:type="dxa"/>
        <w:jc w:val="left"/>
        <w:tblInd w:w="0" w:type="dxa"/>
        <w:tblCellMar>
          <w:top w:w="0" w:type="dxa"/>
          <w:left w:w="0" w:type="dxa"/>
          <w:bottom w:w="0" w:type="dxa"/>
          <w:right w:w="0" w:type="dxa"/>
        </w:tblCellMar>
      </w:tblPr>
      <w:tblGrid>
        <w:gridCol w:w="1800"/>
        <w:gridCol w:w="195"/>
        <w:gridCol w:w="6315"/>
      </w:tblGrid>
      <w:tr>
        <w:trPr/>
        <w:tc>
          <w:tcPr>
            <w:tcW w:w="1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95" w:type="dxa"/>
            <w:tcBorders/>
            <w:shd w:fill="CCEEFF" w:val="clear"/>
            <w:vAlign w:val="bottom"/>
          </w:tcPr>
          <w:p>
            <w:pPr>
              <w:pStyle w:val="TableContents"/>
              <w:spacing w:before="0" w:after="0"/>
              <w:ind w:left="0" w:right="0" w:hanging="0"/>
              <w:rPr/>
            </w:pPr>
            <w:r>
              <w:rPr/>
              <w:t> </w:t>
            </w:r>
          </w:p>
        </w:tc>
        <w:tc>
          <w:tcPr>
            <w:tcW w:w="63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95" w:type="dxa"/>
            <w:tcBorders/>
            <w:shd w:fill="auto" w:val="clear"/>
            <w:vAlign w:val="bottom"/>
          </w:tcPr>
          <w:p>
            <w:pPr>
              <w:pStyle w:val="TableContents"/>
              <w:spacing w:before="0" w:after="0"/>
              <w:ind w:left="0" w:right="0" w:hanging="0"/>
              <w:rPr/>
            </w:pPr>
            <w:r>
              <w:rPr/>
              <w:t> </w:t>
            </w:r>
          </w:p>
        </w:tc>
        <w:tc>
          <w:tcPr>
            <w:tcW w:w="63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Bbl/d</w:t>
            </w:r>
          </w:p>
        </w:tc>
        <w:tc>
          <w:tcPr>
            <w:tcW w:w="195" w:type="dxa"/>
            <w:tcBorders/>
            <w:shd w:fill="CCEEFF" w:val="clear"/>
            <w:vAlign w:val="bottom"/>
          </w:tcPr>
          <w:p>
            <w:pPr>
              <w:pStyle w:val="TableContents"/>
              <w:spacing w:before="0" w:after="0"/>
              <w:ind w:left="0" w:right="0" w:hanging="0"/>
              <w:rPr/>
            </w:pPr>
            <w:r>
              <w:rPr/>
              <w:t> </w:t>
            </w:r>
          </w:p>
        </w:tc>
        <w:tc>
          <w:tcPr>
            <w:tcW w:w="63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5" w:type="dxa"/>
            <w:tcBorders/>
            <w:shd w:fill="auto" w:val="clear"/>
            <w:vAlign w:val="bottom"/>
          </w:tcPr>
          <w:p>
            <w:pPr>
              <w:pStyle w:val="TableContents"/>
              <w:spacing w:before="0" w:after="0"/>
              <w:ind w:left="0" w:right="0" w:hanging="0"/>
              <w:rPr/>
            </w:pPr>
            <w:r>
              <w:rPr/>
              <w:t> </w:t>
            </w:r>
          </w:p>
        </w:tc>
        <w:tc>
          <w:tcPr>
            <w:tcW w:w="63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less purchases, field operating costs, and segment general and administrative expenses</w:t>
            </w:r>
          </w:p>
        </w:tc>
      </w:tr>
      <w:tr>
        <w:trPr/>
        <w:tc>
          <w:tcPr>
            <w:tcW w:w="1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195" w:type="dxa"/>
            <w:tcBorders/>
            <w:shd w:fill="CCEEFF" w:val="clear"/>
            <w:vAlign w:val="bottom"/>
          </w:tcPr>
          <w:p>
            <w:pPr>
              <w:pStyle w:val="TableContents"/>
              <w:spacing w:before="0" w:after="0"/>
              <w:ind w:left="0" w:right="0" w:hanging="0"/>
              <w:rPr/>
            </w:pPr>
            <w:r>
              <w:rPr/>
              <w:t> </w:t>
            </w:r>
          </w:p>
        </w:tc>
        <w:tc>
          <w:tcPr>
            <w:tcW w:w="63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95" w:type="dxa"/>
            <w:tcBorders/>
            <w:shd w:fill="auto" w:val="clear"/>
            <w:vAlign w:val="bottom"/>
          </w:tcPr>
          <w:p>
            <w:pPr>
              <w:pStyle w:val="TableContents"/>
              <w:spacing w:before="0" w:after="0"/>
              <w:ind w:left="0" w:right="0" w:hanging="0"/>
              <w:rPr/>
            </w:pPr>
            <w:r>
              <w:rPr/>
              <w:t> </w:t>
            </w:r>
          </w:p>
        </w:tc>
        <w:tc>
          <w:tcPr>
            <w:tcW w:w="63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petroleum products</w:t>
            </w:r>
          </w:p>
        </w:tc>
      </w:tr>
      <w:tr>
        <w:trPr/>
        <w:tc>
          <w:tcPr>
            <w:tcW w:w="18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195" w:type="dxa"/>
            <w:tcBorders/>
            <w:shd w:fill="CCEEFF" w:val="clear"/>
            <w:vAlign w:val="bottom"/>
          </w:tcPr>
          <w:p>
            <w:pPr>
              <w:pStyle w:val="TableContents"/>
              <w:spacing w:before="0" w:after="0"/>
              <w:ind w:left="0" w:right="0" w:hanging="0"/>
              <w:rPr/>
            </w:pPr>
            <w:r>
              <w:rPr/>
              <w:t> </w:t>
            </w:r>
          </w:p>
        </w:tc>
        <w:tc>
          <w:tcPr>
            <w:tcW w:w="63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8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195" w:type="dxa"/>
            <w:tcBorders/>
            <w:shd w:fill="auto" w:val="clear"/>
            <w:vAlign w:val="bottom"/>
          </w:tcPr>
          <w:p>
            <w:pPr>
              <w:pStyle w:val="TableContents"/>
              <w:spacing w:before="0" w:after="0"/>
              <w:ind w:left="0" w:right="0" w:hanging="0"/>
              <w:rPr/>
            </w:pPr>
            <w:r>
              <w:rPr/>
              <w:t> </w:t>
            </w:r>
          </w:p>
        </w:tc>
        <w:tc>
          <w:tcPr>
            <w:tcW w:w="63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bl>
    <w:p>
      <w:pPr>
        <w:pStyle w:val="TextBody"/>
        <w:spacing w:lineRule="atLeast" w:line="141" w:before="0" w:after="160"/>
        <w:ind w:left="0" w:right="0" w:hanging="0"/>
        <w:rPr/>
      </w:pPr>
      <w:r>
        <w:rPr/>
        <w:t> </w:t>
      </w:r>
    </w:p>
    <w:p>
      <w:pPr>
        <w:pStyle w:val="TextBody"/>
        <w:spacing w:before="0" w:after="180"/>
        <w:ind w:left="400" w:right="0" w:hanging="400"/>
        <w:rPr>
          <w:rFonts w:ascii="Times New Roman" w:hAnsi="Times New Roman"/>
          <w:sz w:val="17"/>
        </w:rPr>
      </w:pPr>
      <w:r>
        <w:rPr>
          <w:rFonts w:ascii="Times New Roman" w:hAnsi="Times New Roman"/>
          <w:sz w:val="17"/>
        </w:rPr>
        <w:t xml:space="preserve">2.                 </w:t>
      </w:r>
      <w:r>
        <w:rPr>
          <w:rFonts w:ascii="Times New Roman" w:hAnsi="Times New Roman"/>
          <w:i/>
          <w:sz w:val="17"/>
        </w:rPr>
        <w:t>Pipeline Operations.</w:t>
      </w:r>
      <w:r>
        <w:rPr>
          <w:rFonts w:ascii="Times New Roman" w:hAnsi="Times New Roman"/>
          <w:sz w:val="17"/>
        </w:rPr>
        <w:t>   Pipeline volume estimates are based on historical trends, anticipated future operating performance and completion of organic growth projects. Volumes are influenced by temporary market-driven storage and withdrawal of oil, end-user refinery maintenance schedules, field declines and other external factors beyond our control. Actual segment profit could vary materially depending on the level of volumes transported. The following table summarizes our pipeline volumes and breaks out the major systems that are significant either in total volumes transported or in contribution to total net revenue.</w:t>
      </w:r>
    </w:p>
    <w:tbl>
      <w:tblPr>
        <w:tblW w:w="8335" w:type="dxa"/>
        <w:jc w:val="left"/>
        <w:tblInd w:w="0" w:type="dxa"/>
        <w:tblCellMar>
          <w:top w:w="0" w:type="dxa"/>
          <w:left w:w="0" w:type="dxa"/>
          <w:bottom w:w="0" w:type="dxa"/>
          <w:right w:w="0" w:type="dxa"/>
        </w:tblCellMar>
      </w:tblPr>
      <w:tblGrid>
        <w:gridCol w:w="2775"/>
        <w:gridCol w:w="195"/>
        <w:gridCol w:w="60"/>
        <w:gridCol w:w="110"/>
        <w:gridCol w:w="480"/>
        <w:gridCol w:w="60"/>
        <w:gridCol w:w="195"/>
        <w:gridCol w:w="110"/>
        <w:gridCol w:w="480"/>
        <w:gridCol w:w="285"/>
        <w:gridCol w:w="120"/>
        <w:gridCol w:w="110"/>
        <w:gridCol w:w="480"/>
        <w:gridCol w:w="270"/>
        <w:gridCol w:w="195"/>
        <w:gridCol w:w="75"/>
        <w:gridCol w:w="110"/>
        <w:gridCol w:w="480"/>
        <w:gridCol w:w="270"/>
        <w:gridCol w:w="195"/>
        <w:gridCol w:w="225"/>
        <w:gridCol w:w="110"/>
        <w:gridCol w:w="480"/>
        <w:gridCol w:w="270"/>
        <w:gridCol w:w="195"/>
      </w:tblGrid>
      <w:tr>
        <w:trPr/>
        <w:tc>
          <w:tcPr>
            <w:tcW w:w="277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5170" w:type="dxa"/>
            <w:gridSpan w:val="2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277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3890" w:type="dxa"/>
            <w:gridSpan w:val="1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19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277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19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2985" w:type="dxa"/>
            <w:gridSpan w:val="1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19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277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March 31</w:t>
            </w:r>
          </w:p>
        </w:tc>
        <w:tc>
          <w:tcPr>
            <w:tcW w:w="195" w:type="dxa"/>
            <w:tcBorders/>
            <w:shd w:fill="auto" w:val="clear"/>
            <w:vAlign w:val="bottom"/>
          </w:tcPr>
          <w:p>
            <w:pPr>
              <w:pStyle w:val="TableContents"/>
              <w:spacing w:lineRule="atLeast" w:line="160"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8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980"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19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935"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19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(000s Bbl/d)</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28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277</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268</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270</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290</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276</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160</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w:t>
            </w:r>
          </w:p>
        </w:tc>
        <w:tc>
          <w:tcPr>
            <w:tcW w:w="28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137</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142</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Cushing to Broome</w:t>
            </w:r>
            <w:r>
              <w:rPr>
                <w:rFonts w:ascii="Times New Roman" w:hAnsi="Times New Roman"/>
                <w:position w:val="5"/>
                <w:sz w:val="13"/>
                <w:sz w:val="17"/>
              </w:rPr>
              <w:t>(4)</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 New Mexico area systems</w:t>
            </w:r>
            <w:r>
              <w:rPr>
                <w:rFonts w:ascii="Times New Roman" w:hAnsi="Times New Roman"/>
                <w:position w:val="5"/>
                <w:sz w:val="13"/>
                <w:sz w:val="17"/>
              </w:rPr>
              <w:t>(1)</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401</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407</w:t>
            </w:r>
          </w:p>
        </w:tc>
        <w:tc>
          <w:tcPr>
            <w:tcW w:w="28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381</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381</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393</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546</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567</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587</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595</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573</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1,461</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1,521</w:t>
            </w:r>
          </w:p>
        </w:tc>
        <w:tc>
          <w:tcPr>
            <w:tcW w:w="28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1,506</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1,524</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1,503</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Canada</w:t>
            </w:r>
            <w:r>
              <w:rPr>
                <w:rFonts w:ascii="Times New Roman" w:hAnsi="Times New Roman"/>
                <w:position w:val="5"/>
                <w:sz w:val="13"/>
                <w:sz w:val="17"/>
              </w:rPr>
              <w:t>(2)</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268</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262</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271</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271</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268</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1,729</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1,783</w:t>
            </w:r>
          </w:p>
        </w:tc>
        <w:tc>
          <w:tcPr>
            <w:tcW w:w="28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1,777</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1,795</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1,771</w:t>
            </w:r>
          </w:p>
        </w:tc>
        <w:tc>
          <w:tcPr>
            <w:tcW w:w="27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Segment Profit ($/Bbl)</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8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r>
      <w:tr>
        <w:trPr/>
        <w:tc>
          <w:tcPr>
            <w:tcW w:w="27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Reported</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0.322</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0.268</w:t>
            </w:r>
          </w:p>
        </w:tc>
        <w:tc>
          <w:tcPr>
            <w:tcW w:w="285" w:type="dxa"/>
            <w:tcBorders/>
            <w:shd w:fill="auto"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2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0.295</w:t>
            </w:r>
          </w:p>
        </w:tc>
        <w:tc>
          <w:tcPr>
            <w:tcW w:w="270" w:type="dxa"/>
            <w:tcBorders/>
            <w:shd w:fill="auto"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0.277</w:t>
            </w:r>
          </w:p>
        </w:tc>
        <w:tc>
          <w:tcPr>
            <w:tcW w:w="270" w:type="dxa"/>
            <w:tcBorders/>
            <w:shd w:fill="auto"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0.290</w:t>
            </w:r>
          </w:p>
        </w:tc>
        <w:tc>
          <w:tcPr>
            <w:tcW w:w="270" w:type="dxa"/>
            <w:tcBorders/>
            <w:shd w:fill="auto"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auto" w:val="clear"/>
            <w:vAlign w:val="bottom"/>
          </w:tcPr>
          <w:p>
            <w:pPr>
              <w:pStyle w:val="TableContents"/>
              <w:spacing w:before="0" w:after="0"/>
              <w:ind w:left="0" w:right="0" w:hanging="0"/>
              <w:rPr/>
            </w:pPr>
            <w:r>
              <w:rPr/>
              <w:t> </w:t>
            </w:r>
          </w:p>
        </w:tc>
      </w:tr>
      <w:tr>
        <w:trPr/>
        <w:tc>
          <w:tcPr>
            <w:tcW w:w="27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0.330</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0.287</w:t>
            </w:r>
          </w:p>
        </w:tc>
        <w:tc>
          <w:tcPr>
            <w:tcW w:w="285" w:type="dxa"/>
            <w:tcBorders/>
            <w:shd w:fill="CCEEFF"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2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0.312</w:t>
            </w:r>
          </w:p>
        </w:tc>
        <w:tc>
          <w:tcPr>
            <w:tcW w:w="270" w:type="dxa"/>
            <w:tcBorders/>
            <w:shd w:fill="CCEEFF"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0.294</w:t>
            </w:r>
          </w:p>
        </w:tc>
        <w:tc>
          <w:tcPr>
            <w:tcW w:w="270" w:type="dxa"/>
            <w:tcBorders/>
            <w:shd w:fill="CCEEFF"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0.306</w:t>
            </w:r>
          </w:p>
        </w:tc>
        <w:tc>
          <w:tcPr>
            <w:tcW w:w="270" w:type="dxa"/>
            <w:tcBorders/>
            <w:shd w:fill="CCEEFF" w:val="clear"/>
            <w:vAlign w:val="bottom"/>
          </w:tcPr>
          <w:p>
            <w:pPr>
              <w:pStyle w:val="TableContents"/>
              <w:spacing w:before="0" w:after="0"/>
              <w:ind w:left="0" w:right="0" w:hanging="0"/>
              <w:rPr>
                <w:rFonts w:ascii="Times New Roman" w:hAnsi="Times New Roman"/>
                <w:position w:val="5"/>
                <w:sz w:val="13"/>
                <w:sz w:val="17"/>
              </w:rPr>
            </w:pPr>
            <w:r>
              <w:rPr>
                <w:rFonts w:ascii="Times New Roman" w:hAnsi="Times New Roman"/>
                <w:position w:val="5"/>
                <w:sz w:val="13"/>
                <w:sz w:val="17"/>
              </w:rPr>
              <w:t>(3)</w:t>
            </w:r>
          </w:p>
        </w:tc>
        <w:tc>
          <w:tcPr>
            <w:tcW w:w="195"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40"/>
        <w:ind w:left="800" w:right="0" w:hanging="400"/>
        <w:rPr>
          <w:rFonts w:ascii="Times New Roman" w:hAnsi="Times New Roman"/>
          <w:sz w:val="13"/>
        </w:rPr>
      </w:pPr>
      <w:r>
        <w:rPr>
          <w:rFonts w:ascii="Times New Roman" w:hAnsi="Times New Roman"/>
          <w:sz w:val="13"/>
        </w:rPr>
        <w:t>(1)    The aggregate of 10 systems in the West Texas / New Mexico area.</w:t>
      </w:r>
    </w:p>
    <w:p>
      <w:pPr>
        <w:pStyle w:val="TextBody"/>
        <w:spacing w:before="0" w:after="40"/>
        <w:ind w:left="800" w:right="0" w:hanging="400"/>
        <w:rPr>
          <w:rFonts w:ascii="Times New Roman" w:hAnsi="Times New Roman"/>
          <w:sz w:val="13"/>
        </w:rPr>
      </w:pPr>
      <w:r>
        <w:rPr>
          <w:rFonts w:ascii="Times New Roman" w:hAnsi="Times New Roman"/>
          <w:sz w:val="13"/>
        </w:rPr>
        <w:t>(2)    The aggregate of 7 systems.</w:t>
      </w:r>
    </w:p>
    <w:p>
      <w:pPr>
        <w:pStyle w:val="TextBody"/>
        <w:spacing w:before="0" w:after="0"/>
        <w:ind w:left="0" w:right="0" w:hanging="0"/>
        <w:rPr>
          <w:rFonts w:ascii="Times New Roman" w:hAnsi="Times New Roman"/>
          <w:sz w:val="13"/>
        </w:rPr>
      </w:pPr>
      <w:r>
        <w:rPr>
          <w:rFonts w:ascii="Times New Roman" w:hAnsi="Times New Roman"/>
          <w:sz w:val="13"/>
        </w:rPr>
        <w:t>(3)    Mid-point of estimate.</w:t>
      </w:r>
    </w:p>
    <w:p>
      <w:pPr>
        <w:pStyle w:val="TextBody"/>
        <w:spacing w:before="0" w:after="120"/>
        <w:ind w:left="800" w:right="0" w:hanging="400"/>
        <w:rPr>
          <w:rFonts w:ascii="Times New Roman" w:hAnsi="Times New Roman"/>
          <w:sz w:val="13"/>
        </w:rPr>
      </w:pPr>
      <w:r>
        <w:rPr>
          <w:rFonts w:ascii="Times New Roman" w:hAnsi="Times New Roman"/>
          <w:sz w:val="13"/>
        </w:rPr>
        <w:t>(4)    System became operational on March 1, 2005.</w:t>
      </w:r>
    </w:p>
    <w:p>
      <w:pPr>
        <w:pStyle w:val="TextBody"/>
        <w:keepNext w:val="true"/>
        <w:spacing w:before="0" w:after="140"/>
        <w:ind w:left="400" w:right="0" w:hanging="0"/>
        <w:rPr>
          <w:rFonts w:ascii="Times New Roman" w:hAnsi="Times New Roman"/>
          <w:sz w:val="17"/>
        </w:rPr>
      </w:pPr>
      <w:r>
        <w:rPr>
          <w:rFonts w:ascii="Times New Roman" w:hAnsi="Times New Roman"/>
          <w:sz w:val="17"/>
        </w:rPr>
        <w:t xml:space="preserve">Net revenues were forecasted using the volume assumptions in the table above priced at tariff rates currently received, with adjustments where appropriate for estimated escalation in certain rates as allowed by contractual terms. Effective July 1, 2005, common carrier tariffs are permitted to escalate approximately 3.6% in accordance with FERC regulated guidelines. However, in certain instances, </w:t>
      </w:r>
    </w:p>
    <w:p>
      <w:pPr>
        <w:pStyle w:val="TextBody"/>
        <w:spacing w:before="400" w:after="40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40"/>
        <w:ind w:left="400" w:right="0" w:hanging="0"/>
        <w:rPr>
          <w:rFonts w:ascii="Times New Roman" w:hAnsi="Times New Roman"/>
          <w:sz w:val="17"/>
        </w:rPr>
      </w:pPr>
      <w:r>
        <w:rPr>
          <w:rFonts w:ascii="Times New Roman" w:hAnsi="Times New Roman"/>
          <w:sz w:val="17"/>
        </w:rPr>
        <w:t>contractual arrangements or market forces may not allow us to realize the benefit of these permitted escalations. To illustrate the impact volume changes may have on segment profit, the following table provides a volume sensitivity analysis of three systems representing approximately 30% of total pipeline net revenues.</w:t>
      </w:r>
    </w:p>
    <w:tbl>
      <w:tblPr>
        <w:tblW w:w="8390" w:type="dxa"/>
        <w:jc w:val="left"/>
        <w:tblInd w:w="0" w:type="dxa"/>
        <w:tblCellMar>
          <w:top w:w="0" w:type="dxa"/>
          <w:left w:w="0" w:type="dxa"/>
          <w:bottom w:w="28" w:type="dxa"/>
          <w:right w:w="0" w:type="dxa"/>
        </w:tblCellMar>
      </w:tblPr>
      <w:tblGrid>
        <w:gridCol w:w="525"/>
        <w:gridCol w:w="105"/>
        <w:gridCol w:w="4170"/>
        <w:gridCol w:w="240"/>
        <w:gridCol w:w="120"/>
        <w:gridCol w:w="585"/>
        <w:gridCol w:w="120"/>
        <w:gridCol w:w="240"/>
        <w:gridCol w:w="315"/>
        <w:gridCol w:w="240"/>
        <w:gridCol w:w="330"/>
        <w:gridCol w:w="240"/>
        <w:gridCol w:w="345"/>
        <w:gridCol w:w="110"/>
        <w:gridCol w:w="285"/>
        <w:gridCol w:w="180"/>
        <w:gridCol w:w="60"/>
        <w:gridCol w:w="120"/>
        <w:gridCol w:w="60"/>
      </w:tblGrid>
      <w:tr>
        <w:trPr/>
        <w:tc>
          <w:tcPr>
            <w:tcW w:w="8150" w:type="dxa"/>
            <w:gridSpan w:val="16"/>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Volume Sensitivity Analysis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c>
          <w:tcPr>
            <w:tcW w:w="180" w:type="dxa"/>
            <w:gridSpan w:val="2"/>
            <w:tcBorders/>
            <w:shd w:fill="auto" w:val="clear"/>
            <w:tcMar>
              <w:bottom w:w="0" w:type="dxa"/>
            </w:tcMar>
            <w:vAlign w:val="center"/>
          </w:tcPr>
          <w:p>
            <w:pPr>
              <w:pStyle w:val="TableContents"/>
              <w:spacing w:before="0" w:after="0"/>
              <w:ind w:left="0" w:right="0" w:hanging="0"/>
              <w:rPr/>
            </w:pPr>
            <w:r>
              <w:rPr/>
              <w:t> </w:t>
            </w:r>
          </w:p>
        </w:tc>
      </w:tr>
      <w:tr>
        <w:trPr/>
        <w:tc>
          <w:tcPr>
            <w:tcW w:w="4800"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2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85" w:type="dxa"/>
            <w:gridSpan w:val="3"/>
            <w:tcBorders/>
            <w:shd w:fill="auto" w:val="clear"/>
            <w:tcMar>
              <w:bottom w:w="0" w:type="dxa"/>
            </w:tcMar>
            <w:vAlign w:val="bottom"/>
          </w:tcPr>
          <w:p>
            <w:pPr>
              <w:pStyle w:val="TableContents"/>
              <w:spacing w:lineRule="atLeast" w:line="160" w:before="0" w:after="0"/>
              <w:ind w:left="0" w:right="0" w:hanging="0"/>
              <w:rPr>
                <w:b/>
                <w:sz w:val="13"/>
              </w:rPr>
            </w:pPr>
            <w:r>
              <w:rPr>
                <w:rFonts w:ascii="Times New Roman" w:hAnsi="Times New Roman"/>
                <w:b/>
                <w:sz w:val="13"/>
              </w:rPr>
              <w:t>%</w:t>
            </w:r>
            <w:r>
              <w:rPr>
                <w:b/>
                <w:sz w:val="13"/>
              </w:rPr>
              <w:t> of</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100" w:type="dxa"/>
            <w:gridSpan w:val="6"/>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Incr (Decr)</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4800"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Incr (Decr)</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8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System</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100" w:type="dxa"/>
            <w:gridSpan w:val="6"/>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Annualized</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5" w:type="dxa"/>
            <w:tcBorders>
              <w:bottom w:val="single" w:sz="8" w:space="0" w:color="000000"/>
            </w:tcBorders>
            <w:shd w:fill="auto" w:val="cle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System</w:t>
            </w:r>
          </w:p>
        </w:tc>
        <w:tc>
          <w:tcPr>
            <w:tcW w:w="105" w:type="dxa"/>
            <w:tcBorders/>
            <w:shd w:fill="auto" w:val="clear"/>
            <w:tcMar>
              <w:bottom w:w="0" w:type="dxa"/>
            </w:tcMar>
            <w:vAlign w:val="bottom"/>
          </w:tcPr>
          <w:p>
            <w:pPr>
              <w:pStyle w:val="TableContents"/>
              <w:spacing w:lineRule="atLeast" w:line="160" w:before="0" w:after="0"/>
              <w:ind w:left="0" w:right="0" w:hanging="0"/>
              <w:rPr/>
            </w:pPr>
            <w:r>
              <w:rPr/>
              <w:t> </w:t>
            </w:r>
          </w:p>
        </w:tc>
        <w:tc>
          <w:tcPr>
            <w:tcW w:w="4170" w:type="dxa"/>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2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Volume</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8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100" w:type="dxa"/>
            <w:gridSpan w:val="6"/>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Segment Profit</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4800"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(Bbls/d)</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88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100" w:type="dxa"/>
            <w:gridSpan w:val="6"/>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4800" w:type="dxa"/>
            <w:gridSpan w:val="3"/>
            <w:tcBorders/>
            <w:shd w:fill="CCEEFF" w:val="clear"/>
            <w:tcMar>
              <w:bottom w:w="0" w:type="dxa"/>
            </w:tcM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All American</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120" w:type="dxa"/>
            <w:tcBorders/>
            <w:shd w:fill="CCEEFF" w:val="clear"/>
            <w:tcMar>
              <w:bottom w:w="0" w:type="dxa"/>
            </w:tcMar>
            <w:vAlign w:val="bottom"/>
          </w:tcPr>
          <w:p>
            <w:pPr>
              <w:pStyle w:val="TableContents"/>
              <w:spacing w:lineRule="atLeast" w:line="220" w:before="0" w:after="0"/>
              <w:ind w:left="0" w:right="0" w:hanging="0"/>
              <w:rPr/>
            </w:pPr>
            <w:r>
              <w:rPr/>
              <w:t> </w:t>
            </w:r>
          </w:p>
        </w:tc>
        <w:tc>
          <w:tcPr>
            <w:tcW w:w="585"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5,000</w:t>
            </w:r>
          </w:p>
        </w:tc>
        <w:tc>
          <w:tcPr>
            <w:tcW w:w="120" w:type="dxa"/>
            <w:tcBorders/>
            <w:shd w:fill="CCEEFF" w:val="clear"/>
            <w:tcMar>
              <w:bottom w:w="0" w:type="dxa"/>
            </w:tcMar>
            <w:vAlign w:val="bottom"/>
          </w:tcPr>
          <w:p>
            <w:pPr>
              <w:pStyle w:val="TableContents"/>
              <w:spacing w:lineRule="atLeast" w:line="220" w:before="0" w:after="0"/>
              <w:ind w:left="0" w:right="0" w:hanging="0"/>
              <w:rPr/>
            </w:pPr>
            <w:r>
              <w:rPr/>
              <w:t> </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315" w:type="dxa"/>
            <w:tcBorders/>
            <w:shd w:fill="CCEEFF" w:val="clear"/>
            <w:tcMar>
              <w:bottom w:w="0" w:type="dxa"/>
            </w:tcMar>
            <w:vAlign w:val="bottom"/>
          </w:tcPr>
          <w:p>
            <w:pPr>
              <w:pStyle w:val="TableContents"/>
              <w:spacing w:lineRule="atLeast" w:line="220" w:before="0" w:after="0"/>
              <w:ind w:left="0" w:right="0" w:hanging="0"/>
              <w:rPr/>
            </w:pPr>
            <w:r>
              <w:rPr/>
              <w:t> </w:t>
            </w:r>
          </w:p>
        </w:tc>
        <w:tc>
          <w:tcPr>
            <w:tcW w:w="240"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w:t>
            </w:r>
          </w:p>
        </w:tc>
        <w:tc>
          <w:tcPr>
            <w:tcW w:w="330"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345" w:type="dxa"/>
            <w:tcBorders/>
            <w:shd w:fill="CCEEFF" w:val="clear"/>
            <w:tcMar>
              <w:bottom w:w="0" w:type="dxa"/>
            </w:tcMar>
            <w:vAlign w:val="bottom"/>
          </w:tcPr>
          <w:p>
            <w:pPr>
              <w:pStyle w:val="TableContents"/>
              <w:spacing w:lineRule="atLeast" w:line="220" w:before="0" w:after="0"/>
              <w:ind w:left="0" w:right="0" w:hanging="0"/>
              <w:rPr/>
            </w:pPr>
            <w:r>
              <w:rPr/>
              <w:t> </w:t>
            </w:r>
          </w:p>
        </w:tc>
        <w:tc>
          <w:tcPr>
            <w:tcW w:w="110" w:type="dxa"/>
            <w:tcBorders/>
            <w:shd w:fill="CCEEFF" w:val="clear"/>
            <w:tcMar>
              <w:bottom w:w="0"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285"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3.2</w:t>
            </w:r>
          </w:p>
        </w:tc>
        <w:tc>
          <w:tcPr>
            <w:tcW w:w="360" w:type="dxa"/>
            <w:gridSpan w:val="3"/>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lineRule="atLeast" w:line="220" w:before="0" w:after="0"/>
              <w:ind w:left="0" w:right="0" w:hanging="0"/>
              <w:rPr/>
            </w:pPr>
            <w:r>
              <w:rPr/>
              <w:t> </w:t>
            </w:r>
          </w:p>
        </w:tc>
      </w:tr>
      <w:tr>
        <w:trPr/>
        <w:tc>
          <w:tcPr>
            <w:tcW w:w="4800" w:type="dxa"/>
            <w:gridSpan w:val="3"/>
            <w:tcBorders/>
            <w:shd w:fill="auto" w:val="clear"/>
            <w:tcMar>
              <w:bottom w:w="0" w:type="dxa"/>
            </w:tcM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Basin</w:t>
            </w:r>
          </w:p>
        </w:tc>
        <w:tc>
          <w:tcPr>
            <w:tcW w:w="240" w:type="dxa"/>
            <w:tcBorders/>
            <w:shd w:fill="auto" w:val="clear"/>
            <w:tcMar>
              <w:bottom w:w="0" w:type="dxa"/>
            </w:tcMar>
            <w:vAlign w:val="bottom"/>
          </w:tcPr>
          <w:p>
            <w:pPr>
              <w:pStyle w:val="TableContents"/>
              <w:spacing w:lineRule="atLeast" w:line="220" w:before="0" w:after="0"/>
              <w:ind w:left="0" w:right="0" w:hanging="0"/>
              <w:rPr/>
            </w:pPr>
            <w:r>
              <w:rPr/>
              <w:t> </w:t>
            </w:r>
          </w:p>
        </w:tc>
        <w:tc>
          <w:tcPr>
            <w:tcW w:w="120" w:type="dxa"/>
            <w:tcBorders/>
            <w:shd w:fill="auto" w:val="clear"/>
            <w:tcMar>
              <w:bottom w:w="0" w:type="dxa"/>
            </w:tcMar>
            <w:vAlign w:val="bottom"/>
          </w:tcPr>
          <w:p>
            <w:pPr>
              <w:pStyle w:val="TableContents"/>
              <w:spacing w:lineRule="atLeast" w:line="220" w:before="0" w:after="0"/>
              <w:ind w:left="0" w:right="0" w:hanging="0"/>
              <w:rPr/>
            </w:pPr>
            <w:r>
              <w:rPr/>
              <w:t> </w:t>
            </w:r>
          </w:p>
        </w:tc>
        <w:tc>
          <w:tcPr>
            <w:tcW w:w="585" w:type="dxa"/>
            <w:tcBorders/>
            <w:shd w:fill="auto"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20,000</w:t>
            </w:r>
          </w:p>
        </w:tc>
        <w:tc>
          <w:tcPr>
            <w:tcW w:w="120" w:type="dxa"/>
            <w:tcBorders/>
            <w:shd w:fill="auto" w:val="clear"/>
            <w:tcMar>
              <w:bottom w:w="0" w:type="dxa"/>
            </w:tcMar>
            <w:vAlign w:val="bottom"/>
          </w:tcPr>
          <w:p>
            <w:pPr>
              <w:pStyle w:val="TableContents"/>
              <w:spacing w:lineRule="atLeast" w:line="220" w:before="0" w:after="0"/>
              <w:ind w:left="0" w:right="0" w:hanging="0"/>
              <w:rPr/>
            </w:pPr>
            <w:r>
              <w:rPr/>
              <w:t> </w:t>
            </w:r>
          </w:p>
        </w:tc>
        <w:tc>
          <w:tcPr>
            <w:tcW w:w="240" w:type="dxa"/>
            <w:tcBorders/>
            <w:shd w:fill="auto" w:val="clear"/>
            <w:tcMar>
              <w:bottom w:w="0" w:type="dxa"/>
            </w:tcMar>
            <w:vAlign w:val="bottom"/>
          </w:tcPr>
          <w:p>
            <w:pPr>
              <w:pStyle w:val="TableContents"/>
              <w:spacing w:lineRule="atLeast" w:line="220" w:before="0" w:after="0"/>
              <w:ind w:left="0" w:right="0" w:hanging="0"/>
              <w:rPr/>
            </w:pPr>
            <w:r>
              <w:rPr/>
              <w:t> </w:t>
            </w:r>
          </w:p>
        </w:tc>
        <w:tc>
          <w:tcPr>
            <w:tcW w:w="315" w:type="dxa"/>
            <w:tcBorders/>
            <w:shd w:fill="auto" w:val="clear"/>
            <w:tcMar>
              <w:bottom w:w="0" w:type="dxa"/>
            </w:tcMar>
            <w:vAlign w:val="bottom"/>
          </w:tcPr>
          <w:p>
            <w:pPr>
              <w:pStyle w:val="TableContents"/>
              <w:spacing w:lineRule="atLeast" w:line="220" w:before="0" w:after="0"/>
              <w:ind w:left="0" w:right="0" w:hanging="0"/>
              <w:rPr/>
            </w:pPr>
            <w:r>
              <w:rPr/>
              <w:t> </w:t>
            </w:r>
          </w:p>
        </w:tc>
        <w:tc>
          <w:tcPr>
            <w:tcW w:w="240" w:type="dxa"/>
            <w:tcBorders/>
            <w:shd w:fill="auto"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w:t>
            </w:r>
          </w:p>
        </w:tc>
        <w:tc>
          <w:tcPr>
            <w:tcW w:w="330" w:type="dxa"/>
            <w:tcBorders/>
            <w:shd w:fill="auto"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tcMar>
              <w:bottom w:w="0" w:type="dxa"/>
            </w:tcMar>
            <w:vAlign w:val="bottom"/>
          </w:tcPr>
          <w:p>
            <w:pPr>
              <w:pStyle w:val="TableContents"/>
              <w:spacing w:lineRule="atLeast" w:line="220" w:before="0" w:after="0"/>
              <w:ind w:left="0" w:right="0" w:hanging="0"/>
              <w:rPr/>
            </w:pPr>
            <w:r>
              <w:rPr/>
              <w:t> </w:t>
            </w:r>
          </w:p>
        </w:tc>
        <w:tc>
          <w:tcPr>
            <w:tcW w:w="345" w:type="dxa"/>
            <w:tcBorders/>
            <w:shd w:fill="auto" w:val="clear"/>
            <w:tcMar>
              <w:bottom w:w="0" w:type="dxa"/>
            </w:tcMar>
            <w:vAlign w:val="bottom"/>
          </w:tcPr>
          <w:p>
            <w:pPr>
              <w:pStyle w:val="TableContents"/>
              <w:spacing w:lineRule="atLeast" w:line="220" w:before="0" w:after="0"/>
              <w:ind w:left="0" w:right="0" w:hanging="0"/>
              <w:rPr/>
            </w:pPr>
            <w:r>
              <w:rPr/>
              <w:t> </w:t>
            </w:r>
          </w:p>
        </w:tc>
        <w:tc>
          <w:tcPr>
            <w:tcW w:w="110" w:type="dxa"/>
            <w:tcBorders/>
            <w:shd w:fill="auto" w:val="clear"/>
            <w:tcMar>
              <w:bottom w:w="0"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285" w:type="dxa"/>
            <w:tcBorders/>
            <w:shd w:fill="auto"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1.7</w:t>
            </w:r>
          </w:p>
        </w:tc>
        <w:tc>
          <w:tcPr>
            <w:tcW w:w="360" w:type="dxa"/>
            <w:gridSpan w:val="3"/>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lineRule="atLeast" w:line="220" w:before="0" w:after="0"/>
              <w:ind w:left="0" w:right="0" w:hanging="0"/>
              <w:rPr/>
            </w:pPr>
            <w:r>
              <w:rPr/>
              <w:t> </w:t>
            </w:r>
          </w:p>
        </w:tc>
      </w:tr>
      <w:tr>
        <w:trPr/>
        <w:tc>
          <w:tcPr>
            <w:tcW w:w="4800" w:type="dxa"/>
            <w:gridSpan w:val="3"/>
            <w:tcBorders/>
            <w:shd w:fill="CCEEFF" w:val="clear"/>
            <w:tcMar>
              <w:bottom w:w="0" w:type="dxa"/>
            </w:tcM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Capline</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120" w:type="dxa"/>
            <w:tcBorders/>
            <w:shd w:fill="CCEEFF" w:val="clear"/>
            <w:tcMar>
              <w:bottom w:w="0" w:type="dxa"/>
            </w:tcMar>
            <w:vAlign w:val="bottom"/>
          </w:tcPr>
          <w:p>
            <w:pPr>
              <w:pStyle w:val="TableContents"/>
              <w:spacing w:lineRule="atLeast" w:line="220" w:before="0" w:after="0"/>
              <w:ind w:left="0" w:right="0" w:hanging="0"/>
              <w:rPr/>
            </w:pPr>
            <w:r>
              <w:rPr/>
              <w:t> </w:t>
            </w:r>
          </w:p>
        </w:tc>
        <w:tc>
          <w:tcPr>
            <w:tcW w:w="585"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10,000</w:t>
            </w:r>
          </w:p>
        </w:tc>
        <w:tc>
          <w:tcPr>
            <w:tcW w:w="120" w:type="dxa"/>
            <w:tcBorders/>
            <w:shd w:fill="CCEEFF" w:val="clear"/>
            <w:tcMar>
              <w:bottom w:w="0" w:type="dxa"/>
            </w:tcMar>
            <w:vAlign w:val="bottom"/>
          </w:tcPr>
          <w:p>
            <w:pPr>
              <w:pStyle w:val="TableContents"/>
              <w:spacing w:lineRule="atLeast" w:line="220" w:before="0" w:after="0"/>
              <w:ind w:left="0" w:right="0" w:hanging="0"/>
              <w:rPr/>
            </w:pPr>
            <w:r>
              <w:rPr/>
              <w:t> </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315" w:type="dxa"/>
            <w:tcBorders/>
            <w:shd w:fill="CCEEFF" w:val="clear"/>
            <w:tcMar>
              <w:bottom w:w="0" w:type="dxa"/>
            </w:tcMar>
            <w:vAlign w:val="bottom"/>
          </w:tcPr>
          <w:p>
            <w:pPr>
              <w:pStyle w:val="TableContents"/>
              <w:spacing w:lineRule="atLeast" w:line="220" w:before="0" w:after="0"/>
              <w:ind w:left="0" w:right="0" w:hanging="0"/>
              <w:rPr/>
            </w:pPr>
            <w:r>
              <w:rPr/>
              <w:t> </w:t>
            </w:r>
          </w:p>
        </w:tc>
        <w:tc>
          <w:tcPr>
            <w:tcW w:w="240"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w:t>
            </w:r>
          </w:p>
        </w:tc>
        <w:tc>
          <w:tcPr>
            <w:tcW w:w="330"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tcMar>
              <w:bottom w:w="0" w:type="dxa"/>
            </w:tcMar>
            <w:vAlign w:val="bottom"/>
          </w:tcPr>
          <w:p>
            <w:pPr>
              <w:pStyle w:val="TableContents"/>
              <w:spacing w:lineRule="atLeast" w:line="220" w:before="0" w:after="0"/>
              <w:ind w:left="0" w:right="0" w:hanging="0"/>
              <w:rPr/>
            </w:pPr>
            <w:r>
              <w:rPr/>
              <w:t> </w:t>
            </w:r>
          </w:p>
        </w:tc>
        <w:tc>
          <w:tcPr>
            <w:tcW w:w="345" w:type="dxa"/>
            <w:tcBorders/>
            <w:shd w:fill="CCEEFF" w:val="clear"/>
            <w:tcMar>
              <w:bottom w:w="0" w:type="dxa"/>
            </w:tcMar>
            <w:vAlign w:val="bottom"/>
          </w:tcPr>
          <w:p>
            <w:pPr>
              <w:pStyle w:val="TableContents"/>
              <w:spacing w:lineRule="atLeast" w:line="220" w:before="0" w:after="0"/>
              <w:ind w:left="0" w:right="0" w:hanging="0"/>
              <w:rPr/>
            </w:pPr>
            <w:r>
              <w:rPr/>
              <w:t> </w:t>
            </w:r>
          </w:p>
        </w:tc>
        <w:tc>
          <w:tcPr>
            <w:tcW w:w="110" w:type="dxa"/>
            <w:tcBorders/>
            <w:shd w:fill="CCEEFF" w:val="clear"/>
            <w:tcMar>
              <w:bottom w:w="0"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285" w:type="dxa"/>
            <w:tcBorders/>
            <w:shd w:fill="CCEEFF" w:val="clear"/>
            <w:tcMar>
              <w:bottom w:w="0"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w:t>
            </w:r>
          </w:p>
        </w:tc>
        <w:tc>
          <w:tcPr>
            <w:tcW w:w="360" w:type="dxa"/>
            <w:gridSpan w:val="3"/>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lineRule="atLeast" w:line="220" w:before="0" w:after="0"/>
              <w:ind w:left="0" w:right="0" w:hanging="0"/>
              <w:rPr/>
            </w:pPr>
            <w:r>
              <w:rPr/>
              <w:t> </w:t>
            </w:r>
          </w:p>
        </w:tc>
      </w:tr>
      <w:tr>
        <w:trPr/>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05" w:type="dxa"/>
            <w:tcBorders/>
            <w:shd w:fill="auto" w:val="clear"/>
            <w:tcMar>
              <w:bottom w:w="0" w:type="dxa"/>
            </w:tcMar>
            <w:vAlign w:val="center"/>
          </w:tcPr>
          <w:p>
            <w:pPr>
              <w:pStyle w:val="TableContents"/>
              <w:spacing w:before="0" w:after="283"/>
              <w:rPr>
                <w:sz w:val="4"/>
                <w:szCs w:val="4"/>
              </w:rPr>
            </w:pPr>
            <w:r>
              <w:rPr>
                <w:sz w:val="4"/>
                <w:szCs w:val="4"/>
              </w:rPr>
            </w:r>
          </w:p>
        </w:tc>
        <w:tc>
          <w:tcPr>
            <w:tcW w:w="4170"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585"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31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330"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285" w:type="dxa"/>
            <w:tcBorders/>
            <w:shd w:fill="auto" w:val="clear"/>
            <w:tcMar>
              <w:bottom w:w="0" w:type="dxa"/>
            </w:tcMar>
            <w:vAlign w:val="center"/>
          </w:tcPr>
          <w:p>
            <w:pPr>
              <w:pStyle w:val="TableContents"/>
              <w:spacing w:before="0" w:after="283"/>
              <w:rPr>
                <w:sz w:val="4"/>
                <w:szCs w:val="4"/>
              </w:rPr>
            </w:pPr>
            <w:r>
              <w:rPr>
                <w:sz w:val="4"/>
                <w:szCs w:val="4"/>
              </w:rPr>
            </w:r>
          </w:p>
        </w:tc>
        <w:tc>
          <w:tcPr>
            <w:tcW w:w="18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12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lineRule="atLeast" w:line="141" w:before="0" w:after="180"/>
        <w:ind w:left="0" w:right="0" w:hanging="0"/>
        <w:rPr/>
      </w:pPr>
      <w:r>
        <w:rPr/>
        <w:t> </w:t>
      </w:r>
    </w:p>
    <w:p>
      <w:pPr>
        <w:pStyle w:val="TextBody"/>
        <w:spacing w:before="0" w:after="60"/>
        <w:ind w:left="400" w:right="0" w:hanging="400"/>
        <w:rPr>
          <w:rFonts w:ascii="Times New Roman" w:hAnsi="Times New Roman"/>
          <w:sz w:val="17"/>
        </w:rPr>
      </w:pPr>
      <w:r>
        <w:rPr>
          <w:rFonts w:ascii="Times New Roman" w:hAnsi="Times New Roman"/>
          <w:sz w:val="17"/>
        </w:rPr>
        <w:t xml:space="preserve">3.                 </w:t>
      </w:r>
      <w:r>
        <w:rPr>
          <w:rFonts w:ascii="Times New Roman" w:hAnsi="Times New Roman"/>
          <w:i/>
          <w:sz w:val="17"/>
        </w:rPr>
        <w:t>Gathering, Marketing, Terminalling and Storage Operations</w:t>
      </w:r>
      <w:r>
        <w:rPr>
          <w:rFonts w:ascii="Times New Roman" w:hAnsi="Times New Roman"/>
          <w:sz w:val="17"/>
        </w:rPr>
        <w:t>.   The degree of volatility in the crude oil market influences the level of profit in the GMT&amp;S segment. This impact is partially responsible for the 109% increase in projected second quarter segment profit per barrel (excluding the effect of SFAS 133, FX gain or loss and LTIP) over the first quarter. Our guidance for the second half of the year assumes that the level of volatility in the oil markets will subside over the remainder of the year.</w:t>
      </w:r>
    </w:p>
    <w:p>
      <w:pPr>
        <w:pStyle w:val="TextBody"/>
        <w:spacing w:before="0" w:after="140"/>
        <w:ind w:left="400" w:right="0" w:hanging="0"/>
        <w:rPr>
          <w:rFonts w:ascii="Times New Roman" w:hAnsi="Times New Roman"/>
          <w:sz w:val="17"/>
        </w:rPr>
      </w:pPr>
      <w:r>
        <w:rPr>
          <w:rFonts w:ascii="Times New Roman" w:hAnsi="Times New Roman"/>
          <w:sz w:val="17"/>
        </w:rPr>
        <w:t>LPG volumes are influenced by seasonal demands with higher volumes used in the winter months primarily for heating and decreasing during the summer months.</w:t>
      </w:r>
    </w:p>
    <w:tbl>
      <w:tblPr>
        <w:tblW w:w="8455" w:type="dxa"/>
        <w:jc w:val="left"/>
        <w:tblInd w:w="0" w:type="dxa"/>
        <w:tblCellMar>
          <w:top w:w="0" w:type="dxa"/>
          <w:left w:w="0" w:type="dxa"/>
          <w:bottom w:w="0" w:type="dxa"/>
          <w:right w:w="0" w:type="dxa"/>
        </w:tblCellMar>
      </w:tblPr>
      <w:tblGrid>
        <w:gridCol w:w="2910"/>
        <w:gridCol w:w="165"/>
        <w:gridCol w:w="90"/>
        <w:gridCol w:w="95"/>
        <w:gridCol w:w="450"/>
        <w:gridCol w:w="90"/>
        <w:gridCol w:w="165"/>
        <w:gridCol w:w="95"/>
        <w:gridCol w:w="480"/>
        <w:gridCol w:w="285"/>
        <w:gridCol w:w="195"/>
        <w:gridCol w:w="95"/>
        <w:gridCol w:w="450"/>
        <w:gridCol w:w="240"/>
        <w:gridCol w:w="285"/>
        <w:gridCol w:w="150"/>
        <w:gridCol w:w="95"/>
        <w:gridCol w:w="450"/>
        <w:gridCol w:w="240"/>
        <w:gridCol w:w="285"/>
        <w:gridCol w:w="270"/>
        <w:gridCol w:w="95"/>
        <w:gridCol w:w="450"/>
        <w:gridCol w:w="270"/>
        <w:gridCol w:w="60"/>
      </w:tblGrid>
      <w:tr>
        <w:trPr/>
        <w:tc>
          <w:tcPr>
            <w:tcW w:w="291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5320" w:type="dxa"/>
            <w:gridSpan w:val="2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291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3950" w:type="dxa"/>
            <w:gridSpan w:val="1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8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085" w:type="dxa"/>
            <w:gridSpan w:val="4"/>
            <w:tcBorders>
              <w:top w:val="single" w:sz="8" w:space="0" w:color="000000"/>
            </w:tcBorders>
            <w:shd w:fill="auto" w:val="clear"/>
            <w:tcMar>
              <w:top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291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72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16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3060" w:type="dxa"/>
            <w:gridSpan w:val="1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2910" w:type="dxa"/>
            <w:tcBorders/>
            <w:shd w:fill="auto" w:val="clear"/>
            <w:vAlign w:val="bottom"/>
          </w:tcPr>
          <w:p>
            <w:pPr>
              <w:pStyle w:val="TableContents"/>
              <w:spacing w:lineRule="atLeast" w:line="160" w:before="0" w:after="0"/>
              <w:ind w:left="0" w:right="0" w:hanging="0"/>
              <w:rPr/>
            </w:pPr>
            <w:r>
              <w:rPr/>
              <w:t> </w:t>
            </w:r>
          </w:p>
        </w:tc>
        <w:tc>
          <w:tcPr>
            <w:tcW w:w="165" w:type="dxa"/>
            <w:tcBorders/>
            <w:shd w:fill="auto" w:val="clear"/>
            <w:vAlign w:val="bottom"/>
          </w:tcPr>
          <w:p>
            <w:pPr>
              <w:pStyle w:val="TableContents"/>
              <w:spacing w:lineRule="atLeast" w:line="160" w:before="0" w:after="0"/>
              <w:ind w:left="0" w:right="0" w:hanging="0"/>
              <w:rPr/>
            </w:pPr>
            <w:r>
              <w:rPr/>
              <w:t> </w:t>
            </w:r>
          </w:p>
        </w:tc>
        <w:tc>
          <w:tcPr>
            <w:tcW w:w="7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March 31</w:t>
            </w:r>
          </w:p>
        </w:tc>
        <w:tc>
          <w:tcPr>
            <w:tcW w:w="165"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8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980"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28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935"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2910" w:type="dxa"/>
            <w:tcBorders/>
            <w:shd w:fill="CCEEFF" w:val="clear"/>
          </w:tcPr>
          <w:p>
            <w:pPr>
              <w:pStyle w:val="TableContents"/>
              <w:spacing w:lineRule="atLeast" w:line="200" w:before="0" w:after="0"/>
              <w:ind w:left="0" w:right="0" w:hanging="0"/>
              <w:rPr>
                <w:rFonts w:ascii="Times New Roman" w:hAnsi="Times New Roman"/>
                <w:sz w:val="15"/>
              </w:rPr>
            </w:pPr>
            <w:r>
              <w:rPr>
                <w:rFonts w:ascii="Times New Roman" w:hAnsi="Times New Roman"/>
                <w:sz w:val="15"/>
              </w:rPr>
              <w:t>Average Daily Volumes (000s Bbl/d)</w:t>
            </w:r>
          </w:p>
        </w:tc>
        <w:tc>
          <w:tcPr>
            <w:tcW w:w="165"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575" w:type="dxa"/>
            <w:gridSpan w:val="2"/>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2910" w:type="dxa"/>
            <w:tcBorders/>
            <w:shd w:fill="auto" w:val="clear"/>
          </w:tcPr>
          <w:p>
            <w:pPr>
              <w:pStyle w:val="TableContents"/>
              <w:spacing w:lineRule="atLeast" w:line="200" w:before="0" w:after="0"/>
              <w:ind w:left="0" w:right="0" w:hanging="0"/>
              <w:rPr>
                <w:rFonts w:ascii="Times New Roman" w:hAnsi="Times New Roman"/>
                <w:sz w:val="15"/>
              </w:rPr>
            </w:pPr>
            <w:r>
              <w:rPr>
                <w:rFonts w:ascii="Times New Roman" w:hAnsi="Times New Roman"/>
                <w:sz w:val="15"/>
              </w:rPr>
              <w:t>Crude Oil Lease Gathering</w:t>
            </w:r>
          </w:p>
        </w:tc>
        <w:tc>
          <w:tcPr>
            <w:tcW w:w="165"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shd w:fill="auto" w:val="cle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622</w:t>
            </w:r>
          </w:p>
        </w:tc>
        <w:tc>
          <w:tcPr>
            <w:tcW w:w="9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575" w:type="dxa"/>
            <w:gridSpan w:val="2"/>
            <w:tcBorders/>
            <w:shd w:fill="auto" w:val="cle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635</w:t>
            </w:r>
          </w:p>
        </w:tc>
        <w:tc>
          <w:tcPr>
            <w:tcW w:w="28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545" w:type="dxa"/>
            <w:gridSpan w:val="2"/>
            <w:tcBorders/>
            <w:shd w:fill="auto" w:val="cle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640</w:t>
            </w:r>
          </w:p>
        </w:tc>
        <w:tc>
          <w:tcPr>
            <w:tcW w:w="24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shd w:fill="auto" w:val="cle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645</w:t>
            </w:r>
          </w:p>
        </w:tc>
        <w:tc>
          <w:tcPr>
            <w:tcW w:w="24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shd w:fill="auto" w:val="cle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636</w:t>
            </w:r>
          </w:p>
        </w:tc>
        <w:tc>
          <w:tcPr>
            <w:tcW w:w="27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2910" w:type="dxa"/>
            <w:tcBorders/>
            <w:shd w:fill="CCEEFF" w:val="clear"/>
          </w:tcPr>
          <w:p>
            <w:pPr>
              <w:pStyle w:val="TableContents"/>
              <w:spacing w:lineRule="atLeast" w:line="200" w:before="0" w:after="0"/>
              <w:ind w:left="0" w:right="0" w:hanging="0"/>
              <w:rPr>
                <w:rFonts w:ascii="Times New Roman" w:hAnsi="Times New Roman"/>
                <w:sz w:val="15"/>
              </w:rPr>
            </w:pPr>
            <w:r>
              <w:rPr>
                <w:rFonts w:ascii="Times New Roman" w:hAnsi="Times New Roman"/>
                <w:sz w:val="15"/>
              </w:rPr>
              <w:t>LPG</w:t>
            </w:r>
          </w:p>
        </w:tc>
        <w:tc>
          <w:tcPr>
            <w:tcW w:w="165"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84</w:t>
            </w:r>
          </w:p>
        </w:tc>
        <w:tc>
          <w:tcPr>
            <w:tcW w:w="9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57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35</w:t>
            </w:r>
          </w:p>
        </w:tc>
        <w:tc>
          <w:tcPr>
            <w:tcW w:w="28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50</w:t>
            </w:r>
          </w:p>
        </w:tc>
        <w:tc>
          <w:tcPr>
            <w:tcW w:w="24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80</w:t>
            </w:r>
          </w:p>
        </w:tc>
        <w:tc>
          <w:tcPr>
            <w:tcW w:w="24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62</w:t>
            </w:r>
          </w:p>
        </w:tc>
        <w:tc>
          <w:tcPr>
            <w:tcW w:w="27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291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706</w:t>
            </w:r>
          </w:p>
        </w:tc>
        <w:tc>
          <w:tcPr>
            <w:tcW w:w="9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57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670</w:t>
            </w:r>
          </w:p>
        </w:tc>
        <w:tc>
          <w:tcPr>
            <w:tcW w:w="28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54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690</w:t>
            </w:r>
          </w:p>
        </w:tc>
        <w:tc>
          <w:tcPr>
            <w:tcW w:w="24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725</w:t>
            </w:r>
          </w:p>
        </w:tc>
        <w:tc>
          <w:tcPr>
            <w:tcW w:w="24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54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698</w:t>
            </w:r>
          </w:p>
        </w:tc>
        <w:tc>
          <w:tcPr>
            <w:tcW w:w="27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2910" w:type="dxa"/>
            <w:tcBorders/>
            <w:shd w:fill="CCEEFF" w:val="clear"/>
          </w:tcPr>
          <w:p>
            <w:pPr>
              <w:pStyle w:val="TableContents"/>
              <w:spacing w:lineRule="atLeast" w:line="200" w:before="80" w:after="80"/>
              <w:ind w:left="0" w:right="0" w:hanging="0"/>
              <w:rPr>
                <w:rFonts w:ascii="Times New Roman" w:hAnsi="Times New Roman"/>
                <w:sz w:val="15"/>
              </w:rPr>
            </w:pPr>
            <w:r>
              <w:rPr>
                <w:rFonts w:ascii="Times New Roman" w:hAnsi="Times New Roman"/>
                <w:sz w:val="15"/>
              </w:rPr>
              <w:t>Segment Profit per Barrel</w:t>
            </w:r>
          </w:p>
        </w:tc>
        <w:tc>
          <w:tcPr>
            <w:tcW w:w="165" w:type="dxa"/>
            <w:tcBorders/>
            <w:shd w:fill="CCEEFF" w:val="clear"/>
            <w:vAlign w:val="bottom"/>
          </w:tcPr>
          <w:p>
            <w:pPr>
              <w:pStyle w:val="TableContents"/>
              <w:spacing w:lineRule="atLeast" w:line="200" w:before="80" w:after="80"/>
              <w:ind w:left="0" w:right="0" w:hanging="0"/>
              <w:rPr/>
            </w:pPr>
            <w:r>
              <w:rPr/>
              <w:t> </w:t>
            </w:r>
          </w:p>
        </w:tc>
        <w:tc>
          <w:tcPr>
            <w:tcW w:w="90" w:type="dxa"/>
            <w:tcBorders/>
            <w:shd w:fill="CCEEFF" w:val="clear"/>
            <w:vAlign w:val="bottom"/>
          </w:tcPr>
          <w:p>
            <w:pPr>
              <w:pStyle w:val="TableContents"/>
              <w:spacing w:lineRule="atLeast" w:line="200" w:before="80" w:after="80"/>
              <w:ind w:left="0" w:right="0" w:hanging="0"/>
              <w:rPr/>
            </w:pPr>
            <w:r>
              <w:rPr/>
              <w:t> </w:t>
            </w:r>
          </w:p>
        </w:tc>
        <w:tc>
          <w:tcPr>
            <w:tcW w:w="545" w:type="dxa"/>
            <w:gridSpan w:val="2"/>
            <w:tcBorders/>
            <w:shd w:fill="CCEEFF" w:val="clear"/>
            <w:vAlign w:val="bottom"/>
          </w:tcPr>
          <w:p>
            <w:pPr>
              <w:pStyle w:val="TableContents"/>
              <w:spacing w:lineRule="atLeast" w:line="200" w:before="80" w:after="80"/>
              <w:ind w:left="0" w:right="0" w:hanging="0"/>
              <w:rPr/>
            </w:pPr>
            <w:r>
              <w:rPr/>
              <w:t> </w:t>
            </w:r>
          </w:p>
        </w:tc>
        <w:tc>
          <w:tcPr>
            <w:tcW w:w="90" w:type="dxa"/>
            <w:tcBorders/>
            <w:shd w:fill="CCEEFF" w:val="clear"/>
            <w:vAlign w:val="bottom"/>
          </w:tcPr>
          <w:p>
            <w:pPr>
              <w:pStyle w:val="TableContents"/>
              <w:spacing w:lineRule="atLeast" w:line="200" w:before="80" w:after="80"/>
              <w:ind w:left="0" w:right="0" w:hanging="0"/>
              <w:rPr/>
            </w:pPr>
            <w:r>
              <w:rPr/>
              <w:t> </w:t>
            </w:r>
          </w:p>
        </w:tc>
        <w:tc>
          <w:tcPr>
            <w:tcW w:w="165" w:type="dxa"/>
            <w:tcBorders/>
            <w:shd w:fill="CCEEFF" w:val="clear"/>
            <w:vAlign w:val="bottom"/>
          </w:tcPr>
          <w:p>
            <w:pPr>
              <w:pStyle w:val="TableContents"/>
              <w:spacing w:lineRule="atLeast" w:line="200" w:before="80" w:after="80"/>
              <w:ind w:left="0" w:right="0" w:hanging="0"/>
              <w:rPr/>
            </w:pPr>
            <w:r>
              <w:rPr/>
              <w:t> </w:t>
            </w:r>
          </w:p>
        </w:tc>
        <w:tc>
          <w:tcPr>
            <w:tcW w:w="575" w:type="dxa"/>
            <w:gridSpan w:val="2"/>
            <w:tcBorders/>
            <w:shd w:fill="CCEEFF" w:val="clear"/>
            <w:vAlign w:val="bottom"/>
          </w:tcPr>
          <w:p>
            <w:pPr>
              <w:pStyle w:val="TableContents"/>
              <w:spacing w:lineRule="atLeast" w:line="200" w:before="80" w:after="80"/>
              <w:ind w:left="0" w:right="0" w:hanging="0"/>
              <w:rPr/>
            </w:pPr>
            <w:r>
              <w:rPr/>
              <w:t> </w:t>
            </w:r>
          </w:p>
        </w:tc>
        <w:tc>
          <w:tcPr>
            <w:tcW w:w="285" w:type="dxa"/>
            <w:tcBorders/>
            <w:shd w:fill="CCEEFF" w:val="clear"/>
            <w:vAlign w:val="bottom"/>
          </w:tcPr>
          <w:p>
            <w:pPr>
              <w:pStyle w:val="TableContents"/>
              <w:spacing w:lineRule="atLeast" w:line="200" w:before="80" w:after="80"/>
              <w:ind w:left="0" w:right="0" w:hanging="0"/>
              <w:rPr/>
            </w:pPr>
            <w:r>
              <w:rPr/>
              <w:t> </w:t>
            </w:r>
          </w:p>
        </w:tc>
        <w:tc>
          <w:tcPr>
            <w:tcW w:w="195" w:type="dxa"/>
            <w:tcBorders/>
            <w:shd w:fill="CCEEFF" w:val="clear"/>
            <w:vAlign w:val="bottom"/>
          </w:tcPr>
          <w:p>
            <w:pPr>
              <w:pStyle w:val="TableContents"/>
              <w:spacing w:lineRule="atLeast" w:line="200" w:before="80" w:after="80"/>
              <w:ind w:left="0" w:right="0" w:hanging="0"/>
              <w:rPr/>
            </w:pPr>
            <w:r>
              <w:rPr/>
              <w:t> </w:t>
            </w:r>
          </w:p>
        </w:tc>
        <w:tc>
          <w:tcPr>
            <w:tcW w:w="545" w:type="dxa"/>
            <w:gridSpan w:val="2"/>
            <w:tcBorders/>
            <w:shd w:fill="CCEEFF" w:val="clear"/>
            <w:vAlign w:val="bottom"/>
          </w:tcPr>
          <w:p>
            <w:pPr>
              <w:pStyle w:val="TableContents"/>
              <w:spacing w:lineRule="atLeast" w:line="200" w:before="80" w:after="80"/>
              <w:ind w:left="0" w:right="0" w:hanging="0"/>
              <w:rPr/>
            </w:pPr>
            <w:r>
              <w:rPr/>
              <w:t> </w:t>
            </w:r>
          </w:p>
        </w:tc>
        <w:tc>
          <w:tcPr>
            <w:tcW w:w="240" w:type="dxa"/>
            <w:tcBorders/>
            <w:shd w:fill="CCEEFF" w:val="clear"/>
            <w:vAlign w:val="bottom"/>
          </w:tcPr>
          <w:p>
            <w:pPr>
              <w:pStyle w:val="TableContents"/>
              <w:spacing w:lineRule="atLeast" w:line="200" w:before="80" w:after="80"/>
              <w:ind w:left="0" w:right="0" w:hanging="0"/>
              <w:rPr/>
            </w:pPr>
            <w:r>
              <w:rPr/>
              <w:t> </w:t>
            </w:r>
          </w:p>
        </w:tc>
        <w:tc>
          <w:tcPr>
            <w:tcW w:w="285" w:type="dxa"/>
            <w:tcBorders/>
            <w:shd w:fill="CCEEFF" w:val="clear"/>
            <w:vAlign w:val="bottom"/>
          </w:tcPr>
          <w:p>
            <w:pPr>
              <w:pStyle w:val="TableContents"/>
              <w:spacing w:lineRule="atLeast" w:line="200" w:before="80" w:after="80"/>
              <w:ind w:left="0" w:right="0" w:hanging="0"/>
              <w:rPr/>
            </w:pPr>
            <w:r>
              <w:rPr/>
              <w:t> </w:t>
            </w:r>
          </w:p>
        </w:tc>
        <w:tc>
          <w:tcPr>
            <w:tcW w:w="150" w:type="dxa"/>
            <w:tcBorders/>
            <w:shd w:fill="CCEEFF" w:val="clear"/>
            <w:vAlign w:val="bottom"/>
          </w:tcPr>
          <w:p>
            <w:pPr>
              <w:pStyle w:val="TableContents"/>
              <w:spacing w:lineRule="atLeast" w:line="200" w:before="80" w:after="80"/>
              <w:ind w:left="0" w:right="0" w:hanging="0"/>
              <w:rPr/>
            </w:pPr>
            <w:r>
              <w:rPr/>
              <w:t> </w:t>
            </w:r>
          </w:p>
        </w:tc>
        <w:tc>
          <w:tcPr>
            <w:tcW w:w="545" w:type="dxa"/>
            <w:gridSpan w:val="2"/>
            <w:tcBorders/>
            <w:shd w:fill="CCEEFF" w:val="clear"/>
            <w:vAlign w:val="bottom"/>
          </w:tcPr>
          <w:p>
            <w:pPr>
              <w:pStyle w:val="TableContents"/>
              <w:spacing w:lineRule="atLeast" w:line="200" w:before="80" w:after="80"/>
              <w:ind w:left="0" w:right="0" w:hanging="0"/>
              <w:rPr/>
            </w:pPr>
            <w:r>
              <w:rPr/>
              <w:t> </w:t>
            </w:r>
          </w:p>
        </w:tc>
        <w:tc>
          <w:tcPr>
            <w:tcW w:w="240" w:type="dxa"/>
            <w:tcBorders/>
            <w:shd w:fill="CCEEFF" w:val="clear"/>
            <w:vAlign w:val="bottom"/>
          </w:tcPr>
          <w:p>
            <w:pPr>
              <w:pStyle w:val="TableContents"/>
              <w:spacing w:lineRule="atLeast" w:line="200" w:before="80" w:after="80"/>
              <w:ind w:left="0" w:right="0" w:hanging="0"/>
              <w:rPr/>
            </w:pPr>
            <w:r>
              <w:rPr/>
              <w:t> </w:t>
            </w:r>
          </w:p>
        </w:tc>
        <w:tc>
          <w:tcPr>
            <w:tcW w:w="285" w:type="dxa"/>
            <w:tcBorders/>
            <w:shd w:fill="CCEEFF" w:val="clear"/>
            <w:vAlign w:val="bottom"/>
          </w:tcPr>
          <w:p>
            <w:pPr>
              <w:pStyle w:val="TableContents"/>
              <w:spacing w:lineRule="atLeast" w:line="200" w:before="80" w:after="80"/>
              <w:ind w:left="0" w:right="0" w:hanging="0"/>
              <w:rPr/>
            </w:pPr>
            <w:r>
              <w:rPr/>
              <w:t> </w:t>
            </w:r>
          </w:p>
        </w:tc>
        <w:tc>
          <w:tcPr>
            <w:tcW w:w="270" w:type="dxa"/>
            <w:tcBorders/>
            <w:shd w:fill="CCEEFF" w:val="clear"/>
            <w:vAlign w:val="bottom"/>
          </w:tcPr>
          <w:p>
            <w:pPr>
              <w:pStyle w:val="TableContents"/>
              <w:spacing w:lineRule="atLeast" w:line="200" w:before="80" w:after="80"/>
              <w:ind w:left="0" w:right="0" w:hanging="0"/>
              <w:rPr/>
            </w:pPr>
            <w:r>
              <w:rPr/>
              <w:t> </w:t>
            </w:r>
          </w:p>
        </w:tc>
        <w:tc>
          <w:tcPr>
            <w:tcW w:w="545" w:type="dxa"/>
            <w:gridSpan w:val="2"/>
            <w:tcBorders/>
            <w:shd w:fill="CCEEFF" w:val="clear"/>
            <w:vAlign w:val="bottom"/>
          </w:tcPr>
          <w:p>
            <w:pPr>
              <w:pStyle w:val="TableContents"/>
              <w:spacing w:lineRule="atLeast" w:line="200" w:before="80" w:after="80"/>
              <w:ind w:left="0" w:right="0" w:hanging="0"/>
              <w:rPr/>
            </w:pPr>
            <w:r>
              <w:rPr/>
              <w:t> </w:t>
            </w:r>
          </w:p>
        </w:tc>
        <w:tc>
          <w:tcPr>
            <w:tcW w:w="270" w:type="dxa"/>
            <w:tcBorders/>
            <w:shd w:fill="CCEEFF" w:val="clear"/>
            <w:vAlign w:val="bottom"/>
          </w:tcPr>
          <w:p>
            <w:pPr>
              <w:pStyle w:val="TableContents"/>
              <w:spacing w:lineRule="atLeast" w:line="200" w:before="80" w:after="80"/>
              <w:ind w:left="0" w:right="0" w:hanging="0"/>
              <w:rPr/>
            </w:pPr>
            <w:r>
              <w:rPr/>
              <w:t> </w:t>
            </w:r>
          </w:p>
        </w:tc>
        <w:tc>
          <w:tcPr>
            <w:tcW w:w="60" w:type="dxa"/>
            <w:tcBorders/>
            <w:shd w:fill="CCEEFF" w:val="clear"/>
            <w:vAlign w:val="bottom"/>
          </w:tcPr>
          <w:p>
            <w:pPr>
              <w:pStyle w:val="TableContents"/>
              <w:spacing w:lineRule="atLeast" w:line="200" w:before="80" w:after="80"/>
              <w:ind w:left="0" w:right="0" w:hanging="0"/>
              <w:rPr/>
            </w:pPr>
            <w:r>
              <w:rPr/>
              <w:t> </w:t>
            </w:r>
          </w:p>
        </w:tc>
      </w:tr>
      <w:tr>
        <w:trPr/>
        <w:tc>
          <w:tcPr>
            <w:tcW w:w="2910" w:type="dxa"/>
            <w:tcBorders/>
            <w:shd w:fill="auto" w:val="clear"/>
          </w:tcPr>
          <w:p>
            <w:pPr>
              <w:pStyle w:val="TableContents"/>
              <w:spacing w:lineRule="atLeast" w:line="200" w:before="0" w:after="0"/>
              <w:ind w:left="0" w:right="0" w:hanging="0"/>
              <w:rPr>
                <w:rFonts w:ascii="Times New Roman" w:hAnsi="Times New Roman"/>
                <w:sz w:val="15"/>
              </w:rPr>
            </w:pPr>
            <w:r>
              <w:rPr>
                <w:rFonts w:ascii="Times New Roman" w:hAnsi="Times New Roman"/>
                <w:sz w:val="15"/>
              </w:rPr>
              <w:t>As Reported</w:t>
            </w:r>
          </w:p>
        </w:tc>
        <w:tc>
          <w:tcPr>
            <w:tcW w:w="165"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0.257</w:t>
            </w:r>
          </w:p>
        </w:tc>
        <w:tc>
          <w:tcPr>
            <w:tcW w:w="9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8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0.991</w:t>
            </w:r>
          </w:p>
        </w:tc>
        <w:tc>
          <w:tcPr>
            <w:tcW w:w="285" w:type="dxa"/>
            <w:tcBorders/>
            <w:shd w:fill="auto"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19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0.518</w:t>
            </w:r>
          </w:p>
        </w:tc>
        <w:tc>
          <w:tcPr>
            <w:tcW w:w="240" w:type="dxa"/>
            <w:tcBorders/>
            <w:shd w:fill="auto"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28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0.379</w:t>
            </w:r>
          </w:p>
        </w:tc>
        <w:tc>
          <w:tcPr>
            <w:tcW w:w="240" w:type="dxa"/>
            <w:tcBorders/>
            <w:shd w:fill="auto"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28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0.529</w:t>
            </w:r>
          </w:p>
        </w:tc>
        <w:tc>
          <w:tcPr>
            <w:tcW w:w="270" w:type="dxa"/>
            <w:tcBorders/>
            <w:shd w:fill="auto"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2910" w:type="dxa"/>
            <w:tcBorders/>
            <w:shd w:fill="CCEEFF" w:val="clear"/>
          </w:tcPr>
          <w:p>
            <w:pPr>
              <w:pStyle w:val="TableContents"/>
              <w:spacing w:lineRule="atLeast" w:line="200" w:before="0" w:after="0"/>
              <w:ind w:left="0" w:right="0" w:hanging="0"/>
              <w:rPr>
                <w:rFonts w:ascii="Times New Roman" w:hAnsi="Times New Roman"/>
                <w:sz w:val="15"/>
              </w:rPr>
            </w:pPr>
            <w:r>
              <w:rPr>
                <w:rFonts w:ascii="Times New Roman" w:hAnsi="Times New Roman"/>
                <w:sz w:val="15"/>
              </w:rPr>
              <w:t>Excluding Selected Items Impacting Comparability</w:t>
            </w:r>
          </w:p>
        </w:tc>
        <w:tc>
          <w:tcPr>
            <w:tcW w:w="165"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0.497</w:t>
            </w:r>
          </w:p>
        </w:tc>
        <w:tc>
          <w:tcPr>
            <w:tcW w:w="9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8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1.036</w:t>
            </w:r>
          </w:p>
        </w:tc>
        <w:tc>
          <w:tcPr>
            <w:tcW w:w="285" w:type="dxa"/>
            <w:tcBorders/>
            <w:shd w:fill="CCEEFF"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0.566</w:t>
            </w:r>
          </w:p>
        </w:tc>
        <w:tc>
          <w:tcPr>
            <w:tcW w:w="240" w:type="dxa"/>
            <w:tcBorders/>
            <w:shd w:fill="CCEEFF"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28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0.425</w:t>
            </w:r>
          </w:p>
        </w:tc>
        <w:tc>
          <w:tcPr>
            <w:tcW w:w="240" w:type="dxa"/>
            <w:tcBorders/>
            <w:shd w:fill="CCEEFF"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28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5"/>
              </w:rPr>
            </w:pPr>
            <w:r>
              <w:rPr>
                <w:rFonts w:ascii="Times New Roman" w:hAnsi="Times New Roman"/>
                <w:sz w:val="15"/>
              </w:rPr>
              <w:t>$</w:t>
            </w:r>
          </w:p>
        </w:tc>
        <w:tc>
          <w:tcPr>
            <w:tcW w:w="45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5"/>
              </w:rPr>
            </w:pPr>
            <w:r>
              <w:rPr>
                <w:rFonts w:ascii="Times New Roman" w:hAnsi="Times New Roman"/>
                <w:sz w:val="15"/>
              </w:rPr>
              <w:t>0.624</w:t>
            </w:r>
          </w:p>
        </w:tc>
        <w:tc>
          <w:tcPr>
            <w:tcW w:w="270" w:type="dxa"/>
            <w:tcBorders/>
            <w:shd w:fill="CCEEFF" w:val="clear"/>
            <w:vAlign w:val="bottom"/>
          </w:tcPr>
          <w:p>
            <w:pPr>
              <w:pStyle w:val="TableContents"/>
              <w:spacing w:lineRule="atLeast" w:line="200" w:before="0" w:after="0"/>
              <w:ind w:left="0" w:right="0" w:hanging="0"/>
              <w:rPr>
                <w:rFonts w:ascii="Times New Roman" w:hAnsi="Times New Roman"/>
                <w:position w:val="5"/>
                <w:sz w:val="12"/>
                <w:sz w:val="15"/>
              </w:rPr>
            </w:pPr>
            <w:r>
              <w:rPr>
                <w:rFonts w:ascii="Times New Roman" w:hAnsi="Times New Roman"/>
                <w:position w:val="5"/>
                <w:sz w:val="12"/>
                <w:sz w:val="15"/>
              </w:rPr>
              <w:t>(1)</w:t>
            </w:r>
          </w:p>
        </w:tc>
        <w:tc>
          <w:tcPr>
            <w:tcW w:w="60" w:type="dxa"/>
            <w:tcBorders/>
            <w:shd w:fill="CCEEFF" w:val="clear"/>
            <w:vAlign w:val="bottom"/>
          </w:tcPr>
          <w:p>
            <w:pPr>
              <w:pStyle w:val="TableContents"/>
              <w:spacing w:lineRule="atLeast" w:line="200"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800" w:right="0" w:hanging="400"/>
        <w:rPr>
          <w:rFonts w:ascii="Times New Roman" w:hAnsi="Times New Roman"/>
        </w:rPr>
      </w:pPr>
      <w:r>
        <w:rPr>
          <w:rFonts w:ascii="Times New Roman" w:hAnsi="Times New Roman"/>
          <w:sz w:val="15"/>
        </w:rPr>
        <w:t>(1)</w:t>
      </w:r>
      <w:r>
        <w:rPr>
          <w:rFonts w:ascii="Times New Roman" w:hAnsi="Times New Roman"/>
        </w:rPr>
        <w:t xml:space="preserve">   </w:t>
      </w:r>
      <w:r>
        <w:rPr>
          <w:rFonts w:ascii="Times New Roman" w:hAnsi="Times New Roman"/>
          <w:sz w:val="15"/>
        </w:rPr>
        <w:t>Mid-point of estimate.</w:t>
      </w:r>
    </w:p>
    <w:p>
      <w:pPr>
        <w:pStyle w:val="TextBody"/>
        <w:spacing w:before="0" w:after="60"/>
        <w:ind w:left="400" w:right="0" w:hanging="0"/>
        <w:rPr>
          <w:rFonts w:ascii="Times New Roman" w:hAnsi="Times New Roman"/>
          <w:sz w:val="17"/>
        </w:rPr>
      </w:pPr>
      <w:r>
        <w:rPr>
          <w:rFonts w:ascii="Times New Roman" w:hAnsi="Times New Roman"/>
          <w:sz w:val="17"/>
        </w:rPr>
        <w:t>Segment profit is forecast using the volume assumptions stated above and estimates of unit margins, operating expenses, G&amp;A and carrying costs for contango inventory based on current and anticipated market conditions. Realized unit margins for any given lease-gathered barrel could vary significantly based on a variety of factors including location, quality and contract structure. Based on our mid-point projected segment profit per barrel for the third quarter of 2005, a 15,000 Bbl/d variance in lease gathering volumes would impact segment profit by approximately $2.8 million on an annualized basis. A $0.01 variance in the aggregate average per-barrel margin would impact segment profit by approximately $2.5 million on an annualized basis.</w:t>
      </w:r>
    </w:p>
    <w:p>
      <w:pPr>
        <w:pStyle w:val="TextBody"/>
        <w:spacing w:before="0" w:after="60"/>
        <w:ind w:left="400" w:right="0" w:hanging="400"/>
        <w:rPr>
          <w:rFonts w:ascii="Times New Roman" w:hAnsi="Times New Roman"/>
          <w:sz w:val="17"/>
        </w:rPr>
      </w:pPr>
      <w:r>
        <w:rPr>
          <w:rFonts w:ascii="Times New Roman" w:hAnsi="Times New Roman"/>
          <w:sz w:val="17"/>
        </w:rPr>
        <w:t xml:space="preserve">4.                 </w:t>
      </w:r>
      <w:r>
        <w:rPr>
          <w:rFonts w:ascii="Times New Roman" w:hAnsi="Times New Roman"/>
          <w:i/>
          <w:sz w:val="17"/>
        </w:rPr>
        <w:t>Depreciation &amp; Amortization.</w:t>
      </w:r>
      <w:r>
        <w:rPr>
          <w:rFonts w:ascii="Times New Roman" w:hAnsi="Times New Roman"/>
          <w:sz w:val="17"/>
        </w:rPr>
        <w:t>   Depreciation and amortization is forecast based on our existing depreciable assets and forecast capital expenditures. Depreciation is computed using the straight-line method over estimated useful lives, which range from 3 years (for office property and equipment) to 50 years (for certain pipelines, crude oil terminals and facilities).</w:t>
      </w:r>
    </w:p>
    <w:p>
      <w:pPr>
        <w:pStyle w:val="TextBody"/>
        <w:spacing w:before="0" w:after="100"/>
        <w:ind w:left="400" w:right="0" w:hanging="400"/>
        <w:rPr>
          <w:rFonts w:ascii="Times New Roman" w:hAnsi="Times New Roman"/>
          <w:sz w:val="17"/>
        </w:rPr>
      </w:pPr>
      <w:r>
        <w:rPr>
          <w:rFonts w:ascii="Times New Roman" w:hAnsi="Times New Roman"/>
          <w:sz w:val="17"/>
        </w:rPr>
        <w:t xml:space="preserve">5.                 </w:t>
      </w:r>
      <w:r>
        <w:rPr>
          <w:rFonts w:ascii="Times New Roman" w:hAnsi="Times New Roman"/>
          <w:i/>
          <w:sz w:val="17"/>
        </w:rPr>
        <w:t xml:space="preserve">Statement of Financial Accounting Standards No. 133 Accounting for Derivative Instruments and Hedging </w:t>
      </w:r>
      <w:r>
        <w:rPr>
          <w:rFonts w:ascii="Times New Roman" w:hAnsi="Times New Roman"/>
          <w:sz w:val="17"/>
        </w:rPr>
        <w:t>Activities</w:t>
      </w:r>
      <w:r>
        <w:rPr>
          <w:rFonts w:ascii="Times New Roman" w:hAnsi="Times New Roman"/>
          <w:i/>
          <w:sz w:val="17"/>
        </w:rPr>
        <w:t> (SFAS 133).</w:t>
      </w:r>
      <w:r>
        <w:rPr>
          <w:rFonts w:ascii="Times New Roman" w:hAnsi="Times New Roman"/>
          <w:sz w:val="17"/>
        </w:rPr>
        <w:t>   The forecast presented above does not include assumptions or projections with respect to potential gains or losses related to SFAS 133, as there is no accurate way to forecast these potential gains or losses. The potential gains or losses related to SFAS 133 (primarily non-cash, mark-to-market adjustments) could cause actual net income to differ materially from our projections.</w:t>
      </w:r>
    </w:p>
    <w:p>
      <w:pPr>
        <w:pStyle w:val="TextBody"/>
        <w:spacing w:before="400" w:after="40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6.                 </w:t>
      </w:r>
      <w:r>
        <w:rPr>
          <w:rFonts w:ascii="Times New Roman" w:hAnsi="Times New Roman"/>
          <w:i/>
          <w:sz w:val="17"/>
        </w:rPr>
        <w:t>Acquisitions and Capital Expenditures.</w:t>
      </w:r>
      <w:r>
        <w:rPr>
          <w:rFonts w:ascii="Times New Roman" w:hAnsi="Times New Roman"/>
          <w:sz w:val="17"/>
        </w:rPr>
        <w:t>   Although acquisitions constitute a key element of our growth strategy, the forecasted results and associated estimates do not include any assumptions or forecasts for any material acquisition that may be made after the date hereof. Capital expenditures for expansion projects are forecast to be approximately $180 million during calendar 2005, a $60 million increase over the April 28, 2005 guidance. This increase is primarily due to the recently announced construction of a St. James, Louisiana storage facility with a total project cost of approximately $70 million, of which approximately $21 with be spent in 2005. Also included in the increase are expenditures related to numerous organic growth projects. Following are some of the more notable projects to be undertaken in 2005 and the estimated expenditures for the year.</w:t>
      </w:r>
    </w:p>
    <w:tbl>
      <w:tblPr>
        <w:tblW w:w="8345" w:type="dxa"/>
        <w:jc w:val="left"/>
        <w:tblInd w:w="0" w:type="dxa"/>
        <w:tblCellMar>
          <w:top w:w="0" w:type="dxa"/>
          <w:left w:w="0" w:type="dxa"/>
          <w:bottom w:w="0" w:type="dxa"/>
          <w:right w:w="0" w:type="dxa"/>
        </w:tblCellMar>
      </w:tblPr>
      <w:tblGrid>
        <w:gridCol w:w="7155"/>
        <w:gridCol w:w="150"/>
        <w:gridCol w:w="360"/>
        <w:gridCol w:w="335"/>
        <w:gridCol w:w="270"/>
        <w:gridCol w:w="75"/>
      </w:tblGrid>
      <w:tr>
        <w:trPr/>
        <w:tc>
          <w:tcPr>
            <w:tcW w:w="7155" w:type="dxa"/>
            <w:tcBorders/>
            <w:shd w:fill="auto" w:val="clear"/>
            <w:vAlign w:val="bottom"/>
          </w:tcPr>
          <w:p>
            <w:pPr>
              <w:pStyle w:val="TableContents"/>
              <w:spacing w:before="0" w:after="283"/>
              <w:ind w:left="0" w:right="0" w:hanging="0"/>
              <w:rPr>
                <w:sz w:val="4"/>
                <w:szCs w:val="4"/>
              </w:rPr>
            </w:pPr>
            <w:r>
              <w:rPr>
                <w:sz w:val="4"/>
                <w:szCs w:val="4"/>
              </w:rPr>
            </w:r>
          </w:p>
        </w:tc>
        <w:tc>
          <w:tcPr>
            <w:tcW w:w="150" w:type="dxa"/>
            <w:tcBorders/>
            <w:shd w:fill="auto" w:val="clear"/>
            <w:vAlign w:val="bottom"/>
          </w:tcPr>
          <w:p>
            <w:pPr>
              <w:pStyle w:val="TableContents"/>
              <w:spacing w:lineRule="atLeast" w:line="160" w:before="0" w:after="0"/>
              <w:ind w:left="0" w:right="0" w:hanging="0"/>
              <w:rPr/>
            </w:pPr>
            <w:r>
              <w:rPr/>
              <w:t> </w:t>
            </w:r>
          </w:p>
        </w:tc>
        <w:tc>
          <w:tcPr>
            <w:tcW w:w="965"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w:t>
              <w:br/>
              <w:t>2005</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7155" w:type="dxa"/>
            <w:tcBorders/>
            <w:shd w:fill="auto" w:val="clear"/>
            <w:vAlign w:val="bottom"/>
          </w:tcPr>
          <w:p>
            <w:pPr>
              <w:pStyle w:val="TableContents"/>
              <w:spacing w:lineRule="atLeast" w:line="160" w:before="0" w:after="0"/>
              <w:ind w:left="0" w:right="0" w:hanging="0"/>
              <w:rPr/>
            </w:pPr>
            <w:r>
              <w:rPr/>
              <w:t> </w:t>
            </w:r>
          </w:p>
        </w:tc>
        <w:tc>
          <w:tcPr>
            <w:tcW w:w="150" w:type="dxa"/>
            <w:tcBorders/>
            <w:shd w:fill="auto" w:val="clear"/>
            <w:vAlign w:val="bottom"/>
          </w:tcPr>
          <w:p>
            <w:pPr>
              <w:pStyle w:val="TableContents"/>
              <w:spacing w:lineRule="atLeast" w:line="160" w:before="0" w:after="0"/>
              <w:ind w:left="0" w:right="0" w:hanging="0"/>
              <w:rPr/>
            </w:pPr>
            <w:r>
              <w:rPr/>
              <w:t> </w:t>
            </w:r>
          </w:p>
        </w:tc>
        <w:tc>
          <w:tcPr>
            <w:tcW w:w="965" w:type="dxa"/>
            <w:gridSpan w:val="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7155" w:type="dxa"/>
            <w:tcBorders/>
            <w:shd w:fill="CCEEFF" w:val="clear"/>
          </w:tcPr>
          <w:p>
            <w:pPr>
              <w:pStyle w:val="TableContents"/>
              <w:spacing w:before="0" w:after="0"/>
              <w:ind w:left="0" w:right="0" w:hanging="0"/>
              <w:rPr>
                <w:sz w:val="17"/>
              </w:rPr>
            </w:pPr>
            <w:r>
              <w:rPr>
                <w:rFonts w:ascii="Symbol" w:hAnsi="Symbol"/>
                <w:sz w:val="17"/>
              </w:rPr>
              <w:t>·</w:t>
            </w:r>
            <w:r>
              <w:rPr>
                <w:sz w:val="17"/>
              </w:rPr>
              <w:t>  St. James, Louisiana storage facility</w:t>
            </w:r>
          </w:p>
        </w:tc>
        <w:tc>
          <w:tcPr>
            <w:tcW w:w="150"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before="0" w:after="0"/>
              <w:ind w:left="0" w:right="0" w:hanging="0"/>
              <w:rPr/>
            </w:pPr>
            <w:r>
              <w:rPr/>
              <w:t> </w:t>
            </w:r>
          </w:p>
        </w:tc>
        <w:tc>
          <w:tcPr>
            <w:tcW w:w="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$ 21</w:t>
            </w:r>
          </w:p>
        </w:tc>
        <w:tc>
          <w:tcPr>
            <w:tcW w:w="27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7155" w:type="dxa"/>
            <w:tcBorders/>
            <w:shd w:fill="auto" w:val="clear"/>
          </w:tcPr>
          <w:p>
            <w:pPr>
              <w:pStyle w:val="TableContents"/>
              <w:spacing w:before="80" w:after="80"/>
              <w:ind w:left="0" w:right="0" w:hanging="0"/>
              <w:rPr>
                <w:sz w:val="17"/>
              </w:rPr>
            </w:pPr>
            <w:r>
              <w:rPr>
                <w:rFonts w:ascii="Symbol" w:hAnsi="Symbol"/>
                <w:sz w:val="17"/>
              </w:rPr>
              <w:t>·</w:t>
            </w:r>
            <w:r>
              <w:rPr>
                <w:sz w:val="17"/>
              </w:rPr>
              <w:t>  Trenton pipeline expansion</w:t>
            </w:r>
          </w:p>
        </w:tc>
        <w:tc>
          <w:tcPr>
            <w:tcW w:w="150" w:type="dxa"/>
            <w:tcBorders/>
            <w:shd w:fill="auto" w:val="clear"/>
            <w:vAlign w:val="bottom"/>
          </w:tcPr>
          <w:p>
            <w:pPr>
              <w:pStyle w:val="TableContents"/>
              <w:spacing w:before="80" w:after="80"/>
              <w:ind w:left="0" w:right="0" w:hanging="0"/>
              <w:rPr/>
            </w:pPr>
            <w:r>
              <w:rPr/>
              <w:t> </w:t>
            </w:r>
          </w:p>
        </w:tc>
        <w:tc>
          <w:tcPr>
            <w:tcW w:w="360" w:type="dxa"/>
            <w:tcBorders/>
            <w:shd w:fill="auto" w:val="clear"/>
            <w:vAlign w:val="bottom"/>
          </w:tcPr>
          <w:p>
            <w:pPr>
              <w:pStyle w:val="TableContents"/>
              <w:spacing w:before="80" w:after="80"/>
              <w:ind w:left="0" w:right="0" w:hanging="0"/>
              <w:rPr/>
            </w:pPr>
            <w:r>
              <w:rPr/>
              <w:t> </w:t>
            </w:r>
          </w:p>
        </w:tc>
        <w:tc>
          <w:tcPr>
            <w:tcW w:w="335"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$ 34</w:t>
            </w:r>
          </w:p>
        </w:tc>
        <w:tc>
          <w:tcPr>
            <w:tcW w:w="270"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155" w:type="dxa"/>
            <w:tcBorders/>
            <w:shd w:fill="CCEEFF" w:val="clear"/>
          </w:tcPr>
          <w:p>
            <w:pPr>
              <w:pStyle w:val="TableContents"/>
              <w:spacing w:before="80" w:after="80"/>
              <w:ind w:left="0" w:right="0" w:hanging="0"/>
              <w:rPr>
                <w:sz w:val="17"/>
              </w:rPr>
            </w:pPr>
            <w:r>
              <w:rPr>
                <w:rFonts w:ascii="Symbol" w:hAnsi="Symbol"/>
                <w:sz w:val="17"/>
              </w:rPr>
              <w:t>·</w:t>
            </w:r>
            <w:r>
              <w:rPr>
                <w:sz w:val="17"/>
              </w:rPr>
              <w:t>  Capital projects associated with the Link acquisition</w:t>
            </w:r>
          </w:p>
        </w:tc>
        <w:tc>
          <w:tcPr>
            <w:tcW w:w="150" w:type="dxa"/>
            <w:tcBorders/>
            <w:shd w:fill="CCEEFF" w:val="clear"/>
            <w:vAlign w:val="bottom"/>
          </w:tcPr>
          <w:p>
            <w:pPr>
              <w:pStyle w:val="TableContents"/>
              <w:spacing w:before="80" w:after="80"/>
              <w:ind w:left="0" w:right="0" w:hanging="0"/>
              <w:rPr/>
            </w:pPr>
            <w:r>
              <w:rPr/>
              <w:t> </w:t>
            </w:r>
          </w:p>
        </w:tc>
        <w:tc>
          <w:tcPr>
            <w:tcW w:w="360" w:type="dxa"/>
            <w:tcBorders/>
            <w:shd w:fill="CCEEFF" w:val="clear"/>
            <w:vAlign w:val="bottom"/>
          </w:tcPr>
          <w:p>
            <w:pPr>
              <w:pStyle w:val="TableContents"/>
              <w:spacing w:before="80" w:after="80"/>
              <w:ind w:left="0" w:right="0" w:hanging="0"/>
              <w:rPr/>
            </w:pPr>
            <w:r>
              <w:rPr/>
              <w:t> </w:t>
            </w:r>
          </w:p>
        </w:tc>
        <w:tc>
          <w:tcPr>
            <w:tcW w:w="33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$ 18</w:t>
            </w:r>
          </w:p>
        </w:tc>
        <w:tc>
          <w:tcPr>
            <w:tcW w:w="270"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155" w:type="dxa"/>
            <w:tcBorders/>
            <w:shd w:fill="auto" w:val="clear"/>
          </w:tcPr>
          <w:p>
            <w:pPr>
              <w:pStyle w:val="TableContents"/>
              <w:spacing w:before="80" w:after="80"/>
              <w:ind w:left="0" w:right="0" w:hanging="0"/>
              <w:rPr>
                <w:sz w:val="17"/>
              </w:rPr>
            </w:pPr>
            <w:r>
              <w:rPr>
                <w:rFonts w:ascii="Symbol" w:hAnsi="Symbol"/>
                <w:sz w:val="17"/>
              </w:rPr>
              <w:t>·</w:t>
            </w:r>
            <w:r>
              <w:rPr>
                <w:sz w:val="17"/>
              </w:rPr>
              <w:t>  NW Alberta fractionator</w:t>
            </w:r>
          </w:p>
        </w:tc>
        <w:tc>
          <w:tcPr>
            <w:tcW w:w="150" w:type="dxa"/>
            <w:tcBorders/>
            <w:shd w:fill="auto" w:val="clear"/>
            <w:vAlign w:val="bottom"/>
          </w:tcPr>
          <w:p>
            <w:pPr>
              <w:pStyle w:val="TableContents"/>
              <w:spacing w:before="80" w:after="80"/>
              <w:ind w:left="0" w:right="0" w:hanging="0"/>
              <w:rPr/>
            </w:pPr>
            <w:r>
              <w:rPr/>
              <w:t> </w:t>
            </w:r>
          </w:p>
        </w:tc>
        <w:tc>
          <w:tcPr>
            <w:tcW w:w="360" w:type="dxa"/>
            <w:tcBorders/>
            <w:shd w:fill="auto" w:val="clear"/>
            <w:vAlign w:val="bottom"/>
          </w:tcPr>
          <w:p>
            <w:pPr>
              <w:pStyle w:val="TableContents"/>
              <w:spacing w:before="80" w:after="80"/>
              <w:ind w:left="0" w:right="0" w:hanging="0"/>
              <w:rPr/>
            </w:pPr>
            <w:r>
              <w:rPr/>
              <w:t> </w:t>
            </w:r>
          </w:p>
        </w:tc>
        <w:tc>
          <w:tcPr>
            <w:tcW w:w="335"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$ 16</w:t>
            </w:r>
          </w:p>
        </w:tc>
        <w:tc>
          <w:tcPr>
            <w:tcW w:w="270"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155" w:type="dxa"/>
            <w:tcBorders/>
            <w:shd w:fill="CCEEFF" w:val="clear"/>
          </w:tcPr>
          <w:p>
            <w:pPr>
              <w:pStyle w:val="TableContents"/>
              <w:spacing w:before="80" w:after="80"/>
              <w:ind w:left="0" w:right="0" w:hanging="0"/>
              <w:rPr>
                <w:sz w:val="17"/>
              </w:rPr>
            </w:pPr>
            <w:r>
              <w:rPr>
                <w:rFonts w:ascii="Symbol" w:hAnsi="Symbol"/>
                <w:sz w:val="17"/>
              </w:rPr>
              <w:t>·</w:t>
            </w:r>
            <w:r>
              <w:rPr>
                <w:sz w:val="17"/>
              </w:rPr>
              <w:t>  Cushing Phase V expansion</w:t>
            </w:r>
          </w:p>
        </w:tc>
        <w:tc>
          <w:tcPr>
            <w:tcW w:w="150" w:type="dxa"/>
            <w:tcBorders/>
            <w:shd w:fill="CCEEFF" w:val="clear"/>
            <w:vAlign w:val="bottom"/>
          </w:tcPr>
          <w:p>
            <w:pPr>
              <w:pStyle w:val="TableContents"/>
              <w:spacing w:before="80" w:after="80"/>
              <w:ind w:left="0" w:right="0" w:hanging="0"/>
              <w:rPr/>
            </w:pPr>
            <w:r>
              <w:rPr/>
              <w:t> </w:t>
            </w:r>
          </w:p>
        </w:tc>
        <w:tc>
          <w:tcPr>
            <w:tcW w:w="360" w:type="dxa"/>
            <w:tcBorders/>
            <w:shd w:fill="CCEEFF" w:val="clear"/>
            <w:vAlign w:val="bottom"/>
          </w:tcPr>
          <w:p>
            <w:pPr>
              <w:pStyle w:val="TableContents"/>
              <w:spacing w:before="80" w:after="80"/>
              <w:ind w:left="0" w:right="0" w:hanging="0"/>
              <w:rPr/>
            </w:pPr>
            <w:r>
              <w:rPr/>
              <w:t> </w:t>
            </w:r>
          </w:p>
        </w:tc>
        <w:tc>
          <w:tcPr>
            <w:tcW w:w="33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$ 13</w:t>
            </w:r>
          </w:p>
        </w:tc>
        <w:tc>
          <w:tcPr>
            <w:tcW w:w="270"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r>
        <w:trPr/>
        <w:tc>
          <w:tcPr>
            <w:tcW w:w="7155" w:type="dxa"/>
            <w:tcBorders/>
            <w:shd w:fill="auto" w:val="clear"/>
          </w:tcPr>
          <w:p>
            <w:pPr>
              <w:pStyle w:val="TableContents"/>
              <w:spacing w:before="80" w:after="80"/>
              <w:ind w:left="0" w:right="0" w:hanging="0"/>
              <w:rPr>
                <w:sz w:val="17"/>
              </w:rPr>
            </w:pPr>
            <w:r>
              <w:rPr>
                <w:rFonts w:ascii="Symbol" w:hAnsi="Symbol"/>
                <w:sz w:val="17"/>
              </w:rPr>
              <w:t>·</w:t>
            </w:r>
            <w:r>
              <w:rPr>
                <w:sz w:val="17"/>
              </w:rPr>
              <w:t>  Kerrobert Tank expansion</w:t>
            </w:r>
          </w:p>
        </w:tc>
        <w:tc>
          <w:tcPr>
            <w:tcW w:w="150" w:type="dxa"/>
            <w:tcBorders/>
            <w:shd w:fill="auto" w:val="clear"/>
            <w:vAlign w:val="bottom"/>
          </w:tcPr>
          <w:p>
            <w:pPr>
              <w:pStyle w:val="TableContents"/>
              <w:spacing w:before="80" w:after="80"/>
              <w:ind w:left="0" w:right="0" w:hanging="0"/>
              <w:rPr/>
            </w:pPr>
            <w:r>
              <w:rPr/>
              <w:t> </w:t>
            </w:r>
          </w:p>
        </w:tc>
        <w:tc>
          <w:tcPr>
            <w:tcW w:w="360" w:type="dxa"/>
            <w:tcBorders/>
            <w:shd w:fill="auto" w:val="clear"/>
            <w:vAlign w:val="bottom"/>
          </w:tcPr>
          <w:p>
            <w:pPr>
              <w:pStyle w:val="TableContents"/>
              <w:spacing w:before="80" w:after="80"/>
              <w:ind w:left="0" w:right="0" w:hanging="0"/>
              <w:rPr/>
            </w:pPr>
            <w:r>
              <w:rPr/>
              <w:t> </w:t>
            </w:r>
          </w:p>
        </w:tc>
        <w:tc>
          <w:tcPr>
            <w:tcW w:w="335"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$ 9</w:t>
            </w:r>
          </w:p>
        </w:tc>
        <w:tc>
          <w:tcPr>
            <w:tcW w:w="270" w:type="dxa"/>
            <w:tcBorders/>
            <w:shd w:fill="auto" w:val="clear"/>
            <w:vAlign w:val="bottom"/>
          </w:tcPr>
          <w:p>
            <w:pPr>
              <w:pStyle w:val="TableContents"/>
              <w:spacing w:before="80" w:after="80"/>
              <w:ind w:left="0" w:right="0" w:hanging="0"/>
              <w:rPr/>
            </w:pPr>
            <w:r>
              <w:rPr/>
              <w:t> </w:t>
            </w:r>
          </w:p>
        </w:tc>
        <w:tc>
          <w:tcPr>
            <w:tcW w:w="75" w:type="dxa"/>
            <w:tcBorders/>
            <w:shd w:fill="auto" w:val="clear"/>
            <w:vAlign w:val="bottom"/>
          </w:tcPr>
          <w:p>
            <w:pPr>
              <w:pStyle w:val="TableContents"/>
              <w:spacing w:before="80" w:after="80"/>
              <w:ind w:left="0" w:right="0" w:hanging="0"/>
              <w:rPr/>
            </w:pPr>
            <w:r>
              <w:rPr/>
              <w:t> </w:t>
            </w:r>
          </w:p>
        </w:tc>
      </w:tr>
      <w:tr>
        <w:trPr/>
        <w:tc>
          <w:tcPr>
            <w:tcW w:w="7155" w:type="dxa"/>
            <w:tcBorders/>
            <w:shd w:fill="CCEEFF" w:val="clear"/>
          </w:tcPr>
          <w:p>
            <w:pPr>
              <w:pStyle w:val="TableContents"/>
              <w:spacing w:before="80" w:after="80"/>
              <w:ind w:left="0" w:right="0" w:hanging="0"/>
              <w:rPr>
                <w:sz w:val="17"/>
              </w:rPr>
            </w:pPr>
            <w:r>
              <w:rPr>
                <w:rFonts w:ascii="Symbol" w:hAnsi="Symbol"/>
                <w:sz w:val="17"/>
              </w:rPr>
              <w:t>·</w:t>
            </w:r>
            <w:r>
              <w:rPr>
                <w:sz w:val="17"/>
              </w:rPr>
              <w:t>  Shell South Louisiana Asset Acquisition</w:t>
            </w:r>
          </w:p>
        </w:tc>
        <w:tc>
          <w:tcPr>
            <w:tcW w:w="150" w:type="dxa"/>
            <w:tcBorders/>
            <w:shd w:fill="CCEEFF" w:val="clear"/>
            <w:vAlign w:val="bottom"/>
          </w:tcPr>
          <w:p>
            <w:pPr>
              <w:pStyle w:val="TableContents"/>
              <w:spacing w:before="80" w:after="80"/>
              <w:ind w:left="0" w:right="0" w:hanging="0"/>
              <w:rPr/>
            </w:pPr>
            <w:r>
              <w:rPr/>
              <w:t> </w:t>
            </w:r>
          </w:p>
        </w:tc>
        <w:tc>
          <w:tcPr>
            <w:tcW w:w="360" w:type="dxa"/>
            <w:tcBorders/>
            <w:shd w:fill="CCEEFF" w:val="clear"/>
            <w:vAlign w:val="bottom"/>
          </w:tcPr>
          <w:p>
            <w:pPr>
              <w:pStyle w:val="TableContents"/>
              <w:spacing w:before="80" w:after="80"/>
              <w:ind w:left="0" w:right="0" w:hanging="0"/>
              <w:rPr/>
            </w:pPr>
            <w:r>
              <w:rPr/>
              <w:t> </w:t>
            </w:r>
          </w:p>
        </w:tc>
        <w:tc>
          <w:tcPr>
            <w:tcW w:w="335" w:type="dxa"/>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$ 8</w:t>
            </w:r>
          </w:p>
        </w:tc>
        <w:tc>
          <w:tcPr>
            <w:tcW w:w="270" w:type="dxa"/>
            <w:tcBorders/>
            <w:shd w:fill="CCEEFF" w:val="clear"/>
            <w:vAlign w:val="bottom"/>
          </w:tcPr>
          <w:p>
            <w:pPr>
              <w:pStyle w:val="TableContents"/>
              <w:spacing w:before="80" w:after="80"/>
              <w:ind w:left="0" w:right="0" w:hanging="0"/>
              <w:rPr/>
            </w:pPr>
            <w:r>
              <w:rPr/>
              <w:t> </w:t>
            </w:r>
          </w:p>
        </w:tc>
        <w:tc>
          <w:tcPr>
            <w:tcW w:w="75" w:type="dxa"/>
            <w:tcBorders/>
            <w:shd w:fill="CCEEFF" w:val="clear"/>
            <w:vAlign w:val="bottom"/>
          </w:tcPr>
          <w:p>
            <w:pPr>
              <w:pStyle w:val="TableContents"/>
              <w:spacing w:before="80" w:after="80"/>
              <w:ind w:left="0" w:right="0" w:hanging="0"/>
              <w:rPr/>
            </w:pPr>
            <w:r>
              <w:rPr/>
              <w:t> </w:t>
            </w:r>
          </w:p>
        </w:tc>
      </w:tr>
    </w:tbl>
    <w:p>
      <w:pPr>
        <w:pStyle w:val="TextBody"/>
        <w:spacing w:lineRule="atLeast" w:line="141" w:before="0" w:after="220"/>
        <w:ind w:left="0" w:right="0" w:hanging="0"/>
        <w:rPr/>
      </w:pPr>
      <w:r>
        <w:rPr/>
        <w:t> </w:t>
      </w:r>
    </w:p>
    <w:p>
      <w:pPr>
        <w:pStyle w:val="TextBody"/>
        <w:spacing w:before="0" w:after="120"/>
        <w:ind w:left="400" w:right="0" w:hanging="0"/>
        <w:rPr>
          <w:rFonts w:ascii="Times New Roman" w:hAnsi="Times New Roman"/>
          <w:sz w:val="17"/>
        </w:rPr>
      </w:pPr>
      <w:r>
        <w:rPr>
          <w:rFonts w:ascii="Times New Roman" w:hAnsi="Times New Roman"/>
          <w:sz w:val="17"/>
        </w:rPr>
        <w:t>During the three months ended March 31, 2005, approximately $45 million of the forecasted $180 million of expansion capital was spent in accordance with the project commitments.</w:t>
      </w:r>
    </w:p>
    <w:p>
      <w:pPr>
        <w:pStyle w:val="TextBody"/>
        <w:spacing w:before="0" w:after="120"/>
        <w:ind w:left="400" w:right="0" w:hanging="0"/>
        <w:rPr>
          <w:rFonts w:ascii="Times New Roman" w:hAnsi="Times New Roman"/>
          <w:sz w:val="17"/>
        </w:rPr>
      </w:pPr>
      <w:r>
        <w:rPr>
          <w:rFonts w:ascii="Times New Roman" w:hAnsi="Times New Roman"/>
          <w:sz w:val="17"/>
        </w:rPr>
        <w:t>Capital expenditures for maintenance projects are forecast to be approximately $19 million during 2005, of which approximately $4 million was spent in the first quarter.</w:t>
      </w:r>
    </w:p>
    <w:p>
      <w:pPr>
        <w:pStyle w:val="TextBody"/>
        <w:spacing w:before="0" w:after="120"/>
        <w:ind w:left="400" w:right="0" w:hanging="400"/>
        <w:rPr>
          <w:rFonts w:ascii="Times New Roman" w:hAnsi="Times New Roman"/>
          <w:sz w:val="17"/>
        </w:rPr>
      </w:pPr>
      <w:r>
        <w:rPr>
          <w:rFonts w:ascii="Times New Roman" w:hAnsi="Times New Roman"/>
          <w:sz w:val="17"/>
        </w:rPr>
        <w:t xml:space="preserve">7.                 </w:t>
      </w:r>
      <w:r>
        <w:rPr>
          <w:rFonts w:ascii="Times New Roman" w:hAnsi="Times New Roman"/>
          <w:i/>
          <w:sz w:val="17"/>
        </w:rPr>
        <w:t>Capital Structure.</w:t>
      </w:r>
      <w:r>
        <w:rPr>
          <w:rFonts w:ascii="Times New Roman" w:hAnsi="Times New Roman"/>
          <w:sz w:val="17"/>
        </w:rPr>
        <w:t>   The guidance is based on our projected capital structure as of March 31, 2005, and gives effect to the issuance in May 2005 of $150 million of 5.25% senior notes due 2015, the proceeds of which were used to repay existing bank indebtedness.</w:t>
      </w:r>
    </w:p>
    <w:p>
      <w:pPr>
        <w:pStyle w:val="TextBody"/>
        <w:spacing w:before="0" w:after="120"/>
        <w:ind w:left="400" w:right="0" w:hanging="400"/>
        <w:rPr>
          <w:rFonts w:ascii="Times New Roman" w:hAnsi="Times New Roman"/>
          <w:sz w:val="17"/>
        </w:rPr>
      </w:pPr>
      <w:r>
        <w:rPr>
          <w:rFonts w:ascii="Times New Roman" w:hAnsi="Times New Roman"/>
          <w:sz w:val="17"/>
        </w:rPr>
        <w:t xml:space="preserve">8.                 </w:t>
      </w:r>
      <w:r>
        <w:rPr>
          <w:rFonts w:ascii="Times New Roman" w:hAnsi="Times New Roman"/>
          <w:i/>
          <w:sz w:val="17"/>
        </w:rPr>
        <w:t>Interest Expense.</w:t>
      </w:r>
      <w:r>
        <w:rPr>
          <w:rFonts w:ascii="Times New Roman" w:hAnsi="Times New Roman"/>
          <w:sz w:val="17"/>
        </w:rPr>
        <w:t>   Debt balances are projected based on estimated cash flows, current distribution rates, capital expenditures for maintenance and expansion projects, expected timing of collections and payments, and forecast levels of inventory and other working capital sources and uses.</w:t>
      </w:r>
    </w:p>
    <w:p>
      <w:pPr>
        <w:pStyle w:val="TextBody"/>
        <w:spacing w:before="0" w:after="120"/>
        <w:ind w:left="400" w:right="0" w:hanging="0"/>
        <w:rPr>
          <w:rFonts w:ascii="Times New Roman" w:hAnsi="Times New Roman"/>
          <w:sz w:val="17"/>
        </w:rPr>
      </w:pPr>
      <w:r>
        <w:rPr>
          <w:rFonts w:ascii="Times New Roman" w:hAnsi="Times New Roman"/>
          <w:sz w:val="17"/>
        </w:rPr>
        <w:t>Calendar 2005 interest expense is expected to be between $61.7 million and $62.6 million, assuming an average long-term debt balance of approximately $1.0 billion and an all-in average rate of approximately 6.4%. While interest on floating rate debt is based on a forward one-year LIBOR index curve of 3.5%, over 90% of our projected average long-term debt balance has an average fixed interest rate of 6.1%. Included in the effective cost of debt are not only current cash payments, but also commitment fees, amortization of long-term debt discounts, and deferred amounts associated with terminated interest rate hedges. The amortization of deferred amounts associated with terminated interest rate hedges results in a non-cash component to interest expense of approximately $1.6 million per year (approximately $400,000 per quarter). Approximately 73% of these deferred amounts will be completely amortized by the fourth quarter of 2006. The remainder will be amortized over the next nine years.</w:t>
      </w:r>
    </w:p>
    <w:p>
      <w:pPr>
        <w:pStyle w:val="TextBody"/>
        <w:spacing w:before="0" w:after="120"/>
        <w:ind w:left="400" w:right="0" w:hanging="0"/>
        <w:rPr>
          <w:rFonts w:ascii="Times New Roman" w:hAnsi="Times New Roman"/>
          <w:sz w:val="17"/>
        </w:rPr>
      </w:pPr>
      <w:r>
        <w:rPr>
          <w:rFonts w:ascii="Times New Roman" w:hAnsi="Times New Roman"/>
          <w:sz w:val="17"/>
        </w:rPr>
        <w:t>Long-term debt at December 31, 2005 is projected to be approximately $1.05 billion.</w:t>
      </w:r>
    </w:p>
    <w:p>
      <w:pPr>
        <w:pStyle w:val="TextBody"/>
        <w:spacing w:before="0" w:after="120"/>
        <w:ind w:left="400" w:right="0" w:hanging="400"/>
        <w:rPr>
          <w:rFonts w:ascii="Times New Roman" w:hAnsi="Times New Roman"/>
          <w:sz w:val="17"/>
        </w:rPr>
      </w:pPr>
      <w:r>
        <w:rPr>
          <w:rFonts w:ascii="Times New Roman" w:hAnsi="Times New Roman"/>
          <w:sz w:val="17"/>
        </w:rPr>
        <w:t xml:space="preserve">9.                 </w:t>
      </w:r>
      <w:r>
        <w:rPr>
          <w:rFonts w:ascii="Times New Roman" w:hAnsi="Times New Roman"/>
          <w:i/>
          <w:sz w:val="17"/>
        </w:rPr>
        <w:t>Net Income per Unit.</w:t>
      </w:r>
      <w:r>
        <w:rPr>
          <w:rFonts w:ascii="Times New Roman" w:hAnsi="Times New Roman"/>
          <w:sz w:val="17"/>
        </w:rPr>
        <w:t xml:space="preserve">   Basic net income per limited partner unit is calculated by dividing the net income allocated to limited partners by the basic weighted average units outstanding during the </w:t>
      </w:r>
    </w:p>
    <w:p>
      <w:pPr>
        <w:pStyle w:val="TextBody"/>
        <w:spacing w:before="360" w:after="36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400" w:right="0" w:hanging="0"/>
        <w:rPr>
          <w:rFonts w:ascii="Times New Roman" w:hAnsi="Times New Roman"/>
          <w:sz w:val="17"/>
        </w:rPr>
      </w:pPr>
      <w:r>
        <w:rPr>
          <w:rFonts w:ascii="Times New Roman" w:hAnsi="Times New Roman"/>
          <w:sz w:val="17"/>
        </w:rPr>
        <w:t>period. Basic weighted average units outstanding are projected to average approximately 67.8 million units for 2005.</w:t>
      </w:r>
    </w:p>
    <w:p>
      <w:pPr>
        <w:pStyle w:val="TextBody"/>
        <w:spacing w:before="0" w:after="120"/>
        <w:ind w:left="400" w:right="0" w:hanging="0"/>
        <w:rPr>
          <w:rFonts w:ascii="Times New Roman" w:hAnsi="Times New Roman"/>
          <w:sz w:val="17"/>
        </w:rPr>
      </w:pPr>
      <w:r>
        <w:rPr>
          <w:rFonts w:ascii="Times New Roman" w:hAnsi="Times New Roman"/>
          <w:sz w:val="17"/>
        </w:rPr>
        <w:t>Net income allocated to limited partners is impacted by the income allocated to the general partner and the amount of the incentive distribution paid to the general partner. Accordingly, for each $0.05 per unit annual increase in the distribution rate up to $2.70 per unit, net income available for limited partners decreases approximately $1.0 million ($0.02 per unit) on an annualized basis. The amount of income allocated to our limited partnership interests is 98% of the total partnership income after deducting the amount of the general partners incentive distribution. Based on our current annualized distribution rate of $2.55 per unit, our general partners distribution is forecast to be approximately $17.5 million annually, of which $14.0 million is attributed to the incentive distribution rights. The relative amount of the incentive distribution varies directionally with the number of units outstanding and the level of the distribution on the units.</w:t>
      </w:r>
    </w:p>
    <w:p>
      <w:pPr>
        <w:pStyle w:val="TextBody"/>
        <w:spacing w:before="0" w:after="120"/>
        <w:ind w:left="400" w:right="0" w:hanging="400"/>
        <w:rPr>
          <w:rFonts w:ascii="Times New Roman" w:hAnsi="Times New Roman"/>
          <w:sz w:val="17"/>
        </w:rPr>
      </w:pPr>
      <w:r>
        <w:rPr>
          <w:rFonts w:ascii="Times New Roman" w:hAnsi="Times New Roman"/>
          <w:sz w:val="17"/>
        </w:rPr>
        <w:t xml:space="preserve">10.          </w:t>
      </w:r>
      <w:r>
        <w:rPr>
          <w:rFonts w:ascii="Times New Roman" w:hAnsi="Times New Roman"/>
          <w:i/>
          <w:sz w:val="17"/>
        </w:rPr>
        <w:t>Long-term Incentive Plans</w:t>
      </w:r>
      <w:r>
        <w:rPr>
          <w:rFonts w:ascii="Times New Roman" w:hAnsi="Times New Roman"/>
          <w:sz w:val="17"/>
        </w:rPr>
        <w:t>.   The majority of phantom unit grants outstanding under our 1998 and 2005 Long-Term Incentive Plans contain vesting criteria that are based on a combination of performance benchmarks and service period. The phantom units under the 2005 plan generally vest on the later of 2 years, 4 years or 5 years, or achievement of annualized distribution levels of $2.60, $2.80 and $3.00 per unit, respectively, and the majority of the phantom units have a final service period vesting in 2011. Accordingly, guidance includes i) for phantom units tied to the $2.60 performance level, an accrual over the corresponding service period, generally 2 years, as it has been deemed probable that the $2.60 performance level will be reached, and ii) for the phantom units that are not tied to the $2.60 performance threshold but have a final service period vesting in 2011, a pro rata accrual associated with a six-year service period. For 2005, the guidance includes approximately $20.2 million of principally non-cash expense associated with these phantom units. Management has not completed its probability assessment of reaching future performance thresholds beyond the $2.60 level. If the $2.80 distribution threshold were deemed probable assuming a $42.00 unit price, an additional $1.4 million, $0.9 million and $0.9 million would be charged in the second, third and fourth quarters of 2005, respectively. This additional charge would impact earnings per limited partner unit by $(0.02), $(0.01) and $(0.01) for these periods. The actual amount of LTIP expense amortization in any given year will be directly influenced by fluctuations in our unit price and the amount of amortization in the early years and will also be increased if a determination is made that achievement of any of the remaining performance thresholds is probable.</w:t>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11.          </w:t>
      </w:r>
      <w:r>
        <w:rPr>
          <w:rFonts w:ascii="Times New Roman" w:hAnsi="Times New Roman"/>
          <w:i/>
          <w:sz w:val="17"/>
        </w:rPr>
        <w:t>Reconciliation of EBITDA and EBIT to Net Income.</w:t>
      </w:r>
      <w:r>
        <w:rPr>
          <w:rFonts w:ascii="Times New Roman" w:hAnsi="Times New Roman"/>
          <w:sz w:val="17"/>
        </w:rPr>
        <w:t>   The following table reconciles the guidance ranges for EBIT and EBITDA to net income.</w:t>
      </w:r>
    </w:p>
    <w:tbl>
      <w:tblPr>
        <w:tblW w:w="9316" w:type="dxa"/>
        <w:jc w:val="left"/>
        <w:tblInd w:w="0" w:type="dxa"/>
        <w:tblCellMar>
          <w:top w:w="0" w:type="dxa"/>
          <w:left w:w="0" w:type="dxa"/>
          <w:bottom w:w="0" w:type="dxa"/>
          <w:right w:w="0" w:type="dxa"/>
        </w:tblCellMar>
      </w:tblPr>
      <w:tblGrid>
        <w:gridCol w:w="2700"/>
        <w:gridCol w:w="105"/>
        <w:gridCol w:w="120"/>
        <w:gridCol w:w="375"/>
        <w:gridCol w:w="120"/>
        <w:gridCol w:w="165"/>
        <w:gridCol w:w="135"/>
        <w:gridCol w:w="450"/>
        <w:gridCol w:w="135"/>
        <w:gridCol w:w="165"/>
        <w:gridCol w:w="120"/>
        <w:gridCol w:w="375"/>
        <w:gridCol w:w="120"/>
        <w:gridCol w:w="165"/>
        <w:gridCol w:w="135"/>
        <w:gridCol w:w="375"/>
        <w:gridCol w:w="135"/>
        <w:gridCol w:w="165"/>
        <w:gridCol w:w="120"/>
        <w:gridCol w:w="375"/>
        <w:gridCol w:w="120"/>
        <w:gridCol w:w="165"/>
        <w:gridCol w:w="135"/>
        <w:gridCol w:w="375"/>
        <w:gridCol w:w="135"/>
        <w:gridCol w:w="165"/>
        <w:gridCol w:w="95"/>
        <w:gridCol w:w="476"/>
        <w:gridCol w:w="90"/>
        <w:gridCol w:w="165"/>
        <w:gridCol w:w="135"/>
        <w:gridCol w:w="450"/>
        <w:gridCol w:w="135"/>
        <w:gridCol w:w="60"/>
        <w:gridCol w:w="60"/>
      </w:tblGrid>
      <w:tr>
        <w:trPr/>
        <w:tc>
          <w:tcPr>
            <w:tcW w:w="2700" w:type="dxa"/>
            <w:tcBorders/>
            <w:shd w:fill="auto" w:val="clear"/>
            <w:vAlign w:val="bottom"/>
          </w:tcPr>
          <w:p>
            <w:pPr>
              <w:pStyle w:val="TableContents"/>
              <w:spacing w:lineRule="atLeast" w:line="141" w:before="0" w:after="0"/>
              <w:ind w:left="0" w:right="0" w:hanging="0"/>
              <w:rPr/>
            </w:pPr>
            <w:r>
              <w:rPr/>
              <w:t> </w:t>
            </w:r>
          </w:p>
        </w:tc>
        <w:tc>
          <w:tcPr>
            <w:tcW w:w="105" w:type="dxa"/>
            <w:tcBorders/>
            <w:shd w:fill="auto" w:val="clear"/>
            <w:vAlign w:val="bottom"/>
          </w:tcPr>
          <w:p>
            <w:pPr>
              <w:pStyle w:val="TableContents"/>
              <w:spacing w:lineRule="atLeast" w:line="141" w:before="0" w:after="0"/>
              <w:ind w:left="0" w:right="0" w:hanging="0"/>
              <w:rPr/>
            </w:pPr>
            <w:r>
              <w:rPr/>
              <w:t> </w:t>
            </w:r>
          </w:p>
        </w:tc>
        <w:tc>
          <w:tcPr>
            <w:tcW w:w="6391" w:type="dxa"/>
            <w:gridSpan w:val="31"/>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Guidance (In millions)</w:t>
            </w:r>
          </w:p>
        </w:tc>
        <w:tc>
          <w:tcPr>
            <w:tcW w:w="60" w:type="dxa"/>
            <w:tcBorders/>
            <w:shd w:fill="auto" w:val="clear"/>
            <w:vAlign w:val="bottom"/>
          </w:tcPr>
          <w:p>
            <w:pPr>
              <w:pStyle w:val="TableContents"/>
              <w:spacing w:lineRule="atLeast" w:line="141"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r>
      <w:tr>
        <w:trPr/>
        <w:tc>
          <w:tcPr>
            <w:tcW w:w="2700" w:type="dxa"/>
            <w:tcBorders/>
            <w:shd w:fill="auto" w:val="clear"/>
            <w:vAlign w:val="bottom"/>
          </w:tcPr>
          <w:p>
            <w:pPr>
              <w:pStyle w:val="TableContents"/>
              <w:spacing w:lineRule="atLeast" w:line="141" w:before="0" w:after="0"/>
              <w:ind w:left="0" w:right="0" w:hanging="0"/>
              <w:rPr/>
            </w:pPr>
            <w:r>
              <w:rPr/>
              <w:t> </w:t>
            </w:r>
          </w:p>
        </w:tc>
        <w:tc>
          <w:tcPr>
            <w:tcW w:w="105" w:type="dxa"/>
            <w:tcBorders/>
            <w:shd w:fill="auto" w:val="clear"/>
            <w:vAlign w:val="bottom"/>
          </w:tcPr>
          <w:p>
            <w:pPr>
              <w:pStyle w:val="TableContents"/>
              <w:spacing w:lineRule="atLeast" w:line="141" w:before="0" w:after="0"/>
              <w:ind w:left="0" w:right="0" w:hanging="0"/>
              <w:rPr/>
            </w:pPr>
            <w:r>
              <w:rPr/>
              <w:t> </w:t>
            </w:r>
          </w:p>
        </w:tc>
        <w:tc>
          <w:tcPr>
            <w:tcW w:w="1500" w:type="dxa"/>
            <w:gridSpan w:val="7"/>
            <w:tcBorders/>
            <w:shd w:fill="auto" w:val="cle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Three Months Ended</w:t>
            </w:r>
          </w:p>
        </w:tc>
        <w:tc>
          <w:tcPr>
            <w:tcW w:w="165" w:type="dxa"/>
            <w:tcBorders/>
            <w:shd w:fill="auto" w:val="clear"/>
            <w:vAlign w:val="bottom"/>
          </w:tcPr>
          <w:p>
            <w:pPr>
              <w:pStyle w:val="TableContents"/>
              <w:spacing w:lineRule="atLeast" w:line="141" w:before="0" w:after="0"/>
              <w:ind w:left="0" w:right="0" w:hanging="0"/>
              <w:rPr/>
            </w:pPr>
            <w:r>
              <w:rPr/>
              <w:t> </w:t>
            </w:r>
          </w:p>
        </w:tc>
        <w:tc>
          <w:tcPr>
            <w:tcW w:w="1425" w:type="dxa"/>
            <w:gridSpan w:val="7"/>
            <w:tcBorders/>
            <w:shd w:fill="auto" w:val="cle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Three Months Ended</w:t>
            </w:r>
          </w:p>
        </w:tc>
        <w:tc>
          <w:tcPr>
            <w:tcW w:w="165" w:type="dxa"/>
            <w:tcBorders/>
            <w:shd w:fill="auto" w:val="clear"/>
            <w:vAlign w:val="bottom"/>
          </w:tcPr>
          <w:p>
            <w:pPr>
              <w:pStyle w:val="TableContents"/>
              <w:spacing w:lineRule="atLeast" w:line="141" w:before="0" w:after="0"/>
              <w:ind w:left="0" w:right="0" w:hanging="0"/>
              <w:rPr/>
            </w:pPr>
            <w:r>
              <w:rPr/>
              <w:t> </w:t>
            </w:r>
          </w:p>
        </w:tc>
        <w:tc>
          <w:tcPr>
            <w:tcW w:w="1425" w:type="dxa"/>
            <w:gridSpan w:val="7"/>
            <w:tcBorders/>
            <w:shd w:fill="auto" w:val="cle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Three Months Ended</w:t>
            </w:r>
          </w:p>
        </w:tc>
        <w:tc>
          <w:tcPr>
            <w:tcW w:w="165" w:type="dxa"/>
            <w:tcBorders/>
            <w:shd w:fill="auto" w:val="clear"/>
            <w:vAlign w:val="bottom"/>
          </w:tcPr>
          <w:p>
            <w:pPr>
              <w:pStyle w:val="TableContents"/>
              <w:spacing w:lineRule="atLeast" w:line="141" w:before="0" w:after="0"/>
              <w:ind w:left="0" w:right="0" w:hanging="0"/>
              <w:rPr/>
            </w:pPr>
            <w:r>
              <w:rPr/>
              <w:t> </w:t>
            </w:r>
          </w:p>
        </w:tc>
        <w:tc>
          <w:tcPr>
            <w:tcW w:w="1546" w:type="dxa"/>
            <w:gridSpan w:val="7"/>
            <w:tcBorders/>
            <w:shd w:fill="auto" w:val="cle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Twelve Months Ended</w:t>
            </w:r>
          </w:p>
        </w:tc>
        <w:tc>
          <w:tcPr>
            <w:tcW w:w="60" w:type="dxa"/>
            <w:tcBorders/>
            <w:shd w:fill="auto" w:val="clear"/>
            <w:vAlign w:val="bottom"/>
          </w:tcPr>
          <w:p>
            <w:pPr>
              <w:pStyle w:val="TableContents"/>
              <w:spacing w:lineRule="atLeast" w:line="141"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r>
      <w:tr>
        <w:trPr/>
        <w:tc>
          <w:tcPr>
            <w:tcW w:w="2700" w:type="dxa"/>
            <w:tcBorders/>
            <w:shd w:fill="auto" w:val="clear"/>
            <w:vAlign w:val="bottom"/>
          </w:tcPr>
          <w:p>
            <w:pPr>
              <w:pStyle w:val="TableContents"/>
              <w:spacing w:lineRule="atLeast" w:line="141" w:before="0" w:after="0"/>
              <w:ind w:left="0" w:right="0" w:hanging="0"/>
              <w:rPr/>
            </w:pPr>
            <w:r>
              <w:rPr/>
              <w:t> </w:t>
            </w:r>
          </w:p>
        </w:tc>
        <w:tc>
          <w:tcPr>
            <w:tcW w:w="105" w:type="dxa"/>
            <w:tcBorders/>
            <w:shd w:fill="auto" w:val="clear"/>
            <w:vAlign w:val="bottom"/>
          </w:tcPr>
          <w:p>
            <w:pPr>
              <w:pStyle w:val="TableContents"/>
              <w:spacing w:lineRule="atLeast" w:line="141" w:before="0" w:after="0"/>
              <w:ind w:left="0" w:right="0" w:hanging="0"/>
              <w:rPr/>
            </w:pPr>
            <w:r>
              <w:rPr/>
              <w:t> </w:t>
            </w:r>
          </w:p>
        </w:tc>
        <w:tc>
          <w:tcPr>
            <w:tcW w:w="1500"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June 30, 2005</w:t>
            </w:r>
          </w:p>
        </w:tc>
        <w:tc>
          <w:tcPr>
            <w:tcW w:w="165" w:type="dxa"/>
            <w:tcBorders/>
            <w:shd w:fill="auto" w:val="clear"/>
            <w:vAlign w:val="bottom"/>
          </w:tcPr>
          <w:p>
            <w:pPr>
              <w:pStyle w:val="TableContents"/>
              <w:spacing w:lineRule="atLeast" w:line="141" w:before="0" w:after="0"/>
              <w:ind w:left="0" w:right="0" w:hanging="0"/>
              <w:rPr/>
            </w:pPr>
            <w:r>
              <w:rPr/>
              <w:t> </w:t>
            </w:r>
          </w:p>
        </w:tc>
        <w:tc>
          <w:tcPr>
            <w:tcW w:w="1425"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September 30, 2005</w:t>
            </w:r>
          </w:p>
        </w:tc>
        <w:tc>
          <w:tcPr>
            <w:tcW w:w="165" w:type="dxa"/>
            <w:tcBorders/>
            <w:shd w:fill="auto" w:val="clear"/>
            <w:vAlign w:val="bottom"/>
          </w:tcPr>
          <w:p>
            <w:pPr>
              <w:pStyle w:val="TableContents"/>
              <w:spacing w:lineRule="atLeast" w:line="141" w:before="0" w:after="0"/>
              <w:ind w:left="0" w:right="0" w:hanging="0"/>
              <w:rPr/>
            </w:pPr>
            <w:r>
              <w:rPr/>
              <w:t> </w:t>
            </w:r>
          </w:p>
        </w:tc>
        <w:tc>
          <w:tcPr>
            <w:tcW w:w="1425"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December 31, 2005</w:t>
            </w:r>
          </w:p>
        </w:tc>
        <w:tc>
          <w:tcPr>
            <w:tcW w:w="165" w:type="dxa"/>
            <w:tcBorders/>
            <w:shd w:fill="auto" w:val="clear"/>
            <w:vAlign w:val="bottom"/>
          </w:tcPr>
          <w:p>
            <w:pPr>
              <w:pStyle w:val="TableContents"/>
              <w:spacing w:lineRule="atLeast" w:line="141" w:before="0" w:after="0"/>
              <w:ind w:left="0" w:right="0" w:hanging="0"/>
              <w:rPr/>
            </w:pPr>
            <w:r>
              <w:rPr/>
              <w:t> </w:t>
            </w:r>
          </w:p>
        </w:tc>
        <w:tc>
          <w:tcPr>
            <w:tcW w:w="1546" w:type="dxa"/>
            <w:gridSpan w:val="7"/>
            <w:tcBorders>
              <w:bottom w:val="single" w:sz="8" w:space="0" w:color="000000"/>
            </w:tcBorders>
            <w:shd w:fill="auto" w:val="clear"/>
            <w:tcMar>
              <w:bottom w:w="28" w:type="dxa"/>
            </w:tcMar>
            <w:vAlign w:val="bottom"/>
          </w:tcPr>
          <w:p>
            <w:pPr>
              <w:pStyle w:val="TableContents"/>
              <w:spacing w:lineRule="atLeast" w:line="141" w:before="0" w:after="0"/>
              <w:ind w:left="0" w:right="0" w:hanging="0"/>
              <w:rPr>
                <w:rFonts w:ascii="Times New Roman" w:hAnsi="Times New Roman"/>
                <w:b/>
                <w:sz w:val="13"/>
              </w:rPr>
            </w:pPr>
            <w:r>
              <w:rPr>
                <w:rFonts w:ascii="Times New Roman" w:hAnsi="Times New Roman"/>
                <w:b/>
                <w:sz w:val="13"/>
              </w:rPr>
              <w:t>December 31, 2005</w:t>
            </w:r>
          </w:p>
        </w:tc>
        <w:tc>
          <w:tcPr>
            <w:tcW w:w="60" w:type="dxa"/>
            <w:tcBorders/>
            <w:shd w:fill="auto" w:val="clear"/>
            <w:vAlign w:val="bottom"/>
          </w:tcPr>
          <w:p>
            <w:pPr>
              <w:pStyle w:val="TableContents"/>
              <w:spacing w:lineRule="atLeast" w:line="141"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r>
      <w:tr>
        <w:trPr/>
        <w:tc>
          <w:tcPr>
            <w:tcW w:w="2700" w:type="dxa"/>
            <w:tcBorders/>
            <w:shd w:fill="auto" w:val="clear"/>
            <w:vAlign w:val="bottom"/>
          </w:tcPr>
          <w:p>
            <w:pPr>
              <w:pStyle w:val="TableContents"/>
              <w:spacing w:lineRule="atLeast" w:line="141" w:before="0" w:after="0"/>
              <w:ind w:left="0" w:right="0" w:hanging="0"/>
              <w:rPr/>
            </w:pPr>
            <w:r>
              <w:rPr/>
              <w:t> </w:t>
            </w:r>
          </w:p>
        </w:tc>
        <w:tc>
          <w:tcPr>
            <w:tcW w:w="105" w:type="dxa"/>
            <w:tcBorders/>
            <w:shd w:fill="auto" w:val="clear"/>
            <w:vAlign w:val="bottom"/>
          </w:tcPr>
          <w:p>
            <w:pPr>
              <w:pStyle w:val="TableContents"/>
              <w:spacing w:lineRule="atLeast" w:line="141" w:before="0" w:after="0"/>
              <w:ind w:left="0" w:right="0" w:hanging="0"/>
              <w:rPr/>
            </w:pPr>
            <w:r>
              <w:rPr/>
              <w:t> </w:t>
            </w:r>
          </w:p>
        </w:tc>
        <w:tc>
          <w:tcPr>
            <w:tcW w:w="61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Low    </w:t>
            </w:r>
          </w:p>
        </w:tc>
        <w:tc>
          <w:tcPr>
            <w:tcW w:w="165" w:type="dxa"/>
            <w:tcBorders/>
            <w:shd w:fill="auto" w:val="clear"/>
            <w:vAlign w:val="bottom"/>
          </w:tcPr>
          <w:p>
            <w:pPr>
              <w:pStyle w:val="TableContents"/>
              <w:spacing w:lineRule="atLeast" w:line="141" w:before="0" w:after="0"/>
              <w:ind w:left="0" w:right="0" w:hanging="0"/>
              <w:rPr/>
            </w:pPr>
            <w:r>
              <w:rPr/>
              <w:t> </w:t>
            </w:r>
          </w:p>
        </w:tc>
        <w:tc>
          <w:tcPr>
            <w:tcW w:w="720"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High     </w:t>
            </w:r>
          </w:p>
        </w:tc>
        <w:tc>
          <w:tcPr>
            <w:tcW w:w="165" w:type="dxa"/>
            <w:tcBorders/>
            <w:shd w:fill="auto" w:val="clear"/>
            <w:vAlign w:val="bottom"/>
          </w:tcPr>
          <w:p>
            <w:pPr>
              <w:pStyle w:val="TableContents"/>
              <w:spacing w:lineRule="atLeast" w:line="141" w:before="0" w:after="0"/>
              <w:ind w:left="0" w:right="0" w:hanging="0"/>
              <w:rPr/>
            </w:pPr>
            <w:r>
              <w:rPr/>
              <w:t> </w:t>
            </w:r>
          </w:p>
        </w:tc>
        <w:tc>
          <w:tcPr>
            <w:tcW w:w="61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Low    </w:t>
            </w:r>
          </w:p>
        </w:tc>
        <w:tc>
          <w:tcPr>
            <w:tcW w:w="165" w:type="dxa"/>
            <w:tcBorders/>
            <w:shd w:fill="auto" w:val="clear"/>
            <w:vAlign w:val="bottom"/>
          </w:tcPr>
          <w:p>
            <w:pPr>
              <w:pStyle w:val="TableContents"/>
              <w:spacing w:lineRule="atLeast" w:line="141" w:before="0" w:after="0"/>
              <w:ind w:left="0" w:right="0" w:hanging="0"/>
              <w:rPr/>
            </w:pPr>
            <w:r>
              <w:rPr/>
              <w:t> </w:t>
            </w:r>
          </w:p>
        </w:tc>
        <w:tc>
          <w:tcPr>
            <w:tcW w:w="64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High    </w:t>
            </w:r>
          </w:p>
        </w:tc>
        <w:tc>
          <w:tcPr>
            <w:tcW w:w="165" w:type="dxa"/>
            <w:tcBorders/>
            <w:shd w:fill="auto" w:val="clear"/>
            <w:vAlign w:val="bottom"/>
          </w:tcPr>
          <w:p>
            <w:pPr>
              <w:pStyle w:val="TableContents"/>
              <w:spacing w:lineRule="atLeast" w:line="141" w:before="0" w:after="0"/>
              <w:ind w:left="0" w:right="0" w:hanging="0"/>
              <w:rPr/>
            </w:pPr>
            <w:r>
              <w:rPr/>
              <w:t> </w:t>
            </w:r>
          </w:p>
        </w:tc>
        <w:tc>
          <w:tcPr>
            <w:tcW w:w="61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Low    </w:t>
            </w:r>
          </w:p>
        </w:tc>
        <w:tc>
          <w:tcPr>
            <w:tcW w:w="165" w:type="dxa"/>
            <w:tcBorders/>
            <w:shd w:fill="auto" w:val="clear"/>
            <w:vAlign w:val="bottom"/>
          </w:tcPr>
          <w:p>
            <w:pPr>
              <w:pStyle w:val="TableContents"/>
              <w:spacing w:lineRule="atLeast" w:line="141" w:before="0" w:after="0"/>
              <w:ind w:left="0" w:right="0" w:hanging="0"/>
              <w:rPr/>
            </w:pPr>
            <w:r>
              <w:rPr/>
              <w:t> </w:t>
            </w:r>
          </w:p>
        </w:tc>
        <w:tc>
          <w:tcPr>
            <w:tcW w:w="645"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High    </w:t>
            </w:r>
          </w:p>
        </w:tc>
        <w:tc>
          <w:tcPr>
            <w:tcW w:w="165" w:type="dxa"/>
            <w:tcBorders/>
            <w:shd w:fill="auto" w:val="clear"/>
            <w:vAlign w:val="bottom"/>
          </w:tcPr>
          <w:p>
            <w:pPr>
              <w:pStyle w:val="TableContents"/>
              <w:spacing w:lineRule="atLeast" w:line="141" w:before="0" w:after="0"/>
              <w:ind w:left="0" w:right="0" w:hanging="0"/>
              <w:rPr/>
            </w:pPr>
            <w:r>
              <w:rPr/>
              <w:t> </w:t>
            </w:r>
          </w:p>
        </w:tc>
        <w:tc>
          <w:tcPr>
            <w:tcW w:w="661"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Low     </w:t>
            </w:r>
          </w:p>
        </w:tc>
        <w:tc>
          <w:tcPr>
            <w:tcW w:w="165" w:type="dxa"/>
            <w:tcBorders/>
            <w:shd w:fill="auto" w:val="clear"/>
            <w:vAlign w:val="bottom"/>
          </w:tcPr>
          <w:p>
            <w:pPr>
              <w:pStyle w:val="TableContents"/>
              <w:spacing w:lineRule="atLeast" w:line="141" w:before="0" w:after="0"/>
              <w:ind w:left="0" w:right="0" w:hanging="0"/>
              <w:rPr/>
            </w:pPr>
            <w:r>
              <w:rPr/>
              <w:t> </w:t>
            </w:r>
          </w:p>
        </w:tc>
        <w:tc>
          <w:tcPr>
            <w:tcW w:w="720" w:type="dxa"/>
            <w:gridSpan w:val="3"/>
            <w:tcBorders>
              <w:bottom w:val="single" w:sz="8" w:space="0" w:color="000000"/>
            </w:tcBorders>
            <w:shd w:fill="auto" w:val="clear"/>
            <w:tcMar>
              <w:bottom w:w="28" w:type="dxa"/>
            </w:tcMar>
            <w:vAlign w:val="bottom"/>
          </w:tcPr>
          <w:p>
            <w:pPr>
              <w:pStyle w:val="TableContents"/>
              <w:spacing w:lineRule="atLeast" w:line="141" w:before="0" w:after="0"/>
              <w:ind w:left="0" w:right="0" w:hanging="0"/>
              <w:rPr/>
            </w:pPr>
            <w:r>
              <w:rPr/>
              <w:t>     </w:t>
            </w:r>
            <w:r>
              <w:rPr>
                <w:rFonts w:ascii="Times New Roman" w:hAnsi="Times New Roman"/>
                <w:b/>
                <w:sz w:val="13"/>
              </w:rPr>
              <w:t>High     </w:t>
            </w:r>
          </w:p>
        </w:tc>
        <w:tc>
          <w:tcPr>
            <w:tcW w:w="60" w:type="dxa"/>
            <w:tcBorders/>
            <w:shd w:fill="auto" w:val="clear"/>
            <w:vAlign w:val="bottom"/>
          </w:tcPr>
          <w:p>
            <w:pPr>
              <w:pStyle w:val="TableContents"/>
              <w:spacing w:lineRule="atLeast" w:line="141"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r>
      <w:tr>
        <w:trPr/>
        <w:tc>
          <w:tcPr>
            <w:tcW w:w="2700" w:type="dxa"/>
            <w:tcBorders/>
            <w:shd w:fill="CCEEFF" w:val="clear"/>
          </w:tcPr>
          <w:p>
            <w:pPr>
              <w:pStyle w:val="TableContents"/>
              <w:spacing w:before="0" w:after="0"/>
              <w:ind w:left="0" w:right="0" w:hanging="0"/>
              <w:rPr>
                <w:rFonts w:ascii="Times New Roman" w:hAnsi="Times New Roman"/>
                <w:b/>
                <w:sz w:val="13"/>
              </w:rPr>
            </w:pPr>
            <w:r>
              <w:rPr>
                <w:rFonts w:ascii="Times New Roman" w:hAnsi="Times New Roman"/>
                <w:b/>
                <w:sz w:val="13"/>
              </w:rPr>
              <w:t>Reconciliation to Net Income</w:t>
            </w:r>
          </w:p>
        </w:tc>
        <w:tc>
          <w:tcPr>
            <w:tcW w:w="10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476"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120" w:type="dxa"/>
            <w:gridSpan w:val="2"/>
            <w:tcBorders/>
            <w:shd w:fill="CCEEFF" w:val="clear"/>
            <w:vAlign w:val="bottom"/>
          </w:tcPr>
          <w:p>
            <w:pPr>
              <w:pStyle w:val="TableContents"/>
              <w:spacing w:before="0" w:after="0"/>
              <w:ind w:left="0" w:right="0" w:hanging="0"/>
              <w:rPr/>
            </w:pPr>
            <w:r>
              <w:rPr/>
              <w:t> </w:t>
            </w:r>
          </w:p>
        </w:tc>
      </w:tr>
      <w:tr>
        <w:trPr/>
        <w:tc>
          <w:tcPr>
            <w:tcW w:w="270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EBITDA</w:t>
            </w:r>
          </w:p>
        </w:tc>
        <w:tc>
          <w:tcPr>
            <w:tcW w:w="10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$ 99.2</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$ 109.2</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$ 76.1</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$ 86.1</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$ 66.1</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$ 76.1</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47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$ 307.9</w:t>
            </w:r>
          </w:p>
        </w:tc>
        <w:tc>
          <w:tcPr>
            <w:tcW w:w="9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$ 337.9</w:t>
            </w:r>
          </w:p>
        </w:tc>
        <w:tc>
          <w:tcPr>
            <w:tcW w:w="135" w:type="dxa"/>
            <w:tcBorders/>
            <w:shd w:fill="auto" w:val="clear"/>
            <w:vAlign w:val="bottom"/>
          </w:tcPr>
          <w:p>
            <w:pPr>
              <w:pStyle w:val="TableContents"/>
              <w:spacing w:before="0" w:after="0"/>
              <w:ind w:left="0" w:right="0" w:hanging="0"/>
              <w:rPr/>
            </w:pPr>
            <w:r>
              <w:rPr/>
              <w:t> </w:t>
            </w:r>
          </w:p>
        </w:tc>
        <w:tc>
          <w:tcPr>
            <w:tcW w:w="120" w:type="dxa"/>
            <w:gridSpan w:val="2"/>
            <w:tcBorders/>
            <w:shd w:fill="auto" w:val="clear"/>
            <w:vAlign w:val="bottom"/>
          </w:tcPr>
          <w:p>
            <w:pPr>
              <w:pStyle w:val="TableContents"/>
              <w:spacing w:before="0" w:after="0"/>
              <w:ind w:left="0" w:right="0" w:hanging="0"/>
              <w:rPr/>
            </w:pPr>
            <w:r>
              <w:rPr/>
              <w:t> </w:t>
            </w:r>
          </w:p>
        </w:tc>
      </w:tr>
      <w:tr>
        <w:trPr/>
        <w:tc>
          <w:tcPr>
            <w:tcW w:w="2700"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Depreciation and amortization</w:t>
            </w:r>
          </w:p>
        </w:tc>
        <w:tc>
          <w:tcPr>
            <w:tcW w:w="10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19.3</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19.1</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19.9</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19.6</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20.4</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20.0</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476"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78.7</w:t>
            </w:r>
          </w:p>
        </w:tc>
        <w:tc>
          <w:tcPr>
            <w:tcW w:w="9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77.8</w:t>
            </w:r>
          </w:p>
        </w:tc>
        <w:tc>
          <w:tcPr>
            <w:tcW w:w="135" w:type="dxa"/>
            <w:tcBorders/>
            <w:shd w:fill="CCEEFF" w:val="clear"/>
            <w:vAlign w:val="bottom"/>
          </w:tcPr>
          <w:p>
            <w:pPr>
              <w:pStyle w:val="TableContents"/>
              <w:spacing w:before="0" w:after="0"/>
              <w:ind w:left="0" w:right="0" w:hanging="0"/>
              <w:rPr/>
            </w:pPr>
            <w:r>
              <w:rPr/>
              <w:t> </w:t>
            </w:r>
          </w:p>
        </w:tc>
        <w:tc>
          <w:tcPr>
            <w:tcW w:w="120" w:type="dxa"/>
            <w:gridSpan w:val="2"/>
            <w:tcBorders/>
            <w:shd w:fill="CCEEFF" w:val="clear"/>
            <w:vAlign w:val="bottom"/>
          </w:tcPr>
          <w:p>
            <w:pPr>
              <w:pStyle w:val="TableContents"/>
              <w:spacing w:before="0" w:after="0"/>
              <w:ind w:left="0" w:right="0" w:hanging="0"/>
              <w:rPr/>
            </w:pPr>
            <w:r>
              <w:rPr/>
              <w:t> </w:t>
            </w:r>
          </w:p>
        </w:tc>
      </w:tr>
      <w:tr>
        <w:trPr/>
        <w:tc>
          <w:tcPr>
            <w:tcW w:w="270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EBIT</w:t>
            </w:r>
          </w:p>
        </w:tc>
        <w:tc>
          <w:tcPr>
            <w:tcW w:w="10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79.9</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90.1</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56.2</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66.5</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45.7</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56.1</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47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229.2</w:t>
            </w:r>
          </w:p>
        </w:tc>
        <w:tc>
          <w:tcPr>
            <w:tcW w:w="9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260.1</w:t>
            </w:r>
          </w:p>
        </w:tc>
        <w:tc>
          <w:tcPr>
            <w:tcW w:w="135" w:type="dxa"/>
            <w:tcBorders/>
            <w:shd w:fill="auto" w:val="clear"/>
            <w:vAlign w:val="bottom"/>
          </w:tcPr>
          <w:p>
            <w:pPr>
              <w:pStyle w:val="TableContents"/>
              <w:spacing w:before="0" w:after="0"/>
              <w:ind w:left="0" w:right="0" w:hanging="0"/>
              <w:rPr/>
            </w:pPr>
            <w:r>
              <w:rPr/>
              <w:t> </w:t>
            </w:r>
          </w:p>
        </w:tc>
        <w:tc>
          <w:tcPr>
            <w:tcW w:w="120" w:type="dxa"/>
            <w:gridSpan w:val="2"/>
            <w:tcBorders/>
            <w:shd w:fill="auto" w:val="clear"/>
            <w:vAlign w:val="bottom"/>
          </w:tcPr>
          <w:p>
            <w:pPr>
              <w:pStyle w:val="TableContents"/>
              <w:spacing w:before="0" w:after="0"/>
              <w:ind w:left="0" w:right="0" w:hanging="0"/>
              <w:rPr/>
            </w:pPr>
            <w:r>
              <w:rPr/>
              <w:t> </w:t>
            </w:r>
          </w:p>
        </w:tc>
      </w:tr>
      <w:tr>
        <w:trPr/>
        <w:tc>
          <w:tcPr>
            <w:tcW w:w="2700"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Interest expense</w:t>
            </w:r>
          </w:p>
        </w:tc>
        <w:tc>
          <w:tcPr>
            <w:tcW w:w="10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14.7</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14.5</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16.3</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16.0</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17.0</w:t>
            </w:r>
          </w:p>
        </w:tc>
        <w:tc>
          <w:tcPr>
            <w:tcW w:w="12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37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16.6</w:t>
            </w:r>
          </w:p>
        </w:tc>
        <w:tc>
          <w:tcPr>
            <w:tcW w:w="135"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476"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62.6</w:t>
            </w:r>
          </w:p>
        </w:tc>
        <w:tc>
          <w:tcPr>
            <w:tcW w:w="90"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5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61.7</w:t>
            </w:r>
          </w:p>
        </w:tc>
        <w:tc>
          <w:tcPr>
            <w:tcW w:w="135" w:type="dxa"/>
            <w:tcBorders/>
            <w:shd w:fill="CCEEFF" w:val="clear"/>
            <w:vAlign w:val="bottom"/>
          </w:tcPr>
          <w:p>
            <w:pPr>
              <w:pStyle w:val="TableContents"/>
              <w:spacing w:before="0" w:after="0"/>
              <w:ind w:left="0" w:right="0" w:hanging="0"/>
              <w:rPr/>
            </w:pPr>
            <w:r>
              <w:rPr/>
              <w:t> </w:t>
            </w:r>
          </w:p>
        </w:tc>
        <w:tc>
          <w:tcPr>
            <w:tcW w:w="120" w:type="dxa"/>
            <w:gridSpan w:val="2"/>
            <w:tcBorders/>
            <w:shd w:fill="CCEEFF" w:val="clear"/>
            <w:vAlign w:val="bottom"/>
          </w:tcPr>
          <w:p>
            <w:pPr>
              <w:pStyle w:val="TableContents"/>
              <w:spacing w:before="0" w:after="0"/>
              <w:ind w:left="0" w:right="0" w:hanging="0"/>
              <w:rPr/>
            </w:pPr>
            <w:r>
              <w:rPr/>
              <w:t> </w:t>
            </w:r>
          </w:p>
        </w:tc>
      </w:tr>
      <w:tr>
        <w:trPr/>
        <w:tc>
          <w:tcPr>
            <w:tcW w:w="270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Net Income</w:t>
            </w:r>
          </w:p>
        </w:tc>
        <w:tc>
          <w:tcPr>
            <w:tcW w:w="10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$ 65.2</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$ 75.6</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$ 39.9</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$ 50.5</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3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$ 28.7</w:t>
            </w:r>
          </w:p>
        </w:tc>
        <w:tc>
          <w:tcPr>
            <w:tcW w:w="12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3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$ 39.5</w:t>
            </w:r>
          </w:p>
        </w:tc>
        <w:tc>
          <w:tcPr>
            <w:tcW w:w="135"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47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$ 166.6</w:t>
            </w:r>
          </w:p>
        </w:tc>
        <w:tc>
          <w:tcPr>
            <w:tcW w:w="90"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4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$ 198.4</w:t>
            </w:r>
          </w:p>
        </w:tc>
        <w:tc>
          <w:tcPr>
            <w:tcW w:w="135" w:type="dxa"/>
            <w:tcBorders/>
            <w:shd w:fill="auto" w:val="clear"/>
            <w:vAlign w:val="bottom"/>
          </w:tcPr>
          <w:p>
            <w:pPr>
              <w:pStyle w:val="TableContents"/>
              <w:spacing w:before="0" w:after="0"/>
              <w:ind w:left="0" w:right="0" w:hanging="0"/>
              <w:rPr/>
            </w:pPr>
            <w:r>
              <w:rPr/>
              <w:t> </w:t>
            </w:r>
          </w:p>
        </w:tc>
        <w:tc>
          <w:tcPr>
            <w:tcW w:w="120" w:type="dxa"/>
            <w:gridSpan w:val="2"/>
            <w:tcBorders/>
            <w:shd w:fill="auto" w:val="clear"/>
            <w:vAlign w:val="bottom"/>
          </w:tcPr>
          <w:p>
            <w:pPr>
              <w:pStyle w:val="TableContents"/>
              <w:spacing w:before="0" w:after="0"/>
              <w:ind w:left="0" w:right="0" w:hanging="0"/>
              <w:rPr/>
            </w:pPr>
            <w:r>
              <w:rPr/>
              <w:t> </w:t>
            </w:r>
          </w:p>
        </w:tc>
      </w:tr>
    </w:tbl>
    <w:p>
      <w:pPr>
        <w:pStyle w:val="TextBody"/>
        <w:spacing w:lineRule="atLeast" w:line="141" w:before="0" w:after="220"/>
        <w:ind w:left="0" w:right="0" w:hanging="0"/>
        <w:rPr/>
      </w:pPr>
      <w:r>
        <w:rPr/>
        <w:t> </w:t>
      </w:r>
    </w:p>
    <w:p>
      <w:pPr>
        <w:pStyle w:val="TextBody"/>
        <w:spacing w:before="360" w:after="36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100"/>
        <w:ind w:left="200" w:right="0" w:hanging="200"/>
        <w:rPr>
          <w:rFonts w:ascii="Times New Roman" w:hAnsi="Times New Roman"/>
          <w:b/>
          <w:sz w:val="17"/>
        </w:rPr>
      </w:pPr>
      <w:bookmarkStart w:id="3" w:name="ForwardlookingStatementsAndAssoci_224304"/>
      <w:bookmarkEnd w:id="3"/>
      <w:r>
        <w:rPr>
          <w:rFonts w:ascii="Times New Roman" w:hAnsi="Times New Roman"/>
          <w:b/>
          <w:sz w:val="17"/>
        </w:rPr>
        <w:t>Forward-Looking Statements and Associated Risks</w:t>
      </w:r>
    </w:p>
    <w:p>
      <w:pPr>
        <w:pStyle w:val="TextBody"/>
        <w:keepNext w:val="true"/>
        <w:spacing w:before="0" w:after="120"/>
        <w:ind w:left="0" w:right="0" w:firstLine="400"/>
        <w:rPr>
          <w:rFonts w:ascii="Times New Roman" w:hAnsi="Times New Roman"/>
          <w:sz w:val="17"/>
        </w:rPr>
      </w:pPr>
      <w:r>
        <w:rPr>
          <w:rFonts w:ascii="Times New Roman" w:hAnsi="Times New Roman"/>
          <w:sz w:val="17"/>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keepNext w:val="true"/>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success of our risk management activities;</w:t>
      </w:r>
    </w:p>
    <w:p>
      <w:pPr>
        <w:pStyle w:val="TextBody"/>
        <w:keepNext w:val="true"/>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abrupt or severe production declines or production interruptions in outer continental shelf production located offshore California and transported on our pipeline system;</w:t>
      </w:r>
    </w:p>
    <w:p>
      <w:pPr>
        <w:pStyle w:val="TextBody"/>
        <w:keepNext w:val="true"/>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and our ability to consummate, acquisition or combination opportunities;</w:t>
      </w:r>
    </w:p>
    <w:p>
      <w:pPr>
        <w:pStyle w:val="TextBody"/>
        <w:keepNext w:val="true"/>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our access to capital to fund additional acquisitions and our ability to obtain debt or equity financing on satisfactory terms;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successful integration and future performance of acquired assets or businesses;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environmental liabilities or events that are not covered by an indemnity, insurance or existing reserves;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maintenance of our credit rating and ability to receive open credit from our suppliers and trade counter-parties;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declines in volumes shipped on the Basin Pipeline, Capline Pipeline and our other pipelines by third party shippers;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adequate third party production volumes for transportation and marketing in the areas in which we operate;</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successful third-party drilling efforts in areas in which we operate pipelines or gather crude oil;</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demand for various grades of crude oil and resulting changes in pricing conditions or transmission throughput requirements;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fluctuations in refinery capacity in areas supplied by our transmission lines;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effects of competition;</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continued creditworthiness of, and performance by, our counterparties;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impact of crude oil price fluctuations;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impact of current and future laws, rulings and governmental regulations;</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shortages or cost increases of power supplies, materials or labor;</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weather interference with business operations or project construction;</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the currency exchange rate of the Canadian dollar;</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fluctuations in the debt and equity markets, including the price of our units at the time of vesting under our LTIP plan;</w:t>
      </w:r>
    </w:p>
    <w:p>
      <w:pPr>
        <w:pStyle w:val="TextBody"/>
        <w:spacing w:before="0" w:after="60"/>
        <w:ind w:left="600" w:right="0" w:hanging="200"/>
        <w:rPr>
          <w:rFonts w:ascii="Times New Roman" w:hAnsi="Times New Roman"/>
          <w:sz w:val="17"/>
        </w:rPr>
      </w:pPr>
      <w:r>
        <w:rPr>
          <w:rFonts w:ascii="Symbol" w:hAnsi="Symbol"/>
          <w:sz w:val="17"/>
        </w:rPr>
        <w:t>·</w:t>
      </w:r>
      <w:r>
        <w:rPr>
          <w:rFonts w:ascii="Times New Roman" w:hAnsi="Times New Roman"/>
          <w:sz w:val="17"/>
        </w:rPr>
        <w:t>       general economic, market or business conditions; and</w:t>
      </w:r>
    </w:p>
    <w:p>
      <w:pPr>
        <w:pStyle w:val="TextBody"/>
        <w:spacing w:before="0" w:after="120"/>
        <w:ind w:left="600" w:right="0" w:hanging="200"/>
        <w:rPr>
          <w:sz w:val="17"/>
        </w:rPr>
      </w:pPr>
      <w:r>
        <w:rPr>
          <w:rFonts w:ascii="Symbol" w:hAnsi="Symbol"/>
          <w:sz w:val="17"/>
        </w:rPr>
        <w:t>·</w:t>
      </w:r>
      <w:r>
        <w:rPr>
          <w:sz w:val="17"/>
        </w:rPr>
        <w:t xml:space="preserve">       </w:t>
      </w:r>
      <w:r>
        <w:rPr>
          <w:rFonts w:ascii="Times New Roman" w:hAnsi="Times New Roman"/>
          <w:sz w:val="17"/>
        </w:rPr>
        <w:t>other factors and uncertainties inherent in the marketing, transportation, terminaling, gathering and storage of crude oil and liquified petroleum gas.</w:t>
      </w:r>
    </w:p>
    <w:p>
      <w:pPr>
        <w:pStyle w:val="TextBody"/>
        <w:spacing w:before="0" w:after="120"/>
        <w:ind w:left="0" w:right="0" w:firstLine="40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360" w:after="36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firstLine="400"/>
        <w:jc w:val="center"/>
        <w:rPr>
          <w:rFonts w:ascii="Times New Roman" w:hAnsi="Times New Roman"/>
          <w:b/>
          <w:sz w:val="17"/>
        </w:rPr>
      </w:pPr>
      <w:bookmarkStart w:id="4" w:name="Signatures_224326"/>
      <w:bookmarkEnd w:id="4"/>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9987" w:type="dxa"/>
        <w:jc w:val="left"/>
        <w:tblInd w:w="0" w:type="dxa"/>
        <w:tblCellMar>
          <w:top w:w="0" w:type="dxa"/>
          <w:left w:w="0" w:type="dxa"/>
          <w:bottom w:w="0" w:type="dxa"/>
          <w:right w:w="0" w:type="dxa"/>
        </w:tblCellMar>
      </w:tblPr>
      <w:tblGrid>
        <w:gridCol w:w="4994"/>
        <w:gridCol w:w="509"/>
        <w:gridCol w:w="815"/>
        <w:gridCol w:w="3669"/>
      </w:tblGrid>
      <w:tr>
        <w:trPr/>
        <w:tc>
          <w:tcPr>
            <w:tcW w:w="4994" w:type="dxa"/>
            <w:tcBorders/>
            <w:shd w:fill="auto" w:val="clear"/>
          </w:tcPr>
          <w:p>
            <w:pPr>
              <w:pStyle w:val="TableContents"/>
              <w:spacing w:before="0" w:after="0"/>
              <w:ind w:left="0" w:right="0" w:hanging="0"/>
              <w:rPr/>
            </w:pPr>
            <w:r>
              <w:rPr/>
              <w:t> </w:t>
            </w:r>
          </w:p>
        </w:tc>
        <w:tc>
          <w:tcPr>
            <w:tcW w:w="4993" w:type="dxa"/>
            <w:gridSpan w:val="3"/>
            <w:tcBorders/>
            <w:shd w:fill="auto" w:val="clear"/>
          </w:tcPr>
          <w:p>
            <w:pPr>
              <w:pStyle w:val="TableContents"/>
              <w:spacing w:before="0" w:after="0"/>
              <w:ind w:left="0" w:right="0" w:hanging="0"/>
              <w:rPr>
                <w:sz w:val="17"/>
              </w:rPr>
            </w:pPr>
            <w:r>
              <w:rPr>
                <w:sz w:val="17"/>
              </w:rPr>
              <w:t>PLAINS ALL AMERICAN PIPELINE, L.P.</w:t>
            </w:r>
          </w:p>
        </w:tc>
      </w:tr>
      <w:tr>
        <w:trPr/>
        <w:tc>
          <w:tcPr>
            <w:tcW w:w="4994" w:type="dxa"/>
            <w:tcBorders/>
            <w:shd w:fill="auto" w:val="clear"/>
          </w:tcPr>
          <w:p>
            <w:pPr>
              <w:pStyle w:val="TableContents"/>
              <w:spacing w:before="120" w:after="120"/>
              <w:ind w:left="0" w:right="0" w:hanging="0"/>
              <w:rPr/>
            </w:pPr>
            <w:r>
              <w:rPr/>
              <w:t> </w:t>
            </w:r>
          </w:p>
        </w:tc>
        <w:tc>
          <w:tcPr>
            <w:tcW w:w="50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4484" w:type="dxa"/>
            <w:gridSpan w:val="2"/>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AAP, L. P., its general partner</w:t>
            </w:r>
          </w:p>
        </w:tc>
      </w:tr>
      <w:tr>
        <w:trPr/>
        <w:tc>
          <w:tcPr>
            <w:tcW w:w="4994" w:type="dxa"/>
            <w:tcBorders/>
            <w:shd w:fill="auto" w:val="clear"/>
          </w:tcPr>
          <w:p>
            <w:pPr>
              <w:pStyle w:val="TableContents"/>
              <w:spacing w:before="120" w:after="120"/>
              <w:ind w:left="0" w:right="0" w:hanging="0"/>
              <w:rPr/>
            </w:pPr>
            <w:r>
              <w:rPr/>
              <w:t> </w:t>
            </w:r>
          </w:p>
        </w:tc>
        <w:tc>
          <w:tcPr>
            <w:tcW w:w="50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4484" w:type="dxa"/>
            <w:gridSpan w:val="2"/>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ALL AMERICAN GP LLC,  its general partner</w:t>
            </w:r>
          </w:p>
        </w:tc>
      </w:tr>
      <w:tr>
        <w:trPr/>
        <w:tc>
          <w:tcPr>
            <w:tcW w:w="4994"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Date: June 13, 2005</w:t>
            </w:r>
          </w:p>
        </w:tc>
        <w:tc>
          <w:tcPr>
            <w:tcW w:w="509"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4484" w:type="dxa"/>
            <w:gridSpan w:val="2"/>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PHIL KRAMER</w:t>
            </w:r>
          </w:p>
        </w:tc>
      </w:tr>
      <w:tr>
        <w:trPr/>
        <w:tc>
          <w:tcPr>
            <w:tcW w:w="499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66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499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66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 and Chief Financial Officer</w:t>
            </w:r>
          </w:p>
        </w:tc>
      </w:tr>
    </w:tbl>
    <w:p>
      <w:pPr>
        <w:pStyle w:val="TextBody"/>
        <w:spacing w:lineRule="atLeast" w:line="141" w:before="0" w:after="22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right"/>
        <w:rPr>
          <w:rFonts w:ascii="Times New Roman" w:hAnsi="Times New Roman"/>
          <w:b/>
          <w:sz w:val="17"/>
        </w:rPr>
      </w:pPr>
      <w:bookmarkStart w:id="5" w:name="a05-10626_1ex99d1.htm"/>
      <w:bookmarkStart w:id="6" w:name="ksa0510626_1ex99d1"/>
      <w:bookmarkEnd w:id="5"/>
      <w:bookmarkEnd w:id="6"/>
      <w:r>
        <w:rPr>
          <w:rFonts w:ascii="Times New Roman" w:hAnsi="Times New Roman"/>
          <w:b/>
          <w:sz w:val="17"/>
        </w:rPr>
        <w:t>Exhibit 99.1</w:t>
      </w:r>
    </w:p>
    <w:tbl>
      <w:tblPr>
        <w:tblW w:w="9135" w:type="dxa"/>
        <w:jc w:val="left"/>
        <w:tblInd w:w="0" w:type="dxa"/>
        <w:tblCellMar>
          <w:top w:w="0" w:type="dxa"/>
          <w:left w:w="0" w:type="dxa"/>
          <w:bottom w:w="0" w:type="dxa"/>
          <w:right w:w="0" w:type="dxa"/>
        </w:tblCellMar>
      </w:tblPr>
      <w:tblGrid>
        <w:gridCol w:w="1395"/>
        <w:gridCol w:w="5100"/>
        <w:gridCol w:w="2640"/>
      </w:tblGrid>
      <w:tr>
        <w:trPr/>
        <w:tc>
          <w:tcPr>
            <w:tcW w:w="1395" w:type="dxa"/>
            <w:tcBorders/>
            <w:shd w:fill="auto" w:val="clear"/>
          </w:tcPr>
          <w:p>
            <w:pPr>
              <w:pStyle w:val="TableContents"/>
              <w:spacing w:before="0" w:after="0"/>
              <w:ind w:left="0" w:right="0" w:hanging="0"/>
              <w:rPr>
                <w:b/>
                <w:i/>
                <w:sz w:val="17"/>
              </w:rPr>
            </w:pPr>
            <w:r>
              <w:rPr>
                <w:b/>
                <w:i/>
                <w:sz w:val="17"/>
              </w:rPr>
              <w:t>Contacts:</w:t>
            </w:r>
          </w:p>
        </w:tc>
        <w:tc>
          <w:tcPr>
            <w:tcW w:w="51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2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395" w:type="dxa"/>
            <w:tcBorders/>
            <w:shd w:fill="auto" w:val="clear"/>
          </w:tcPr>
          <w:p>
            <w:pPr>
              <w:pStyle w:val="TableContents"/>
              <w:spacing w:before="0" w:after="0"/>
              <w:ind w:left="0" w:right="0" w:hanging="0"/>
              <w:rPr/>
            </w:pPr>
            <w:r>
              <w:rPr/>
              <w:t> </w:t>
            </w:r>
          </w:p>
        </w:tc>
        <w:tc>
          <w:tcPr>
            <w:tcW w:w="51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2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Special Projects</w:t>
            </w:r>
          </w:p>
        </w:tc>
      </w:tr>
      <w:tr>
        <w:trPr/>
        <w:tc>
          <w:tcPr>
            <w:tcW w:w="1395" w:type="dxa"/>
            <w:tcBorders/>
            <w:shd w:fill="auto" w:val="clear"/>
          </w:tcPr>
          <w:p>
            <w:pPr>
              <w:pStyle w:val="TableContents"/>
              <w:spacing w:before="0" w:after="0"/>
              <w:ind w:left="0" w:right="0" w:hanging="0"/>
              <w:rPr/>
            </w:pPr>
            <w:r>
              <w:rPr/>
              <w:t> </w:t>
            </w:r>
          </w:p>
        </w:tc>
        <w:tc>
          <w:tcPr>
            <w:tcW w:w="51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713/646-4560800/564-3036</w:t>
            </w:r>
          </w:p>
        </w:tc>
        <w:tc>
          <w:tcPr>
            <w:tcW w:w="26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713/646-4487800/564-3036</w:t>
            </w:r>
          </w:p>
        </w:tc>
      </w:tr>
    </w:tbl>
    <w:p>
      <w:pPr>
        <w:pStyle w:val="TextBody"/>
        <w:spacing w:lineRule="atLeast" w:line="141" w:before="0" w:after="220"/>
        <w:ind w:left="0" w:right="0" w:hanging="0"/>
        <w:rPr/>
      </w:pPr>
      <w:r>
        <w:rPr/>
        <w:t> </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FOR IMMEDIATE RELEASE</w:t>
      </w:r>
    </w:p>
    <w:p>
      <w:pPr>
        <w:pStyle w:val="TextBody"/>
        <w:keepNext w:val="true"/>
        <w:spacing w:before="0" w:after="120"/>
        <w:ind w:left="0" w:right="0" w:hanging="0"/>
        <w:jc w:val="center"/>
        <w:rPr>
          <w:rFonts w:ascii="Times New Roman" w:hAnsi="Times New Roman"/>
          <w:b/>
          <w:sz w:val="17"/>
        </w:rPr>
      </w:pPr>
      <w:bookmarkStart w:id="7" w:name="PlainsAllAmericanPipelineRaisesFi_010924"/>
      <w:bookmarkEnd w:id="7"/>
      <w:r>
        <w:rPr>
          <w:rFonts w:ascii="Times New Roman" w:hAnsi="Times New Roman"/>
          <w:b/>
          <w:sz w:val="17"/>
        </w:rPr>
        <w:t>Plains All American Pipeline Raises</w:t>
        <w:br/>
        <w:t>Financial Guidance for Second Quarter, Second Half</w:t>
        <w:br/>
        <w:t>and Full Year 2005</w:t>
      </w:r>
    </w:p>
    <w:p>
      <w:pPr>
        <w:pStyle w:val="TextBody"/>
        <w:spacing w:before="0" w:after="120"/>
        <w:ind w:left="0" w:right="0" w:firstLine="400"/>
        <w:rPr>
          <w:rFonts w:ascii="Times New Roman" w:hAnsi="Times New Roman"/>
          <w:sz w:val="17"/>
        </w:rPr>
      </w:pPr>
      <w:r>
        <w:rPr>
          <w:rFonts w:ascii="Times New Roman" w:hAnsi="Times New Roman"/>
          <w:sz w:val="17"/>
        </w:rPr>
        <w:t>(HOUSTONJune 13, 2005) Plains All American Pipeline, L.P. (NYSE: PAA) announced today that it increased its guidance ranges for the second quarter and full year 2005 and established guidance ranges for the third and fourth quarter periods. Todays guidance, details of which are contained in a report furnished today on Form 8-K, replaces the guidance previously furnished by the Partnership on Form 8-K on April 28, 2005. The Partnership will hold a conference call with the investment community on June 14, 2005, to discuss its revised guidance.</w:t>
      </w:r>
    </w:p>
    <w:p>
      <w:pPr>
        <w:pStyle w:val="TextBody"/>
        <w:keepNext w:val="true"/>
        <w:spacing w:before="0" w:after="120"/>
        <w:ind w:left="0" w:right="0" w:firstLine="400"/>
        <w:rPr>
          <w:rFonts w:ascii="Times New Roman" w:hAnsi="Times New Roman"/>
          <w:sz w:val="17"/>
        </w:rPr>
      </w:pPr>
      <w:r>
        <w:rPr>
          <w:rFonts w:ascii="Times New Roman" w:hAnsi="Times New Roman"/>
          <w:sz w:val="17"/>
        </w:rPr>
        <w:t>The Partnerships asset base and business model continue to perform well during volatile times in the crude oil markets, said Greg L. Armstrong, Chairman and Chief Executive Officer of the Partnership. As a result, we have raised the midpoints of our second quarter 2005 guidance for adjusted EBITDA, adjusted net income, and adjusted net income per diluted unit to $110 million, $76.2 million and $1.03 per unit, respectively. This represents increases of 28%, 45% and 49%, respectively, over our previous guidance.</w:t>
      </w:r>
    </w:p>
    <w:p>
      <w:pPr>
        <w:pStyle w:val="TextBody"/>
        <w:keepNext w:val="true"/>
        <w:spacing w:before="0" w:after="240"/>
        <w:ind w:left="0" w:right="0" w:firstLine="400"/>
        <w:rPr>
          <w:rFonts w:ascii="Times New Roman" w:hAnsi="Times New Roman"/>
          <w:sz w:val="17"/>
        </w:rPr>
      </w:pPr>
      <w:r>
        <w:rPr>
          <w:rFonts w:ascii="Times New Roman" w:hAnsi="Times New Roman"/>
          <w:sz w:val="17"/>
        </w:rPr>
        <w:t>These upward revisions are based on the Partnerships estimated performance for April and May and anticipated performance for June. The following table compares the midpoints of the Partnerships updated second quarter guidance versus its previous second quarter guidance issued on April 28, 2005:</w:t>
      </w:r>
    </w:p>
    <w:tbl>
      <w:tblPr>
        <w:tblW w:w="8380" w:type="dxa"/>
        <w:jc w:val="left"/>
        <w:tblInd w:w="0" w:type="dxa"/>
        <w:tblCellMar>
          <w:top w:w="0" w:type="dxa"/>
          <w:left w:w="0" w:type="dxa"/>
          <w:bottom w:w="0" w:type="dxa"/>
          <w:right w:w="0" w:type="dxa"/>
        </w:tblCellMar>
      </w:tblPr>
      <w:tblGrid>
        <w:gridCol w:w="5490"/>
        <w:gridCol w:w="240"/>
        <w:gridCol w:w="60"/>
        <w:gridCol w:w="110"/>
        <w:gridCol w:w="480"/>
        <w:gridCol w:w="60"/>
        <w:gridCol w:w="240"/>
        <w:gridCol w:w="105"/>
        <w:gridCol w:w="110"/>
        <w:gridCol w:w="375"/>
        <w:gridCol w:w="105"/>
        <w:gridCol w:w="240"/>
        <w:gridCol w:w="120"/>
        <w:gridCol w:w="225"/>
        <w:gridCol w:w="210"/>
        <w:gridCol w:w="210"/>
      </w:tblGrid>
      <w:tr>
        <w:trPr/>
        <w:tc>
          <w:tcPr>
            <w:tcW w:w="549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440" w:type="dxa"/>
            <w:gridSpan w:val="1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 2005</w:t>
            </w:r>
          </w:p>
        </w:tc>
        <w:tc>
          <w:tcPr>
            <w:tcW w:w="210" w:type="dxa"/>
            <w:tcBorders/>
            <w:shd w:fill="auto" w:val="clear"/>
            <w:vAlign w:val="bottom"/>
          </w:tcPr>
          <w:p>
            <w:pPr>
              <w:pStyle w:val="TableContents"/>
              <w:spacing w:lineRule="atLeast" w:line="160" w:before="0" w:after="0"/>
              <w:ind w:left="0" w:right="0" w:hanging="0"/>
              <w:rPr/>
            </w:pPr>
            <w:r>
              <w:rPr/>
              <w:t> </w:t>
            </w:r>
          </w:p>
        </w:tc>
      </w:tr>
      <w:tr>
        <w:trPr/>
        <w:tc>
          <w:tcPr>
            <w:tcW w:w="549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6/13/2005</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4/28/2005</w:t>
            </w:r>
          </w:p>
        </w:tc>
        <w:tc>
          <w:tcPr>
            <w:tcW w:w="240"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pPr>
            <w:r>
              <w:rPr/>
              <w:t> </w:t>
            </w:r>
          </w:p>
        </w:tc>
        <w:tc>
          <w:tcPr>
            <w:tcW w:w="210" w:type="dxa"/>
            <w:tcBorders/>
            <w:shd w:fill="auto" w:val="clear"/>
            <w:vAlign w:val="bottom"/>
          </w:tcPr>
          <w:p>
            <w:pPr>
              <w:pStyle w:val="TableContents"/>
              <w:spacing w:lineRule="atLeast" w:line="160" w:before="0" w:after="0"/>
              <w:ind w:left="0" w:right="0" w:hanging="0"/>
              <w:rPr/>
            </w:pPr>
            <w:r>
              <w:rPr/>
              <w:t> </w:t>
            </w:r>
          </w:p>
        </w:tc>
      </w:tr>
      <w:tr>
        <w:trPr/>
        <w:tc>
          <w:tcPr>
            <w:tcW w:w="549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240"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t>
            </w:r>
          </w:p>
        </w:tc>
        <w:tc>
          <w:tcPr>
            <w:tcW w:w="210" w:type="dxa"/>
            <w:tcBorders/>
            <w:shd w:fill="auto" w:val="clear"/>
            <w:vAlign w:val="bottom"/>
          </w:tcPr>
          <w:p>
            <w:pPr>
              <w:pStyle w:val="TableContents"/>
              <w:spacing w:lineRule="atLeast" w:line="160" w:before="0" w:after="0"/>
              <w:ind w:left="0" w:right="0" w:hanging="0"/>
              <w:rPr/>
            </w:pPr>
            <w:r>
              <w:rPr/>
              <w:t> </w:t>
            </w:r>
          </w:p>
        </w:tc>
      </w:tr>
      <w:tr>
        <w:trPr/>
        <w:tc>
          <w:tcPr>
            <w:tcW w:w="549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240" w:type="dxa"/>
            <w:tcBorders/>
            <w:shd w:fill="auto" w:val="clear"/>
            <w:vAlign w:val="bottom"/>
          </w:tcPr>
          <w:p>
            <w:pPr>
              <w:pStyle w:val="TableContents"/>
              <w:spacing w:lineRule="atLeast" w:line="160" w:before="0" w:after="0"/>
              <w:ind w:left="0" w:right="0" w:hanging="0"/>
              <w:rPr/>
            </w:pPr>
            <w:r>
              <w:rPr/>
              <w:t> </w:t>
            </w:r>
          </w:p>
        </w:tc>
        <w:tc>
          <w:tcPr>
            <w:tcW w:w="555"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Change</w:t>
            </w:r>
          </w:p>
        </w:tc>
        <w:tc>
          <w:tcPr>
            <w:tcW w:w="210" w:type="dxa"/>
            <w:tcBorders/>
            <w:shd w:fill="auto" w:val="clear"/>
            <w:vAlign w:val="bottom"/>
          </w:tcPr>
          <w:p>
            <w:pPr>
              <w:pStyle w:val="TableContents"/>
              <w:spacing w:lineRule="atLeast" w:line="160" w:before="0" w:after="0"/>
              <w:ind w:left="0" w:right="0" w:hanging="0"/>
              <w:rPr/>
            </w:pPr>
            <w:r>
              <w:rPr/>
              <w:t> </w:t>
            </w:r>
          </w:p>
        </w:tc>
      </w:tr>
      <w:tr>
        <w:trPr/>
        <w:tc>
          <w:tcPr>
            <w:tcW w:w="54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104.2</w:t>
            </w:r>
          </w:p>
        </w:tc>
        <w:tc>
          <w:tcPr>
            <w:tcW w:w="6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80.4</w:t>
            </w:r>
          </w:p>
        </w:tc>
        <w:tc>
          <w:tcPr>
            <w:tcW w:w="10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r>
      <w:tr>
        <w:trPr/>
        <w:tc>
          <w:tcPr>
            <w:tcW w:w="54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70.4</w:t>
            </w:r>
          </w:p>
        </w:tc>
        <w:tc>
          <w:tcPr>
            <w:tcW w:w="6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46.8</w:t>
            </w:r>
          </w:p>
        </w:tc>
        <w:tc>
          <w:tcPr>
            <w:tcW w:w="10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r>
      <w:tr>
        <w:trPr/>
        <w:tc>
          <w:tcPr>
            <w:tcW w:w="54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Per Basic Limited Partner Unit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0.97</w:t>
            </w:r>
          </w:p>
        </w:tc>
        <w:tc>
          <w:tcPr>
            <w:tcW w:w="6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0.63</w:t>
            </w:r>
          </w:p>
        </w:tc>
        <w:tc>
          <w:tcPr>
            <w:tcW w:w="10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r>
      <w:tr>
        <w:trPr/>
        <w:tc>
          <w:tcPr>
            <w:tcW w:w="54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Per Diluted Limited Partner Unit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0.95</w:t>
            </w:r>
          </w:p>
        </w:tc>
        <w:tc>
          <w:tcPr>
            <w:tcW w:w="6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0.61</w:t>
            </w:r>
          </w:p>
        </w:tc>
        <w:tc>
          <w:tcPr>
            <w:tcW w:w="10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r>
      <w:tr>
        <w:trPr/>
        <w:tc>
          <w:tcPr>
            <w:tcW w:w="5490" w:type="dxa"/>
            <w:tcBorders/>
            <w:shd w:fill="CCEEFF" w:val="clear"/>
          </w:tcPr>
          <w:p>
            <w:pPr>
              <w:pStyle w:val="TableContents"/>
              <w:spacing w:before="80" w:after="80"/>
              <w:ind w:left="0" w:right="0" w:hanging="0"/>
              <w:rPr>
                <w:rFonts w:ascii="Times New Roman" w:hAnsi="Times New Roman"/>
                <w:i/>
                <w:sz w:val="17"/>
              </w:rPr>
            </w:pPr>
            <w:r>
              <w:rPr>
                <w:rFonts w:ascii="Times New Roman" w:hAnsi="Times New Roman"/>
                <w:i/>
                <w:sz w:val="17"/>
              </w:rPr>
              <w:t>Excluding Selected Items Impacting Comparability(1)</w:t>
            </w:r>
          </w:p>
        </w:tc>
        <w:tc>
          <w:tcPr>
            <w:tcW w:w="240"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485" w:type="dxa"/>
            <w:gridSpan w:val="2"/>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54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110.0</w:t>
            </w:r>
          </w:p>
        </w:tc>
        <w:tc>
          <w:tcPr>
            <w:tcW w:w="6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86.0</w:t>
            </w:r>
          </w:p>
        </w:tc>
        <w:tc>
          <w:tcPr>
            <w:tcW w:w="10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r>
      <w:tr>
        <w:trPr/>
        <w:tc>
          <w:tcPr>
            <w:tcW w:w="54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76.2</w:t>
            </w:r>
          </w:p>
        </w:tc>
        <w:tc>
          <w:tcPr>
            <w:tcW w:w="6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52.4</w:t>
            </w:r>
          </w:p>
        </w:tc>
        <w:tc>
          <w:tcPr>
            <w:tcW w:w="10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r>
      <w:tr>
        <w:trPr/>
        <w:tc>
          <w:tcPr>
            <w:tcW w:w="54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Per Basic Limited Partner Unit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6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0.71</w:t>
            </w:r>
          </w:p>
        </w:tc>
        <w:tc>
          <w:tcPr>
            <w:tcW w:w="10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r>
      <w:tr>
        <w:trPr/>
        <w:tc>
          <w:tcPr>
            <w:tcW w:w="54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Per Diluted Limited Partner Unit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6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0.69</w:t>
            </w:r>
          </w:p>
        </w:tc>
        <w:tc>
          <w:tcPr>
            <w:tcW w:w="10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(1)          See the section of this release entitled Non-GAAP Financial Measures and the attached tables for discussion of EBITDA and other non-GAAP financial measures, and reconciliations of such measures to the comparable GAAP measures. Any reference to adjusted EBITDA, adjusted net income or other adjusted measures is a reference to the financial measure excluding the effect of selected items impacting comparability, which items are identified and quantified in the section entitled Non-GAAP Financial Measures.</w:t>
      </w:r>
    </w:p>
    <w:p>
      <w:pPr>
        <w:pStyle w:val="TextBody"/>
        <w:spacing w:before="0" w:after="120"/>
        <w:ind w:left="0" w:right="0" w:firstLine="400"/>
        <w:rPr>
          <w:rFonts w:ascii="Times New Roman" w:hAnsi="Times New Roman"/>
          <w:sz w:val="17"/>
        </w:rPr>
      </w:pPr>
      <w:r>
        <w:rPr>
          <w:rFonts w:ascii="Times New Roman" w:hAnsi="Times New Roman"/>
          <w:sz w:val="17"/>
        </w:rPr>
        <w:t>Management stated that the primary drivers for the increased guidance in the second quarter are better-than-expected market conditions in its gathering, marketing, terminalling and storage segment, as well as the realization of additional operating and commercial synergies from assets and businesses that were acquired in the last 18 months.</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firstLine="400"/>
        <w:rPr>
          <w:rFonts w:ascii="Times New Roman" w:hAnsi="Times New Roman"/>
          <w:sz w:val="17"/>
        </w:rPr>
      </w:pPr>
      <w:r>
        <w:rPr>
          <w:rFonts w:ascii="Times New Roman" w:hAnsi="Times New Roman"/>
          <w:sz w:val="17"/>
        </w:rPr>
        <w:t>The Partnership also established guidance ranges for each of the third and fourth quarters of 2005 and updated its guidance range for the full year 2005. Such guidance replaces previous guidance for the second half and full year of 2005 furnished on April 28, 2005. The following table compares the collective midpoints of the Partnerships third and fourth quarter guidance issued this morning versus the second half guidance issued in April, as well as a similar presentation for the full year:</w:t>
      </w:r>
    </w:p>
    <w:tbl>
      <w:tblPr>
        <w:tblW w:w="9110" w:type="dxa"/>
        <w:jc w:val="left"/>
        <w:tblInd w:w="0" w:type="dxa"/>
        <w:tblCellMar>
          <w:top w:w="0" w:type="dxa"/>
          <w:left w:w="0" w:type="dxa"/>
          <w:bottom w:w="0" w:type="dxa"/>
          <w:right w:w="0" w:type="dxa"/>
        </w:tblCellMar>
      </w:tblPr>
      <w:tblGrid>
        <w:gridCol w:w="3795"/>
        <w:gridCol w:w="195"/>
        <w:gridCol w:w="60"/>
        <w:gridCol w:w="110"/>
        <w:gridCol w:w="480"/>
        <w:gridCol w:w="60"/>
        <w:gridCol w:w="195"/>
        <w:gridCol w:w="60"/>
        <w:gridCol w:w="110"/>
        <w:gridCol w:w="480"/>
        <w:gridCol w:w="60"/>
        <w:gridCol w:w="195"/>
        <w:gridCol w:w="120"/>
        <w:gridCol w:w="225"/>
        <w:gridCol w:w="210"/>
        <w:gridCol w:w="195"/>
        <w:gridCol w:w="60"/>
        <w:gridCol w:w="110"/>
        <w:gridCol w:w="480"/>
        <w:gridCol w:w="60"/>
        <w:gridCol w:w="195"/>
        <w:gridCol w:w="60"/>
        <w:gridCol w:w="110"/>
        <w:gridCol w:w="480"/>
        <w:gridCol w:w="60"/>
        <w:gridCol w:w="195"/>
        <w:gridCol w:w="120"/>
        <w:gridCol w:w="225"/>
        <w:gridCol w:w="210"/>
        <w:gridCol w:w="195"/>
      </w:tblGrid>
      <w:tr>
        <w:trPr/>
        <w:tc>
          <w:tcPr>
            <w:tcW w:w="379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2365" w:type="dxa"/>
            <w:gridSpan w:val="1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December 31, 2005</w:t>
            </w:r>
          </w:p>
        </w:tc>
        <w:tc>
          <w:tcPr>
            <w:tcW w:w="195" w:type="dxa"/>
            <w:tcBorders/>
            <w:shd w:fill="auto" w:val="clear"/>
            <w:vAlign w:val="bottom"/>
          </w:tcPr>
          <w:p>
            <w:pPr>
              <w:pStyle w:val="TableContents"/>
              <w:spacing w:lineRule="atLeast" w:line="160" w:before="0" w:after="0"/>
              <w:ind w:left="0" w:right="0" w:hanging="0"/>
              <w:rPr/>
            </w:pPr>
            <w:r>
              <w:rPr/>
              <w:t> </w:t>
            </w:r>
          </w:p>
        </w:tc>
        <w:tc>
          <w:tcPr>
            <w:tcW w:w="2365" w:type="dxa"/>
            <w:gridSpan w:val="1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 Ended</w:t>
              <w:br/>
              <w:t>December 31, 2005</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379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6/13/2005</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4/28/2005</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6/13/2005</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4/28/2005</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379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379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Change</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195" w:type="dxa"/>
            <w:tcBorders/>
            <w:shd w:fill="auto" w:val="clear"/>
            <w:vAlign w:val="bottom"/>
          </w:tcPr>
          <w:p>
            <w:pPr>
              <w:pStyle w:val="TableContents"/>
              <w:spacing w:lineRule="atLeast" w:line="16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Midpoint</w:t>
            </w:r>
          </w:p>
        </w:tc>
        <w:tc>
          <w:tcPr>
            <w:tcW w:w="195" w:type="dxa"/>
            <w:tcBorders/>
            <w:shd w:fill="auto" w:val="clear"/>
            <w:vAlign w:val="bottom"/>
          </w:tcPr>
          <w:p>
            <w:pPr>
              <w:pStyle w:val="TableContents"/>
              <w:spacing w:lineRule="atLeast" w:line="160" w:before="0" w:after="0"/>
              <w:ind w:left="0" w:right="0" w:hanging="0"/>
              <w:rPr/>
            </w:pPr>
            <w:r>
              <w:rPr/>
              <w:t> </w:t>
            </w:r>
          </w:p>
        </w:tc>
        <w:tc>
          <w:tcPr>
            <w:tcW w:w="555" w:type="dxa"/>
            <w:gridSpan w:val="3"/>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Change</w:t>
            </w:r>
          </w:p>
        </w:tc>
        <w:tc>
          <w:tcPr>
            <w:tcW w:w="195" w:type="dxa"/>
            <w:tcBorders/>
            <w:shd w:fill="auto" w:val="clear"/>
            <w:vAlign w:val="bottom"/>
          </w:tcPr>
          <w:p>
            <w:pPr>
              <w:pStyle w:val="TableContents"/>
              <w:spacing w:lineRule="atLeast" w:line="160" w:before="0" w:after="0"/>
              <w:ind w:left="0" w:right="0" w:hanging="0"/>
              <w:rPr/>
            </w:pPr>
            <w:r>
              <w:rPr/>
              <w:t> </w:t>
            </w:r>
          </w:p>
        </w:tc>
      </w:tr>
      <w:tr>
        <w:trPr/>
        <w:tc>
          <w:tcPr>
            <w:tcW w:w="3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152.2</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137.8</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322.9</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284.7</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r>
      <w:tr>
        <w:trPr/>
        <w:tc>
          <w:tcPr>
            <w:tcW w:w="3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79.3</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66.2</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182.5</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145.7</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r>
      <w:tr>
        <w:trPr/>
        <w:tc>
          <w:tcPr>
            <w:tcW w:w="3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Per Basic Limited Partner</w:t>
              <w:br/>
              <w:t>Unit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0.85</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2.44</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1.91</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r>
      <w:tr>
        <w:trPr/>
        <w:tc>
          <w:tcPr>
            <w:tcW w:w="3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Per Diluted Limited Partner</w:t>
              <w:br/>
              <w:t>Unit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0.84</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2.41</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1.88</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r>
      <w:tr>
        <w:trPr/>
        <w:tc>
          <w:tcPr>
            <w:tcW w:w="3795" w:type="dxa"/>
            <w:tcBorders/>
            <w:shd w:fill="CCEEFF" w:val="clear"/>
          </w:tcPr>
          <w:p>
            <w:pPr>
              <w:pStyle w:val="TableContents"/>
              <w:spacing w:before="80" w:after="80"/>
              <w:ind w:left="0" w:right="0" w:hanging="0"/>
              <w:rPr>
                <w:rFonts w:ascii="Times New Roman" w:hAnsi="Times New Roman"/>
                <w:i/>
                <w:sz w:val="17"/>
              </w:rPr>
            </w:pPr>
            <w:r>
              <w:rPr>
                <w:rFonts w:ascii="Times New Roman" w:hAnsi="Times New Roman"/>
                <w:i/>
                <w:sz w:val="17"/>
              </w:rPr>
              <w:t>Excluding Selected Items Impacting Comparability(1)</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20" w:type="dxa"/>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21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120" w:type="dxa"/>
            <w:tcBorders/>
            <w:shd w:fill="CCEEFF" w:val="clear"/>
            <w:vAlign w:val="bottom"/>
          </w:tcPr>
          <w:p>
            <w:pPr>
              <w:pStyle w:val="TableContents"/>
              <w:spacing w:before="80" w:after="80"/>
              <w:ind w:left="0" w:right="0" w:hanging="0"/>
              <w:rPr/>
            </w:pPr>
            <w:r>
              <w:rPr/>
              <w:t> </w:t>
            </w:r>
          </w:p>
        </w:tc>
        <w:tc>
          <w:tcPr>
            <w:tcW w:w="225" w:type="dxa"/>
            <w:tcBorders/>
            <w:shd w:fill="CCEEFF" w:val="clear"/>
            <w:vAlign w:val="bottom"/>
          </w:tcPr>
          <w:p>
            <w:pPr>
              <w:pStyle w:val="TableContents"/>
              <w:spacing w:before="80" w:after="80"/>
              <w:ind w:left="0" w:right="0" w:hanging="0"/>
              <w:rPr/>
            </w:pPr>
            <w:r>
              <w:rPr/>
              <w:t> </w:t>
            </w:r>
          </w:p>
        </w:tc>
        <w:tc>
          <w:tcPr>
            <w:tcW w:w="21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r>
      <w:tr>
        <w:trPr/>
        <w:tc>
          <w:tcPr>
            <w:tcW w:w="3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164.0</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148.6</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357.0</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317.5</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r>
      <w:tr>
        <w:trPr/>
        <w:tc>
          <w:tcPr>
            <w:tcW w:w="3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91.1</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77.0</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216.6</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178.5</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r>
      <w:tr>
        <w:trPr/>
        <w:tc>
          <w:tcPr>
            <w:tcW w:w="3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Per Basic Limited</w:t>
              <w:br/>
              <w:t>Partner Unit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1.21</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2.94</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2.39</w:t>
            </w:r>
          </w:p>
        </w:tc>
        <w:tc>
          <w:tcPr>
            <w:tcW w:w="6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r>
      <w:tr>
        <w:trPr/>
        <w:tc>
          <w:tcPr>
            <w:tcW w:w="3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 Per Diluted Limited</w:t>
              <w:br/>
              <w:t>Partner Unit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1.19</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0.99</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2.89</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2.34</w:t>
            </w:r>
          </w:p>
        </w:tc>
        <w:tc>
          <w:tcPr>
            <w:tcW w:w="6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(1)          See the section of this release entitled Non-GAAP Financial Measures and the attached tables for discussion of EBITDA and other non-GAAP financial measures, and reconciliations of such measures to the comparable GAAP measures. Any reference to adjusted EBITDA, adjusted net income or other adjusted measures is a reference to the financial measure excluding the effect of selected items impacting comparability, which items are identified and quantified in the section entitled Non-GAAP Financial Measures.</w:t>
      </w:r>
    </w:p>
    <w:p>
      <w:pPr>
        <w:pStyle w:val="TextBody"/>
        <w:spacing w:before="0" w:after="240"/>
        <w:ind w:left="0" w:right="0" w:firstLine="400"/>
        <w:rPr>
          <w:rFonts w:ascii="Times New Roman" w:hAnsi="Times New Roman"/>
          <w:sz w:val="17"/>
        </w:rPr>
      </w:pPr>
      <w:r>
        <w:rPr>
          <w:rFonts w:ascii="Times New Roman" w:hAnsi="Times New Roman"/>
          <w:sz w:val="17"/>
        </w:rPr>
        <w:t>It should be noted that the Partnership, consistent with prior practice, has excluded from its guidance for future periods any potential impact of Statement of Financial Accounting Standards (SFAS) No. 133 Accounting for Derivative Instruments and Hedging Activities.</w:t>
      </w:r>
    </w:p>
    <w:p>
      <w:pPr>
        <w:pStyle w:val="TextBody"/>
        <w:keepNext w:val="true"/>
        <w:spacing w:before="0" w:after="120"/>
        <w:ind w:left="200" w:right="0" w:hanging="200"/>
        <w:rPr>
          <w:rFonts w:ascii="Times New Roman" w:hAnsi="Times New Roman"/>
          <w:b/>
          <w:sz w:val="17"/>
        </w:rPr>
      </w:pPr>
      <w:bookmarkStart w:id="8" w:name="ConferenceCall_010926"/>
      <w:bookmarkEnd w:id="8"/>
      <w:r>
        <w:rPr>
          <w:rFonts w:ascii="Times New Roman" w:hAnsi="Times New Roman"/>
          <w:b/>
          <w:sz w:val="17"/>
        </w:rPr>
        <w:t>Conference Call</w:t>
      </w:r>
    </w:p>
    <w:p>
      <w:pPr>
        <w:pStyle w:val="TextBody"/>
        <w:spacing w:before="0" w:after="240"/>
        <w:ind w:left="0" w:right="0" w:firstLine="400"/>
        <w:rPr>
          <w:rFonts w:ascii="Times New Roman" w:hAnsi="Times New Roman"/>
          <w:sz w:val="17"/>
        </w:rPr>
      </w:pPr>
      <w:r>
        <w:rPr>
          <w:rFonts w:ascii="Times New Roman" w:hAnsi="Times New Roman"/>
          <w:sz w:val="17"/>
        </w:rPr>
        <w:t>The Partnership will host a conference call to discuss its revised guidance and other forward-looking items on Tuesday, June 14, 2005. The call will begin at 10:00 AM (Central). To participate in the call, please call 800-473-6123, or, for international callers, 973-582-2706 at approximately 9:55 AM (Central). No password or reservation number is required.</w:t>
      </w:r>
    </w:p>
    <w:p>
      <w:pPr>
        <w:pStyle w:val="TextBody"/>
        <w:keepNext w:val="true"/>
        <w:spacing w:before="0" w:after="120"/>
        <w:ind w:left="200" w:right="0" w:hanging="200"/>
        <w:rPr>
          <w:rFonts w:ascii="Times New Roman" w:hAnsi="Times New Roman"/>
          <w:b/>
          <w:sz w:val="17"/>
        </w:rPr>
      </w:pPr>
      <w:bookmarkStart w:id="9" w:name="WebcastInstructions_010926"/>
      <w:bookmarkEnd w:id="9"/>
      <w:r>
        <w:rPr>
          <w:rFonts w:ascii="Times New Roman" w:hAnsi="Times New Roman"/>
          <w:b/>
          <w:sz w:val="17"/>
        </w:rPr>
        <w:t>Webcast Instructions</w:t>
      </w:r>
    </w:p>
    <w:p>
      <w:pPr>
        <w:pStyle w:val="TextBody"/>
        <w:spacing w:before="0" w:after="240"/>
        <w:ind w:left="0" w:right="0" w:firstLine="400"/>
        <w:rPr>
          <w:rFonts w:ascii="Times New Roman" w:hAnsi="Times New Roman"/>
          <w:sz w:val="17"/>
        </w:rPr>
      </w:pPr>
      <w:r>
        <w:rPr>
          <w:rFonts w:ascii="Times New Roman" w:hAnsi="Times New Roman"/>
          <w:sz w:val="17"/>
        </w:rPr>
        <w:t xml:space="preserve">To access the Internet webcast, please go to the Partnerships website at </w:t>
      </w:r>
      <w:r>
        <w:rPr>
          <w:rFonts w:ascii="Times New Roman" w:hAnsi="Times New Roman"/>
          <w:i/>
          <w:sz w:val="17"/>
        </w:rPr>
        <w:t>www.paalp.com</w:t>
      </w:r>
      <w:r>
        <w:rPr>
          <w:rFonts w:ascii="Times New Roman" w:hAnsi="Times New Roman"/>
          <w:sz w:val="17"/>
        </w:rPr>
        <w:t>, choose Investor Relations, and then choose Conference Calls. Following the live webcast, the call will be archived for a period of sixty (60) days on the Partnerships website.</w:t>
      </w:r>
    </w:p>
    <w:p>
      <w:pPr>
        <w:pStyle w:val="TextBody"/>
        <w:spacing w:before="0" w:after="0"/>
        <w:ind w:left="0" w:right="0" w:hanging="0"/>
        <w:rPr>
          <w:rFonts w:ascii="Times New Roman" w:hAnsi="Times New Roman"/>
          <w:b/>
          <w:sz w:val="17"/>
        </w:rPr>
      </w:pPr>
      <w:bookmarkStart w:id="10" w:name="TelephonicReplayInstructions_010927"/>
      <w:bookmarkEnd w:id="10"/>
      <w:r>
        <w:rPr>
          <w:rFonts w:ascii="Times New Roman" w:hAnsi="Times New Roman"/>
          <w:b/>
          <w:sz w:val="17"/>
        </w:rPr>
        <w:t>Telephonic Replay Instructions</w:t>
      </w:r>
    </w:p>
    <w:p>
      <w:pPr>
        <w:pStyle w:val="TextBody"/>
        <w:keepNext w:val="true"/>
        <w:spacing w:before="0" w:after="120"/>
        <w:ind w:left="200" w:right="0" w:hanging="200"/>
        <w:rPr>
          <w:rFonts w:ascii="Times New Roman" w:hAnsi="Times New Roman"/>
          <w:b/>
          <w:sz w:val="17"/>
        </w:rPr>
      </w:pPr>
      <w:bookmarkStart w:id="11" w:name="Call8775194471OrInternationalCall_010927"/>
      <w:bookmarkEnd w:id="11"/>
      <w:r>
        <w:rPr>
          <w:rFonts w:ascii="Times New Roman" w:hAnsi="Times New Roman"/>
          <w:b/>
          <w:sz w:val="17"/>
        </w:rPr>
        <w:t>Call 877-519-4471 or international call 973-341-3080 and enter PIN # 6166424</w:t>
      </w:r>
    </w:p>
    <w:p>
      <w:pPr>
        <w:pStyle w:val="TextBody"/>
        <w:spacing w:before="0" w:after="240"/>
        <w:ind w:left="0" w:right="0" w:firstLine="400"/>
        <w:rPr>
          <w:rFonts w:ascii="Times New Roman" w:hAnsi="Times New Roman"/>
          <w:sz w:val="17"/>
        </w:rPr>
      </w:pPr>
      <w:r>
        <w:rPr>
          <w:rFonts w:ascii="Times New Roman" w:hAnsi="Times New Roman"/>
          <w:sz w:val="17"/>
        </w:rPr>
        <w:t>The replay will be available beginning Tuesday, June 14, 2005, at approximately 1:00 PM (Central) and continue until 11:59 PM (Central) Monday, June 20, 2005.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12" w:name="NongaapFinancialMeasures_010927"/>
      <w:bookmarkEnd w:id="12"/>
      <w:r>
        <w:rPr>
          <w:rFonts w:ascii="Times New Roman" w:hAnsi="Times New Roman"/>
          <w:b/>
          <w:sz w:val="17"/>
        </w:rPr>
        <w:t>Non-GAAP Financial Measures</w:t>
      </w:r>
    </w:p>
    <w:p>
      <w:pPr>
        <w:pStyle w:val="TextBody"/>
        <w:keepNext w:val="true"/>
        <w:spacing w:before="0" w:after="240"/>
        <w:ind w:left="0" w:right="0" w:firstLine="40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EBITDA is presented because PAA management believes it provides additional information with respect to both the performance of our fundamental business activities as well as our ability to meet our future debt service, capital expenditures and working capital requirements. Management also believes that debt holders commonly use EBITDA to analyze Partnership performance. Reconciliations of EBITDA to net income for the projected periods are set forth below. In addition, we present selected items that impact the comparability of our operating results as additional information that may be helpful to your understanding of our financial results.</w:t>
      </w:r>
    </w:p>
    <w:tbl>
      <w:tblPr>
        <w:tblW w:w="9079" w:type="dxa"/>
        <w:jc w:val="left"/>
        <w:tblInd w:w="0" w:type="dxa"/>
        <w:tblCellMar>
          <w:top w:w="0" w:type="dxa"/>
          <w:left w:w="0" w:type="dxa"/>
          <w:bottom w:w="0" w:type="dxa"/>
          <w:right w:w="0" w:type="dxa"/>
        </w:tblCellMar>
      </w:tblPr>
      <w:tblGrid>
        <w:gridCol w:w="3615"/>
        <w:gridCol w:w="195"/>
        <w:gridCol w:w="60"/>
        <w:gridCol w:w="110"/>
        <w:gridCol w:w="481"/>
        <w:gridCol w:w="90"/>
        <w:gridCol w:w="195"/>
        <w:gridCol w:w="90"/>
        <w:gridCol w:w="110"/>
        <w:gridCol w:w="481"/>
        <w:gridCol w:w="90"/>
        <w:gridCol w:w="195"/>
        <w:gridCol w:w="110"/>
        <w:gridCol w:w="480"/>
        <w:gridCol w:w="195"/>
        <w:gridCol w:w="110"/>
        <w:gridCol w:w="480"/>
        <w:gridCol w:w="195"/>
        <w:gridCol w:w="60"/>
        <w:gridCol w:w="110"/>
        <w:gridCol w:w="481"/>
        <w:gridCol w:w="90"/>
        <w:gridCol w:w="195"/>
        <w:gridCol w:w="90"/>
        <w:gridCol w:w="110"/>
        <w:gridCol w:w="481"/>
        <w:gridCol w:w="90"/>
        <w:gridCol w:w="90"/>
      </w:tblGrid>
      <w:tr>
        <w:trPr/>
        <w:tc>
          <w:tcPr>
            <w:tcW w:w="361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5179" w:type="dxa"/>
            <w:gridSpan w:val="2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Guidance(1)</w:t>
            </w:r>
          </w:p>
        </w:tc>
        <w:tc>
          <w:tcPr>
            <w:tcW w:w="90" w:type="dxa"/>
            <w:tcBorders/>
            <w:shd w:fill="auto" w:val="clear"/>
            <w:vAlign w:val="bottom"/>
          </w:tcPr>
          <w:p>
            <w:pPr>
              <w:pStyle w:val="TableContents"/>
              <w:spacing w:lineRule="atLeast" w:line="160" w:before="0" w:after="0"/>
              <w:ind w:left="0" w:right="0" w:hanging="0"/>
              <w:rPr>
                <w:position w:val="8"/>
                <w:sz w:val="19"/>
              </w:rPr>
            </w:pPr>
            <w:r>
              <w:rPr>
                <w:position w:val="8"/>
                <w:sz w:val="19"/>
              </w:rPr>
              <w:t> </w:t>
            </w:r>
          </w:p>
        </w:tc>
      </w:tr>
      <w:tr>
        <w:trPr/>
        <w:tc>
          <w:tcPr>
            <w:tcW w:w="361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5179" w:type="dxa"/>
            <w:gridSpan w:val="2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361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1707"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195" w:type="dxa"/>
            <w:tcBorders/>
            <w:shd w:fill="auto" w:val="clear"/>
            <w:vAlign w:val="bottom"/>
          </w:tcPr>
          <w:p>
            <w:pPr>
              <w:pStyle w:val="TableContents"/>
              <w:spacing w:lineRule="atLeast" w:line="160" w:before="0" w:after="0"/>
              <w:ind w:left="0" w:right="0" w:hanging="0"/>
              <w:rPr/>
            </w:pPr>
            <w:r>
              <w:rPr/>
              <w:t> </w:t>
            </w:r>
          </w:p>
        </w:tc>
        <w:tc>
          <w:tcPr>
            <w:tcW w:w="137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om"/>
          </w:tcPr>
          <w:p>
            <w:pPr>
              <w:pStyle w:val="TableContents"/>
              <w:spacing w:lineRule="atLeast" w:line="160" w:before="0" w:after="0"/>
              <w:ind w:left="0" w:right="0" w:hanging="0"/>
              <w:rPr/>
            </w:pPr>
            <w:r>
              <w:rPr/>
              <w:t> </w:t>
            </w:r>
          </w:p>
        </w:tc>
        <w:tc>
          <w:tcPr>
            <w:tcW w:w="1707"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 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361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1707"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2005</w:t>
            </w:r>
          </w:p>
        </w:tc>
        <w:tc>
          <w:tcPr>
            <w:tcW w:w="195" w:type="dxa"/>
            <w:tcBorders/>
            <w:shd w:fill="auto" w:val="clear"/>
            <w:vAlign w:val="bottom"/>
          </w:tcPr>
          <w:p>
            <w:pPr>
              <w:pStyle w:val="TableContents"/>
              <w:spacing w:lineRule="atLeast" w:line="160" w:before="0" w:after="0"/>
              <w:ind w:left="0" w:right="0" w:hanging="0"/>
              <w:rPr/>
            </w:pPr>
            <w:r>
              <w:rPr/>
              <w:t> </w:t>
            </w:r>
          </w:p>
        </w:tc>
        <w:tc>
          <w:tcPr>
            <w:tcW w:w="137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195" w:type="dxa"/>
            <w:tcBorders/>
            <w:shd w:fill="auto" w:val="clear"/>
            <w:vAlign w:val="bottom"/>
          </w:tcPr>
          <w:p>
            <w:pPr>
              <w:pStyle w:val="TableContents"/>
              <w:spacing w:lineRule="atLeast" w:line="160" w:before="0" w:after="0"/>
              <w:ind w:left="0" w:right="0" w:hanging="0"/>
              <w:rPr/>
            </w:pPr>
            <w:r>
              <w:rPr/>
              <w:t> </w:t>
            </w:r>
          </w:p>
        </w:tc>
        <w:tc>
          <w:tcPr>
            <w:tcW w:w="1707"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361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41"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195" w:type="dxa"/>
            <w:tcBorders/>
            <w:shd w:fill="auto" w:val="clear"/>
            <w:vAlign w:val="bottom"/>
          </w:tcPr>
          <w:p>
            <w:pPr>
              <w:pStyle w:val="TableContents"/>
              <w:spacing w:lineRule="atLeast" w:line="160" w:before="0" w:after="0"/>
              <w:ind w:left="0" w:right="0" w:hanging="0"/>
              <w:rPr/>
            </w:pPr>
            <w:r>
              <w:rPr/>
              <w:t> </w:t>
            </w:r>
          </w:p>
        </w:tc>
        <w:tc>
          <w:tcPr>
            <w:tcW w:w="771"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195" w:type="dxa"/>
            <w:tcBorders/>
            <w:shd w:fill="auto" w:val="clear"/>
            <w:vAlign w:val="bottom"/>
          </w:tcPr>
          <w:p>
            <w:pPr>
              <w:pStyle w:val="TableContents"/>
              <w:spacing w:lineRule="atLeast" w:line="160"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Low</w:t>
            </w:r>
          </w:p>
        </w:tc>
        <w:tc>
          <w:tcPr>
            <w:tcW w:w="195" w:type="dxa"/>
            <w:tcBorders/>
            <w:shd w:fill="auto" w:val="clear"/>
            <w:vAlign w:val="bottom"/>
          </w:tcPr>
          <w:p>
            <w:pPr>
              <w:pStyle w:val="TableContents"/>
              <w:spacing w:lineRule="atLeast" w:line="160"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High</w:t>
            </w:r>
          </w:p>
        </w:tc>
        <w:tc>
          <w:tcPr>
            <w:tcW w:w="195" w:type="dxa"/>
            <w:tcBorders/>
            <w:shd w:fill="auto" w:val="clear"/>
            <w:vAlign w:val="bottom"/>
          </w:tcPr>
          <w:p>
            <w:pPr>
              <w:pStyle w:val="TableContents"/>
              <w:spacing w:lineRule="atLeast" w:line="160" w:before="0" w:after="0"/>
              <w:ind w:left="0" w:right="0" w:hanging="0"/>
              <w:rPr/>
            </w:pPr>
            <w:r>
              <w:rPr/>
              <w:t> </w:t>
            </w:r>
          </w:p>
        </w:tc>
        <w:tc>
          <w:tcPr>
            <w:tcW w:w="741"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195" w:type="dxa"/>
            <w:tcBorders/>
            <w:shd w:fill="auto" w:val="clear"/>
            <w:vAlign w:val="bottom"/>
          </w:tcPr>
          <w:p>
            <w:pPr>
              <w:pStyle w:val="TableContents"/>
              <w:spacing w:lineRule="atLeast" w:line="160" w:before="0" w:after="0"/>
              <w:ind w:left="0" w:right="0" w:hanging="0"/>
              <w:rPr/>
            </w:pPr>
            <w:r>
              <w:rPr/>
              <w:t> </w:t>
            </w:r>
          </w:p>
        </w:tc>
        <w:tc>
          <w:tcPr>
            <w:tcW w:w="771"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EBIT and EBITDA Reconciliations</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EBITDA</w:t>
            </w:r>
          </w:p>
        </w:tc>
        <w:tc>
          <w:tcPr>
            <w:tcW w:w="195" w:type="dxa"/>
            <w:tcBorders/>
            <w:shd w:fill="auto" w:val="clear"/>
            <w:vAlign w:val="bottom"/>
          </w:tcPr>
          <w:p>
            <w:pPr>
              <w:pStyle w:val="TableContents"/>
              <w:spacing w:before="80" w:after="8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1"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99.2</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1"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109.2</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142.2</w:t>
            </w:r>
          </w:p>
        </w:tc>
        <w:tc>
          <w:tcPr>
            <w:tcW w:w="19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162.2</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1"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307.9</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10" w:type="dxa"/>
            <w:tcBorders/>
            <w:shd w:fill="auto" w:val="clear"/>
            <w:vAlign w:val="bottom"/>
          </w:tcPr>
          <w:p>
            <w:pPr>
              <w:pStyle w:val="TableContents"/>
              <w:spacing w:before="80" w:after="80"/>
              <w:ind w:left="0" w:right="0" w:hanging="0"/>
              <w:jc w:val="left"/>
              <w:rPr>
                <w:rFonts w:ascii="Times New Roman" w:hAnsi="Times New Roman"/>
                <w:sz w:val="17"/>
              </w:rPr>
            </w:pPr>
            <w:r>
              <w:rPr>
                <w:rFonts w:ascii="Times New Roman" w:hAnsi="Times New Roman"/>
                <w:sz w:val="17"/>
              </w:rPr>
              <w:t>$</w:t>
            </w:r>
          </w:p>
        </w:tc>
        <w:tc>
          <w:tcPr>
            <w:tcW w:w="481"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337.9</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19.3</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19.1</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40.3</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39.6</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78.7</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77.8</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79.9</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90.1</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101.9</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122.6</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229.2</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260.1</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14.7</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14.5</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33.3</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32.6</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62.6</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61.7</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65.2</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75.6</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68.6</w:t>
            </w:r>
          </w:p>
        </w:tc>
        <w:tc>
          <w:tcPr>
            <w:tcW w:w="19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90.0</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166.6</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198.4</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3615" w:type="dxa"/>
            <w:tcBorders/>
            <w:shd w:fill="CCEEFF" w:val="clear"/>
          </w:tcPr>
          <w:p>
            <w:pPr>
              <w:pStyle w:val="TableContents"/>
              <w:spacing w:before="80" w:after="80"/>
              <w:ind w:left="0" w:right="0" w:hanging="0"/>
              <w:rPr>
                <w:rFonts w:ascii="Times New Roman" w:hAnsi="Times New Roman"/>
                <w:b/>
                <w:sz w:val="17"/>
              </w:rPr>
            </w:pPr>
            <w:r>
              <w:rPr>
                <w:rFonts w:ascii="Times New Roman" w:hAnsi="Times New Roman"/>
                <w:b/>
                <w:sz w:val="17"/>
              </w:rPr>
              <w:t>Selected items impacting comparability</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r>
      <w:tr>
        <w:trPr/>
        <w:tc>
          <w:tcPr>
            <w:tcW w:w="3615" w:type="dxa"/>
            <w:tcBorders/>
            <w:shd w:fill="auto" w:val="clear"/>
          </w:tcPr>
          <w:p>
            <w:pPr>
              <w:pStyle w:val="TableContents"/>
              <w:spacing w:before="80" w:after="80"/>
              <w:ind w:left="0" w:right="0" w:hanging="0"/>
              <w:rPr>
                <w:rFonts w:ascii="Times New Roman" w:hAnsi="Times New Roman"/>
                <w:sz w:val="17"/>
              </w:rPr>
            </w:pPr>
            <w:r>
              <w:rPr>
                <w:rFonts w:ascii="Times New Roman" w:hAnsi="Times New Roman"/>
                <w:sz w:val="17"/>
              </w:rPr>
              <w:t>LTIP charge</w:t>
            </w:r>
          </w:p>
        </w:tc>
        <w:tc>
          <w:tcPr>
            <w:tcW w:w="195" w:type="dxa"/>
            <w:tcBorders/>
            <w:shd w:fill="auto" w:val="clear"/>
            <w:vAlign w:val="bottom"/>
          </w:tcPr>
          <w:p>
            <w:pPr>
              <w:pStyle w:val="TableContents"/>
              <w:spacing w:before="80" w:after="8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$(6.2</w:t>
            </w:r>
          </w:p>
        </w:tc>
        <w:tc>
          <w:tcPr>
            <w:tcW w:w="9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$(6.2</w:t>
            </w:r>
          </w:p>
        </w:tc>
        <w:tc>
          <w:tcPr>
            <w:tcW w:w="9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80" w:after="80"/>
              <w:ind w:left="0" w:right="0" w:hanging="0"/>
              <w:rPr/>
            </w:pPr>
            <w:r>
              <w:rPr/>
              <w:t> </w:t>
            </w:r>
          </w:p>
        </w:tc>
        <w:tc>
          <w:tcPr>
            <w:tcW w:w="590"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$(11.8</w:t>
            </w:r>
          </w:p>
        </w:tc>
        <w:tc>
          <w:tcPr>
            <w:tcW w:w="195"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590"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$(11.8</w:t>
            </w:r>
          </w:p>
        </w:tc>
        <w:tc>
          <w:tcPr>
            <w:tcW w:w="195"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$(20.2</w:t>
            </w:r>
          </w:p>
        </w:tc>
        <w:tc>
          <w:tcPr>
            <w:tcW w:w="9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$(20.2</w:t>
            </w:r>
          </w:p>
        </w:tc>
        <w:tc>
          <w:tcPr>
            <w:tcW w:w="90" w:type="dxa"/>
            <w:tcBorders/>
            <w:shd w:fill="auto"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80" w:after="8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noncash mark-to-market adjustment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 gain (loss)</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3615" w:type="dxa"/>
            <w:tcBorders/>
            <w:shd w:fill="CCEEFF" w:val="clear"/>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$(11.8</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$(11.8</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$(34.1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$(34.1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80" w:after="80"/>
              <w:ind w:left="0" w:right="0" w:hanging="0"/>
              <w:rPr>
                <w:rFonts w:ascii="Times New Roman" w:hAnsi="Times New Roman"/>
                <w:b/>
                <w:sz w:val="17"/>
              </w:rPr>
            </w:pPr>
            <w:r>
              <w:rPr>
                <w:rFonts w:ascii="Times New Roman" w:hAnsi="Times New Roman"/>
                <w:b/>
                <w:sz w:val="17"/>
              </w:rPr>
              <w:t>Adjusted EBIT and EBITDA Reconciliations</w:t>
            </w:r>
          </w:p>
        </w:tc>
        <w:tc>
          <w:tcPr>
            <w:tcW w:w="195" w:type="dxa"/>
            <w:tcBorders/>
            <w:shd w:fill="auto" w:val="clear"/>
            <w:vAlign w:val="bottom"/>
          </w:tcPr>
          <w:p>
            <w:pPr>
              <w:pStyle w:val="TableContents"/>
              <w:spacing w:before="80" w:after="8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59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59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6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591" w:type="dxa"/>
            <w:gridSpan w:val="2"/>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c>
          <w:tcPr>
            <w:tcW w:w="90" w:type="dxa"/>
            <w:tcBorders/>
            <w:shd w:fill="auto" w:val="clear"/>
            <w:vAlign w:val="bottom"/>
          </w:tcPr>
          <w:p>
            <w:pPr>
              <w:pStyle w:val="TableContents"/>
              <w:spacing w:before="80" w:after="80"/>
              <w:ind w:left="0" w:right="0" w:hanging="0"/>
              <w:rPr/>
            </w:pPr>
            <w:r>
              <w:rPr/>
              <w:t> </w:t>
            </w:r>
          </w:p>
        </w:tc>
      </w:tr>
      <w:tr>
        <w:trPr/>
        <w:tc>
          <w:tcPr>
            <w:tcW w:w="3615" w:type="dxa"/>
            <w:tcBorders/>
            <w:shd w:fill="CCEEFF" w:val="clear"/>
          </w:tcPr>
          <w:p>
            <w:pPr>
              <w:pStyle w:val="TableContents"/>
              <w:spacing w:before="80" w:after="80"/>
              <w:ind w:left="0" w:right="0" w:hanging="0"/>
              <w:rPr>
                <w:rFonts w:ascii="Times New Roman" w:hAnsi="Times New Roman"/>
                <w:sz w:val="17"/>
              </w:rPr>
            </w:pPr>
            <w:r>
              <w:rPr>
                <w:rFonts w:ascii="Times New Roman" w:hAnsi="Times New Roman"/>
                <w:sz w:val="17"/>
              </w:rPr>
              <w:t>Adjusted EBITDA</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$105.0</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$115.0</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$154.0</w:t>
            </w:r>
          </w:p>
        </w:tc>
        <w:tc>
          <w:tcPr>
            <w:tcW w:w="195" w:type="dxa"/>
            <w:tcBorders/>
            <w:shd w:fill="CCEEFF" w:val="clear"/>
            <w:vAlign w:val="bottom"/>
          </w:tcPr>
          <w:p>
            <w:pPr>
              <w:pStyle w:val="TableContents"/>
              <w:spacing w:before="80" w:after="80"/>
              <w:ind w:left="0" w:right="0" w:hanging="0"/>
              <w:rPr/>
            </w:pPr>
            <w:r>
              <w:rPr/>
              <w:t> </w:t>
            </w:r>
          </w:p>
        </w:tc>
        <w:tc>
          <w:tcPr>
            <w:tcW w:w="590"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$174.0</w:t>
            </w:r>
          </w:p>
        </w:tc>
        <w:tc>
          <w:tcPr>
            <w:tcW w:w="195"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$342.0</w:t>
            </w:r>
          </w:p>
        </w:tc>
        <w:tc>
          <w:tcPr>
            <w:tcW w:w="90" w:type="dxa"/>
            <w:tcBorders/>
            <w:shd w:fill="CCEEFF" w:val="clear"/>
            <w:vAlign w:val="bottom"/>
          </w:tcPr>
          <w:p>
            <w:pPr>
              <w:pStyle w:val="TableContents"/>
              <w:spacing w:before="80" w:after="80"/>
              <w:ind w:left="0" w:right="0" w:hanging="0"/>
              <w:rPr/>
            </w:pPr>
            <w:r>
              <w:rPr/>
              <w:t> </w:t>
            </w:r>
          </w:p>
        </w:tc>
        <w:tc>
          <w:tcPr>
            <w:tcW w:w="195"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591" w:type="dxa"/>
            <w:gridSpan w:val="2"/>
            <w:tcBorders/>
            <w:shd w:fill="CCEEFF" w:val="clear"/>
            <w:vAlign w:val="bottom"/>
          </w:tcPr>
          <w:p>
            <w:pPr>
              <w:pStyle w:val="TableContents"/>
              <w:spacing w:before="80" w:after="80"/>
              <w:ind w:left="0" w:right="0" w:hanging="0"/>
              <w:rPr>
                <w:rFonts w:ascii="Times New Roman" w:hAnsi="Times New Roman"/>
                <w:sz w:val="17"/>
              </w:rPr>
            </w:pPr>
            <w:r>
              <w:rPr>
                <w:rFonts w:ascii="Times New Roman" w:hAnsi="Times New Roman"/>
                <w:sz w:val="17"/>
              </w:rPr>
              <w:t>$372.0</w:t>
            </w:r>
          </w:p>
        </w:tc>
        <w:tc>
          <w:tcPr>
            <w:tcW w:w="90" w:type="dxa"/>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r>
      <w:tr>
        <w:trPr/>
        <w:tc>
          <w:tcPr>
            <w:tcW w:w="3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19.3</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19.1</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40.3</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39.6</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78.7</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77.8</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EBIT</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85.7</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95.9</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113.7</w:t>
            </w:r>
          </w:p>
        </w:tc>
        <w:tc>
          <w:tcPr>
            <w:tcW w:w="195" w:type="dxa"/>
            <w:tcBorders/>
            <w:shd w:fill="CCEEFF" w:val="clear"/>
            <w:vAlign w:val="bottom"/>
          </w:tcPr>
          <w:p>
            <w:pPr>
              <w:pStyle w:val="TableContents"/>
              <w:spacing w:before="0" w:after="0"/>
              <w:ind w:left="0" w:right="0" w:hanging="0"/>
              <w:rPr/>
            </w:pPr>
            <w:r>
              <w:rPr/>
              <w:t> </w:t>
            </w:r>
          </w:p>
        </w:tc>
        <w:tc>
          <w:tcPr>
            <w:tcW w:w="59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134.4</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263.3</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91"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294.2</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36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14.7</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14.5</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33.3</w:t>
            </w:r>
          </w:p>
        </w:tc>
        <w:tc>
          <w:tcPr>
            <w:tcW w:w="195" w:type="dxa"/>
            <w:tcBorders/>
            <w:shd w:fill="auto" w:val="clear"/>
            <w:vAlign w:val="bottom"/>
          </w:tcPr>
          <w:p>
            <w:pPr>
              <w:pStyle w:val="TableContents"/>
              <w:spacing w:before="0" w:after="0"/>
              <w:ind w:left="0" w:right="0" w:hanging="0"/>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32.6</w:t>
            </w:r>
          </w:p>
        </w:tc>
        <w:tc>
          <w:tcPr>
            <w:tcW w:w="1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62.6</w:t>
            </w:r>
          </w:p>
        </w:tc>
        <w:tc>
          <w:tcPr>
            <w:tcW w:w="90"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61.7</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36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71.0</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81.4</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80.4</w:t>
            </w:r>
          </w:p>
        </w:tc>
        <w:tc>
          <w:tcPr>
            <w:tcW w:w="19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101.8</w:t>
            </w:r>
          </w:p>
        </w:tc>
        <w:tc>
          <w:tcPr>
            <w:tcW w:w="195"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200.7</w:t>
            </w:r>
          </w:p>
        </w:tc>
        <w:tc>
          <w:tcPr>
            <w:tcW w:w="90"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232.5</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(1)          Amounts may not recalculate due to rounding.</w:t>
      </w:r>
    </w:p>
    <w:p>
      <w:pPr>
        <w:pStyle w:val="TextBody"/>
        <w:spacing w:before="0" w:after="120"/>
        <w:ind w:left="0" w:right="0" w:firstLine="400"/>
        <w:rPr>
          <w:rFonts w:ascii="Times New Roman" w:hAnsi="Times New Roman"/>
          <w:sz w:val="17"/>
        </w:rPr>
      </w:pPr>
      <w:r>
        <w:rPr>
          <w:rFonts w:ascii="Times New Roman" w:hAnsi="Times New Roman"/>
          <w:sz w:val="17"/>
        </w:rPr>
        <w:t xml:space="preserve">Except for the historical information contained herein, the matters discussed in this news release are forward-looking statements that involve certain risks and uncertainties. These risks and uncertainties include, among other things: the success of our risk management activities; abrupt or severe production declines or production interruptions in outer continental shelf production located offshore California and transported on our pipeline systems;  the availability of, and ability to consummate, acquisition or combination opportunities; our access to capital to fund additional acquisitions and our ability to obtain debt or equity financing on satisfactory terms; successful integration and future performance of acquired assets or businesses; environmental liabilities or events that are not covered by an indemnity, insurance or existing reserves; maintenance of our credit rating and ability to receive open credit from our suppliers and trade counterparties declines in volumes shipped on the Basin Pipeline, Capline Pipeline and our other pipelines by third party shippers; the availability of adequate third party production volumes for transportation and marketing in the areas in which we operate; successful third party drilling efforts in areas in which we operate pipelines or gather crude oil; demand for various grades of crude oil and resulting changes in pricing conditions or transmission throughput requirements; fluctuations in refinery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capacity in areas supplied by our transmission lines; the effects of competition; continued credit worthiness of, and performance by, our counterparties; the impact of crude oil price fluctuations; the impact of current and future laws, rulings and government regulations; shortages or cost increases in power supplies, materials or labor; weather interference with business operations or project construction; the currency exchange rate of the Canadian dollar; fluctuation in the debt and equity capital markets (including the price of our units at the time of vesting under our LTIP); general economic, market or business condition; and other factors and uncertainties inherent in the marketing, transportation, terminalling, gathering and storage of crude oil and liquefied petroleum gas (LPG) discussed in the Partnerships filings with the Securities and Exchange Commission.</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is engaged in interstate and intrastate crude oil transportation, terminalling and storage, as well as crude oil and LPG gathering and marketing activities, in the United States and Canada. The Partnerships common units are traded on the New York Stock Exchange under the symbol PAA. The Partnership is headquartered in Houston, Texas.</w:t>
      </w:r>
    </w:p>
    <w:p>
      <w:pPr>
        <w:pStyle w:val="TextBody"/>
        <w:keepNext w:val="true"/>
        <w:spacing w:before="0" w:after="120"/>
        <w:ind w:left="0" w:right="0" w:hanging="0"/>
        <w:jc w:val="center"/>
        <w:rPr>
          <w:rFonts w:ascii="Times New Roman" w:hAnsi="Times New Roman"/>
          <w:b/>
          <w:sz w:val="17"/>
        </w:rPr>
      </w:pPr>
      <w:bookmarkStart w:id="13" w:name="_010928"/>
      <w:bookmarkEnd w:id="13"/>
      <w:r>
        <w:rPr>
          <w:rFonts w:ascii="Times New Roman" w:hAnsi="Times New Roman"/>
          <w:b/>
          <w:sz w:val="17"/>
        </w:rPr>
        <w:t># #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5594</Words>
  <CharactersWithSpaces>36263</CharactersWithSpaces>
  <Paragraphs>3350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