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PAA GP Holdings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STE. 1600</w:t>
      </w:r>
    </w:p>
    <w:p>
      <w:pPr>
        <w:spacing w:after="0" w:line="20" w:lineRule="exact"/>
        <w:rPr>
          <w:sz w:val="24"/>
          <w:szCs w:val="24"/>
          <w:color w:val="auto"/>
        </w:rPr>
      </w:pPr>
      <w:r>
        <w:rPr>
          <w:sz w:val="24"/>
          <w:szCs w:val="24"/>
          <w:color w:val="auto"/>
        </w:rPr>
        <w:br w:type="column"/>
      </w:r>
    </w:p>
    <w:p>
      <w:pPr>
        <w:ind w:left="7"/>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ind w:left="7"/>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PLAINS ALL AMERICAN PIPELINE LP</w:t>
        </w:r>
      </w:hyperlink>
    </w:p>
    <w:p>
      <w:pPr>
        <w:spacing w:after="0" w:line="2" w:lineRule="exact"/>
        <w:rPr>
          <w:sz w:val="24"/>
          <w:szCs w:val="24"/>
          <w:color w:val="auto"/>
        </w:rPr>
      </w:pPr>
    </w:p>
    <w:p>
      <w:pPr>
        <w:ind w:left="127" w:hanging="127"/>
        <w:spacing w:after="0"/>
        <w:tabs>
          <w:tab w:leader="none" w:pos="127" w:val="left"/>
        </w:tabs>
        <w:numPr>
          <w:ilvl w:val="0"/>
          <w:numId w:val="1"/>
        </w:numPr>
        <w:rPr>
          <w:rFonts w:ascii="Arial" w:cs="Arial" w:eastAsia="Arial" w:hAnsi="Arial"/>
          <w:sz w:val="22"/>
          <w:szCs w:val="22"/>
          <w:color w:val="auto"/>
        </w:rPr>
      </w:pPr>
      <w:r>
        <w:rPr>
          <w:rFonts w:ascii="Arial" w:cs="Arial" w:eastAsia="Arial" w:hAnsi="Arial"/>
          <w:sz w:val="18"/>
          <w:szCs w:val="18"/>
          <w:color w:val="0000FF"/>
        </w:rPr>
        <w:t xml:space="preserve">PAA </w:t>
      </w:r>
      <w:r>
        <w:rPr>
          <w:rFonts w:ascii="Arial" w:cs="Arial" w:eastAsia="Arial" w:hAnsi="Arial"/>
          <w:sz w:val="21"/>
          <w:szCs w:val="21"/>
          <w:color w:val="000000"/>
        </w:rPr>
        <w:t>]</w:t>
      </w:r>
    </w:p>
    <w:p>
      <w:pPr>
        <w:spacing w:after="0" w:line="230" w:lineRule="exact"/>
        <w:rPr>
          <w:sz w:val="24"/>
          <w:szCs w:val="24"/>
          <w:color w:val="auto"/>
        </w:rPr>
      </w:pPr>
    </w:p>
    <w:p>
      <w:pPr>
        <w:ind w:left="7"/>
        <w:spacing w:after="0"/>
        <w:rPr>
          <w:sz w:val="20"/>
          <w:szCs w:val="20"/>
          <w:color w:val="auto"/>
        </w:rPr>
      </w:pPr>
      <w:r>
        <w:rPr>
          <w:rFonts w:ascii="Arial" w:cs="Arial" w:eastAsia="Arial" w:hAnsi="Arial"/>
          <w:sz w:val="14"/>
          <w:szCs w:val="14"/>
          <w:color w:val="auto"/>
        </w:rPr>
        <w:t>3. Date of Earliest Transaction (Month/Day/Year)</w:t>
      </w:r>
    </w:p>
    <w:p>
      <w:pPr>
        <w:ind w:left="7"/>
        <w:spacing w:after="0"/>
        <w:rPr>
          <w:sz w:val="20"/>
          <w:szCs w:val="20"/>
          <w:color w:val="auto"/>
        </w:rPr>
      </w:pPr>
      <w:r>
        <w:rPr>
          <w:rFonts w:ascii="Arial" w:cs="Arial" w:eastAsia="Arial" w:hAnsi="Arial"/>
          <w:sz w:val="18"/>
          <w:szCs w:val="18"/>
          <w:color w:val="0000FF"/>
        </w:rPr>
        <w:t>09/29/2017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22" w:lineRule="exact"/>
        <w:rPr>
          <w:sz w:val="24"/>
          <w:szCs w:val="24"/>
          <w:color w:val="auto"/>
        </w:rPr>
      </w:pPr>
    </w:p>
    <w:p>
      <w:pPr>
        <w:sectPr>
          <w:pgSz w:w="11900" w:h="16838" w:orient="portrait"/>
          <w:cols w:equalWidth="0" w:num="3">
            <w:col w:w="3353" w:space="720"/>
            <w:col w:w="3727" w:space="257"/>
            <w:col w:w="3363"/>
          </w:cols>
          <w:pgMar w:left="240" w:top="226" w:right="239" w:bottom="0" w:gutter="0" w:footer="0" w:header="0"/>
          <w:type w:val="continuous"/>
        </w:sectPr>
      </w:pP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00" w:type="dxa"/>
            <w:vAlign w:val="bottom"/>
            <w:shd w:val="clear" w:color="auto" w:fill="9A9A9A"/>
          </w:tcPr>
          <w:p>
            <w:pPr>
              <w:spacing w:after="0"/>
              <w:rPr>
                <w:sz w:val="2"/>
                <w:szCs w:val="2"/>
                <w:color w:val="auto"/>
              </w:rPr>
            </w:pPr>
          </w:p>
        </w:tc>
        <w:tc>
          <w:tcPr>
            <w:tcW w:w="2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480" w:type="dxa"/>
            <w:vAlign w:val="bottom"/>
            <w:shd w:val="clear" w:color="auto" w:fill="9A9A9A"/>
          </w:tcPr>
          <w:p>
            <w:pPr>
              <w:spacing w:after="0"/>
              <w:rPr>
                <w:sz w:val="2"/>
                <w:szCs w:val="2"/>
                <w:color w:val="auto"/>
              </w:rPr>
            </w:pPr>
          </w:p>
        </w:tc>
        <w:tc>
          <w:tcPr>
            <w:tcW w:w="20" w:type="dxa"/>
            <w:vAlign w:val="bottom"/>
            <w:shd w:val="clear" w:color="auto" w:fill="9A9A9A"/>
          </w:tcPr>
          <w:p>
            <w:pPr>
              <w:spacing w:after="0"/>
              <w:rPr>
                <w:sz w:val="2"/>
                <w:szCs w:val="2"/>
                <w:color w:val="auto"/>
              </w:rPr>
            </w:pPr>
          </w:p>
        </w:tc>
        <w:tc>
          <w:tcPr>
            <w:tcW w:w="680" w:type="dxa"/>
            <w:vAlign w:val="bottom"/>
            <w:shd w:val="clear" w:color="auto" w:fill="9A9A9A"/>
          </w:tcPr>
          <w:p>
            <w:pPr>
              <w:spacing w:after="0"/>
              <w:rPr>
                <w:sz w:val="2"/>
                <w:szCs w:val="2"/>
                <w:color w:val="auto"/>
              </w:rPr>
            </w:pPr>
          </w:p>
        </w:tc>
        <w:tc>
          <w:tcPr>
            <w:tcW w:w="560" w:type="dxa"/>
            <w:vAlign w:val="bottom"/>
            <w:tcBorders>
              <w:right w:val="single" w:sz="8" w:color="9A9A9A"/>
            </w:tcBorders>
            <w:shd w:val="clear" w:color="auto" w:fill="9A9A9A"/>
          </w:tcPr>
          <w:p>
            <w:pPr>
              <w:spacing w:after="0"/>
              <w:rPr>
                <w:sz w:val="2"/>
                <w:szCs w:val="2"/>
                <w:color w:val="auto"/>
              </w:rPr>
            </w:pPr>
          </w:p>
        </w:tc>
        <w:tc>
          <w:tcPr>
            <w:tcW w:w="3900" w:type="dxa"/>
            <w:vAlign w:val="bottom"/>
            <w:gridSpan w:val="10"/>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vMerge w:val="restart"/>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900" w:type="dxa"/>
            <w:vAlign w:val="bottom"/>
            <w:gridSpan w:val="10"/>
            <w:vMerge w:val="continue"/>
          </w:tcPr>
          <w:p>
            <w:pPr>
              <w:spacing w:after="0"/>
              <w:rPr>
                <w:sz w:val="11"/>
                <w:szCs w:val="11"/>
                <w:color w:val="auto"/>
              </w:rPr>
            </w:pPr>
          </w:p>
        </w:tc>
        <w:tc>
          <w:tcPr>
            <w:tcW w:w="360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gridSpan w:val="2"/>
          </w:tcPr>
          <w:p>
            <w:pPr>
              <w:ind w:left="240"/>
              <w:spacing w:after="0" w:line="155" w:lineRule="exact"/>
              <w:rPr>
                <w:sz w:val="20"/>
                <w:szCs w:val="20"/>
                <w:color w:val="auto"/>
              </w:rPr>
            </w:pPr>
            <w:r>
              <w:rPr>
                <w:rFonts w:ascii="Arial" w:cs="Arial" w:eastAsia="Arial" w:hAnsi="Arial"/>
                <w:sz w:val="14"/>
                <w:szCs w:val="14"/>
                <w:color w:val="auto"/>
              </w:rPr>
              <w:t>Line)</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1300" w:type="dxa"/>
            <w:vAlign w:val="bottom"/>
            <w:gridSpan w:val="4"/>
          </w:tcPr>
          <w:p>
            <w:pPr>
              <w:ind w:left="40"/>
              <w:spacing w:after="0"/>
              <w:rPr>
                <w:sz w:val="20"/>
                <w:szCs w:val="20"/>
                <w:color w:val="auto"/>
              </w:rPr>
            </w:pPr>
            <w:r>
              <w:rPr>
                <w:rFonts w:ascii="Arial" w:cs="Arial" w:eastAsia="Arial" w:hAnsi="Arial"/>
                <w:sz w:val="18"/>
                <w:szCs w:val="18"/>
                <w:color w:val="0000FF"/>
              </w:rPr>
              <w:t>TX</w:t>
            </w:r>
          </w:p>
        </w:tc>
        <w:tc>
          <w:tcPr>
            <w:tcW w:w="700" w:type="dxa"/>
            <w:vAlign w:val="bottom"/>
            <w:gridSpan w:val="2"/>
          </w:tcPr>
          <w:p>
            <w:pPr>
              <w:spacing w:after="0"/>
              <w:rPr>
                <w:sz w:val="20"/>
                <w:szCs w:val="20"/>
                <w:color w:val="auto"/>
              </w:rPr>
            </w:pPr>
            <w:r>
              <w:rPr>
                <w:rFonts w:ascii="Arial" w:cs="Arial" w:eastAsia="Arial" w:hAnsi="Arial"/>
                <w:sz w:val="18"/>
                <w:szCs w:val="18"/>
                <w:color w:val="0000FF"/>
              </w:rPr>
              <w:t>77002</w:t>
            </w: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80" w:type="dxa"/>
            <w:vAlign w:val="bottom"/>
            <w:gridSpan w:val="5"/>
          </w:tcPr>
          <w:p>
            <w:pPr>
              <w:ind w:left="180"/>
              <w:spacing w:after="0" w:line="151"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8"/>
                <w:szCs w:val="8"/>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4"/>
                <w:szCs w:val="14"/>
                <w:color w:val="auto"/>
              </w:rPr>
              <w:t>(State)</w:t>
            </w:r>
          </w:p>
        </w:tc>
        <w:tc>
          <w:tcPr>
            <w:tcW w:w="70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restart"/>
          </w:tcPr>
          <w:p>
            <w:pPr>
              <w:ind w:left="180"/>
              <w:spacing w:after="0" w:line="148" w:lineRule="exact"/>
              <w:rPr>
                <w:sz w:val="20"/>
                <w:szCs w:val="20"/>
                <w:color w:val="auto"/>
              </w:rPr>
            </w:pPr>
            <w:r>
              <w:rPr>
                <w:rFonts w:ascii="Arial" w:cs="Arial" w:eastAsia="Arial" w:hAnsi="Arial"/>
                <w:sz w:val="14"/>
                <w:szCs w:val="14"/>
                <w:color w:val="auto"/>
              </w:rPr>
              <w:t>Person</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300" w:type="dxa"/>
            <w:vAlign w:val="bottom"/>
            <w:gridSpan w:val="4"/>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gridSpan w:val="3"/>
          </w:tcPr>
          <w:p>
            <w:pPr>
              <w:spacing w:after="0"/>
              <w:rPr>
                <w:sz w:val="11"/>
                <w:szCs w:val="11"/>
                <w:color w:val="auto"/>
              </w:rPr>
            </w:pPr>
          </w:p>
        </w:tc>
        <w:tc>
          <w:tcPr>
            <w:tcW w:w="256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8"/>
          </w:tcPr>
          <w:p>
            <w:pPr>
              <w:jc w:val="center"/>
              <w:ind w:right="39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9"/>
            <w:vMerge w:val="restart"/>
          </w:tcPr>
          <w:p>
            <w:pPr>
              <w:ind w:left="60"/>
              <w:spacing w:after="0"/>
              <w:rPr>
                <w:sz w:val="20"/>
                <w:szCs w:val="20"/>
                <w:color w:val="auto"/>
              </w:rPr>
            </w:pPr>
            <w:r>
              <w:rPr>
                <w:rFonts w:ascii="Arial" w:cs="Arial" w:eastAsia="Arial" w:hAnsi="Arial"/>
                <w:sz w:val="18"/>
                <w:szCs w:val="18"/>
                <w:color w:val="0000FF"/>
                <w:w w:val="98"/>
              </w:rPr>
              <w:t>Common Units (Limited Partner Interests)</w:t>
            </w:r>
          </w:p>
        </w:tc>
        <w:tc>
          <w:tcPr>
            <w:tcW w:w="1100" w:type="dxa"/>
            <w:vAlign w:val="bottom"/>
            <w:gridSpan w:val="2"/>
            <w:vMerge w:val="restart"/>
          </w:tcPr>
          <w:p>
            <w:pPr>
              <w:jc w:val="right"/>
              <w:ind w:right="98"/>
              <w:spacing w:after="0"/>
              <w:rPr>
                <w:sz w:val="20"/>
                <w:szCs w:val="20"/>
                <w:color w:val="auto"/>
              </w:rPr>
            </w:pPr>
            <w:r>
              <w:rPr>
                <w:rFonts w:ascii="Arial" w:cs="Arial" w:eastAsia="Arial" w:hAnsi="Arial"/>
                <w:sz w:val="18"/>
                <w:szCs w:val="18"/>
                <w:color w:val="0000FF"/>
              </w:rPr>
              <w:t>09/29/2017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(1)(2)</w:t>
            </w:r>
          </w:p>
        </w:tc>
        <w:tc>
          <w:tcPr>
            <w:tcW w:w="1120" w:type="dxa"/>
            <w:vAlign w:val="bottom"/>
            <w:gridSpan w:val="2"/>
            <w:vMerge w:val="restart"/>
          </w:tcPr>
          <w:p>
            <w:pPr>
              <w:ind w:left="140"/>
              <w:spacing w:after="0"/>
              <w:rPr>
                <w:sz w:val="20"/>
                <w:szCs w:val="20"/>
                <w:color w:val="auto"/>
              </w:rPr>
            </w:pPr>
            <w:r>
              <w:rPr>
                <w:rFonts w:ascii="Arial" w:cs="Arial" w:eastAsia="Arial" w:hAnsi="Arial"/>
                <w:sz w:val="18"/>
                <w:szCs w:val="18"/>
                <w:color w:val="0000FF"/>
              </w:rPr>
              <w:t>1,173,528</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D</w:t>
            </w:r>
          </w:p>
        </w:tc>
        <w:tc>
          <w:tcPr>
            <w:tcW w:w="620" w:type="dxa"/>
            <w:vAlign w:val="bottom"/>
            <w:gridSpan w:val="2"/>
            <w:vMerge w:val="restart"/>
          </w:tcPr>
          <w:p>
            <w:pPr>
              <w:jc w:val="right"/>
              <w:ind w:right="114"/>
              <w:spacing w:after="0"/>
              <w:rPr>
                <w:sz w:val="20"/>
                <w:szCs w:val="20"/>
                <w:color w:val="auto"/>
              </w:rPr>
            </w:pPr>
            <w:r>
              <w:rPr>
                <w:rFonts w:ascii="Arial" w:cs="Arial" w:eastAsia="Arial" w:hAnsi="Arial"/>
                <w:sz w:val="11"/>
                <w:szCs w:val="11"/>
                <w:color w:val="008000"/>
              </w:rPr>
              <w:t>(1)(2)</w:t>
            </w:r>
          </w:p>
        </w:tc>
        <w:tc>
          <w:tcPr>
            <w:tcW w:w="126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286,817,934</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Plains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340" w:type="dxa"/>
            <w:vAlign w:val="bottom"/>
            <w:gridSpan w:val="9"/>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AAP,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740" w:type="dxa"/>
            <w:vAlign w:val="bottom"/>
            <w:tcBorders>
              <w:top w:val="single" w:sz="8" w:color="2C2C2C"/>
            </w:tcBorders>
            <w:gridSpan w:val="17"/>
          </w:tcPr>
          <w:p>
            <w:pPr>
              <w:jc w:val="center"/>
              <w:ind w:left="2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760" w:type="dxa"/>
            <w:vAlign w:val="bottom"/>
            <w:gridSpan w:val="14"/>
          </w:tcPr>
          <w:p>
            <w:pPr>
              <w:jc w:val="center"/>
              <w:ind w:left="25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20" w:type="dxa"/>
            <w:vAlign w:val="bottom"/>
          </w:tcPr>
          <w:p>
            <w:pPr>
              <w:spacing w:after="0"/>
              <w:rPr>
                <w:sz w:val="15"/>
                <w:szCs w:val="15"/>
                <w:color w:val="auto"/>
              </w:rPr>
            </w:pPr>
          </w:p>
        </w:tc>
        <w:tc>
          <w:tcPr>
            <w:tcW w:w="12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20" w:type="dxa"/>
            <w:vAlign w:val="bottom"/>
          </w:tcPr>
          <w:p>
            <w:pPr>
              <w:spacing w:after="0"/>
              <w:rPr>
                <w:sz w:val="11"/>
                <w:szCs w:val="11"/>
                <w:color w:val="auto"/>
              </w:rPr>
            </w:pP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gridSpan w:val="2"/>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340" w:type="dxa"/>
            <w:vAlign w:val="bottom"/>
            <w:tcBorders>
              <w:top w:val="single" w:sz="8" w:color="2C2C2C"/>
            </w:tcBorders>
            <w:gridSpan w:val="9"/>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PAA GP Holdings LLC</w:t>
              </w:r>
            </w:hyperlink>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9"/>
              </w:rPr>
              <w:t>333 CLAY STREET, STE. 1600</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1260" w:type="dxa"/>
            <w:vAlign w:val="bottom"/>
            <w:gridSpan w:val="3"/>
          </w:tcPr>
          <w:p>
            <w:pPr>
              <w:ind w:left="380"/>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20" w:type="dxa"/>
            <w:vAlign w:val="bottom"/>
          </w:tcPr>
          <w:p>
            <w:pPr>
              <w:spacing w:after="0"/>
              <w:rPr>
                <w:sz w:val="24"/>
                <w:szCs w:val="24"/>
                <w:color w:val="auto"/>
              </w:rPr>
            </w:pPr>
          </w:p>
        </w:tc>
        <w:tc>
          <w:tcPr>
            <w:tcW w:w="680" w:type="dxa"/>
            <w:vAlign w:val="bottom"/>
          </w:tcPr>
          <w:p>
            <w:pPr>
              <w:ind w:left="36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34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tcPr>
          <w:p>
            <w:pPr>
              <w:spacing w:after="0" w:line="224" w:lineRule="exact"/>
              <w:rPr>
                <w:rFonts w:ascii="Arial" w:cs="Arial" w:eastAsia="Arial" w:hAnsi="Arial"/>
                <w:sz w:val="22"/>
                <w:szCs w:val="22"/>
                <w:color w:val="0000EE"/>
                <w:w w:val="89"/>
              </w:rPr>
            </w:pPr>
            <w:hyperlink r:id="rId14">
              <w:r>
                <w:rPr>
                  <w:rFonts w:ascii="Arial" w:cs="Arial" w:eastAsia="Arial" w:hAnsi="Arial"/>
                  <w:sz w:val="22"/>
                  <w:szCs w:val="22"/>
                  <w:color w:val="0000EE"/>
                  <w:w w:val="89"/>
                </w:rPr>
                <w:t>Plains AAP, L.P.</w:t>
              </w:r>
            </w:hyperlink>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4"/>
              </w:rPr>
              <w:t>333 CLAY STREET, SUITE 1600</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1260" w:type="dxa"/>
            <w:vAlign w:val="bottom"/>
            <w:gridSpan w:val="3"/>
          </w:tcPr>
          <w:p>
            <w:pPr>
              <w:ind w:left="380"/>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20" w:type="dxa"/>
            <w:vAlign w:val="bottom"/>
          </w:tcPr>
          <w:p>
            <w:pPr>
              <w:spacing w:after="0"/>
              <w:rPr>
                <w:sz w:val="24"/>
                <w:szCs w:val="24"/>
                <w:color w:val="auto"/>
              </w:rPr>
            </w:pPr>
          </w:p>
        </w:tc>
        <w:tc>
          <w:tcPr>
            <w:tcW w:w="680" w:type="dxa"/>
            <w:vAlign w:val="bottom"/>
          </w:tcPr>
          <w:p>
            <w:pPr>
              <w:ind w:left="36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34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40" w:type="dxa"/>
            <w:vAlign w:val="bottom"/>
            <w:gridSpan w:val="8"/>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Plains All American GP LLC</w:t>
              </w:r>
            </w:hyperlink>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ind w:left="120"/>
        <w:spacing w:after="0"/>
        <w:rPr>
          <w:sz w:val="20"/>
          <w:szCs w:val="20"/>
          <w:color w:val="auto"/>
        </w:rPr>
      </w:pPr>
      <w:r>
        <w:rPr>
          <w:rFonts w:ascii="Arial" w:cs="Arial" w:eastAsia="Arial" w:hAnsi="Arial"/>
          <w:sz w:val="16"/>
          <w:szCs w:val="16"/>
          <w:color w:val="0000FF"/>
        </w:rPr>
        <w:t>333 CLAY STREET, SUITE 1600</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300"/>
              <w:spacing w:after="0"/>
              <w:rPr>
                <w:sz w:val="20"/>
                <w:szCs w:val="20"/>
                <w:color w:val="auto"/>
              </w:rPr>
            </w:pPr>
            <w:r>
              <w:rPr>
                <w:rFonts w:ascii="Arial" w:cs="Arial" w:eastAsia="Arial" w:hAnsi="Arial"/>
                <w:sz w:val="18"/>
                <w:szCs w:val="18"/>
                <w:color w:val="0000FF"/>
              </w:rPr>
              <w:t>TX</w:t>
            </w:r>
          </w:p>
        </w:tc>
        <w:tc>
          <w:tcPr>
            <w:tcW w:w="1780" w:type="dxa"/>
            <w:vAlign w:val="bottom"/>
          </w:tcPr>
          <w:p>
            <w:pPr>
              <w:ind w:left="36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2"/>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660" w:type="dxa"/>
            <w:vAlign w:val="bottom"/>
            <w:gridSpan w:val="3"/>
          </w:tcPr>
          <w:p>
            <w:pPr>
              <w:ind w:left="60"/>
              <w:spacing w:after="0"/>
              <w:rPr>
                <w:sz w:val="20"/>
                <w:szCs w:val="20"/>
                <w:color w:val="auto"/>
              </w:rPr>
            </w:pPr>
            <w:r>
              <w:rPr>
                <w:rFonts w:ascii="Arial" w:cs="Arial" w:eastAsia="Arial" w:hAnsi="Arial"/>
                <w:sz w:val="14"/>
                <w:szCs w:val="14"/>
                <w:color w:val="auto"/>
                <w:w w:val="95"/>
              </w:rPr>
              <w:t>1. Name and Address of Reporting Person</w:t>
            </w:r>
            <w:r>
              <w:rPr>
                <w:rFonts w:ascii="Arial" w:cs="Arial" w:eastAsia="Arial" w:hAnsi="Arial"/>
                <w:sz w:val="22"/>
                <w:szCs w:val="22"/>
                <w:color w:val="auto"/>
                <w:w w:val="95"/>
                <w:vertAlign w:val="superscript"/>
              </w:rPr>
              <w:t>*</w:t>
            </w: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560" w:type="dxa"/>
            <w:vAlign w:val="bottom"/>
            <w:tcBorders>
              <w:bottom w:val="single" w:sz="8" w:color="0000EE"/>
            </w:tcBorders>
            <w:gridSpan w:val="2"/>
          </w:tcPr>
          <w:p>
            <w:pPr>
              <w:spacing w:after="0" w:line="224" w:lineRule="exact"/>
              <w:rPr>
                <w:rFonts w:ascii="Arial" w:cs="Arial" w:eastAsia="Arial" w:hAnsi="Arial"/>
                <w:sz w:val="22"/>
                <w:szCs w:val="22"/>
                <w:color w:val="0000EE"/>
                <w:w w:val="93"/>
              </w:rPr>
            </w:pPr>
            <w:hyperlink r:id="rId16">
              <w:r>
                <w:rPr>
                  <w:rFonts w:ascii="Arial" w:cs="Arial" w:eastAsia="Arial" w:hAnsi="Arial"/>
                  <w:sz w:val="22"/>
                  <w:szCs w:val="22"/>
                  <w:color w:val="0000EE"/>
                  <w:w w:val="93"/>
                </w:rPr>
                <w:t>PLAINS GP HOLDINGS LP</w:t>
              </w:r>
            </w:hyperlink>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7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tcPr>
          <w:p>
            <w:pPr>
              <w:ind w:left="300"/>
              <w:spacing w:after="0"/>
              <w:rPr>
                <w:sz w:val="20"/>
                <w:szCs w:val="20"/>
                <w:color w:val="auto"/>
              </w:rPr>
            </w:pPr>
            <w:r>
              <w:rPr>
                <w:rFonts w:ascii="Arial" w:cs="Arial" w:eastAsia="Arial" w:hAnsi="Arial"/>
                <w:sz w:val="14"/>
                <w:szCs w:val="14"/>
                <w:color w:val="auto"/>
              </w:rPr>
              <w:t>(First)</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0000FF"/>
              </w:rPr>
              <w:t>333 CLAY ST., SUITE 1600</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7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300"/>
              <w:spacing w:after="0"/>
              <w:rPr>
                <w:sz w:val="20"/>
                <w:szCs w:val="20"/>
                <w:color w:val="auto"/>
              </w:rPr>
            </w:pPr>
            <w:r>
              <w:rPr>
                <w:rFonts w:ascii="Arial" w:cs="Arial" w:eastAsia="Arial" w:hAnsi="Arial"/>
                <w:sz w:val="18"/>
                <w:szCs w:val="18"/>
                <w:color w:val="0000FF"/>
              </w:rPr>
              <w:t>TX</w:t>
            </w:r>
          </w:p>
        </w:tc>
        <w:tc>
          <w:tcPr>
            <w:tcW w:w="1780" w:type="dxa"/>
            <w:vAlign w:val="bottom"/>
          </w:tcPr>
          <w:p>
            <w:pPr>
              <w:ind w:left="36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2405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924175" cy="240538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30"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Pursuant to the limited partnership agreement of Plains AAP, L.P. ("AAP"), each limited partner of AAP, other than Plains GP Holdings, L.P. ("PAGP") and Plains All American GP LLC ("GP LLC"), has the right, from time to time, to cause AAP to redeem and cancel such partner's AAP Class A units in exchange for the distribution of an equal number of common units representing limited partner interests ("Common Units") of Plains All American Pipeline, L.P. ("PAA") held by AAP (the "Redemption Right"). In connection with the exercise of a Redemption Right, such limited partner must also surrender to PAGP an equal number of Class B shares of PAGP and Company Units of PAA GP Holdings LLC ("PAGP GP").</w:t>
      </w:r>
    </w:p>
    <w:p>
      <w:pPr>
        <w:spacing w:after="0" w:line="31" w:lineRule="exact"/>
        <w:rPr>
          <w:rFonts w:ascii="Arial" w:cs="Arial" w:eastAsia="Arial" w:hAnsi="Arial"/>
          <w:sz w:val="14"/>
          <w:szCs w:val="14"/>
          <w:color w:val="008000"/>
        </w:rPr>
      </w:pPr>
    </w:p>
    <w:p>
      <w:pPr>
        <w:ind w:left="20" w:right="120" w:firstLine="9"/>
        <w:spacing w:after="0" w:line="239"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On September 29, 2017, KAFU Holdings, L.P. and KAFU Holdings (QP), L.P. exercised the Redemption Right with respect to an aggregate of 1,173,528 AAP Class A units, resulting in the cancellation of such AAP Class A units and the distribution of 1,173,528 Common Units from AAP to the redeeming partners.</w:t>
      </w:r>
    </w:p>
    <w:p>
      <w:pPr>
        <w:spacing w:after="0" w:line="30" w:lineRule="exact"/>
        <w:rPr>
          <w:rFonts w:ascii="Arial" w:cs="Arial" w:eastAsia="Arial" w:hAnsi="Arial"/>
          <w:sz w:val="14"/>
          <w:szCs w:val="14"/>
          <w:color w:val="008000"/>
        </w:rPr>
      </w:pPr>
    </w:p>
    <w:p>
      <w:pPr>
        <w:ind w:left="20" w:right="160" w:firstLine="9"/>
        <w:spacing w:after="0" w:line="298" w:lineRule="auto"/>
        <w:tabs>
          <w:tab w:leader="none" w:pos="15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p>
      <w:pPr>
        <w:ind w:left="2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5"/>
              </w:rPr>
              <w:t>/s/ Ann F. Gullion, Assistant</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10/02/2017</w:t>
            </w:r>
          </w:p>
        </w:tc>
        <w:tc>
          <w:tcPr>
            <w:tcW w:w="0" w:type="dxa"/>
            <w:vAlign w:val="bottom"/>
          </w:tcPr>
          <w:p>
            <w:pPr>
              <w:spacing w:after="0"/>
              <w:rPr>
                <w:sz w:val="1"/>
                <w:szCs w:val="1"/>
                <w:color w:val="auto"/>
              </w:rPr>
            </w:pPr>
          </w:p>
        </w:tc>
      </w:tr>
      <w:tr>
        <w:trPr>
          <w:trHeight w:val="88"/>
        </w:trPr>
        <w:tc>
          <w:tcPr>
            <w:tcW w:w="6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Secretary</w:t>
            </w:r>
          </w:p>
        </w:tc>
        <w:tc>
          <w:tcPr>
            <w:tcW w:w="132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80" w:type="dxa"/>
            <w:vAlign w:val="bottom"/>
            <w:tcBorders>
              <w:top w:val="single" w:sz="8" w:color="auto"/>
              <w:bottom w:val="single" w:sz="8" w:color="auto"/>
            </w:tcBorders>
            <w:vMerge w:val="continue"/>
          </w:tcPr>
          <w:p>
            <w:pPr>
              <w:spacing w:after="0"/>
              <w:rPr>
                <w:sz w:val="7"/>
                <w:szCs w:val="7"/>
                <w:color w:val="auto"/>
              </w:rPr>
            </w:pPr>
          </w:p>
        </w:tc>
        <w:tc>
          <w:tcPr>
            <w:tcW w:w="132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2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png"/><Relationship Id="rId12" Type="http://schemas.openxmlformats.org/officeDocument/2006/relationships/hyperlink" Target="http://www.sec.gov/cgi-bin/browse-edgar?action=getcompany&amp;CIK=0001581928"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1490401" TargetMode="External"/><Relationship Id="rId15" Type="http://schemas.openxmlformats.org/officeDocument/2006/relationships/hyperlink" Target="http://www.sec.gov/cgi-bin/browse-edgar?action=getcompany&amp;CIK=0001490402" TargetMode="External"/><Relationship Id="rId16"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2020-01-16T04:49:39Z</dcterms:created>
  <dcterms:modified xsi:type="dcterms:W3CDTF">2020-01-16T04:49:39Z</dcterms:modified>
</cp:coreProperties>
</file>