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240"/>
        <w:ind w:left="0" w:right="0" w:hanging="0"/>
        <w:jc w:val="right"/>
        <w:rPr>
          <w:rFonts w:ascii="Times New Roman" w:hAnsi="Times New Roman"/>
          <w:b/>
          <w:sz w:val="17"/>
        </w:rPr>
      </w:pPr>
      <w:bookmarkStart w:id="0" w:name="a06-19430_2425.htm"/>
      <w:bookmarkStart w:id="1" w:name="ksa0619430_2425"/>
      <w:bookmarkEnd w:id="0"/>
      <w:bookmarkEnd w:id="1"/>
      <w:r>
        <w:rPr>
          <w:rFonts w:ascii="Times New Roman" w:hAnsi="Times New Roman"/>
          <w:b/>
          <w:sz w:val="17"/>
        </w:rPr>
        <w:t xml:space="preserve">Filed by Plains All American Pipeline, L.P. (1-14569) </w:t>
        <w:br/>
        <w:t>Pursuant to Rule 425 under the Securities Act of 1933</w:t>
      </w:r>
    </w:p>
    <w:p>
      <w:pPr>
        <w:pStyle w:val="TextBody"/>
        <w:keepNext w:val="true"/>
        <w:spacing w:before="0" w:after="240"/>
        <w:ind w:left="0" w:right="0" w:hanging="0"/>
        <w:jc w:val="right"/>
        <w:rPr>
          <w:rFonts w:ascii="Times New Roman" w:hAnsi="Times New Roman"/>
          <w:b/>
          <w:sz w:val="17"/>
        </w:rPr>
      </w:pPr>
      <w:r>
        <w:rPr>
          <w:rFonts w:ascii="Times New Roman" w:hAnsi="Times New Roman"/>
          <w:b/>
          <w:sz w:val="17"/>
        </w:rPr>
        <w:t xml:space="preserve">Subject Company:  Pacific Energy Partners, L.P. (1-31345) </w:t>
        <w:br/>
        <w:t>Commission File No:  333-135712</w:t>
      </w:r>
    </w:p>
    <w:tbl>
      <w:tblPr>
        <w:tblW w:w="5000" w:type="pct"/>
        <w:jc w:val="left"/>
        <w:tblInd w:w="0" w:type="dxa"/>
        <w:tblCellMar>
          <w:top w:w="0" w:type="dxa"/>
          <w:left w:w="0" w:type="dxa"/>
          <w:bottom w:w="0" w:type="dxa"/>
          <w:right w:w="0" w:type="dxa"/>
        </w:tblCellMar>
      </w:tblPr>
      <w:tblGrid>
        <w:gridCol w:w="6561"/>
        <w:gridCol w:w="207"/>
        <w:gridCol w:w="3437"/>
      </w:tblGrid>
      <w:tr>
        <w:trPr/>
        <w:tc>
          <w:tcPr>
            <w:tcW w:w="6768" w:type="dxa"/>
            <w:gridSpan w:val="2"/>
            <w:tcBorders/>
            <w:shd w:fill="auto" w:val="clear"/>
          </w:tcPr>
          <w:p>
            <w:pPr>
              <w:pStyle w:val="TableContents"/>
              <w:spacing w:before="0" w:after="283"/>
              <w:ind w:left="0" w:right="0" w:hanging="0"/>
              <w:rPr>
                <w:sz w:val="4"/>
                <w:szCs w:val="4"/>
              </w:rPr>
            </w:pPr>
            <w:r>
              <w:rPr>
                <w:sz w:val="4"/>
                <w:szCs w:val="4"/>
              </w:rPr>
            </w:r>
          </w:p>
        </w:tc>
        <w:tc>
          <w:tcPr>
            <w:tcW w:w="343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Pacific Energy Partners, L.P.</w:t>
            </w:r>
          </w:p>
        </w:tc>
      </w:tr>
      <w:tr>
        <w:trPr/>
        <w:tc>
          <w:tcPr>
            <w:tcW w:w="6561" w:type="dxa"/>
            <w:tcBorders/>
            <w:shd w:fill="auto" w:val="clear"/>
          </w:tcPr>
          <w:p>
            <w:pPr>
              <w:pStyle w:val="TableContents"/>
              <w:spacing w:before="100" w:after="100"/>
              <w:ind w:left="0" w:right="0" w:hanging="0"/>
              <w:rPr/>
            </w:pPr>
            <w:r>
              <w:rPr/>
              <w:drawing>
                <wp:inline distT="0" distB="0" distL="0" distR="0">
                  <wp:extent cx="25336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762000"/>
                          </a:xfrm>
                          <a:prstGeom prst="rect">
                            <a:avLst/>
                          </a:prstGeom>
                        </pic:spPr>
                      </pic:pic>
                    </a:graphicData>
                  </a:graphic>
                </wp:inline>
              </w:drawing>
            </w:r>
          </w:p>
          <w:p>
            <w:pPr>
              <w:pStyle w:val="TableContents"/>
              <w:spacing w:before="100" w:after="100"/>
              <w:ind w:left="0" w:right="0" w:hanging="0"/>
              <w:rPr/>
            </w:pPr>
            <w:r>
              <w:rPr/>
              <w:t> </w:t>
            </w:r>
          </w:p>
          <w:p>
            <w:pPr>
              <w:pStyle w:val="TableContents"/>
              <w:spacing w:before="100" w:after="100"/>
              <w:ind w:left="0" w:right="0" w:hanging="0"/>
              <w:jc w:val="right"/>
              <w:rPr/>
            </w:pPr>
            <w:r>
              <w:rPr/>
              <w:t> </w:t>
            </w:r>
          </w:p>
          <w:p>
            <w:pPr>
              <w:pStyle w:val="TableContents"/>
              <w:spacing w:before="100" w:after="100"/>
              <w:ind w:left="0" w:right="0" w:hanging="0"/>
              <w:jc w:val="right"/>
              <w:rPr/>
            </w:pPr>
            <w:r>
              <w:rPr/>
              <w:t> </w:t>
            </w:r>
          </w:p>
        </w:tc>
        <w:tc>
          <w:tcPr>
            <w:tcW w:w="207" w:type="dxa"/>
            <w:tcBorders/>
            <w:shd w:fill="auto" w:val="clear"/>
          </w:tcPr>
          <w:p>
            <w:pPr>
              <w:pStyle w:val="TableContents"/>
              <w:spacing w:before="100" w:after="100"/>
              <w:ind w:left="0" w:right="0" w:hanging="0"/>
              <w:rPr/>
            </w:pPr>
            <w:r>
              <w:rPr/>
              <w:t> </w:t>
            </w:r>
          </w:p>
        </w:tc>
        <w:tc>
          <w:tcPr>
            <w:tcW w:w="3437" w:type="dxa"/>
            <w:tcBorders/>
            <w:shd w:fill="auto" w:val="clear"/>
          </w:tcPr>
          <w:p>
            <w:pPr>
              <w:pStyle w:val="TableContents"/>
              <w:spacing w:before="100" w:after="100"/>
              <w:ind w:left="0" w:right="0" w:hanging="0"/>
              <w:jc w:val="center"/>
              <w:rPr/>
            </w:pPr>
            <w:r>
              <w:rPr/>
              <w:drawing>
                <wp:inline distT="0" distB="0" distL="0" distR="0">
                  <wp:extent cx="1285875" cy="1323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5875" cy="1323975"/>
                          </a:xfrm>
                          <a:prstGeom prst="rect">
                            <a:avLst/>
                          </a:prstGeom>
                        </pic:spPr>
                      </pic:pic>
                    </a:graphicData>
                  </a:graphic>
                </wp:inline>
              </w:drawing>
            </w:r>
          </w:p>
        </w:tc>
      </w:tr>
      <w:tr>
        <w:trPr/>
        <w:tc>
          <w:tcPr>
            <w:tcW w:w="10205" w:type="dxa"/>
            <w:gridSpan w:val="3"/>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b/>
                <w:sz w:val="27"/>
              </w:rPr>
            </w:pPr>
            <w:r>
              <w:rPr>
                <w:rFonts w:ascii="Times New Roman" w:hAnsi="Times New Roman"/>
                <w:b/>
                <w:sz w:val="27"/>
              </w:rPr>
              <w:t>N e w s  R e l e a s e</w:t>
            </w:r>
          </w:p>
        </w:tc>
      </w:tr>
      <w:tr>
        <w:trPr/>
        <w:tc>
          <w:tcPr>
            <w:tcW w:w="6561"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437" w:type="dxa"/>
            <w:tcBorders/>
            <w:shd w:fill="auto" w:val="clear"/>
            <w:vAlign w:val="center"/>
          </w:tcPr>
          <w:p>
            <w:pPr>
              <w:pStyle w:val="TableContents"/>
              <w:spacing w:before="0" w:after="283"/>
              <w:rPr>
                <w:sz w:val="4"/>
                <w:szCs w:val="4"/>
              </w:rPr>
            </w:pPr>
            <w:r>
              <w:rPr>
                <w:sz w:val="4"/>
                <w:szCs w:val="4"/>
              </w:rPr>
            </w:r>
          </w:p>
        </w:tc>
      </w:tr>
    </w:tbl>
    <w:p>
      <w:pPr>
        <w:pStyle w:val="TextBody"/>
        <w:keepNext w:val="true"/>
        <w:spacing w:lineRule="atLeast" w:line="141" w:before="0" w:after="240"/>
        <w:ind w:left="0" w:right="0" w:hanging="0"/>
        <w:rPr/>
      </w:pPr>
      <w:r>
        <w:rPr/>
        <w:t> </w:t>
      </w:r>
    </w:p>
    <w:tbl>
      <w:tblPr>
        <w:tblW w:w="5000" w:type="pct"/>
        <w:jc w:val="left"/>
        <w:tblInd w:w="0" w:type="dxa"/>
        <w:tblCellMar>
          <w:top w:w="0" w:type="dxa"/>
          <w:left w:w="0" w:type="dxa"/>
          <w:bottom w:w="0" w:type="dxa"/>
          <w:right w:w="0" w:type="dxa"/>
        </w:tblCellMar>
      </w:tblPr>
      <w:tblGrid>
        <w:gridCol w:w="1261"/>
        <w:gridCol w:w="4419"/>
        <w:gridCol w:w="315"/>
        <w:gridCol w:w="4210"/>
      </w:tblGrid>
      <w:tr>
        <w:trPr/>
        <w:tc>
          <w:tcPr>
            <w:tcW w:w="1261" w:type="dxa"/>
            <w:tcBorders/>
            <w:shd w:fill="auto" w:val="clear"/>
          </w:tcPr>
          <w:p>
            <w:pPr>
              <w:pStyle w:val="TableContents"/>
              <w:spacing w:before="0" w:after="0"/>
              <w:ind w:left="0" w:right="0" w:hanging="0"/>
              <w:rPr>
                <w:b/>
                <w:sz w:val="17"/>
                <w:u w:val="single"/>
              </w:rPr>
            </w:pPr>
            <w:r>
              <w:rPr>
                <w:b/>
                <w:sz w:val="17"/>
                <w:u w:val="single"/>
              </w:rPr>
              <w:t>Contacts:</w:t>
            </w:r>
          </w:p>
        </w:tc>
        <w:tc>
          <w:tcPr>
            <w:tcW w:w="8944" w:type="dxa"/>
            <w:gridSpan w:val="3"/>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Plains All American Pipeline, L.P.</w:t>
            </w:r>
          </w:p>
        </w:tc>
      </w:tr>
      <w:tr>
        <w:trPr/>
        <w:tc>
          <w:tcPr>
            <w:tcW w:w="1261" w:type="dxa"/>
            <w:tcBorders/>
            <w:shd w:fill="auto" w:val="clear"/>
          </w:tcPr>
          <w:p>
            <w:pPr>
              <w:pStyle w:val="TableContents"/>
              <w:spacing w:before="0" w:after="0"/>
              <w:ind w:left="0" w:right="0" w:hanging="0"/>
              <w:rPr/>
            </w:pPr>
            <w:r>
              <w:rPr/>
              <w:t> </w:t>
            </w:r>
          </w:p>
        </w:tc>
        <w:tc>
          <w:tcPr>
            <w:tcW w:w="441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Phillip D. Kramer</w:t>
            </w:r>
          </w:p>
        </w:tc>
        <w:tc>
          <w:tcPr>
            <w:tcW w:w="315" w:type="dxa"/>
            <w:tcBorders/>
            <w:shd w:fill="auto" w:val="clear"/>
          </w:tcPr>
          <w:p>
            <w:pPr>
              <w:pStyle w:val="TableContents"/>
              <w:spacing w:before="0" w:after="0"/>
              <w:ind w:left="0" w:right="0" w:hanging="0"/>
              <w:rPr/>
            </w:pPr>
            <w:r>
              <w:rPr/>
              <w:t> </w:t>
            </w:r>
          </w:p>
        </w:tc>
        <w:tc>
          <w:tcPr>
            <w:tcW w:w="421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 Patrick Diamond</w:t>
            </w:r>
          </w:p>
        </w:tc>
      </w:tr>
      <w:tr>
        <w:trPr/>
        <w:tc>
          <w:tcPr>
            <w:tcW w:w="1261" w:type="dxa"/>
            <w:tcBorders/>
            <w:shd w:fill="auto" w:val="clear"/>
          </w:tcPr>
          <w:p>
            <w:pPr>
              <w:pStyle w:val="TableContents"/>
              <w:spacing w:before="0" w:after="0"/>
              <w:ind w:left="0" w:right="0" w:hanging="0"/>
              <w:rPr/>
            </w:pPr>
            <w:r>
              <w:rPr/>
              <w:t> </w:t>
            </w:r>
          </w:p>
        </w:tc>
        <w:tc>
          <w:tcPr>
            <w:tcW w:w="441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Vice President and CFO</w:t>
            </w:r>
          </w:p>
        </w:tc>
        <w:tc>
          <w:tcPr>
            <w:tcW w:w="315" w:type="dxa"/>
            <w:tcBorders/>
            <w:shd w:fill="auto" w:val="clear"/>
          </w:tcPr>
          <w:p>
            <w:pPr>
              <w:pStyle w:val="TableContents"/>
              <w:spacing w:before="0" w:after="0"/>
              <w:ind w:left="0" w:right="0" w:hanging="0"/>
              <w:rPr/>
            </w:pPr>
            <w:r>
              <w:rPr/>
              <w:t> </w:t>
            </w:r>
          </w:p>
        </w:tc>
        <w:tc>
          <w:tcPr>
            <w:tcW w:w="421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Director, Strategic Planning</w:t>
            </w:r>
          </w:p>
        </w:tc>
      </w:tr>
      <w:tr>
        <w:trPr/>
        <w:tc>
          <w:tcPr>
            <w:tcW w:w="1261" w:type="dxa"/>
            <w:tcBorders/>
            <w:shd w:fill="auto" w:val="clear"/>
          </w:tcPr>
          <w:p>
            <w:pPr>
              <w:pStyle w:val="TableContents"/>
              <w:spacing w:before="0" w:after="0"/>
              <w:ind w:left="0" w:right="0" w:hanging="0"/>
              <w:rPr/>
            </w:pPr>
            <w:r>
              <w:rPr/>
              <w:t> </w:t>
            </w:r>
          </w:p>
        </w:tc>
        <w:tc>
          <w:tcPr>
            <w:tcW w:w="441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713/646-4560  800/564-3036</w:t>
            </w:r>
          </w:p>
        </w:tc>
        <w:tc>
          <w:tcPr>
            <w:tcW w:w="315" w:type="dxa"/>
            <w:tcBorders/>
            <w:shd w:fill="auto" w:val="clear"/>
          </w:tcPr>
          <w:p>
            <w:pPr>
              <w:pStyle w:val="TableContents"/>
              <w:spacing w:before="0" w:after="0"/>
              <w:ind w:left="0" w:right="0" w:hanging="0"/>
              <w:rPr/>
            </w:pPr>
            <w:r>
              <w:rPr/>
              <w:t> </w:t>
            </w:r>
          </w:p>
        </w:tc>
        <w:tc>
          <w:tcPr>
            <w:tcW w:w="421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713/646-4487  800/564-3036</w:t>
            </w:r>
          </w:p>
        </w:tc>
      </w:tr>
      <w:tr>
        <w:trPr/>
        <w:tc>
          <w:tcPr>
            <w:tcW w:w="1261" w:type="dxa"/>
            <w:tcBorders/>
            <w:shd w:fill="auto" w:val="clear"/>
          </w:tcPr>
          <w:p>
            <w:pPr>
              <w:pStyle w:val="TableContents"/>
              <w:spacing w:before="0" w:after="0"/>
              <w:ind w:left="0" w:right="0" w:hanging="0"/>
              <w:rPr/>
            </w:pPr>
            <w:r>
              <w:rPr/>
              <w:t> </w:t>
            </w:r>
          </w:p>
        </w:tc>
        <w:tc>
          <w:tcPr>
            <w:tcW w:w="4419" w:type="dxa"/>
            <w:tcBorders/>
            <w:shd w:fill="auto" w:val="clear"/>
          </w:tcPr>
          <w:p>
            <w:pPr>
              <w:pStyle w:val="TableContents"/>
              <w:spacing w:before="0" w:after="0"/>
              <w:ind w:left="0" w:right="0" w:hanging="0"/>
              <w:rPr/>
            </w:pPr>
            <w:r>
              <w:rPr/>
              <w:t> </w:t>
            </w:r>
          </w:p>
        </w:tc>
        <w:tc>
          <w:tcPr>
            <w:tcW w:w="315" w:type="dxa"/>
            <w:tcBorders/>
            <w:shd w:fill="auto" w:val="clear"/>
          </w:tcPr>
          <w:p>
            <w:pPr>
              <w:pStyle w:val="TableContents"/>
              <w:spacing w:before="0" w:after="0"/>
              <w:ind w:left="0" w:right="0" w:hanging="0"/>
              <w:rPr/>
            </w:pPr>
            <w:r>
              <w:rPr/>
              <w:t> </w:t>
            </w:r>
          </w:p>
        </w:tc>
        <w:tc>
          <w:tcPr>
            <w:tcW w:w="4210" w:type="dxa"/>
            <w:tcBorders/>
            <w:shd w:fill="auto" w:val="clear"/>
          </w:tcPr>
          <w:p>
            <w:pPr>
              <w:pStyle w:val="TableContents"/>
              <w:spacing w:before="0" w:after="0"/>
              <w:ind w:left="0" w:right="0" w:hanging="0"/>
              <w:rPr/>
            </w:pPr>
            <w:r>
              <w:rPr/>
              <w:t> </w:t>
            </w:r>
          </w:p>
        </w:tc>
      </w:tr>
      <w:tr>
        <w:trPr/>
        <w:tc>
          <w:tcPr>
            <w:tcW w:w="1261" w:type="dxa"/>
            <w:tcBorders/>
            <w:shd w:fill="auto" w:val="clear"/>
          </w:tcPr>
          <w:p>
            <w:pPr>
              <w:pStyle w:val="TableContents"/>
              <w:spacing w:before="0" w:after="0"/>
              <w:ind w:left="0" w:right="0" w:hanging="0"/>
              <w:rPr/>
            </w:pPr>
            <w:r>
              <w:rPr/>
              <w:t> </w:t>
            </w:r>
          </w:p>
        </w:tc>
        <w:tc>
          <w:tcPr>
            <w:tcW w:w="8944" w:type="dxa"/>
            <w:gridSpan w:val="3"/>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Pacific Energy Partners, L.P.</w:t>
            </w:r>
          </w:p>
        </w:tc>
      </w:tr>
      <w:tr>
        <w:trPr/>
        <w:tc>
          <w:tcPr>
            <w:tcW w:w="1261" w:type="dxa"/>
            <w:tcBorders/>
            <w:shd w:fill="auto" w:val="clear"/>
          </w:tcPr>
          <w:p>
            <w:pPr>
              <w:pStyle w:val="TableContents"/>
              <w:spacing w:before="0" w:after="0"/>
              <w:ind w:left="0" w:right="0" w:hanging="0"/>
              <w:rPr/>
            </w:pPr>
            <w:r>
              <w:rPr/>
              <w:t> </w:t>
            </w:r>
          </w:p>
        </w:tc>
        <w:tc>
          <w:tcPr>
            <w:tcW w:w="441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Gerry Tywoniuk</w:t>
            </w:r>
          </w:p>
        </w:tc>
        <w:tc>
          <w:tcPr>
            <w:tcW w:w="315" w:type="dxa"/>
            <w:tcBorders/>
            <w:shd w:fill="auto" w:val="clear"/>
          </w:tcPr>
          <w:p>
            <w:pPr>
              <w:pStyle w:val="TableContents"/>
              <w:spacing w:before="0" w:after="0"/>
              <w:ind w:left="0" w:right="0" w:hanging="0"/>
              <w:rPr/>
            </w:pPr>
            <w:r>
              <w:rPr/>
              <w:t> </w:t>
            </w:r>
          </w:p>
        </w:tc>
        <w:tc>
          <w:tcPr>
            <w:tcW w:w="421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Jennifer S. Shigei</w:t>
            </w:r>
          </w:p>
        </w:tc>
      </w:tr>
      <w:tr>
        <w:trPr/>
        <w:tc>
          <w:tcPr>
            <w:tcW w:w="1261" w:type="dxa"/>
            <w:tcBorders/>
            <w:shd w:fill="auto" w:val="clear"/>
          </w:tcPr>
          <w:p>
            <w:pPr>
              <w:pStyle w:val="TableContents"/>
              <w:spacing w:before="0" w:after="0"/>
              <w:ind w:left="0" w:right="0" w:hanging="0"/>
              <w:rPr/>
            </w:pPr>
            <w:r>
              <w:rPr/>
              <w:t> </w:t>
            </w:r>
          </w:p>
        </w:tc>
        <w:tc>
          <w:tcPr>
            <w:tcW w:w="441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Senior Vice President and CFO</w:t>
            </w:r>
          </w:p>
        </w:tc>
        <w:tc>
          <w:tcPr>
            <w:tcW w:w="315" w:type="dxa"/>
            <w:tcBorders/>
            <w:shd w:fill="auto" w:val="clear"/>
          </w:tcPr>
          <w:p>
            <w:pPr>
              <w:pStyle w:val="TableContents"/>
              <w:spacing w:before="0" w:after="0"/>
              <w:ind w:left="0" w:right="0" w:hanging="0"/>
              <w:rPr/>
            </w:pPr>
            <w:r>
              <w:rPr/>
              <w:t> </w:t>
            </w:r>
          </w:p>
        </w:tc>
        <w:tc>
          <w:tcPr>
            <w:tcW w:w="421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Manager, Investor Relations</w:t>
            </w:r>
          </w:p>
        </w:tc>
      </w:tr>
      <w:tr>
        <w:trPr/>
        <w:tc>
          <w:tcPr>
            <w:tcW w:w="1261" w:type="dxa"/>
            <w:tcBorders/>
            <w:shd w:fill="auto" w:val="clear"/>
          </w:tcPr>
          <w:p>
            <w:pPr>
              <w:pStyle w:val="TableContents"/>
              <w:spacing w:before="0" w:after="0"/>
              <w:ind w:left="0" w:right="0" w:hanging="0"/>
              <w:rPr/>
            </w:pPr>
            <w:r>
              <w:rPr/>
              <w:t> </w:t>
            </w:r>
          </w:p>
        </w:tc>
        <w:tc>
          <w:tcPr>
            <w:tcW w:w="441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562/728-2890</w:t>
            </w:r>
          </w:p>
        </w:tc>
        <w:tc>
          <w:tcPr>
            <w:tcW w:w="315" w:type="dxa"/>
            <w:tcBorders/>
            <w:shd w:fill="auto" w:val="clear"/>
          </w:tcPr>
          <w:p>
            <w:pPr>
              <w:pStyle w:val="TableContents"/>
              <w:spacing w:before="0" w:after="0"/>
              <w:ind w:left="0" w:right="0" w:hanging="0"/>
              <w:rPr/>
            </w:pPr>
            <w:r>
              <w:rPr/>
              <w:t> </w:t>
            </w:r>
          </w:p>
        </w:tc>
        <w:tc>
          <w:tcPr>
            <w:tcW w:w="421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562/728-2871</w:t>
            </w:r>
          </w:p>
        </w:tc>
      </w:tr>
    </w:tbl>
    <w:p>
      <w:pPr>
        <w:pStyle w:val="TextBody"/>
        <w:spacing w:lineRule="atLeast" w:line="141" w:before="0" w:after="240"/>
        <w:ind w:left="0" w:right="0" w:hanging="0"/>
        <w:rPr/>
      </w:pPr>
      <w:r>
        <w:rPr/>
        <w:t> </w:t>
      </w:r>
    </w:p>
    <w:p>
      <w:pPr>
        <w:pStyle w:val="TextBody"/>
        <w:spacing w:before="0" w:after="24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240"/>
        <w:ind w:left="0" w:right="0" w:hanging="0"/>
        <w:jc w:val="center"/>
        <w:rPr>
          <w:rFonts w:ascii="Times New Roman" w:hAnsi="Times New Roman"/>
          <w:b/>
          <w:sz w:val="30"/>
        </w:rPr>
      </w:pPr>
      <w:r>
        <w:rPr>
          <w:rFonts w:ascii="Times New Roman" w:hAnsi="Times New Roman"/>
          <w:b/>
          <w:sz w:val="30"/>
        </w:rPr>
        <w:t>Plains All American Pipeline and Pacific Energy</w:t>
        <w:br/>
        <w:t>Announce Receipt of Regulatory Approvals</w:t>
        <w:br/>
        <w:t>for Proposed Merger</w:t>
      </w:r>
    </w:p>
    <w:p>
      <w:pPr>
        <w:pStyle w:val="TextBody"/>
        <w:spacing w:before="0" w:after="240"/>
        <w:ind w:left="0" w:right="0" w:firstLine="420"/>
        <w:rPr>
          <w:rFonts w:ascii="Times New Roman" w:hAnsi="Times New Roman"/>
          <w:sz w:val="17"/>
        </w:rPr>
      </w:pPr>
      <w:r>
        <w:rPr>
          <w:rFonts w:ascii="Times New Roman" w:hAnsi="Times New Roman"/>
          <w:sz w:val="17"/>
        </w:rPr>
        <w:t>(Houston  September 14, 2006) Plains All American Pipeline, L.P. (NYSE: PAA) and Pacific Energy Partners, L.P. (NYSE: PPX) announced today that they have received the requisite approvals for their proposed merger from certain state utility commissions in the United States as well as the Investment Review Division of Industry Canada. As a result of these approvals, the proposed merger remains subject only to the approval of the unitholders of Plains All American and Pacific Energy and the satisfaction of customary closing conditions. Plains All American and Pacific Energy anticipate closing the transaction during the fourth quarter of 2006.</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jc w:val="left"/>
        <w:rPr>
          <w:sz w:val="17"/>
        </w:rPr>
      </w:pPr>
      <w:r>
        <w:rPr>
          <w:rFonts w:ascii="Times New Roman" w:hAnsi="Times New Roman"/>
          <w:b/>
          <w:sz w:val="20"/>
          <w:u w:val="single"/>
        </w:rPr>
        <w:t xml:space="preserve">Page </w:t>
      </w:r>
      <w:r>
        <w:rPr>
          <w:rFonts w:ascii="Times New Roman" w:hAnsi="Times New Roman"/>
          <w:b/>
          <w:sz w:val="17"/>
          <w:u w:val="single"/>
        </w:rPr>
        <w:t>2</w:t>
      </w:r>
    </w:p>
    <w:p>
      <w:pPr>
        <w:pStyle w:val="TextBody"/>
        <w:spacing w:before="0" w:after="240"/>
        <w:ind w:left="0" w:right="0" w:firstLine="400"/>
        <w:rPr/>
      </w:pPr>
      <w:r>
        <w:rPr/>
        <w:t> </w:t>
      </w:r>
    </w:p>
    <w:p>
      <w:pPr>
        <w:pStyle w:val="TextBody"/>
        <w:spacing w:before="0" w:after="240"/>
        <w:ind w:left="0" w:right="0" w:firstLine="420"/>
        <w:rPr>
          <w:rFonts w:ascii="Times New Roman" w:hAnsi="Times New Roman"/>
          <w:sz w:val="17"/>
        </w:rPr>
      </w:pPr>
      <w:r>
        <w:rPr>
          <w:rFonts w:ascii="Times New Roman" w:hAnsi="Times New Roman"/>
          <w:sz w:val="17"/>
        </w:rPr>
        <w:t>Pacific Energy Partners, L.P. is a master limited partnership headquartered in Long Beach, California. Pacific Energy is engaged principally in the business of gathering, transporting, storing and distributing crude oil, refined products and other related products. Pacific Energy generates revenues by transporting such commodities on its pipelines, by leasing capacity in its storage facilities and by providing other terminalling services. Pacific Energy also buys and sells crude oil, activities that are generally complementary to its crude oil operations. Pacific Energy conducts its business through two business units, the West Coast Business Unit, which includes activities in California and the Philadelphia, PA area, and the Rocky Mountain Business Unit, which includes activities in five Rocky Mountain states and Alberta, Canada.</w:t>
      </w:r>
    </w:p>
    <w:p>
      <w:pPr>
        <w:pStyle w:val="TextBody"/>
        <w:spacing w:before="0" w:after="0"/>
        <w:ind w:left="0" w:right="0" w:hanging="0"/>
        <w:rPr>
          <w:rFonts w:ascii="Times New Roman" w:hAnsi="Times New Roman"/>
          <w:b/>
          <w:i/>
          <w:sz w:val="17"/>
        </w:rPr>
      </w:pPr>
      <w:r>
        <w:rPr>
          <w:rFonts w:ascii="Times New Roman" w:hAnsi="Times New Roman"/>
          <w:b/>
          <w:i/>
          <w:sz w:val="17"/>
        </w:rPr>
        <w:t>Investor Notice</w:t>
      </w:r>
    </w:p>
    <w:p>
      <w:pPr>
        <w:pStyle w:val="TextBody"/>
        <w:spacing w:before="0" w:after="240"/>
        <w:ind w:left="0" w:right="0" w:firstLine="400"/>
        <w:rPr>
          <w:rFonts w:ascii="Times New Roman" w:hAnsi="Times New Roman"/>
          <w:sz w:val="20"/>
        </w:rPr>
      </w:pPr>
      <w:r>
        <w:rPr>
          <w:rFonts w:ascii="Times New Roman" w:hAnsi="Times New Roman"/>
          <w:sz w:val="17"/>
        </w:rPr>
        <w:t xml:space="preserve">Plains All American Pipeline, L.P. has filed with the Securities and Exchange Commission a </w:t>
      </w:r>
      <w:r>
        <w:rPr>
          <w:rFonts w:ascii="Times New Roman" w:hAnsi="Times New Roman"/>
          <w:sz w:val="20"/>
        </w:rPr>
        <w:t xml:space="preserve">registration statement on Form S-4 (as the same may be supplemented or amended, Registration No. 333-135712) containing a preliminary joint proxy statement/prospectus of Plains All American Pipeline, L.P. and Pacific Energy Partners, L.P. and other documents in relation to this transaction. </w:t>
      </w:r>
      <w:r>
        <w:rPr>
          <w:rFonts w:ascii="Times New Roman" w:hAnsi="Times New Roman"/>
          <w:b/>
          <w:sz w:val="20"/>
        </w:rPr>
        <w:t>Investors and security holders are urged to read carefully these documents when they become available because they will contain important information regarding Plains All American Pipeline, L.P., Pacific Energy Partners, L.P. and the merger.</w:t>
      </w:r>
      <w:r>
        <w:rPr>
          <w:rFonts w:ascii="Times New Roman" w:hAnsi="Times New Roman"/>
          <w:sz w:val="20"/>
        </w:rPr>
        <w:t xml:space="preserve"> A definitive joint proxy statement/prospectus will (when finalized) be sent to security holders of Plains All American Pipeline, L.P. and Pacific Energy Partners, L.P. seeking their approval of the transactions contemplated by the merger agreement. Investors and security holders may obtain a free copy of the definitive joint proxy statement/prospectus (when it is available) and other documents containing information about Plains All American Pipeline, L.P. and Pacific Energy Partners, L.P., without charge, at the SECs website at </w:t>
      </w:r>
      <w:r>
        <w:rPr>
          <w:rFonts w:ascii="Times New Roman" w:hAnsi="Times New Roman"/>
          <w:sz w:val="20"/>
          <w:u w:val="single"/>
        </w:rPr>
        <w:t>www.sec.gov.</w:t>
      </w:r>
      <w:r>
        <w:rPr>
          <w:rFonts w:ascii="Times New Roman" w:hAnsi="Times New Roman"/>
          <w:sz w:val="20"/>
        </w:rPr>
        <w:t xml:space="preserve"> Copies of the definitive joint proxy statement/prospectus and the SEC filings that will be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t>
      </w:r>
      <w:r>
        <w:rPr>
          <w:rFonts w:ascii="Times New Roman" w:hAnsi="Times New Roman"/>
          <w:sz w:val="20"/>
          <w:u w:val="single"/>
        </w:rPr>
        <w:t>www.paalp.com</w:t>
      </w:r>
      <w:r>
        <w:rPr>
          <w:rFonts w:ascii="Times New Roman" w:hAnsi="Times New Roman"/>
          <w:sz w:val="20"/>
        </w:rPr>
        <w:t xml:space="preserve">, and information regarding Pacific Energy Partners can be obtained by contacting its investor relations department at 562-728-2871 or by accessing its website at </w:t>
      </w:r>
      <w:r>
        <w:rPr>
          <w:rFonts w:ascii="Times New Roman" w:hAnsi="Times New Roman"/>
          <w:sz w:val="20"/>
          <w:u w:val="single"/>
        </w:rPr>
        <w:t>www.PacificEnergy.com</w:t>
      </w:r>
      <w:r>
        <w:rPr>
          <w:rFonts w:ascii="Times New Roman" w:hAnsi="Times New Roman"/>
          <w:sz w:val="20"/>
        </w:rPr>
        <w:t>.</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when it becomes available.</w:t>
      </w:r>
    </w:p>
    <w:p>
      <w:pPr>
        <w:pStyle w:val="TextBody"/>
        <w:spacing w:before="0" w:after="240"/>
        <w:ind w:left="0" w:right="0" w:firstLine="400"/>
        <w:rPr>
          <w:rFonts w:ascii="Times New Roman" w:hAnsi="Times New Roman"/>
          <w:sz w:val="17"/>
        </w:rPr>
      </w:pPr>
      <w:r>
        <w:rPr>
          <w:rFonts w:ascii="Times New Roman" w:hAnsi="Times New Roman"/>
          <w:sz w:val="17"/>
        </w:rPr>
        <w:t>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p>
      <w:pPr>
        <w:pStyle w:val="TextBody"/>
        <w:spacing w:before="0" w:after="0"/>
        <w:ind w:left="0" w:right="0" w:hanging="0"/>
        <w:rPr>
          <w:rFonts w:ascii="Times New Roman" w:hAnsi="Times New Roman"/>
          <w:b/>
          <w:i/>
          <w:sz w:val="17"/>
        </w:rPr>
      </w:pPr>
      <w:r>
        <w:rPr>
          <w:rFonts w:ascii="Times New Roman" w:hAnsi="Times New Roman"/>
          <w:b/>
          <w:i/>
          <w:sz w:val="17"/>
        </w:rPr>
        <w:t>Cautionary Statement Regarding Forward-Looking Statements</w:t>
      </w:r>
    </w:p>
    <w:p>
      <w:pPr>
        <w:pStyle w:val="TextBody"/>
        <w:spacing w:before="0" w:after="240"/>
        <w:ind w:left="0" w:right="0" w:firstLine="400"/>
        <w:rPr>
          <w:rFonts w:ascii="Times New Roman" w:hAnsi="Times New Roman"/>
          <w:sz w:val="17"/>
        </w:rPr>
      </w:pPr>
      <w:r>
        <w:rPr>
          <w:rFonts w:ascii="Times New Roman" w:hAnsi="Times New Roman"/>
          <w:sz w:val="17"/>
        </w:rPr>
        <w:t xml:space="preserve">Certain statements made herein are forward-looking statements under the Private Securities Litigation Reform Act of 1995. They include statements regarding the timing of the business </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jc w:val="left"/>
        <w:rPr>
          <w:sz w:val="17"/>
        </w:rPr>
      </w:pPr>
      <w:r>
        <w:rPr>
          <w:rFonts w:ascii="Times New Roman" w:hAnsi="Times New Roman"/>
          <w:b/>
          <w:sz w:val="20"/>
          <w:u w:val="single"/>
        </w:rPr>
        <w:t xml:space="preserve">Page </w:t>
      </w:r>
      <w:r>
        <w:rPr>
          <w:rFonts w:ascii="Times New Roman" w:hAnsi="Times New Roman"/>
          <w:b/>
          <w:sz w:val="17"/>
          <w:u w:val="single"/>
        </w:rPr>
        <w:t>3</w:t>
      </w:r>
    </w:p>
    <w:p>
      <w:pPr>
        <w:pStyle w:val="TextBody"/>
        <w:spacing w:before="0" w:after="240"/>
        <w:ind w:left="0" w:right="0" w:hanging="0"/>
        <w:rPr/>
      </w:pPr>
      <w:r>
        <w:rPr/>
        <w:t> </w:t>
      </w:r>
    </w:p>
    <w:p>
      <w:pPr>
        <w:pStyle w:val="TextBody"/>
        <w:spacing w:before="0" w:after="240"/>
        <w:ind w:left="0" w:right="0" w:hanging="0"/>
        <w:rPr>
          <w:rFonts w:ascii="Times New Roman" w:hAnsi="Times New Roman"/>
          <w:sz w:val="20"/>
        </w:rPr>
      </w:pPr>
      <w:r>
        <w:rPr>
          <w:rFonts w:ascii="Times New Roman" w:hAnsi="Times New Roman"/>
          <w:sz w:val="17"/>
        </w:rPr>
        <w:t>combination transaction involving Plains All American and Pacific Energy. These statements are based on the current expectations and estimates of the management of Plains All American and Pacific Energy and their general partners; actual results may differ materially due to certain risks and uncertainties. Although Plains All American, Pacific Energy and their general partners believe that such expectations reflected in such forward-looking statements are reasonable, they cannot give assurances that such expectations will prove to be correct.  For instance, although Plains All American and Pacific Energy have signed a merger agreement, there is no assurance that they will complete the proposed merger. The merger agreement will terminate if Plains All American and Pacific Energy do not receive the necessary approval of their unitholders, and also may be terminated if the parties fail to satisfy conditions to closing. Other risks and uncertainties that may affect actual results are discussed in Plains All Americans and Pacific Energys filings with the Securities and Exchange Commission, including their Annual Reports on Form 10-K and Form 10-K/A for the year ended December 31, 2005 and Registration Statement on Form S-4 (</w:t>
      </w:r>
      <w:r>
        <w:rPr>
          <w:rFonts w:ascii="Times New Roman" w:hAnsi="Times New Roman"/>
          <w:sz w:val="20"/>
        </w:rPr>
        <w:t>No. 333-135712).</w:t>
      </w:r>
    </w:p>
    <w:p>
      <w:pPr>
        <w:pStyle w:val="TextBody"/>
        <w:spacing w:before="0" w:after="240"/>
        <w:ind w:left="0" w:right="0" w:firstLine="400"/>
        <w:jc w:val="center"/>
        <w:rPr>
          <w:rFonts w:ascii="Times New Roman" w:hAnsi="Times New Roman"/>
          <w:b/>
          <w:sz w:val="17"/>
        </w:rPr>
      </w:pPr>
      <w:r>
        <w:rPr>
          <w:rFonts w:ascii="Times New Roman" w:hAnsi="Times New Roman"/>
          <w:b/>
          <w:sz w:val="17"/>
        </w:rPr>
        <w:t># # #</w:t>
      </w:r>
    </w:p>
    <w:p>
      <w:pPr>
        <w:pStyle w:val="TextBody"/>
        <w:spacing w:before="0" w:after="240"/>
        <w:ind w:left="0" w:right="0" w:hanging="0"/>
        <w:rPr/>
      </w:pPr>
      <w:r>
        <w:rPr/>
        <w:t>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1082</Words>
  <CharactersWithSpaces>7239</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