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document.xml" ContentType="application/vnd.openxmlformats-officedocument.wordprocessingml.document.main+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bookmarkStart w:id="0" w:name="a2222080zs-3asr.htm"/>
      <w:bookmarkStart w:id="1" w:name="ksa2222080zs3asr"/>
      <w:bookmarkStart w:id="2" w:name="a2222080zs-3asr.htm"/>
      <w:bookmarkStart w:id="3" w:name="ksa2222080zs3asr"/>
      <w:bookmarkEnd w:id="2"/>
      <w:bookmarkEnd w:id="3"/>
    </w:p>
    <w:p>
      <w:pPr>
        <w:pStyle w:val="TextBody"/>
        <w:rPr/>
      </w:pPr>
      <w:r>
        <w:rPr>
          <w:sz w:val="24"/>
        </w:rPr>
        <w:t>Use these links to rapidly review the document</w:t>
        <w:br/>
      </w:r>
      <w:hyperlink w:anchor="bg76101_table_of_contents">
        <w:r>
          <w:rPr>
            <w:rStyle w:val="InternetLink"/>
            <w:sz w:val="24"/>
          </w:rPr>
          <w:t>TABLE OF CONTENTS</w:t>
        </w:r>
      </w:hyperlink>
    </w:p>
    <w:p>
      <w:pPr>
        <w:pStyle w:val="TextBody"/>
        <w:rPr/>
      </w:pPr>
      <w:hyperlink w:anchor="bg761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b/>
          <w:sz w:val="14"/>
        </w:rPr>
      </w:pPr>
      <w:r>
        <w:rPr>
          <w:rFonts w:ascii="times" w:hAnsi="times"/>
          <w:b/>
          <w:sz w:val="14"/>
        </w:rPr>
        <w:t xml:space="preserve">As filed with the Securities and Exchange Commission on November 6, 2014 </w:t>
      </w:r>
    </w:p>
    <w:p>
      <w:pPr>
        <w:pStyle w:val="TextBody"/>
        <w:jc w:val="right"/>
        <w:rPr>
          <w:rFonts w:ascii="times" w:hAnsi="times"/>
          <w:b/>
          <w:sz w:val="14"/>
        </w:rPr>
      </w:pPr>
      <w:r>
        <w:rPr>
          <w:rFonts w:ascii="times" w:hAnsi="times"/>
          <w:b/>
          <w:sz w:val="14"/>
        </w:rPr>
        <w:t xml:space="preserve">Registration No. 333-             </w:t>
      </w:r>
    </w:p>
    <w:p>
      <w:pPr>
        <w:pStyle w:val="TextBody"/>
        <w:rPr>
          <w:b/>
          <w:sz w:val="14"/>
        </w:rPr>
      </w:pPr>
      <w:r>
        <w:rPr>
          <w:b/>
          <w:sz w:val="14"/>
        </w:rPr>
      </w:r>
    </w:p>
    <w:p>
      <w:pPr>
        <w:pStyle w:val="TextBody"/>
        <w:jc w:val="center"/>
        <w:rPr>
          <w:rFonts w:ascii="times" w:hAnsi="times"/>
        </w:rPr>
      </w:pPr>
      <w:r>
        <w:rPr>
          <w:rFonts w:ascii="times" w:hAnsi="times"/>
          <w:b/>
          <w:sz w:val="28"/>
        </w:rPr>
        <w:t>UNITED STATES</w:t>
        <w:br/>
        <w:t>SECURITIES AND EXCHANGE COMMISSION</w:t>
        <w:br/>
      </w:r>
      <w:r>
        <w:rPr>
          <w:rFonts w:ascii="times" w:hAnsi="times"/>
          <w:b/>
          <w:sz w:val="14"/>
        </w:rPr>
        <w:t xml:space="preserve">Washington, D.C. 20549 </w:t>
      </w:r>
    </w:p>
    <w:p>
      <w:pPr>
        <w:pStyle w:val="TextBody"/>
        <w:jc w:val="center"/>
        <w:rPr>
          <w:rFonts w:ascii="times" w:hAnsi="times"/>
        </w:rPr>
      </w:pPr>
      <w:r>
        <w:rPr>
          <w:rFonts w:ascii="times" w:hAnsi="times"/>
          <w:b/>
          <w:sz w:val="28"/>
        </w:rPr>
        <w:t>FORM S-3</w:t>
        <w:br/>
      </w:r>
      <w:r>
        <w:rPr>
          <w:rFonts w:ascii="times" w:hAnsi="times"/>
          <w:b/>
          <w:sz w:val="14"/>
        </w:rPr>
        <w:t>REGISTRATION STATEMENT</w:t>
        <w:br/>
        <w:t>UNDER</w:t>
        <w:br/>
        <w:t xml:space="preserve">THE SECURITIES ACT OF 1933 </w:t>
      </w:r>
    </w:p>
    <w:p>
      <w:pPr>
        <w:pStyle w:val="TextBody"/>
        <w:jc w:val="center"/>
        <w:rPr>
          <w:rFonts w:ascii="times" w:hAnsi="times"/>
        </w:rPr>
      </w:pPr>
      <w:r>
        <w:rPr>
          <w:rFonts w:ascii="times" w:hAnsi="times"/>
          <w:b/>
          <w:sz w:val="28"/>
        </w:rPr>
        <w:t>PLAINS GP HOLDINGS, L.P.</w:t>
        <w:br/>
      </w:r>
      <w:r>
        <w:rPr>
          <w:rFonts w:ascii="times" w:hAnsi="times"/>
          <w:sz w:val="14"/>
        </w:rPr>
        <w:t xml:space="preserve">(Exact name of registrant as specified in its charter) </w:t>
      </w:r>
    </w:p>
    <w:tbl>
      <w:tblPr>
        <w:tblW w:w="3734" w:type="dxa"/>
        <w:jc w:val="center"/>
        <w:tblInd w:w="0" w:type="dxa"/>
        <w:tblCellMar>
          <w:top w:w="0" w:type="dxa"/>
          <w:left w:w="0" w:type="dxa"/>
          <w:bottom w:w="0" w:type="dxa"/>
          <w:right w:w="0" w:type="dxa"/>
        </w:tblCellMar>
      </w:tblPr>
      <w:tblGrid>
        <w:gridCol w:w="1777"/>
        <w:gridCol w:w="180"/>
        <w:gridCol w:w="1777"/>
      </w:tblGrid>
      <w:tr>
        <w:trPr/>
        <w:tc>
          <w:tcPr>
            <w:tcW w:w="177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777" w:type="dxa"/>
            <w:tcBorders/>
            <w:shd w:fill="auto" w:val="clear"/>
            <w:vAlign w:val="center"/>
          </w:tcPr>
          <w:p>
            <w:pPr>
              <w:pStyle w:val="TableContents"/>
              <w:spacing w:before="0" w:after="283"/>
              <w:rPr>
                <w:sz w:val="4"/>
                <w:szCs w:val="4"/>
              </w:rPr>
            </w:pPr>
            <w:r>
              <w:rPr>
                <w:sz w:val="4"/>
                <w:szCs w:val="4"/>
              </w:rPr>
            </w:r>
          </w:p>
        </w:tc>
      </w:tr>
      <w:tr>
        <w:trPr/>
        <w:tc>
          <w:tcPr>
            <w:tcW w:w="1777" w:type="dxa"/>
            <w:tcBorders/>
            <w:shd w:fill="auto" w:val="clear"/>
          </w:tcPr>
          <w:p>
            <w:pPr>
              <w:pStyle w:val="TableContents"/>
              <w:spacing w:before="0" w:after="283"/>
              <w:jc w:val="center"/>
              <w:rPr>
                <w:rFonts w:ascii="times" w:hAnsi="times"/>
              </w:rPr>
            </w:pPr>
            <w:r>
              <w:rPr>
                <w:rFonts w:ascii="times" w:hAnsi="times"/>
                <w:b/>
                <w:sz w:val="14"/>
              </w:rPr>
              <w:t>Delaware</w:t>
            </w:r>
            <w:r>
              <w:rPr>
                <w:rFonts w:ascii="times" w:hAnsi="times"/>
                <w:sz w:val="14"/>
              </w:rPr>
              <w:br/>
              <w:t>(State or other jurisdiction of</w:t>
              <w:br/>
              <w:t>incorporation or organization)</w:t>
            </w:r>
          </w:p>
        </w:tc>
        <w:tc>
          <w:tcPr>
            <w:tcW w:w="180" w:type="dxa"/>
            <w:tcBorders/>
            <w:shd w:fill="auto" w:val="clear"/>
          </w:tcPr>
          <w:p>
            <w:pPr>
              <w:pStyle w:val="TableContents"/>
              <w:spacing w:before="0" w:after="283"/>
              <w:rPr/>
            </w:pPr>
            <w:r>
              <w:rPr/>
              <w:t> </w:t>
            </w:r>
          </w:p>
        </w:tc>
        <w:tc>
          <w:tcPr>
            <w:tcW w:w="1777" w:type="dxa"/>
            <w:tcBorders/>
            <w:shd w:fill="auto" w:val="clear"/>
          </w:tcPr>
          <w:p>
            <w:pPr>
              <w:pStyle w:val="TableContents"/>
              <w:spacing w:before="0" w:after="283"/>
              <w:jc w:val="center"/>
              <w:rPr>
                <w:rFonts w:ascii="times" w:hAnsi="times"/>
              </w:rPr>
            </w:pPr>
            <w:r>
              <w:rPr>
                <w:rFonts w:ascii="times" w:hAnsi="times"/>
                <w:b/>
                <w:sz w:val="14"/>
              </w:rPr>
              <w:t>90-1005472</w:t>
            </w:r>
            <w:r>
              <w:rPr>
                <w:rFonts w:ascii="times" w:hAnsi="times"/>
                <w:sz w:val="14"/>
              </w:rPr>
              <w:br/>
              <w:t>(I.R.S. Employer</w:t>
              <w:br/>
              <w:t>Identification Number)</w:t>
            </w:r>
          </w:p>
        </w:tc>
      </w:tr>
    </w:tbl>
    <w:p>
      <w:pPr>
        <w:pStyle w:val="TextBody"/>
        <w:jc w:val="center"/>
        <w:rPr>
          <w:rFonts w:ascii="times" w:hAnsi="times"/>
        </w:rPr>
      </w:pPr>
      <w:r>
        <w:rPr>
          <w:rFonts w:ascii="times" w:hAnsi="times"/>
          <w:b/>
          <w:sz w:val="14"/>
        </w:rPr>
        <w:t>333 Clay Street, Suite 1600</w:t>
        <w:br/>
        <w:t>Houston, Texas 77002</w:t>
        <w:br/>
        <w:t>(713) 646-4100</w:t>
        <w:br/>
      </w:r>
      <w:r>
        <w:rPr>
          <w:rFonts w:ascii="times" w:hAnsi="times"/>
          <w:sz w:val="14"/>
        </w:rPr>
        <w:t xml:space="preserve">(Address, including zip code, and telephone number, including area code, of registrant's principal executive offices) </w:t>
      </w:r>
    </w:p>
    <w:p>
      <w:pPr>
        <w:pStyle w:val="TextBody"/>
        <w:jc w:val="center"/>
        <w:rPr>
          <w:rFonts w:ascii="times" w:hAnsi="times"/>
        </w:rPr>
      </w:pPr>
      <w:r>
        <w:rPr>
          <w:rFonts w:ascii="times" w:hAnsi="times"/>
          <w:b/>
          <w:sz w:val="14"/>
        </w:rPr>
        <w:t>Richard McGee</w:t>
        <w:br/>
        <w:t>Executive Vice President</w:t>
        <w:br/>
        <w:t>333 Clay Street, Suite 1600</w:t>
        <w:br/>
        <w:t>Houston, Texas 77002</w:t>
        <w:br/>
        <w:t>(713) 646-4100</w:t>
        <w:br/>
      </w:r>
      <w:r>
        <w:rPr>
          <w:rFonts w:ascii="times" w:hAnsi="times"/>
          <w:sz w:val="14"/>
        </w:rPr>
        <w:t xml:space="preserve">(Name, address, including zip code, and telephone number, including area code, of agent for service) </w:t>
      </w:r>
    </w:p>
    <w:p>
      <w:pPr>
        <w:pStyle w:val="HorizontalLine"/>
        <w:pBdr>
          <w:bottom w:val="single" w:sz="6" w:space="0" w:color="000000"/>
        </w:pBdr>
        <w:ind w:left="3827" w:right="3827" w:hanging="0"/>
        <w:rPr/>
      </w:pPr>
      <w:r>
        <w:rPr/>
      </w:r>
    </w:p>
    <w:p>
      <w:pPr>
        <w:pStyle w:val="TextBody"/>
        <w:rPr>
          <w:sz w:val="14"/>
        </w:rPr>
      </w:pPr>
      <w:r>
        <w:rPr>
          <w:sz w:val="14"/>
        </w:rPr>
      </w:r>
    </w:p>
    <w:tbl>
      <w:tblPr>
        <w:tblW w:w="4159" w:type="dxa"/>
        <w:jc w:val="center"/>
        <w:tblInd w:w="0" w:type="dxa"/>
        <w:tblCellMar>
          <w:top w:w="0" w:type="dxa"/>
          <w:left w:w="0" w:type="dxa"/>
          <w:bottom w:w="0" w:type="dxa"/>
          <w:right w:w="0" w:type="dxa"/>
        </w:tblCellMar>
      </w:tblPr>
      <w:tblGrid>
        <w:gridCol w:w="1847"/>
        <w:gridCol w:w="465"/>
        <w:gridCol w:w="1847"/>
      </w:tblGrid>
      <w:tr>
        <w:trPr/>
        <w:tc>
          <w:tcPr>
            <w:tcW w:w="1847"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847" w:type="dxa"/>
            <w:tcBorders/>
            <w:shd w:fill="auto" w:val="clear"/>
            <w:vAlign w:val="center"/>
          </w:tcPr>
          <w:p>
            <w:pPr>
              <w:pStyle w:val="TableContents"/>
              <w:spacing w:before="0" w:after="283"/>
              <w:rPr>
                <w:sz w:val="4"/>
                <w:szCs w:val="4"/>
              </w:rPr>
            </w:pPr>
            <w:r>
              <w:rPr>
                <w:sz w:val="4"/>
                <w:szCs w:val="4"/>
              </w:rPr>
            </w:r>
          </w:p>
        </w:tc>
      </w:tr>
      <w:tr>
        <w:trPr/>
        <w:tc>
          <w:tcPr>
            <w:tcW w:w="4159" w:type="dxa"/>
            <w:gridSpan w:val="3"/>
            <w:tcBorders/>
            <w:shd w:fill="auto" w:val="clear"/>
          </w:tcPr>
          <w:p>
            <w:pPr>
              <w:pStyle w:val="TableContents"/>
              <w:spacing w:before="0" w:after="283"/>
              <w:jc w:val="center"/>
              <w:rPr>
                <w:rFonts w:ascii="times" w:hAnsi="times"/>
                <w:b/>
                <w:sz w:val="14"/>
              </w:rPr>
            </w:pPr>
            <w:r>
              <w:rPr>
                <w:rFonts w:ascii="times" w:hAnsi="times"/>
                <w:b/>
                <w:sz w:val="14"/>
              </w:rPr>
              <w:t>Copies to:</w:t>
            </w:r>
          </w:p>
        </w:tc>
      </w:tr>
      <w:tr>
        <w:trPr/>
        <w:tc>
          <w:tcPr>
            <w:tcW w:w="1847" w:type="dxa"/>
            <w:tcBorders/>
            <w:shd w:fill="auto" w:val="clear"/>
          </w:tcPr>
          <w:p>
            <w:pPr>
              <w:pStyle w:val="TableContents"/>
              <w:spacing w:before="0" w:after="283"/>
              <w:jc w:val="center"/>
              <w:rPr>
                <w:rFonts w:ascii="times" w:hAnsi="times"/>
              </w:rPr>
            </w:pPr>
            <w:r>
              <w:rPr>
                <w:rFonts w:ascii="times" w:hAnsi="times"/>
              </w:rPr>
              <w:br/>
            </w:r>
            <w:r>
              <w:rPr>
                <w:rFonts w:ascii="times" w:hAnsi="times"/>
                <w:b/>
                <w:sz w:val="14"/>
              </w:rPr>
              <w:t>David P. Oelman</w:t>
              <w:br/>
              <w:t>Alan Beck</w:t>
              <w:br/>
              <w:t>Vinson &amp; Elkins L.L.P.</w:t>
              <w:br/>
              <w:t>1001 Fannin Street, Suite 2500</w:t>
              <w:br/>
              <w:t>Houston, Texas 77002</w:t>
              <w:br/>
              <w:t>(713) 758-2222</w:t>
            </w:r>
          </w:p>
        </w:tc>
        <w:tc>
          <w:tcPr>
            <w:tcW w:w="465" w:type="dxa"/>
            <w:tcBorders/>
            <w:shd w:fill="auto" w:val="clear"/>
          </w:tcPr>
          <w:p>
            <w:pPr>
              <w:pStyle w:val="TableContents"/>
              <w:spacing w:before="0" w:after="283"/>
              <w:rPr>
                <w:rFonts w:ascii="times" w:hAnsi="times"/>
                <w:sz w:val="14"/>
              </w:rPr>
            </w:pPr>
            <w:r>
              <w:rPr>
                <w:rFonts w:ascii="times" w:hAnsi="times"/>
                <w:sz w:val="14"/>
              </w:rPr>
              <w:br/>
              <w:t> </w:t>
            </w:r>
          </w:p>
        </w:tc>
        <w:tc>
          <w:tcPr>
            <w:tcW w:w="1847" w:type="dxa"/>
            <w:tcBorders/>
            <w:shd w:fill="auto" w:val="clear"/>
          </w:tcPr>
          <w:p>
            <w:pPr>
              <w:pStyle w:val="TableContents"/>
              <w:spacing w:before="0" w:after="283"/>
              <w:jc w:val="center"/>
              <w:rPr>
                <w:rFonts w:ascii="times" w:hAnsi="times"/>
              </w:rPr>
            </w:pPr>
            <w:r>
              <w:rPr>
                <w:rFonts w:ascii="times" w:hAnsi="times"/>
              </w:rPr>
              <w:br/>
            </w:r>
            <w:r>
              <w:rPr>
                <w:rFonts w:ascii="times" w:hAnsi="times"/>
                <w:b/>
                <w:sz w:val="14"/>
              </w:rPr>
              <w:t>Gerald M. Spedale</w:t>
              <w:br/>
              <w:t>Baker Botts L.L.P.</w:t>
              <w:br/>
              <w:t>910 Louisiana Street</w:t>
              <w:br/>
              <w:t>Houston, Texas 77002</w:t>
              <w:br/>
              <w:t>(713) 229-1234</w:t>
            </w:r>
          </w:p>
        </w:tc>
      </w:tr>
    </w:tbl>
    <w:p>
      <w:pPr>
        <w:pStyle w:val="HorizontalLine"/>
        <w:pBdr>
          <w:bottom w:val="single" w:sz="6" w:space="0" w:color="000000"/>
        </w:pBdr>
        <w:ind w:left="3827" w:right="3827" w:hanging="0"/>
        <w:rPr/>
      </w:pPr>
      <w:r>
        <w:rPr/>
      </w:r>
    </w:p>
    <w:p>
      <w:pPr>
        <w:pStyle w:val="TextBody"/>
        <w:rPr>
          <w:sz w:val="14"/>
        </w:rPr>
      </w:pPr>
      <w:r>
        <w:rPr>
          <w:sz w:val="14"/>
        </w:rPr>
      </w:r>
    </w:p>
    <w:p>
      <w:pPr>
        <w:pStyle w:val="TextBody"/>
        <w:jc w:val="center"/>
        <w:rPr>
          <w:rFonts w:ascii="times" w:hAnsi="times"/>
          <w:b/>
          <w:sz w:val="14"/>
        </w:rPr>
      </w:pPr>
      <w:r>
        <w:rPr>
          <w:rFonts w:ascii="times" w:hAnsi="times"/>
          <w:b/>
          <w:sz w:val="14"/>
        </w:rPr>
        <w:t>Approximate date of commencement of proposed sale to the public:</w:t>
        <w:br/>
        <w:t xml:space="preserve">As soon as practicable after the effective date of this registration statement. </w:t>
      </w:r>
    </w:p>
    <w:p>
      <w:pPr>
        <w:pStyle w:val="TextBody"/>
        <w:rPr/>
      </w:pPr>
      <w:r>
        <w:rPr/>
        <w:t>           </w:t>
      </w:r>
      <w:r>
        <w:rPr>
          <w:rFonts w:ascii="times" w:hAnsi="times"/>
          <w:sz w:val="14"/>
        </w:rPr>
        <w:t>If the only securities being registered on this Form are being offered pursuant to dividend or interest reinvestment plans, please check the following box:    </w:t>
      </w:r>
      <w:r>
        <w:rPr>
          <w:rFonts w:ascii="WINGDINGS" w:hAnsi="WINGDINGS"/>
          <w:sz w:val="14"/>
        </w:rPr>
        <w:t>o</w:t>
      </w:r>
      <w:r>
        <w:rPr>
          <w:rFonts w:ascii="times" w:hAnsi="times"/>
          <w:sz w:val="14"/>
        </w:rPr>
        <w:t xml:space="preserve"> </w:t>
      </w:r>
    </w:p>
    <w:p>
      <w:pPr>
        <w:pStyle w:val="TextBody"/>
        <w:rPr/>
      </w:pPr>
      <w:r>
        <w:rPr/>
        <w:t>           </w:t>
      </w:r>
      <w:r>
        <w:rPr>
          <w:rFonts w:ascii="times" w:hAnsi="times"/>
          <w:sz w:val="14"/>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rPr/>
      </w:pPr>
      <w:r>
        <w:rPr/>
        <w:t>           </w:t>
      </w:r>
      <w:r>
        <w:rPr>
          <w:rFonts w:ascii="times" w:hAnsi="times"/>
          <w:sz w:val="14"/>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WINGDINGS" w:hAnsi="WINGDINGS"/>
          <w:sz w:val="14"/>
        </w:rPr>
        <w:t>o</w:t>
      </w:r>
      <w:r>
        <w:rPr>
          <w:rFonts w:ascii="times" w:hAnsi="times"/>
          <w:sz w:val="14"/>
        </w:rPr>
        <w:t xml:space="preserve"> </w:t>
      </w:r>
    </w:p>
    <w:p>
      <w:pPr>
        <w:pStyle w:val="TextBody"/>
        <w:rPr/>
      </w:pPr>
      <w:r>
        <w:rPr/>
        <w:t>           </w:t>
      </w:r>
      <w:r>
        <w:rPr>
          <w:rFonts w:ascii="times" w:hAnsi="times"/>
          <w:sz w:val="14"/>
        </w:rPr>
        <w:t>If this Form is a post-effective amendment filed pursuant to Rule 462(c) under the Securities Act, check the following box and list the Securities Act registration statement number of the earlier effective registration statement for the same offering.    </w:t>
      </w:r>
      <w:r>
        <w:rPr>
          <w:rFonts w:ascii="WINGDINGS" w:hAnsi="WINGDINGS"/>
          <w:sz w:val="14"/>
        </w:rPr>
        <w:t>o</w:t>
      </w:r>
      <w:r>
        <w:rPr>
          <w:rFonts w:ascii="times" w:hAnsi="times"/>
          <w:sz w:val="14"/>
        </w:rPr>
        <w:t xml:space="preserve"> </w:t>
      </w:r>
    </w:p>
    <w:p>
      <w:pPr>
        <w:pStyle w:val="TextBody"/>
        <w:rPr/>
      </w:pPr>
      <w:r>
        <w:rPr/>
        <w:t>           </w:t>
      </w:r>
      <w:r>
        <w:rPr>
          <w:rFonts w:ascii="times" w:hAnsi="times"/>
          <w:sz w:val="14"/>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rPr/>
      </w:pPr>
      <w:r>
        <w:rPr/>
        <w:t>           </w:t>
      </w:r>
      <w:r>
        <w:rPr>
          <w:rFonts w:ascii="times" w:hAnsi="times"/>
          <w:sz w:val="14"/>
        </w:rPr>
        <w:t>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WINGDINGS" w:hAnsi="WINGDINGS"/>
          <w:sz w:val="14"/>
        </w:rPr>
        <w:t>o</w:t>
      </w:r>
      <w:r>
        <w:rPr>
          <w:rFonts w:ascii="times" w:hAnsi="times"/>
          <w:sz w:val="14"/>
        </w:rPr>
        <w:t xml:space="preserve"> </w:t>
      </w:r>
    </w:p>
    <w:p>
      <w:pPr>
        <w:pStyle w:val="TextBody"/>
        <w:rPr/>
      </w:pPr>
      <w:r>
        <w:rPr/>
        <w:t>           </w:t>
      </w:r>
      <w:r>
        <w:rPr>
          <w:rFonts w:ascii="times" w:hAnsi="times"/>
          <w:sz w:val="14"/>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tbl>
      <w:tblPr>
        <w:tblW w:w="5000" w:type="pct"/>
        <w:jc w:val="center"/>
        <w:tblInd w:w="0" w:type="dxa"/>
        <w:tblCellMar>
          <w:top w:w="0" w:type="dxa"/>
          <w:left w:w="0" w:type="dxa"/>
          <w:bottom w:w="0" w:type="dxa"/>
          <w:right w:w="0" w:type="dxa"/>
        </w:tblCellMar>
      </w:tblPr>
      <w:tblGrid>
        <w:gridCol w:w="1445"/>
        <w:gridCol w:w="1489"/>
        <w:gridCol w:w="1101"/>
        <w:gridCol w:w="1490"/>
        <w:gridCol w:w="1415"/>
        <w:gridCol w:w="1489"/>
        <w:gridCol w:w="1776"/>
      </w:tblGrid>
      <w:tr>
        <w:trPr/>
        <w:tc>
          <w:tcPr>
            <w:tcW w:w="1445"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490" w:type="dxa"/>
            <w:tcBorders/>
            <w:shd w:fill="auto" w:val="clear"/>
            <w:vAlign w:val="center"/>
          </w:tcPr>
          <w:p>
            <w:pPr>
              <w:pStyle w:val="TableContents"/>
              <w:spacing w:before="0" w:after="283"/>
              <w:rPr>
                <w:sz w:val="4"/>
                <w:szCs w:val="4"/>
              </w:rPr>
            </w:pPr>
            <w:r>
              <w:rPr>
                <w:sz w:val="4"/>
                <w:szCs w:val="4"/>
              </w:rPr>
            </w:r>
          </w:p>
        </w:tc>
        <w:tc>
          <w:tcPr>
            <w:tcW w:w="1415" w:type="dxa"/>
            <w:tcBorders/>
            <w:shd w:fill="auto" w:val="clear"/>
            <w:vAlign w:val="center"/>
          </w:tcPr>
          <w:p>
            <w:pPr>
              <w:pStyle w:val="TableContents"/>
              <w:spacing w:before="0" w:after="283"/>
              <w:rPr>
                <w:sz w:val="4"/>
                <w:szCs w:val="4"/>
              </w:rPr>
            </w:pPr>
            <w:r>
              <w:rPr>
                <w:sz w:val="4"/>
                <w:szCs w:val="4"/>
              </w:rPr>
            </w:r>
          </w:p>
        </w:tc>
        <w:tc>
          <w:tcPr>
            <w:tcW w:w="1489" w:type="dxa"/>
            <w:tcBorders/>
            <w:shd w:fill="auto" w:val="clear"/>
            <w:vAlign w:val="center"/>
          </w:tcPr>
          <w:p>
            <w:pPr>
              <w:pStyle w:val="TableContents"/>
              <w:spacing w:before="0" w:after="283"/>
              <w:rPr>
                <w:sz w:val="4"/>
                <w:szCs w:val="4"/>
              </w:rPr>
            </w:pPr>
            <w:r>
              <w:rPr>
                <w:sz w:val="4"/>
                <w:szCs w:val="4"/>
              </w:rPr>
            </w:r>
          </w:p>
        </w:tc>
        <w:tc>
          <w:tcPr>
            <w:tcW w:w="1776" w:type="dxa"/>
            <w:tcBorders/>
            <w:shd w:fill="auto" w:val="clear"/>
            <w:vAlign w:val="center"/>
          </w:tcPr>
          <w:p>
            <w:pPr>
              <w:pStyle w:val="TableContents"/>
              <w:spacing w:before="0" w:after="283"/>
              <w:rPr>
                <w:sz w:val="4"/>
                <w:szCs w:val="4"/>
              </w:rPr>
            </w:pPr>
            <w:r>
              <w:rPr>
                <w:sz w:val="4"/>
                <w:szCs w:val="4"/>
              </w:rPr>
            </w:r>
          </w:p>
        </w:tc>
      </w:tr>
      <w:tr>
        <w:trPr/>
        <w:tc>
          <w:tcPr>
            <w:tcW w:w="1445" w:type="dxa"/>
            <w:tcBorders/>
            <w:shd w:fill="auto" w:val="clear"/>
          </w:tcPr>
          <w:p>
            <w:pPr>
              <w:pStyle w:val="TableContents"/>
              <w:spacing w:before="0" w:after="283"/>
              <w:jc w:val="center"/>
              <w:rPr>
                <w:rFonts w:ascii="times" w:hAnsi="times"/>
                <w:sz w:val="14"/>
              </w:rPr>
            </w:pPr>
            <w:r>
              <w:rPr>
                <w:rFonts w:ascii="times" w:hAnsi="times"/>
                <w:sz w:val="14"/>
              </w:rPr>
              <w:t>Large Accelerated Filer </w:t>
            </w:r>
            <w:r>
              <w:rPr>
                <w:rFonts w:ascii="WINGDINGS" w:hAnsi="WINGDINGS"/>
                <w:sz w:val="14"/>
              </w:rPr>
              <w:t>o</w:t>
            </w:r>
          </w:p>
        </w:tc>
        <w:tc>
          <w:tcPr>
            <w:tcW w:w="1489" w:type="dxa"/>
            <w:tcBorders/>
            <w:shd w:fill="auto" w:val="clear"/>
          </w:tcPr>
          <w:p>
            <w:pPr>
              <w:pStyle w:val="TableContents"/>
              <w:spacing w:before="0" w:after="283"/>
              <w:rPr/>
            </w:pPr>
            <w:r>
              <w:rPr/>
              <w:t> </w:t>
            </w:r>
          </w:p>
        </w:tc>
        <w:tc>
          <w:tcPr>
            <w:tcW w:w="1101" w:type="dxa"/>
            <w:tcBorders/>
            <w:shd w:fill="auto" w:val="clear"/>
          </w:tcPr>
          <w:p>
            <w:pPr>
              <w:pStyle w:val="TableContents"/>
              <w:spacing w:before="0" w:after="283"/>
              <w:jc w:val="center"/>
              <w:rPr>
                <w:rFonts w:ascii="times" w:hAnsi="times"/>
                <w:sz w:val="14"/>
              </w:rPr>
            </w:pPr>
            <w:r>
              <w:rPr>
                <w:rFonts w:ascii="times" w:hAnsi="times"/>
                <w:sz w:val="14"/>
              </w:rPr>
              <w:t>Accelerated Filer </w:t>
            </w:r>
            <w:r>
              <w:rPr>
                <w:rFonts w:ascii="WINGDINGS" w:hAnsi="WINGDINGS"/>
                <w:sz w:val="14"/>
              </w:rPr>
              <w:t>o</w:t>
            </w:r>
          </w:p>
        </w:tc>
        <w:tc>
          <w:tcPr>
            <w:tcW w:w="1490" w:type="dxa"/>
            <w:tcBorders/>
            <w:shd w:fill="auto" w:val="clear"/>
          </w:tcPr>
          <w:p>
            <w:pPr>
              <w:pStyle w:val="TableContents"/>
              <w:spacing w:before="0" w:after="283"/>
              <w:rPr/>
            </w:pPr>
            <w:r>
              <w:rPr/>
              <w:t> </w:t>
            </w:r>
          </w:p>
        </w:tc>
        <w:tc>
          <w:tcPr>
            <w:tcW w:w="1415" w:type="dxa"/>
            <w:tcBorders/>
            <w:shd w:fill="auto" w:val="clear"/>
          </w:tcPr>
          <w:p>
            <w:pPr>
              <w:pStyle w:val="TableContents"/>
              <w:spacing w:before="0" w:after="283"/>
              <w:jc w:val="center"/>
              <w:rPr>
                <w:rFonts w:ascii="times" w:hAnsi="times"/>
                <w:sz w:val="14"/>
              </w:rPr>
            </w:pPr>
            <w:r>
              <w:rPr>
                <w:rFonts w:ascii="times" w:hAnsi="times"/>
                <w:sz w:val="14"/>
              </w:rPr>
              <w:t>Non-Accelerated Filer ☒</w:t>
              <w:br/>
              <w:t>(Do not check if a</w:t>
              <w:br/>
              <w:t>smaller reporting company)</w:t>
            </w:r>
          </w:p>
        </w:tc>
        <w:tc>
          <w:tcPr>
            <w:tcW w:w="1489" w:type="dxa"/>
            <w:tcBorders/>
            <w:shd w:fill="auto" w:val="clear"/>
          </w:tcPr>
          <w:p>
            <w:pPr>
              <w:pStyle w:val="TableContents"/>
              <w:spacing w:before="0" w:after="283"/>
              <w:rPr/>
            </w:pPr>
            <w:r>
              <w:rPr/>
              <w:t> </w:t>
            </w:r>
          </w:p>
        </w:tc>
        <w:tc>
          <w:tcPr>
            <w:tcW w:w="1776" w:type="dxa"/>
            <w:tcBorders/>
            <w:shd w:fill="auto" w:val="clear"/>
          </w:tcPr>
          <w:p>
            <w:pPr>
              <w:pStyle w:val="TableContents"/>
              <w:spacing w:before="0" w:after="283"/>
              <w:jc w:val="center"/>
              <w:rPr>
                <w:rFonts w:ascii="times" w:hAnsi="times"/>
                <w:sz w:val="14"/>
              </w:rPr>
            </w:pPr>
            <w:r>
              <w:rPr>
                <w:rFonts w:ascii="times" w:hAnsi="times"/>
                <w:sz w:val="14"/>
              </w:rPr>
              <w:t>Smaller Reporting Company </w:t>
            </w:r>
            <w:r>
              <w:rPr>
                <w:rFonts w:ascii="WINGDINGS" w:hAnsi="WINGDINGS"/>
                <w:sz w:val="14"/>
              </w:rPr>
              <w:t>o</w:t>
            </w:r>
          </w:p>
        </w:tc>
      </w:tr>
    </w:tbl>
    <w:p>
      <w:pPr>
        <w:pStyle w:val="TextBody"/>
        <w:jc w:val="center"/>
        <w:rPr>
          <w:rFonts w:ascii="times" w:hAnsi="times"/>
          <w:b/>
          <w:sz w:val="14"/>
        </w:rPr>
      </w:pPr>
      <w:r>
        <w:rPr>
          <w:rFonts w:ascii="times" w:hAnsi="times"/>
          <w:b/>
          <w:sz w:val="14"/>
        </w:rPr>
        <w:t xml:space="preserve">CALCULATION OF REGISTRATION FEE </w:t>
      </w:r>
    </w:p>
    <w:tbl>
      <w:tblPr>
        <w:tblW w:w="9507" w:type="dxa"/>
        <w:jc w:val="center"/>
        <w:tblInd w:w="0" w:type="dxa"/>
        <w:tblCellMar>
          <w:top w:w="0" w:type="dxa"/>
          <w:left w:w="0" w:type="dxa"/>
          <w:bottom w:w="0" w:type="dxa"/>
          <w:right w:w="0" w:type="dxa"/>
        </w:tblCellMar>
      </w:tblPr>
      <w:tblGrid>
        <w:gridCol w:w="3027"/>
        <w:gridCol w:w="180"/>
        <w:gridCol w:w="1440"/>
        <w:gridCol w:w="180"/>
        <w:gridCol w:w="1440"/>
        <w:gridCol w:w="180"/>
        <w:gridCol w:w="1440"/>
        <w:gridCol w:w="180"/>
        <w:gridCol w:w="1440"/>
      </w:tblGrid>
      <w:tr>
        <w:trPr/>
        <w:tc>
          <w:tcPr>
            <w:tcW w:w="302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r>
      <w:tr>
        <w:trPr/>
        <w:tc>
          <w:tcPr>
            <w:tcW w:w="3027" w:type="dxa"/>
            <w:tcBorders/>
            <w:shd w:fill="auto" w:val="clear"/>
            <w:vAlign w:val="bottom"/>
          </w:tcPr>
          <w:p>
            <w:pPr>
              <w:pStyle w:val="TableContents"/>
              <w:spacing w:before="0" w:after="283"/>
              <w:ind w:left="60" w:right="0" w:hanging="60"/>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r>
      <w:tr>
        <w:trPr/>
        <w:tc>
          <w:tcPr>
            <w:tcW w:w="9507" w:type="dxa"/>
            <w:gridSpan w:val="9"/>
            <w:tcBorders>
              <w:bottom w:val="double" w:sz="6" w:space="0" w:color="000000"/>
            </w:tcBorders>
            <w:shd w:fill="auto" w:val="clear"/>
            <w:tcMar>
              <w:bottom w:w="28" w:type="dxa"/>
            </w:tcMar>
            <w:vAlign w:val="bottom"/>
          </w:tcPr>
          <w:p>
            <w:pPr>
              <w:pStyle w:val="TableContents"/>
              <w:spacing w:before="0" w:after="283"/>
              <w:rPr/>
            </w:pPr>
            <w:r>
              <w:rPr/>
              <w:t> </w:t>
            </w:r>
          </w:p>
        </w:tc>
      </w:tr>
      <w:tr>
        <w:trPr/>
        <w:tc>
          <w:tcPr>
            <w:tcW w:w="3027" w:type="dxa"/>
            <w:tcBorders/>
            <w:shd w:fill="auto" w:val="clear"/>
            <w:vAlign w:val="bottom"/>
          </w:tcPr>
          <w:p>
            <w:pPr>
              <w:pStyle w:val="TableHeading"/>
              <w:spacing w:before="0" w:after="283"/>
              <w:jc w:val="center"/>
              <w:rPr>
                <w:rFonts w:ascii="times" w:hAnsi="times"/>
                <w:b/>
                <w:sz w:val="14"/>
              </w:rPr>
            </w:pPr>
            <w:r>
              <w:rPr>
                <w:rFonts w:ascii="times" w:hAnsi="times"/>
                <w:b/>
                <w:sz w:val="14"/>
              </w:rPr>
              <w:t>Title of Securities</w:t>
              <w:br/>
              <w:t>to be Registered</w:t>
            </w:r>
          </w:p>
        </w:tc>
        <w:tc>
          <w:tcPr>
            <w:tcW w:w="180" w:type="dxa"/>
            <w:tcBorders/>
            <w:shd w:fill="auto" w:val="clear"/>
            <w:vAlign w:val="bottom"/>
          </w:tcPr>
          <w:p>
            <w:pPr>
              <w:pStyle w:val="TableHeading"/>
              <w:suppressLineNumbers/>
              <w:spacing w:before="0" w:after="283"/>
              <w:jc w:val="center"/>
              <w:rPr/>
            </w:pPr>
            <w:r>
              <w:rPr/>
              <w:t> </w:t>
            </w:r>
          </w:p>
        </w:tc>
        <w:tc>
          <w:tcPr>
            <w:tcW w:w="1440" w:type="dxa"/>
            <w:tcBorders/>
            <w:shd w:fill="auto" w:val="clear"/>
            <w:vAlign w:val="bottom"/>
          </w:tcPr>
          <w:p>
            <w:pPr>
              <w:pStyle w:val="TableHeading"/>
              <w:spacing w:before="0" w:after="283"/>
              <w:jc w:val="center"/>
              <w:rPr>
                <w:rFonts w:ascii="times" w:hAnsi="times"/>
                <w:b/>
                <w:sz w:val="14"/>
              </w:rPr>
            </w:pPr>
            <w:r>
              <w:rPr>
                <w:rFonts w:ascii="times" w:hAnsi="times"/>
                <w:b/>
                <w:sz w:val="14"/>
              </w:rPr>
              <w:t>Amount to be</w:t>
              <w:br/>
              <w:t>Registered(1)</w:t>
            </w:r>
          </w:p>
        </w:tc>
        <w:tc>
          <w:tcPr>
            <w:tcW w:w="180" w:type="dxa"/>
            <w:tcBorders/>
            <w:shd w:fill="auto" w:val="clear"/>
            <w:vAlign w:val="bottom"/>
          </w:tcPr>
          <w:p>
            <w:pPr>
              <w:pStyle w:val="TableHeading"/>
              <w:suppressLineNumbers/>
              <w:spacing w:before="0" w:after="283"/>
              <w:jc w:val="center"/>
              <w:rPr/>
            </w:pPr>
            <w:r>
              <w:rPr/>
              <w:t> </w:t>
            </w:r>
          </w:p>
        </w:tc>
        <w:tc>
          <w:tcPr>
            <w:tcW w:w="1440" w:type="dxa"/>
            <w:tcBorders/>
            <w:shd w:fill="auto" w:val="clear"/>
            <w:vAlign w:val="bottom"/>
          </w:tcPr>
          <w:p>
            <w:pPr>
              <w:pStyle w:val="TableHeading"/>
              <w:spacing w:before="0" w:after="283"/>
              <w:jc w:val="center"/>
              <w:rPr>
                <w:rFonts w:ascii="times" w:hAnsi="times"/>
                <w:b/>
                <w:sz w:val="14"/>
              </w:rPr>
            </w:pPr>
            <w:r>
              <w:rPr>
                <w:rFonts w:ascii="times" w:hAnsi="times"/>
                <w:b/>
                <w:sz w:val="14"/>
              </w:rPr>
              <w:t>Proposed Maximum</w:t>
              <w:br/>
              <w:t>Offering Price Per</w:t>
              <w:br/>
              <w:t>Share</w:t>
            </w:r>
          </w:p>
        </w:tc>
        <w:tc>
          <w:tcPr>
            <w:tcW w:w="180" w:type="dxa"/>
            <w:tcBorders/>
            <w:shd w:fill="auto" w:val="clear"/>
            <w:vAlign w:val="bottom"/>
          </w:tcPr>
          <w:p>
            <w:pPr>
              <w:pStyle w:val="TableHeading"/>
              <w:suppressLineNumbers/>
              <w:spacing w:before="0" w:after="283"/>
              <w:jc w:val="center"/>
              <w:rPr/>
            </w:pPr>
            <w:r>
              <w:rPr/>
              <w:t> </w:t>
            </w:r>
          </w:p>
        </w:tc>
        <w:tc>
          <w:tcPr>
            <w:tcW w:w="1440" w:type="dxa"/>
            <w:tcBorders/>
            <w:shd w:fill="auto" w:val="clear"/>
            <w:vAlign w:val="bottom"/>
          </w:tcPr>
          <w:p>
            <w:pPr>
              <w:pStyle w:val="TableHeading"/>
              <w:spacing w:before="0" w:after="283"/>
              <w:jc w:val="center"/>
              <w:rPr>
                <w:rFonts w:ascii="times" w:hAnsi="times"/>
                <w:b/>
                <w:sz w:val="14"/>
              </w:rPr>
            </w:pPr>
            <w:r>
              <w:rPr>
                <w:rFonts w:ascii="times" w:hAnsi="times"/>
                <w:b/>
                <w:sz w:val="14"/>
              </w:rPr>
              <w:t>Proposed Maximum</w:t>
              <w:br/>
              <w:t>Aggregate Offering</w:t>
              <w:br/>
              <w:t>Price</w:t>
            </w:r>
          </w:p>
        </w:tc>
        <w:tc>
          <w:tcPr>
            <w:tcW w:w="180" w:type="dxa"/>
            <w:tcBorders/>
            <w:shd w:fill="auto" w:val="clear"/>
            <w:vAlign w:val="bottom"/>
          </w:tcPr>
          <w:p>
            <w:pPr>
              <w:pStyle w:val="TableHeading"/>
              <w:suppressLineNumbers/>
              <w:spacing w:before="0" w:after="283"/>
              <w:jc w:val="center"/>
              <w:rPr/>
            </w:pPr>
            <w:r>
              <w:rPr/>
              <w:t> </w:t>
            </w:r>
          </w:p>
        </w:tc>
        <w:tc>
          <w:tcPr>
            <w:tcW w:w="1440" w:type="dxa"/>
            <w:tcBorders/>
            <w:shd w:fill="auto" w:val="clear"/>
            <w:vAlign w:val="bottom"/>
          </w:tcPr>
          <w:p>
            <w:pPr>
              <w:pStyle w:val="TableHeading"/>
              <w:spacing w:before="0" w:after="283"/>
              <w:jc w:val="center"/>
              <w:rPr>
                <w:rFonts w:ascii="times" w:hAnsi="times"/>
                <w:b/>
                <w:sz w:val="14"/>
              </w:rPr>
            </w:pPr>
            <w:r>
              <w:rPr>
                <w:rFonts w:ascii="times" w:hAnsi="times"/>
                <w:b/>
                <w:sz w:val="14"/>
              </w:rPr>
              <w:t>Amount of</w:t>
              <w:br/>
              <w:t>Registration Fee(2)</w:t>
            </w:r>
          </w:p>
        </w:tc>
      </w:tr>
      <w:tr>
        <w:trPr/>
        <w:tc>
          <w:tcPr>
            <w:tcW w:w="9507" w:type="dxa"/>
            <w:gridSpan w:val="9"/>
            <w:tcBorders>
              <w:bottom w:val="single" w:sz="8" w:space="0" w:color="000000"/>
            </w:tcBorders>
            <w:shd w:fill="auto" w:val="clear"/>
            <w:tcMar>
              <w:bottom w:w="28" w:type="dxa"/>
            </w:tcMar>
            <w:vAlign w:val="bottom"/>
          </w:tcPr>
          <w:p>
            <w:pPr>
              <w:pStyle w:val="TableContents"/>
              <w:spacing w:before="0" w:after="283"/>
              <w:rPr/>
            </w:pPr>
            <w:r>
              <w:rPr/>
              <w:t> </w:t>
            </w:r>
          </w:p>
        </w:tc>
      </w:tr>
      <w:tr>
        <w:trPr/>
        <w:tc>
          <w:tcPr>
            <w:tcW w:w="3027" w:type="dxa"/>
            <w:tcBorders/>
            <w:shd w:fill="auto" w:val="clear"/>
            <w:vAlign w:val="bottom"/>
          </w:tcPr>
          <w:p>
            <w:pPr>
              <w:pStyle w:val="TableContents"/>
              <w:spacing w:before="0" w:after="283"/>
              <w:ind w:left="60" w:right="0" w:hanging="60"/>
              <w:rPr>
                <w:rFonts w:ascii="times" w:hAnsi="times"/>
                <w:sz w:val="14"/>
              </w:rPr>
            </w:pPr>
            <w:r>
              <w:rPr>
                <w:rFonts w:ascii="times" w:hAnsi="times"/>
                <w:sz w:val="14"/>
              </w:rPr>
              <w:t>Class A shares representing limited partner interests</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pPr>
            <w:r>
              <w:rPr/>
              <w:t>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pPr>
            <w:r>
              <w:rPr/>
              <w:t> </w:t>
            </w:r>
          </w:p>
        </w:tc>
      </w:tr>
      <w:tr>
        <w:trPr/>
        <w:tc>
          <w:tcPr>
            <w:tcW w:w="9507" w:type="dxa"/>
            <w:gridSpan w:val="9"/>
            <w:tcBorders>
              <w:bottom w:val="double" w:sz="6" w:space="0" w:color="000000"/>
            </w:tcBorders>
            <w:shd w:fill="auto" w:val="clear"/>
            <w:tcMar>
              <w:bottom w:w="28" w:type="dxa"/>
            </w:tcMar>
            <w:vAlign w:val="bottom"/>
          </w:tcPr>
          <w:p>
            <w:pPr>
              <w:pStyle w:val="TableContents"/>
              <w:spacing w:before="0" w:after="283"/>
              <w:ind w:left="60" w:right="0" w:hanging="60"/>
              <w:rPr/>
            </w:pPr>
            <w:r>
              <w:rPr/>
              <w:t> </w:t>
            </w:r>
          </w:p>
        </w:tc>
      </w:tr>
    </w:tbl>
    <w:p>
      <w:pPr>
        <w:pStyle w:val="ListHeading"/>
        <w:spacing w:before="0" w:after="0"/>
        <w:rPr>
          <w:rFonts w:ascii="times" w:hAnsi="times"/>
          <w:sz w:val="14"/>
        </w:rPr>
      </w:pPr>
      <w:r>
        <w:rPr>
          <w:rFonts w:ascii="times" w:hAnsi="times"/>
          <w:sz w:val="14"/>
        </w:rPr>
        <w:t>(1)</w:t>
      </w:r>
    </w:p>
    <w:p>
      <w:pPr>
        <w:pStyle w:val="ListContents"/>
        <w:spacing w:before="0" w:after="283"/>
        <w:rPr>
          <w:rFonts w:ascii="times" w:hAnsi="times"/>
          <w:sz w:val="14"/>
        </w:rPr>
      </w:pPr>
      <w:r>
        <w:rPr>
          <w:rFonts w:ascii="times" w:hAnsi="times"/>
          <w:sz w:val="14"/>
        </w:rPr>
        <w:t xml:space="preserve">There is being registered hereunder such indeterminate number of Class A shares of the registrant as may be sold in an offering pursuant to this Registration Statement. </w:t>
      </w:r>
    </w:p>
    <w:p>
      <w:pPr>
        <w:pStyle w:val="ListHeading"/>
        <w:spacing w:before="0" w:after="0"/>
        <w:rPr>
          <w:rFonts w:ascii="times" w:hAnsi="times"/>
          <w:sz w:val="14"/>
        </w:rPr>
      </w:pPr>
      <w:r>
        <w:rPr>
          <w:rFonts w:ascii="times" w:hAnsi="times"/>
          <w:sz w:val="14"/>
        </w:rPr>
        <w:t>(2)</w:t>
      </w:r>
    </w:p>
    <w:p>
      <w:pPr>
        <w:pStyle w:val="ListContents"/>
        <w:spacing w:before="0" w:after="283"/>
        <w:rPr>
          <w:rFonts w:ascii="times" w:hAnsi="times"/>
          <w:sz w:val="14"/>
        </w:rPr>
      </w:pPr>
      <w:r>
        <w:rPr>
          <w:rFonts w:ascii="times" w:hAnsi="times"/>
          <w:sz w:val="14"/>
        </w:rPr>
        <w:t xml:space="preserve">In reliance on Rule 456(b) and Rule 457(r) under the Securities Act of 1933, the registrant hereby defers payment of the registration fee required in connection with this Registration Statement. </w:t>
      </w:r>
    </w:p>
    <w:p>
      <w:pPr>
        <w:pStyle w:val="TextBody"/>
        <w:spacing w:lineRule="atLeast" w:line="141"/>
        <w:ind w:left="360" w:right="0" w:hanging="0"/>
        <w:rPr/>
      </w:pPr>
      <w:r>
        <w:rPr/>
        <w:t xml:space="preserve">    </w:t>
      </w:r>
    </w:p>
    <w:p>
      <w:pPr>
        <w:pStyle w:val="HorizontalLine"/>
        <w:pBdr>
          <w:bottom w:val="single" w:sz="20" w:space="0" w:color="808080"/>
        </w:pBdr>
        <w:rPr/>
      </w:pPr>
      <w:r>
        <w:rPr/>
      </w:r>
      <w:r>
        <w:br w:type="page"/>
      </w:r>
    </w:p>
    <w:p>
      <w:pPr>
        <w:pStyle w:val="TextBody"/>
        <w:rPr/>
      </w:pPr>
      <w:hyperlink w:anchor="bg76101a_main_toc">
        <w:r>
          <w:rPr>
            <w:rStyle w:val="InternetLink"/>
            <w:rFonts w:ascii="times" w:hAnsi="times"/>
            <w:sz w:val="20"/>
          </w:rPr>
          <w:t>Table of Contents</w:t>
        </w:r>
      </w:hyperlink>
      <w:r>
        <w:rPr>
          <w:rFonts w:ascii="times" w:hAnsi="times"/>
          <w:sz w:val="20"/>
        </w:rPr>
        <w:t xml:space="preserve"> </w:t>
      </w:r>
    </w:p>
    <w:p>
      <w:pPr>
        <w:pStyle w:val="TextBody"/>
        <w:rPr>
          <w:rFonts w:ascii="times" w:hAnsi="times"/>
          <w:b/>
          <w:color w:val="FF4040"/>
          <w:sz w:val="20"/>
        </w:rPr>
      </w:pPr>
      <w:r>
        <w:rPr>
          <w:rFonts w:ascii="times" w:hAnsi="times"/>
          <w:b/>
          <w:color w:val="FF4040"/>
          <w:sz w:val="20"/>
        </w:rPr>
        <w:t xml:space="preserve">The information in this prospectus is not complete and may be changed. This prospectus is not an offer to sell these securities, and it is not soliciting an offer to buy these securities in any jurisdiction where the offer or sale is not permitted. </w:t>
      </w:r>
    </w:p>
    <w:p>
      <w:pPr>
        <w:pStyle w:val="TextBody"/>
        <w:jc w:val="center"/>
        <w:rPr>
          <w:rFonts w:ascii="times" w:hAnsi="times"/>
          <w:b/>
          <w:color w:val="FF4040"/>
          <w:sz w:val="20"/>
        </w:rPr>
      </w:pPr>
      <w:r>
        <w:rPr>
          <w:rFonts w:ascii="times" w:hAnsi="times"/>
          <w:b/>
          <w:color w:val="FF4040"/>
          <w:sz w:val="20"/>
        </w:rPr>
        <w:t xml:space="preserve">Subject to completion, dated November 6, 2014 </w:t>
      </w:r>
    </w:p>
    <w:p>
      <w:pPr>
        <w:pStyle w:val="TextBody"/>
        <w:rPr>
          <w:rFonts w:ascii="times" w:hAnsi="times"/>
          <w:sz w:val="20"/>
        </w:rPr>
      </w:pPr>
      <w:r>
        <w:rPr>
          <w:rFonts w:ascii="times" w:hAnsi="times"/>
          <w:sz w:val="20"/>
        </w:rPr>
        <w:t xml:space="preserve">PROSPECTUS </w:t>
      </w:r>
    </w:p>
    <w:p>
      <w:pPr>
        <w:pStyle w:val="TextBody"/>
        <w:jc w:val="center"/>
        <w:rPr/>
      </w:pPr>
      <w:r>
        <w:rPr/>
        <w:drawing>
          <wp:inline distT="0" distB="0" distL="0" distR="0">
            <wp:extent cx="3124200"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24200" cy="685800"/>
                    </a:xfrm>
                    <a:prstGeom prst="rect">
                      <a:avLst/>
                    </a:prstGeom>
                  </pic:spPr>
                </pic:pic>
              </a:graphicData>
            </a:graphic>
          </wp:inline>
        </w:drawing>
      </w:r>
      <w:r>
        <w:rPr/>
        <w:t xml:space="preserve"> </w:t>
      </w:r>
    </w:p>
    <w:p>
      <w:pPr>
        <w:pStyle w:val="TextBody"/>
        <w:jc w:val="center"/>
        <w:rPr>
          <w:rFonts w:ascii="times" w:hAnsi="times"/>
          <w:b/>
          <w:sz w:val="28"/>
        </w:rPr>
      </w:pPr>
      <w:r>
        <w:rPr>
          <w:rFonts w:ascii="times" w:hAnsi="times"/>
          <w:b/>
          <w:sz w:val="28"/>
        </w:rPr>
        <w:t>55,000,000 Class A Shares</w:t>
        <w:br/>
        <w:t xml:space="preserve">Representing Limited Partner Interests </w:t>
      </w:r>
    </w:p>
    <w:p>
      <w:pPr>
        <w:pStyle w:val="TextBody"/>
        <w:rPr/>
      </w:pPr>
      <w:r>
        <w:rPr/>
        <w:t>        </w:t>
      </w:r>
      <w:r>
        <w:rPr>
          <w:rFonts w:ascii="times" w:hAnsi="times"/>
          <w:sz w:val="20"/>
        </w:rPr>
        <w:t xml:space="preserve">The selling shareholder, an affiliate of Occidental Petroleum Corporation, is selling 55,000,000 Class A shares representing limited partner interests in us in this offering. We will not receive any proceeds from the sale of the Class A shares by the selling shareholder in this offering. </w:t>
      </w:r>
    </w:p>
    <w:p>
      <w:pPr>
        <w:pStyle w:val="TextBody"/>
        <w:rPr/>
      </w:pPr>
      <w:r>
        <w:rPr/>
        <w:t>        </w:t>
      </w:r>
      <w:r>
        <w:rPr>
          <w:rFonts w:ascii="times" w:hAnsi="times"/>
          <w:sz w:val="20"/>
        </w:rPr>
        <w:t xml:space="preserve">Our Class A shares are listed on the New York Stock Exchange ("NYSE") under the symbol "PAGP." </w:t>
      </w:r>
    </w:p>
    <w:p>
      <w:pPr>
        <w:pStyle w:val="TextBody"/>
        <w:rPr/>
      </w:pPr>
      <w:r>
        <w:rPr/>
        <w:t>        </w:t>
      </w:r>
      <w:r>
        <w:rPr>
          <w:rFonts w:ascii="times" w:hAnsi="times"/>
          <w:b/>
          <w:sz w:val="20"/>
        </w:rPr>
        <w:t xml:space="preserve">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9 of this prospectus before you make an investment in our Class A shares. </w:t>
      </w:r>
    </w:p>
    <w:tbl>
      <w:tblPr>
        <w:tblW w:w="7238" w:type="dxa"/>
        <w:jc w:val="center"/>
        <w:tblInd w:w="0" w:type="dxa"/>
        <w:tblCellMar>
          <w:top w:w="0" w:type="dxa"/>
          <w:left w:w="0" w:type="dxa"/>
          <w:bottom w:w="0" w:type="dxa"/>
          <w:right w:w="0" w:type="dxa"/>
        </w:tblCellMar>
      </w:tblPr>
      <w:tblGrid>
        <w:gridCol w:w="3998"/>
        <w:gridCol w:w="180"/>
        <w:gridCol w:w="1440"/>
        <w:gridCol w:w="180"/>
        <w:gridCol w:w="1440"/>
      </w:tblGrid>
      <w:tr>
        <w:trPr/>
        <w:tc>
          <w:tcPr>
            <w:tcW w:w="3998"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440" w:type="dxa"/>
            <w:tcBorders/>
            <w:shd w:fill="auto" w:val="clear"/>
            <w:vAlign w:val="center"/>
          </w:tcPr>
          <w:p>
            <w:pPr>
              <w:pStyle w:val="TableContents"/>
              <w:spacing w:before="0" w:after="283"/>
              <w:rPr>
                <w:sz w:val="4"/>
                <w:szCs w:val="4"/>
              </w:rPr>
            </w:pPr>
            <w:r>
              <w:rPr>
                <w:sz w:val="4"/>
                <w:szCs w:val="4"/>
              </w:rPr>
            </w:r>
          </w:p>
        </w:tc>
      </w:tr>
      <w:tr>
        <w:trPr/>
        <w:tc>
          <w:tcPr>
            <w:tcW w:w="3998" w:type="dxa"/>
            <w:tcBorders/>
            <w:shd w:fill="auto" w:val="clear"/>
            <w:vAlign w:val="bottom"/>
          </w:tcPr>
          <w:p>
            <w:pPr>
              <w:pStyle w:val="TableContents"/>
              <w:spacing w:before="0" w:after="283"/>
              <w:ind w:left="200" w:right="0" w:hanging="200"/>
              <w:rPr>
                <w:sz w:val="4"/>
                <w:szCs w:val="4"/>
              </w:rPr>
            </w:pPr>
            <w:r>
              <w:rPr>
                <w:sz w:val="4"/>
                <w:szCs w:val="4"/>
              </w:rPr>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rPr/>
            </w:pPr>
            <w:r>
              <w:rPr/>
              <w:t> </w:t>
            </w:r>
          </w:p>
        </w:tc>
      </w:tr>
      <w:tr>
        <w:trPr/>
        <w:tc>
          <w:tcPr>
            <w:tcW w:w="7238" w:type="dxa"/>
            <w:gridSpan w:val="5"/>
            <w:tcBorders>
              <w:bottom w:val="double" w:sz="6" w:space="0" w:color="000000"/>
            </w:tcBorders>
            <w:shd w:fill="auto" w:val="clear"/>
            <w:tcMar>
              <w:bottom w:w="28" w:type="dxa"/>
            </w:tcMar>
            <w:vAlign w:val="bottom"/>
          </w:tcPr>
          <w:p>
            <w:pPr>
              <w:pStyle w:val="TableContents"/>
              <w:spacing w:before="0" w:after="283"/>
              <w:rPr/>
            </w:pPr>
            <w:r>
              <w:rPr/>
              <w:t> </w:t>
            </w:r>
          </w:p>
        </w:tc>
      </w:tr>
      <w:tr>
        <w:trPr/>
        <w:tc>
          <w:tcPr>
            <w:tcW w:w="3998" w:type="dxa"/>
            <w:tcBorders/>
            <w:shd w:fill="auto" w:val="clear"/>
            <w:vAlign w:val="bottom"/>
          </w:tcPr>
          <w:p>
            <w:pPr>
              <w:pStyle w:val="TableHeading"/>
              <w:spacing w:before="0" w:after="283"/>
              <w:jc w:val="center"/>
              <w:rPr/>
            </w:pPr>
            <w:r>
              <w:rPr/>
              <w:t> </w:t>
            </w:r>
          </w:p>
        </w:tc>
        <w:tc>
          <w:tcPr>
            <w:tcW w:w="180" w:type="dxa"/>
            <w:tcBorders/>
            <w:shd w:fill="auto" w:val="clear"/>
            <w:vAlign w:val="bottom"/>
          </w:tcPr>
          <w:p>
            <w:pPr>
              <w:pStyle w:val="TableHeading"/>
              <w:suppressLineNumbers/>
              <w:spacing w:before="0" w:after="283"/>
              <w:jc w:val="center"/>
              <w:rPr/>
            </w:pPr>
            <w:r>
              <w:rPr/>
              <w:t> </w:t>
            </w:r>
          </w:p>
        </w:tc>
        <w:tc>
          <w:tcPr>
            <w:tcW w:w="1440" w:type="dxa"/>
            <w:tcBorders/>
            <w:shd w:fill="auto" w:val="clear"/>
            <w:vAlign w:val="bottom"/>
          </w:tcPr>
          <w:p>
            <w:pPr>
              <w:pStyle w:val="TableHeading"/>
              <w:spacing w:before="0" w:after="283"/>
              <w:jc w:val="center"/>
              <w:rPr>
                <w:rFonts w:ascii="times" w:hAnsi="times"/>
                <w:b/>
                <w:sz w:val="14"/>
              </w:rPr>
            </w:pPr>
            <w:r>
              <w:rPr>
                <w:rFonts w:ascii="times" w:hAnsi="times"/>
                <w:b/>
                <w:sz w:val="14"/>
              </w:rPr>
              <w:t>Per Class A Share</w:t>
            </w:r>
          </w:p>
        </w:tc>
        <w:tc>
          <w:tcPr>
            <w:tcW w:w="180" w:type="dxa"/>
            <w:tcBorders/>
            <w:shd w:fill="auto" w:val="clear"/>
            <w:vAlign w:val="bottom"/>
          </w:tcPr>
          <w:p>
            <w:pPr>
              <w:pStyle w:val="TableHeading"/>
              <w:suppressLineNumbers/>
              <w:spacing w:before="0" w:after="283"/>
              <w:jc w:val="center"/>
              <w:rPr/>
            </w:pPr>
            <w:r>
              <w:rPr/>
              <w:t> </w:t>
            </w:r>
          </w:p>
        </w:tc>
        <w:tc>
          <w:tcPr>
            <w:tcW w:w="1440" w:type="dxa"/>
            <w:tcBorders/>
            <w:shd w:fill="auto" w:val="clear"/>
            <w:vAlign w:val="bottom"/>
          </w:tcPr>
          <w:p>
            <w:pPr>
              <w:pStyle w:val="TableHeading"/>
              <w:spacing w:before="0" w:after="283"/>
              <w:jc w:val="center"/>
              <w:rPr>
                <w:rFonts w:ascii="times" w:hAnsi="times"/>
                <w:b/>
                <w:sz w:val="14"/>
              </w:rPr>
            </w:pPr>
            <w:r>
              <w:rPr>
                <w:rFonts w:ascii="times" w:hAnsi="times"/>
                <w:b/>
                <w:sz w:val="14"/>
              </w:rPr>
              <w:t>Total</w:t>
            </w:r>
          </w:p>
        </w:tc>
      </w:tr>
      <w:tr>
        <w:trPr/>
        <w:tc>
          <w:tcPr>
            <w:tcW w:w="7238" w:type="dxa"/>
            <w:gridSpan w:val="5"/>
            <w:tcBorders>
              <w:bottom w:val="single" w:sz="8" w:space="0" w:color="000000"/>
            </w:tcBorders>
            <w:shd w:fill="auto" w:val="clear"/>
            <w:tcMar>
              <w:bottom w:w="28" w:type="dxa"/>
            </w:tcMar>
            <w:vAlign w:val="bottom"/>
          </w:tcPr>
          <w:p>
            <w:pPr>
              <w:pStyle w:val="TableContents"/>
              <w:spacing w:before="0" w:after="283"/>
              <w:rPr/>
            </w:pPr>
            <w:r>
              <w:rPr/>
              <w:t> </w:t>
            </w:r>
          </w:p>
        </w:tc>
      </w:tr>
      <w:tr>
        <w:trPr/>
        <w:tc>
          <w:tcPr>
            <w:tcW w:w="3998" w:type="dxa"/>
            <w:tcBorders/>
            <w:shd w:fill="auto" w:val="clear"/>
            <w:vAlign w:val="bottom"/>
          </w:tcPr>
          <w:p>
            <w:pPr>
              <w:pStyle w:val="TableContents"/>
              <w:spacing w:before="0" w:after="283"/>
              <w:ind w:left="160" w:right="0" w:hanging="160"/>
              <w:rPr>
                <w:rFonts w:ascii="times" w:hAnsi="times"/>
                <w:sz w:val="20"/>
              </w:rPr>
            </w:pPr>
            <w:r>
              <w:rPr>
                <w:rFonts w:ascii="times" w:hAnsi="times"/>
                <w:sz w:val="20"/>
              </w:rPr>
              <w:t>Price to the public</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rFonts w:ascii="times" w:hAnsi="times"/>
                <w:sz w:val="20"/>
              </w:rPr>
            </w:pPr>
            <w:r>
              <w:rPr>
                <w:rFonts w:ascii="times" w:hAnsi="times"/>
                <w:sz w:val="20"/>
              </w:rPr>
              <w:t>$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rFonts w:ascii="times" w:hAnsi="times"/>
                <w:sz w:val="20"/>
              </w:rPr>
            </w:pPr>
            <w:r>
              <w:rPr>
                <w:rFonts w:ascii="times" w:hAnsi="times"/>
                <w:sz w:val="20"/>
              </w:rPr>
              <w:t>$          </w:t>
            </w:r>
          </w:p>
        </w:tc>
      </w:tr>
      <w:tr>
        <w:trPr/>
        <w:tc>
          <w:tcPr>
            <w:tcW w:w="7238" w:type="dxa"/>
            <w:gridSpan w:val="5"/>
            <w:tcBorders>
              <w:bottom w:val="single" w:sz="8" w:space="0" w:color="000000"/>
            </w:tcBorders>
            <w:shd w:fill="auto" w:val="clear"/>
            <w:tcMar>
              <w:bottom w:w="28" w:type="dxa"/>
            </w:tcMar>
            <w:vAlign w:val="bottom"/>
          </w:tcPr>
          <w:p>
            <w:pPr>
              <w:pStyle w:val="TableContents"/>
              <w:spacing w:before="0" w:after="283"/>
              <w:rPr/>
            </w:pPr>
            <w:r>
              <w:rPr/>
              <w:t> </w:t>
            </w:r>
          </w:p>
        </w:tc>
      </w:tr>
      <w:tr>
        <w:trPr/>
        <w:tc>
          <w:tcPr>
            <w:tcW w:w="3998"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Underwriting discounts and commissions</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rFonts w:ascii="times" w:hAnsi="times"/>
                <w:sz w:val="20"/>
              </w:rPr>
            </w:pPr>
            <w:r>
              <w:rPr>
                <w:rFonts w:ascii="times" w:hAnsi="times"/>
                <w:sz w:val="20"/>
              </w:rPr>
              <w:t>$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rFonts w:ascii="times" w:hAnsi="times"/>
                <w:sz w:val="20"/>
              </w:rPr>
            </w:pPr>
            <w:r>
              <w:rPr>
                <w:rFonts w:ascii="times" w:hAnsi="times"/>
                <w:sz w:val="20"/>
              </w:rPr>
              <w:t>$          </w:t>
            </w:r>
          </w:p>
        </w:tc>
      </w:tr>
      <w:tr>
        <w:trPr/>
        <w:tc>
          <w:tcPr>
            <w:tcW w:w="7238" w:type="dxa"/>
            <w:gridSpan w:val="5"/>
            <w:tcBorders>
              <w:bottom w:val="single" w:sz="8" w:space="0" w:color="000000"/>
            </w:tcBorders>
            <w:shd w:fill="auto" w:val="clear"/>
            <w:tcMar>
              <w:bottom w:w="28" w:type="dxa"/>
            </w:tcMar>
            <w:vAlign w:val="bottom"/>
          </w:tcPr>
          <w:p>
            <w:pPr>
              <w:pStyle w:val="TableContents"/>
              <w:spacing w:before="0" w:after="283"/>
              <w:rPr/>
            </w:pPr>
            <w:r>
              <w:rPr/>
              <w:t> </w:t>
            </w:r>
          </w:p>
        </w:tc>
      </w:tr>
      <w:tr>
        <w:trPr/>
        <w:tc>
          <w:tcPr>
            <w:tcW w:w="3998" w:type="dxa"/>
            <w:tcBorders/>
            <w:shd w:fill="auto" w:val="clear"/>
            <w:vAlign w:val="bottom"/>
          </w:tcPr>
          <w:p>
            <w:pPr>
              <w:pStyle w:val="TableContents"/>
              <w:spacing w:before="0" w:after="283"/>
              <w:ind w:left="200" w:right="0" w:hanging="200"/>
              <w:rPr>
                <w:rFonts w:ascii="times" w:hAnsi="times"/>
                <w:sz w:val="20"/>
              </w:rPr>
            </w:pPr>
            <w:r>
              <w:rPr>
                <w:rFonts w:ascii="times" w:hAnsi="times"/>
                <w:sz w:val="20"/>
              </w:rPr>
              <w:t>Proceeds to selling shareholder (before expenses)</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rFonts w:ascii="times" w:hAnsi="times"/>
                <w:sz w:val="20"/>
              </w:rPr>
            </w:pPr>
            <w:r>
              <w:rPr>
                <w:rFonts w:ascii="times" w:hAnsi="times"/>
                <w:sz w:val="20"/>
              </w:rPr>
              <w:t>$          </w:t>
            </w:r>
          </w:p>
        </w:tc>
        <w:tc>
          <w:tcPr>
            <w:tcW w:w="180" w:type="dxa"/>
            <w:tcBorders/>
            <w:shd w:fill="auto" w:val="clear"/>
            <w:vAlign w:val="bottom"/>
          </w:tcPr>
          <w:p>
            <w:pPr>
              <w:pStyle w:val="TableContents"/>
              <w:spacing w:before="0" w:after="283"/>
              <w:rPr/>
            </w:pPr>
            <w:r>
              <w:rPr/>
              <w:t> </w:t>
            </w:r>
          </w:p>
        </w:tc>
        <w:tc>
          <w:tcPr>
            <w:tcW w:w="1440" w:type="dxa"/>
            <w:tcBorders/>
            <w:shd w:fill="auto" w:val="clear"/>
            <w:vAlign w:val="bottom"/>
          </w:tcPr>
          <w:p>
            <w:pPr>
              <w:pStyle w:val="TableContents"/>
              <w:spacing w:before="0" w:after="283"/>
              <w:jc w:val="center"/>
              <w:rPr>
                <w:rFonts w:ascii="times" w:hAnsi="times"/>
                <w:sz w:val="20"/>
              </w:rPr>
            </w:pPr>
            <w:r>
              <w:rPr>
                <w:rFonts w:ascii="times" w:hAnsi="times"/>
                <w:sz w:val="20"/>
              </w:rPr>
              <w:t>$          </w:t>
            </w:r>
          </w:p>
        </w:tc>
      </w:tr>
      <w:tr>
        <w:trPr/>
        <w:tc>
          <w:tcPr>
            <w:tcW w:w="7238" w:type="dxa"/>
            <w:gridSpan w:val="5"/>
            <w:tcBorders>
              <w:bottom w:val="double" w:sz="6" w:space="0" w:color="000000"/>
            </w:tcBorders>
            <w:shd w:fill="auto" w:val="clear"/>
            <w:tcMar>
              <w:bottom w:w="28" w:type="dxa"/>
            </w:tcMar>
            <w:vAlign w:val="bottom"/>
          </w:tcPr>
          <w:p>
            <w:pPr>
              <w:pStyle w:val="TableContents"/>
              <w:spacing w:before="0" w:after="283"/>
              <w:ind w:left="200" w:right="0" w:hanging="200"/>
              <w:rPr/>
            </w:pPr>
            <w:r>
              <w:rPr/>
              <w:t> </w:t>
            </w:r>
          </w:p>
        </w:tc>
      </w:tr>
    </w:tbl>
    <w:p>
      <w:pPr>
        <w:pStyle w:val="TextBody"/>
        <w:rPr/>
      </w:pPr>
      <w:r>
        <w:rPr/>
        <w:t>        </w:t>
      </w:r>
      <w:r>
        <w:rPr>
          <w:rFonts w:ascii="times" w:hAnsi="times"/>
          <w:b/>
          <w:sz w:val="20"/>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pStyle w:val="TextBody"/>
        <w:rPr/>
      </w:pPr>
      <w:r>
        <w:rPr/>
        <w:t>        </w:t>
      </w:r>
      <w:r>
        <w:rPr>
          <w:rFonts w:ascii="times" w:hAnsi="times"/>
          <w:sz w:val="20"/>
        </w:rPr>
        <w:t xml:space="preserve">The selling shareholder has granted the underwriters a 30-day option to purchase up to 8,250,000 additional Class A shares on the same terms and conditions as set forth above. </w:t>
      </w:r>
    </w:p>
    <w:p>
      <w:pPr>
        <w:pStyle w:val="TextBody"/>
        <w:rPr/>
      </w:pPr>
      <w:r>
        <w:rPr/>
        <w:t>        </w:t>
      </w:r>
      <w:r>
        <w:rPr>
          <w:rFonts w:ascii="times" w:hAnsi="times"/>
          <w:sz w:val="20"/>
        </w:rPr>
        <w:t xml:space="preserve">We, the selling shareholder and certain of our significant shareholders and directors will be entering into lock-up agreements with the underwriters for a period of up to 90 days from the date of this prospectus. Please read "UnderwritingLock-Up Agreements." </w:t>
      </w:r>
    </w:p>
    <w:p>
      <w:pPr>
        <w:pStyle w:val="TextBody"/>
        <w:rPr/>
      </w:pPr>
      <w:r>
        <w:rPr/>
        <w:t>        </w:t>
      </w:r>
      <w:r>
        <w:rPr>
          <w:rFonts w:ascii="times" w:hAnsi="times"/>
          <w:sz w:val="20"/>
        </w:rPr>
        <w:t xml:space="preserve">The underwriters expect to deliver the Class A shares on or about            , 2014. </w:t>
      </w:r>
    </w:p>
    <w:p>
      <w:pPr>
        <w:pStyle w:val="HorizontalLine"/>
        <w:pBdr>
          <w:bottom w:val="single" w:sz="6" w:space="0" w:color="000000"/>
        </w:pBdr>
        <w:ind w:left="3776" w:right="3776" w:hanging="0"/>
        <w:rPr/>
      </w:pPr>
      <w:r>
        <w:rPr/>
      </w:r>
    </w:p>
    <w:p>
      <w:pPr>
        <w:pStyle w:val="TextBody"/>
        <w:rPr>
          <w:sz w:val="20"/>
        </w:rPr>
      </w:pPr>
      <w:r>
        <w:rPr>
          <w:sz w:val="20"/>
        </w:rPr>
      </w:r>
    </w:p>
    <w:tbl>
      <w:tblPr>
        <w:tblW w:w="5000" w:type="pct"/>
        <w:jc w:val="center"/>
        <w:tblInd w:w="0" w:type="dxa"/>
        <w:tblCellMar>
          <w:top w:w="0" w:type="dxa"/>
          <w:left w:w="0" w:type="dxa"/>
          <w:bottom w:w="0" w:type="dxa"/>
          <w:right w:w="0" w:type="dxa"/>
        </w:tblCellMar>
      </w:tblPr>
      <w:tblGrid>
        <w:gridCol w:w="3361"/>
        <w:gridCol w:w="60"/>
        <w:gridCol w:w="3362"/>
        <w:gridCol w:w="60"/>
        <w:gridCol w:w="3362"/>
      </w:tblGrid>
      <w:tr>
        <w:trPr/>
        <w:tc>
          <w:tcPr>
            <w:tcW w:w="33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362" w:type="dxa"/>
            <w:tcBorders/>
            <w:shd w:fill="auto" w:val="clear"/>
            <w:vAlign w:val="center"/>
          </w:tcPr>
          <w:p>
            <w:pPr>
              <w:pStyle w:val="TableContents"/>
              <w:spacing w:before="0" w:after="283"/>
              <w:rPr>
                <w:sz w:val="4"/>
                <w:szCs w:val="4"/>
              </w:rPr>
            </w:pPr>
            <w:r>
              <w:rPr>
                <w:sz w:val="4"/>
                <w:szCs w:val="4"/>
              </w:rPr>
            </w:r>
          </w:p>
        </w:tc>
      </w:tr>
      <w:tr>
        <w:trPr/>
        <w:tc>
          <w:tcPr>
            <w:tcW w:w="3361" w:type="dxa"/>
            <w:tcBorders/>
            <w:shd w:fill="auto" w:val="clear"/>
            <w:vAlign w:val="bottom"/>
          </w:tcPr>
          <w:p>
            <w:pPr>
              <w:pStyle w:val="TableHeading"/>
              <w:spacing w:before="0" w:after="283"/>
              <w:jc w:val="center"/>
              <w:rPr/>
            </w:pPr>
            <w:r>
              <w:rPr/>
              <w:t> </w:t>
            </w:r>
          </w:p>
        </w:tc>
        <w:tc>
          <w:tcPr>
            <w:tcW w:w="60" w:type="dxa"/>
            <w:tcBorders/>
            <w:shd w:fill="auto" w:val="clear"/>
            <w:vAlign w:val="bottom"/>
          </w:tcPr>
          <w:p>
            <w:pPr>
              <w:pStyle w:val="TableHeading"/>
              <w:suppressLineNumbers/>
              <w:spacing w:before="0" w:after="283"/>
              <w:jc w:val="center"/>
              <w:rPr/>
            </w:pPr>
            <w:r>
              <w:rPr/>
              <w:t> </w:t>
            </w:r>
          </w:p>
        </w:tc>
        <w:tc>
          <w:tcPr>
            <w:tcW w:w="3362" w:type="dxa"/>
            <w:tcBorders/>
            <w:shd w:fill="auto" w:val="clear"/>
            <w:vAlign w:val="bottom"/>
          </w:tcPr>
          <w:p>
            <w:pPr>
              <w:pStyle w:val="TableHeading"/>
              <w:spacing w:before="0" w:after="283"/>
              <w:jc w:val="center"/>
              <w:rPr/>
            </w:pPr>
            <w:r>
              <w:rPr/>
              <w:t> </w:t>
            </w:r>
          </w:p>
        </w:tc>
        <w:tc>
          <w:tcPr>
            <w:tcW w:w="60" w:type="dxa"/>
            <w:tcBorders/>
            <w:shd w:fill="auto" w:val="clear"/>
            <w:vAlign w:val="bottom"/>
          </w:tcPr>
          <w:p>
            <w:pPr>
              <w:pStyle w:val="TableHeading"/>
              <w:suppressLineNumbers/>
              <w:spacing w:before="0" w:after="283"/>
              <w:jc w:val="center"/>
              <w:rPr/>
            </w:pPr>
            <w:r>
              <w:rPr/>
              <w:t> </w:t>
            </w:r>
          </w:p>
        </w:tc>
        <w:tc>
          <w:tcPr>
            <w:tcW w:w="3362" w:type="dxa"/>
            <w:tcBorders/>
            <w:shd w:fill="auto" w:val="clear"/>
            <w:vAlign w:val="bottom"/>
          </w:tcPr>
          <w:p>
            <w:pPr>
              <w:pStyle w:val="TableHeading"/>
              <w:spacing w:before="0" w:after="283"/>
              <w:jc w:val="center"/>
              <w:rPr/>
            </w:pPr>
            <w:r>
              <w:rPr/>
              <w:t> </w:t>
            </w:r>
          </w:p>
        </w:tc>
      </w:tr>
      <w:tr>
        <w:trPr/>
        <w:tc>
          <w:tcPr>
            <w:tcW w:w="3361" w:type="dxa"/>
            <w:tcBorders/>
            <w:shd w:fill="auto" w:val="clear"/>
            <w:vAlign w:val="bottom"/>
          </w:tcPr>
          <w:p>
            <w:pPr>
              <w:pStyle w:val="TableContents"/>
              <w:spacing w:before="0" w:after="283"/>
              <w:ind w:left="160" w:right="0" w:hanging="160"/>
              <w:rPr>
                <w:rFonts w:ascii="times" w:hAnsi="times"/>
                <w:b/>
                <w:sz w:val="36"/>
              </w:rPr>
            </w:pPr>
            <w:r>
              <w:rPr>
                <w:rFonts w:ascii="times" w:hAnsi="times"/>
                <w:b/>
                <w:sz w:val="36"/>
              </w:rPr>
              <w:t>J.P. Morgan</w:t>
            </w:r>
          </w:p>
        </w:tc>
        <w:tc>
          <w:tcPr>
            <w:tcW w:w="60" w:type="dxa"/>
            <w:tcBorders/>
            <w:shd w:fill="auto" w:val="clear"/>
            <w:vAlign w:val="bottom"/>
          </w:tcPr>
          <w:p>
            <w:pPr>
              <w:pStyle w:val="TableContents"/>
              <w:spacing w:before="0" w:after="283"/>
              <w:rPr/>
            </w:pPr>
            <w:r>
              <w:rPr/>
              <w:t> </w:t>
            </w:r>
          </w:p>
        </w:tc>
        <w:tc>
          <w:tcPr>
            <w:tcW w:w="33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62" w:type="dxa"/>
            <w:tcBorders/>
            <w:shd w:fill="auto" w:val="clear"/>
            <w:vAlign w:val="bottom"/>
          </w:tcPr>
          <w:p>
            <w:pPr>
              <w:pStyle w:val="TableContents"/>
              <w:spacing w:before="0" w:after="283"/>
              <w:ind w:left="360" w:right="0" w:hanging="360"/>
              <w:jc w:val="right"/>
              <w:rPr>
                <w:rFonts w:ascii="times" w:hAnsi="times"/>
                <w:b/>
                <w:sz w:val="36"/>
              </w:rPr>
            </w:pPr>
            <w:r>
              <w:rPr>
                <w:rFonts w:ascii="times" w:hAnsi="times"/>
                <w:b/>
                <w:sz w:val="36"/>
              </w:rPr>
              <w:t>Citigroup</w:t>
            </w:r>
          </w:p>
        </w:tc>
      </w:tr>
    </w:tbl>
    <w:p>
      <w:pPr>
        <w:pStyle w:val="HorizontalLine"/>
        <w:pBdr>
          <w:bottom w:val="single" w:sz="6" w:space="0" w:color="000000"/>
        </w:pBdr>
        <w:ind w:left="3776" w:right="3776" w:hanging="0"/>
        <w:rPr/>
      </w:pPr>
      <w:r>
        <w:rPr/>
      </w:r>
    </w:p>
    <w:p>
      <w:pPr>
        <w:pStyle w:val="TextBody"/>
        <w:rPr>
          <w:sz w:val="20"/>
        </w:rPr>
      </w:pPr>
      <w:r>
        <w:rPr>
          <w:sz w:val="20"/>
        </w:rPr>
      </w:r>
    </w:p>
    <w:p>
      <w:pPr>
        <w:pStyle w:val="TextBody"/>
        <w:jc w:val="center"/>
        <w:rPr>
          <w:rFonts w:ascii="times" w:hAnsi="times"/>
          <w:sz w:val="20"/>
        </w:rPr>
      </w:pPr>
      <w:r>
        <w:rPr>
          <w:rFonts w:ascii="times" w:hAnsi="times"/>
          <w:sz w:val="20"/>
        </w:rPr>
        <w:t xml:space="preserve">Prospectus dated                , 2014 </w:t>
      </w:r>
    </w:p>
    <w:p>
      <w:pPr>
        <w:pStyle w:val="HorizontalLine"/>
        <w:pBdr>
          <w:bottom w:val="single" w:sz="20" w:space="0" w:color="808080"/>
        </w:pBdr>
        <w:rPr/>
      </w:pPr>
      <w:r>
        <w:rPr/>
      </w:r>
      <w:r>
        <w:br w:type="page"/>
      </w:r>
    </w:p>
    <w:p>
      <w:pPr>
        <w:pStyle w:val="TextBody"/>
        <w:rPr/>
      </w:pPr>
      <w:hyperlink w:anchor="bg76101a_main_toc">
        <w:bookmarkStart w:id="4" w:name="page_bg76101_1_1"/>
        <w:bookmarkEnd w:id="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5" w:name="bg76101_table_of_contents"/>
      <w:bookmarkStart w:id="6" w:name="BG76101A_main_toc"/>
      <w:bookmarkEnd w:id="5"/>
      <w:bookmarkEnd w:id="6"/>
      <w:r>
        <w:rPr>
          <w:rFonts w:ascii="times" w:hAnsi="times"/>
          <w:sz w:val="20"/>
        </w:rPr>
        <w:br/>
      </w:r>
      <w:r>
        <w:rPr>
          <w:rFonts w:ascii="times" w:hAnsi="times"/>
          <w:b/>
          <w:sz w:val="20"/>
        </w:rPr>
        <w:t xml:space="preserve">TABLE OF CONTENTS </w:t>
      </w:r>
    </w:p>
    <w:p>
      <w:pPr>
        <w:pStyle w:val="Normal"/>
        <w:spacing w:before="0" w:after="0"/>
        <w:rPr>
          <w:sz w:val="4"/>
          <w:szCs w:val="4"/>
        </w:rPr>
      </w:pPr>
      <w:r>
        <w:rPr>
          <w:sz w:val="4"/>
          <w:szCs w:val="4"/>
        </w:rPr>
      </w:r>
      <w:bookmarkStart w:id="7" w:name="BG76101_TOC"/>
      <w:bookmarkStart w:id="8" w:name="BG76101_TOC"/>
      <w:bookmarkEnd w:id="8"/>
    </w:p>
    <w:tbl>
      <w:tblPr>
        <w:tblW w:w="5000" w:type="pct"/>
        <w:jc w:val="center"/>
        <w:tblInd w:w="0" w:type="dxa"/>
        <w:tblCellMar>
          <w:top w:w="0" w:type="dxa"/>
          <w:left w:w="0" w:type="dxa"/>
          <w:bottom w:w="0" w:type="dxa"/>
          <w:right w:w="0" w:type="dxa"/>
        </w:tblCellMar>
      </w:tblPr>
      <w:tblGrid>
        <w:gridCol w:w="8832"/>
        <w:gridCol w:w="294"/>
        <w:gridCol w:w="172"/>
        <w:gridCol w:w="612"/>
        <w:gridCol w:w="295"/>
      </w:tblGrid>
      <w:tr>
        <w:trPr/>
        <w:tc>
          <w:tcPr>
            <w:tcW w:w="883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8832" w:type="dxa"/>
            <w:tcBorders/>
            <w:shd w:fill="auto" w:val="clear"/>
            <w:vAlign w:val="bottom"/>
          </w:tcPr>
          <w:p>
            <w:pPr>
              <w:pStyle w:val="TableHeading"/>
              <w:spacing w:before="0" w:after="283"/>
              <w:jc w:val="left"/>
              <w:rPr/>
            </w:pPr>
            <w:r>
              <w:rPr/>
              <w:t> </w:t>
            </w:r>
          </w:p>
        </w:tc>
        <w:tc>
          <w:tcPr>
            <w:tcW w:w="294" w:type="dxa"/>
            <w:tcBorders/>
            <w:shd w:fill="auto" w:val="clear"/>
            <w:vAlign w:val="bottom"/>
          </w:tcPr>
          <w:p>
            <w:pPr>
              <w:pStyle w:val="TableHeading"/>
              <w:suppressLineNumbers/>
              <w:spacing w:before="0" w:after="283"/>
              <w:jc w:val="center"/>
              <w:rPr/>
            </w:pPr>
            <w:r>
              <w:rPr/>
              <w:t> </w:t>
            </w:r>
          </w:p>
        </w:tc>
        <w:tc>
          <w:tcPr>
            <w:tcW w:w="7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Page </w:t>
            </w:r>
          </w:p>
        </w:tc>
        <w:tc>
          <w:tcPr>
            <w:tcW w:w="295" w:type="dxa"/>
            <w:tcBorders/>
            <w:shd w:fill="auto" w:val="clear"/>
            <w:vAlign w:val="bottom"/>
          </w:tcPr>
          <w:p>
            <w:pPr>
              <w:pStyle w:val="TableHeading"/>
              <w:suppressLineNumbers/>
              <w:spacing w:before="0" w:after="283"/>
              <w:jc w:val="center"/>
              <w:rPr/>
            </w:pPr>
            <w:r>
              <w:rPr/>
              <w:t> </w:t>
            </w:r>
          </w:p>
        </w:tc>
      </w:tr>
      <w:tr>
        <w:trPr/>
        <w:tc>
          <w:tcPr>
            <w:tcW w:w="8832" w:type="dxa"/>
            <w:tcBorders/>
            <w:shd w:fill="auto" w:val="clear"/>
          </w:tcPr>
          <w:p>
            <w:pPr>
              <w:pStyle w:val="TableContents"/>
              <w:spacing w:before="0" w:after="283"/>
              <w:ind w:left="200" w:right="0" w:hanging="200"/>
              <w:rPr/>
            </w:pPr>
            <w:hyperlink w:anchor="bi76101_guide_to_reading_this_prospectus">
              <w:r>
                <w:rPr>
                  <w:rStyle w:val="InternetLink"/>
                  <w:rFonts w:ascii="times" w:hAnsi="times"/>
                  <w:sz w:val="20"/>
                </w:rPr>
                <w:t>Guide to Reading This Prospectus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bi76101_guide_to_reading_this_prospectus">
              <w:r>
                <w:rPr>
                  <w:rStyle w:val="InternetLink"/>
                  <w:rFonts w:ascii="times" w:hAnsi="times"/>
                  <w:sz w:val="20"/>
                </w:rPr>
                <w:t>ii</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bi76101_where_you_can_find_more_information">
              <w:r>
                <w:rPr>
                  <w:rStyle w:val="InternetLink"/>
                  <w:rFonts w:ascii="times" w:hAnsi="times"/>
                  <w:sz w:val="20"/>
                </w:rPr>
                <w:t>Where You Can Find More Information</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bi76101_where_you_can_find_more_information">
              <w:r>
                <w:rPr>
                  <w:rStyle w:val="InternetLink"/>
                  <w:rFonts w:ascii="times" w:hAnsi="times"/>
                  <w:sz w:val="20"/>
                </w:rPr>
                <w:t>ii</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bi76101_forward-looking_statements">
              <w:r>
                <w:rPr>
                  <w:rStyle w:val="InternetLink"/>
                  <w:rFonts w:ascii="times" w:hAnsi="times"/>
                  <w:sz w:val="20"/>
                </w:rPr>
                <w:t>Forward-Looking Statements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bi76101_forward-looking_statements">
              <w:r>
                <w:rPr>
                  <w:rStyle w:val="InternetLink"/>
                  <w:rFonts w:ascii="times" w:hAnsi="times"/>
                  <w:sz w:val="20"/>
                </w:rPr>
                <w:t>iii</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ca76101_summary">
              <w:r>
                <w:rPr>
                  <w:rStyle w:val="InternetLink"/>
                  <w:rFonts w:ascii="times" w:hAnsi="times"/>
                  <w:sz w:val="20"/>
                </w:rPr>
                <w:t>Summary</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ca76101_summary">
              <w:r>
                <w:rPr>
                  <w:rStyle w:val="InternetLink"/>
                  <w:rFonts w:ascii="times" w:hAnsi="times"/>
                  <w:sz w:val="20"/>
                </w:rPr>
                <w:t>1</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a76101_risk_factors">
              <w:r>
                <w:rPr>
                  <w:rStyle w:val="InternetLink"/>
                  <w:rFonts w:ascii="times" w:hAnsi="times"/>
                  <w:sz w:val="20"/>
                </w:rPr>
                <w:t>Risk Factors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a76101_risk_factors">
              <w:r>
                <w:rPr>
                  <w:rStyle w:val="InternetLink"/>
                  <w:rFonts w:ascii="times" w:hAnsi="times"/>
                  <w:sz w:val="20"/>
                </w:rPr>
                <w:t>9</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a76101_use_of_proceeds">
              <w:r>
                <w:rPr>
                  <w:rStyle w:val="InternetLink"/>
                  <w:rFonts w:ascii="times" w:hAnsi="times"/>
                  <w:sz w:val="20"/>
                </w:rPr>
                <w:t>Use of Proceeds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a76101_use_of_proceeds">
              <w:r>
                <w:rPr>
                  <w:rStyle w:val="InternetLink"/>
                  <w:rFonts w:ascii="times" w:hAnsi="times"/>
                  <w:sz w:val="20"/>
                </w:rPr>
                <w:t>10</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a76101_price_range_of_class_a_shares_and_distributions">
              <w:r>
                <w:rPr>
                  <w:rStyle w:val="InternetLink"/>
                  <w:rFonts w:ascii="times" w:hAnsi="times"/>
                  <w:sz w:val="20"/>
                </w:rPr>
                <w:t>Price Range of Class A Shares and Distributions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a76101_price_range_of_class_a_shares_and_distributions">
              <w:r>
                <w:rPr>
                  <w:rStyle w:val="InternetLink"/>
                  <w:rFonts w:ascii="times" w:hAnsi="times"/>
                  <w:sz w:val="20"/>
                </w:rPr>
                <w:t>11</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c76101_our_cash_distribution_policy">
              <w:r>
                <w:rPr>
                  <w:rStyle w:val="InternetLink"/>
                  <w:rFonts w:ascii="times" w:hAnsi="times"/>
                  <w:sz w:val="20"/>
                </w:rPr>
                <w:t>Our Cash Distribution Policy</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c76101_our_cash_distribution_policy">
              <w:r>
                <w:rPr>
                  <w:rStyle w:val="InternetLink"/>
                  <w:rFonts w:ascii="times" w:hAnsi="times"/>
                  <w:sz w:val="20"/>
                </w:rPr>
                <w:t>12</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c76101_the_partnership_agreement">
              <w:r>
                <w:rPr>
                  <w:rStyle w:val="InternetLink"/>
                  <w:rFonts w:ascii="times" w:hAnsi="times"/>
                  <w:sz w:val="20"/>
                </w:rPr>
                <w:t>The Partnership Agreement</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c76101_the_partnership_agreement">
              <w:r>
                <w:rPr>
                  <w:rStyle w:val="InternetLink"/>
                  <w:rFonts w:ascii="times" w:hAnsi="times"/>
                  <w:sz w:val="20"/>
                </w:rPr>
                <w:t>14</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g76101_description_of_our_shares">
              <w:r>
                <w:rPr>
                  <w:rStyle w:val="InternetLink"/>
                  <w:rFonts w:ascii="times" w:hAnsi="times"/>
                  <w:sz w:val="20"/>
                </w:rPr>
                <w:t>Description of Our Shares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g76101_description_of_our_shares">
              <w:r>
                <w:rPr>
                  <w:rStyle w:val="InternetLink"/>
                  <w:rFonts w:ascii="times" w:hAnsi="times"/>
                  <w:sz w:val="20"/>
                </w:rPr>
                <w:t>27</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g76101_material_u.s._federal_income_tax_consequences">
              <w:r>
                <w:rPr>
                  <w:rStyle w:val="InternetLink"/>
                  <w:rFonts w:ascii="times" w:hAnsi="times"/>
                  <w:sz w:val="20"/>
                </w:rPr>
                <w:t>Material U.S. Federal Income Tax Consequences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g76101_material_u.s._federal_income_tax_consequences">
              <w:r>
                <w:rPr>
                  <w:rStyle w:val="InternetLink"/>
                  <w:rFonts w:ascii="times" w:hAnsi="times"/>
                  <w:sz w:val="20"/>
                </w:rPr>
                <w:t>29</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i76101_investment_in_plains_gp_holdin__inv02443">
              <w:r>
                <w:rPr>
                  <w:rStyle w:val="InternetLink"/>
                  <w:rFonts w:ascii="times" w:hAnsi="times"/>
                  <w:sz w:val="20"/>
                </w:rPr>
                <w:t>Investment in Plains GP Holdings, L.P. by Employee Benefit Plans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i76101_investment_in_plains_gp_holdin__inv02443">
              <w:r>
                <w:rPr>
                  <w:rStyle w:val="InternetLink"/>
                  <w:rFonts w:ascii="times" w:hAnsi="times"/>
                  <w:sz w:val="20"/>
                </w:rPr>
                <w:t>35</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i76101_selling_shareholder">
              <w:r>
                <w:rPr>
                  <w:rStyle w:val="InternetLink"/>
                  <w:rFonts w:ascii="times" w:hAnsi="times"/>
                  <w:sz w:val="20"/>
                </w:rPr>
                <w:t>Selling Shareholder</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i76101_selling_shareholder">
              <w:r>
                <w:rPr>
                  <w:rStyle w:val="InternetLink"/>
                  <w:rFonts w:ascii="times" w:hAnsi="times"/>
                  <w:sz w:val="20"/>
                </w:rPr>
                <w:t>37</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i76101_underwriting">
              <w:r>
                <w:rPr>
                  <w:rStyle w:val="InternetLink"/>
                  <w:rFonts w:ascii="times" w:hAnsi="times"/>
                  <w:sz w:val="20"/>
                </w:rPr>
                <w:t>Underwriting</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i76101_underwriting">
              <w:r>
                <w:rPr>
                  <w:rStyle w:val="InternetLink"/>
                  <w:rFonts w:ascii="times" w:hAnsi="times"/>
                  <w:sz w:val="20"/>
                </w:rPr>
                <w:t>38</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k76101_legal_matters">
              <w:r>
                <w:rPr>
                  <w:rStyle w:val="InternetLink"/>
                  <w:rFonts w:ascii="times" w:hAnsi="times"/>
                  <w:sz w:val="20"/>
                </w:rPr>
                <w:t>Legal Matters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k76101_legal_matters">
              <w:r>
                <w:rPr>
                  <w:rStyle w:val="InternetLink"/>
                  <w:rFonts w:ascii="times" w:hAnsi="times"/>
                  <w:sz w:val="20"/>
                </w:rPr>
                <w:t>45</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dk76101_experts">
              <w:r>
                <w:rPr>
                  <w:rStyle w:val="InternetLink"/>
                  <w:rFonts w:ascii="times" w:hAnsi="times"/>
                  <w:sz w:val="20"/>
                </w:rPr>
                <w:t>Experts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dk76101_experts">
              <w:r>
                <w:rPr>
                  <w:rStyle w:val="InternetLink"/>
                  <w:rFonts w:ascii="times" w:hAnsi="times"/>
                  <w:sz w:val="20"/>
                </w:rPr>
                <w:t>45</w:t>
              </w:r>
            </w:hyperlink>
          </w:p>
        </w:tc>
        <w:tc>
          <w:tcPr>
            <w:tcW w:w="295" w:type="dxa"/>
            <w:tcBorders/>
            <w:shd w:fill="auto" w:val="clear"/>
            <w:vAlign w:val="bottom"/>
          </w:tcPr>
          <w:p>
            <w:pPr>
              <w:pStyle w:val="TableContents"/>
              <w:spacing w:before="0" w:after="283"/>
              <w:rPr/>
            </w:pPr>
            <w:r>
              <w:rPr/>
              <w:t> </w:t>
            </w:r>
          </w:p>
        </w:tc>
      </w:tr>
      <w:tr>
        <w:trPr/>
        <w:tc>
          <w:tcPr>
            <w:tcW w:w="8832" w:type="dxa"/>
            <w:tcBorders/>
            <w:shd w:fill="auto" w:val="clear"/>
          </w:tcPr>
          <w:p>
            <w:pPr>
              <w:pStyle w:val="TableContents"/>
              <w:spacing w:before="0" w:after="283"/>
              <w:ind w:left="200" w:right="0" w:hanging="200"/>
              <w:rPr/>
            </w:pPr>
            <w:hyperlink w:anchor="ha76101_appendix_a">
              <w:r>
                <w:rPr>
                  <w:rStyle w:val="InternetLink"/>
                  <w:rFonts w:ascii="times" w:hAnsi="times"/>
                  <w:sz w:val="20"/>
                </w:rPr>
                <w:t>Appendix A Glossary of Selected Terms</w:t>
              </w:r>
            </w:hyperlink>
          </w:p>
        </w:tc>
        <w:tc>
          <w:tcPr>
            <w:tcW w:w="294" w:type="dxa"/>
            <w:tcBorders/>
            <w:shd w:fill="auto" w:val="clear"/>
          </w:tcPr>
          <w:p>
            <w:pPr>
              <w:pStyle w:val="TableContents"/>
              <w:spacing w:before="0" w:after="283"/>
              <w:rPr/>
            </w:pPr>
            <w:r>
              <w:rPr/>
              <w:t> </w:t>
            </w:r>
          </w:p>
        </w:tc>
        <w:tc>
          <w:tcPr>
            <w:tcW w:w="172" w:type="dxa"/>
            <w:tcBorders/>
            <w:shd w:fill="auto" w:val="clear"/>
            <w:vAlign w:val="bottom"/>
          </w:tcPr>
          <w:p>
            <w:pPr>
              <w:pStyle w:val="TableContents"/>
              <w:spacing w:before="0" w:after="283"/>
              <w:rPr/>
            </w:pPr>
            <w:r>
              <w:rPr/>
              <w:t> </w:t>
            </w:r>
          </w:p>
        </w:tc>
        <w:tc>
          <w:tcPr>
            <w:tcW w:w="612" w:type="dxa"/>
            <w:tcBorders/>
            <w:shd w:fill="auto" w:val="clear"/>
            <w:vAlign w:val="bottom"/>
          </w:tcPr>
          <w:p>
            <w:pPr>
              <w:pStyle w:val="TableContents"/>
              <w:spacing w:before="0" w:after="283"/>
              <w:jc w:val="right"/>
              <w:rPr/>
            </w:pPr>
            <w:hyperlink w:anchor="ha76101_appendix_a">
              <w:r>
                <w:rPr>
                  <w:rStyle w:val="InternetLink"/>
                  <w:rFonts w:ascii="times" w:hAnsi="times"/>
                  <w:sz w:val="20"/>
                </w:rPr>
                <w:t>A-1</w:t>
              </w:r>
            </w:hyperlink>
          </w:p>
        </w:tc>
        <w:tc>
          <w:tcPr>
            <w:tcW w:w="295" w:type="dxa"/>
            <w:tcBorders/>
            <w:shd w:fill="auto" w:val="clear"/>
            <w:vAlign w:val="bottom"/>
          </w:tcPr>
          <w:p>
            <w:pPr>
              <w:pStyle w:val="TableContents"/>
              <w:spacing w:before="0" w:after="283"/>
              <w:rPr/>
            </w:pPr>
            <w:r>
              <w:rPr/>
              <w:t> </w:t>
            </w:r>
          </w:p>
        </w:tc>
      </w:tr>
    </w:tbl>
    <w:p>
      <w:pPr>
        <w:pStyle w:val="HorizontalLine"/>
        <w:pBdr>
          <w:bottom w:val="single" w:sz="6" w:space="0" w:color="000000"/>
        </w:pBdr>
        <w:ind w:left="3776" w:right="3776" w:hanging="0"/>
        <w:rPr/>
      </w:pPr>
      <w:r>
        <w:rPr/>
      </w:r>
    </w:p>
    <w:p>
      <w:pPr>
        <w:pStyle w:val="TextBody"/>
        <w:rPr>
          <w:sz w:val="20"/>
        </w:rPr>
      </w:pPr>
      <w:r>
        <w:rPr>
          <w:sz w:val="20"/>
        </w:rPr>
      </w:r>
    </w:p>
    <w:p>
      <w:pPr>
        <w:pStyle w:val="TextBody"/>
        <w:rPr/>
      </w:pPr>
      <w:r>
        <w:rPr/>
        <w:t>        </w:t>
      </w:r>
      <w:r>
        <w:rPr>
          <w:rFonts w:ascii="times" w:hAnsi="times"/>
          <w:b/>
          <w:sz w:val="20"/>
        </w:rPr>
        <w:t>You should rely only on the information contained in or incorporated by reference into this prospectus. We, the selling shareholder and the underwriters have not authorized anyone to provide you with additional or different information. If any other person provides you with additional, different or inconsistent information, you should not rely on it. This prospectus is not an offer to sell or the solicitation of an offer to buy any securities other than the securities to which they relate and is not an offer to sell or the solicitation of an offer to buy securities in any jurisdiction where an offer or sale is not permitted. You should not assume that the information appearing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w:t>
      </w:r>
    </w:p>
    <w:p>
      <w:pPr>
        <w:pStyle w:val="TextBody"/>
        <w:rPr/>
      </w:pPr>
      <w:r>
        <w:rPr/>
        <w:t>        </w:t>
      </w:r>
      <w:r>
        <w:rPr>
          <w:rFonts w:ascii="times" w:hAnsi="times"/>
          <w:sz w:val="20"/>
        </w:rPr>
        <w:t xml:space="preserve">The information in this prospectus is not complete. You should review carefully all of the detailed information appearing in this prospectus, any free writing prospectus relating to this offering and the documents we have incorporated by reference before making any investment decision. </w:t>
      </w:r>
    </w:p>
    <w:p>
      <w:pPr>
        <w:pStyle w:val="TextBody"/>
        <w:jc w:val="center"/>
        <w:rPr>
          <w:rFonts w:ascii="times" w:hAnsi="times"/>
          <w:sz w:val="20"/>
        </w:rPr>
      </w:pPr>
      <w:r>
        <w:rPr>
          <w:rFonts w:ascii="times" w:hAnsi="times"/>
          <w:sz w:val="20"/>
        </w:rPr>
        <w:t>i</w:t>
      </w:r>
    </w:p>
    <w:p>
      <w:pPr>
        <w:pStyle w:val="HorizontalLine"/>
        <w:pBdr>
          <w:bottom w:val="single" w:sz="20" w:space="0" w:color="808080"/>
        </w:pBdr>
        <w:rPr/>
      </w:pPr>
      <w:r>
        <w:rPr/>
      </w:r>
      <w:r>
        <w:br w:type="page"/>
      </w:r>
    </w:p>
    <w:p>
      <w:pPr>
        <w:pStyle w:val="TextBody"/>
        <w:rPr/>
      </w:pPr>
      <w:hyperlink w:anchor="bg76101a_main_toc">
        <w:bookmarkStart w:id="9" w:name="page_bi76101_1_2"/>
        <w:bookmarkEnd w:id="9"/>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0" w:name="toc_bi76101_1"/>
      <w:bookmarkStart w:id="11" w:name="bi76101_guide_to_reading_this_prospectus"/>
      <w:bookmarkEnd w:id="10"/>
      <w:bookmarkEnd w:id="11"/>
      <w:r>
        <w:rPr>
          <w:rFonts w:ascii="times" w:hAnsi="times"/>
          <w:sz w:val="20"/>
        </w:rPr>
        <w:br/>
      </w:r>
      <w:r>
        <w:rPr>
          <w:rFonts w:ascii="times" w:hAnsi="times"/>
          <w:b/>
          <w:sz w:val="20"/>
        </w:rPr>
        <w:t xml:space="preserve">GUIDE TO READING THIS PROSPECTUS </w:t>
      </w:r>
    </w:p>
    <w:p>
      <w:pPr>
        <w:pStyle w:val="TextBody"/>
        <w:rPr/>
      </w:pPr>
      <w:r>
        <w:rPr/>
        <w:t>        </w:t>
      </w:r>
      <w:r>
        <w:rPr>
          <w:rFonts w:ascii="times" w:hAnsi="times"/>
          <w:sz w:val="20"/>
        </w:rPr>
        <w:t>The following information should help you understand some of the conventions used in this prospectus. All references in this prospectus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"we," "us," "the Partnership" or "Plains GP Holdings, L.P." refer to Plains GP Holdings, L.P., the registrant itself, or to Plains GP Holdings, L.P. and our operating subsidiaries collectively, as the context requires;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refer to Plains All American Pipeline, L.P. (NYSE: PAA), individually, or to Plains All American Pipeline, L.P. and its operating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 or other matters involving PAA's assets and operating activities);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 GP" refer to PAA GP LLC, the general partner of PAA;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"AAP" refer to Plains AAP, L.P., which owns a 100% membership interest in PAA GP;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"GP LLC" refer to Plains All American GP LLC, the general partner of AAP;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refer to PAA GP Holdings LLC;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"partnership agreement" refer to the Amended and Restated Agreement of Limited Partnership of Plains GP Holdings, L.P.;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"Registration Rights Agreement" refer to the Shareholder and Registration Rights Agreement entered into with the Legacy Owners in connection with our initial public offering (our "IPO");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"affiliates" of our general partner do not include the Legacy Owners, other than PAA Management, L.P.;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"Legacy Owners" refer to owners of AAP immediately prior to our IPO, including the selling shareholder. </w:t>
      </w:r>
    </w:p>
    <w:p>
      <w:pPr>
        <w:pStyle w:val="TextBody"/>
        <w:jc w:val="center"/>
        <w:rPr>
          <w:rFonts w:ascii="times" w:hAnsi="times"/>
        </w:rPr>
      </w:pPr>
      <w:bookmarkStart w:id="12" w:name="toc_bi76101_2"/>
      <w:bookmarkStart w:id="13" w:name="bi76101_where_you_can_find_more_informat"/>
      <w:bookmarkEnd w:id="12"/>
      <w:bookmarkEnd w:id="13"/>
      <w:r>
        <w:rPr>
          <w:rFonts w:ascii="times" w:hAnsi="times"/>
          <w:sz w:val="20"/>
        </w:rPr>
        <w:br/>
      </w:r>
      <w:r>
        <w:rPr>
          <w:rFonts w:ascii="times" w:hAnsi="times"/>
          <w:b/>
          <w:sz w:val="20"/>
        </w:rPr>
        <w:t xml:space="preserve">WHERE YOU CAN FIND MORE INFORMATION </w:t>
      </w:r>
    </w:p>
    <w:p>
      <w:pPr>
        <w:pStyle w:val="TextBody"/>
        <w:rPr/>
      </w:pPr>
      <w:r>
        <w:rPr/>
        <w:t>        </w:t>
      </w:r>
      <w:r>
        <w:rPr>
          <w:rFonts w:ascii="times" w:hAnsi="times"/>
          <w:sz w:val="20"/>
        </w:rPr>
        <w:t xml:space="preserve">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 </w:t>
      </w:r>
    </w:p>
    <w:p>
      <w:pPr>
        <w:pStyle w:val="TextBody"/>
        <w:rPr/>
      </w:pPr>
      <w:r>
        <w:rPr/>
        <w:t>        </w:t>
      </w:r>
      <w:r>
        <w:rPr>
          <w:rFonts w:ascii="times" w:hAnsi="times"/>
          <w:sz w:val="20"/>
        </w:rPr>
        <w:t>We incorporate by reference the documents listed below and any future filings we make with the SEC under Section 13(a), 13(c), 14 or 15(d) of the Securities Exchange Act of 1934, as amended (the "Exchange Act") (excluding any information furnished pursuant to Item 2.02 or 7.01 on any Current Report on Form 8-K) until the offering under this registration statement is completed:</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Annual Report on Form 10-K for the year ended December 31, 2013;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Quarterly Reports on Form 10-Q for the quarterly periods ended March 31, 2014 and June 30, 2014; </w:t>
      </w:r>
    </w:p>
    <w:p>
      <w:pPr>
        <w:pStyle w:val="TextBody"/>
        <w:jc w:val="center"/>
        <w:rPr>
          <w:rFonts w:ascii="times" w:hAnsi="times"/>
          <w:sz w:val="20"/>
        </w:rPr>
      </w:pPr>
      <w:r>
        <w:rPr>
          <w:rFonts w:ascii="times" w:hAnsi="times"/>
          <w:sz w:val="20"/>
        </w:rPr>
        <w:t>ii</w:t>
      </w:r>
    </w:p>
    <w:p>
      <w:pPr>
        <w:pStyle w:val="HorizontalLine"/>
        <w:pBdr>
          <w:bottom w:val="single" w:sz="20" w:space="0" w:color="808080"/>
        </w:pBdr>
        <w:rPr/>
      </w:pPr>
      <w:r>
        <w:rPr/>
      </w:r>
      <w:r>
        <w:br w:type="page"/>
      </w:r>
    </w:p>
    <w:p>
      <w:pPr>
        <w:pStyle w:val="TextBody"/>
        <w:rPr/>
      </w:pPr>
      <w:hyperlink w:anchor="bg76101a_main_toc">
        <w:bookmarkStart w:id="14" w:name="page_bi76101_1_3"/>
        <w:bookmarkEnd w:id="14"/>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Current Reports on Form 8-K filed on January 10, 2014, January 28, 2014, April 29, 2014, September 11, 2014, September 25, 2014 and November 6, 2014;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description of our Class A shares contained in our Registration Statement on Form 8-A, filed on October 15, 2013, and any subsequent amendment or report filed for the purpose of updating such description. </w:t>
      </w:r>
    </w:p>
    <w:p>
      <w:pPr>
        <w:pStyle w:val="TextBody"/>
        <w:rPr/>
      </w:pPr>
      <w:r>
        <w:rPr/>
        <w:t>        </w:t>
      </w:r>
      <w:r>
        <w:rPr>
          <w:rFonts w:ascii="times" w:hAnsi="times"/>
          <w:sz w:val="20"/>
        </w:rPr>
        <w:t xml:space="preserve">You may request a copy of any document incorporated by reference in this prospectus and any exhibit specifically incorporated by reference in those documents, at no cost, by writing or telephoning us at the following address or phone number: </w:t>
      </w:r>
    </w:p>
    <w:p>
      <w:pPr>
        <w:pStyle w:val="TextBody"/>
        <w:jc w:val="center"/>
        <w:rPr>
          <w:rFonts w:ascii="times" w:hAnsi="times"/>
          <w:sz w:val="20"/>
        </w:rPr>
      </w:pPr>
      <w:r>
        <w:rPr>
          <w:rFonts w:ascii="times" w:hAnsi="times"/>
          <w:sz w:val="20"/>
        </w:rPr>
        <w:t>Plains GP Holdings, L.P.</w:t>
        <w:br/>
        <w:t>Investor Relations</w:t>
        <w:br/>
        <w:t>333 Clay Street, Suite 1600</w:t>
        <w:br/>
        <w:t>Houston, Texas 77002</w:t>
        <w:br/>
        <w:t xml:space="preserve">(713) 646-4100 </w:t>
      </w:r>
    </w:p>
    <w:p>
      <w:pPr>
        <w:pStyle w:val="TextBody"/>
        <w:rPr/>
      </w:pPr>
      <w:r>
        <w:rPr/>
        <w:t>        </w:t>
      </w:r>
      <w:r>
        <w:rPr>
          <w:rFonts w:ascii="times" w:hAnsi="times"/>
          <w:sz w:val="20"/>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times" w:hAnsi="times"/>
          <w:i/>
          <w:sz w:val="20"/>
        </w:rPr>
        <w:t>www.sec.gov</w:t>
      </w:r>
      <w:r>
        <w:rPr>
          <w:rFonts w:ascii="times" w:hAnsi="times"/>
          <w:sz w:val="20"/>
        </w:rPr>
        <w:t xml:space="preserve">. </w:t>
      </w:r>
    </w:p>
    <w:p>
      <w:pPr>
        <w:pStyle w:val="TextBody"/>
        <w:rPr/>
      </w:pPr>
      <w:r>
        <w:rPr/>
        <w:t>        </w:t>
      </w:r>
      <w:r>
        <w:rPr>
          <w:rFonts w:ascii="times" w:hAnsi="times"/>
          <w:sz w:val="20"/>
        </w:rPr>
        <w:t xml:space="preserve">We also make available free of charge on our website at </w:t>
      </w:r>
      <w:r>
        <w:rPr>
          <w:rFonts w:ascii="times" w:hAnsi="times"/>
          <w:i/>
          <w:sz w:val="20"/>
        </w:rPr>
        <w:t>ir.paagp.com</w:t>
      </w:r>
      <w:r>
        <w:rPr>
          <w:rFonts w:ascii="times" w:hAnsi="times"/>
        </w:rPr>
        <w:t xml:space="preserve"> </w:t>
      </w:r>
      <w:r>
        <w:rPr>
          <w:rFonts w:ascii="times" w:hAnsi="times"/>
          <w:sz w:val="20"/>
        </w:rPr>
        <w:t xml:space="preserve">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 </w:t>
      </w:r>
    </w:p>
    <w:p>
      <w:pPr>
        <w:pStyle w:val="TextBody"/>
        <w:jc w:val="center"/>
        <w:rPr>
          <w:rFonts w:ascii="times" w:hAnsi="times"/>
        </w:rPr>
      </w:pPr>
      <w:bookmarkStart w:id="15" w:name="toc_bi76101_3"/>
      <w:bookmarkStart w:id="16" w:name="bi76101_forward-looking_statements"/>
      <w:bookmarkEnd w:id="15"/>
      <w:bookmarkEnd w:id="16"/>
      <w:r>
        <w:rPr>
          <w:rFonts w:ascii="times" w:hAnsi="times"/>
          <w:sz w:val="20"/>
        </w:rPr>
        <w:br/>
      </w:r>
      <w:r>
        <w:rPr>
          <w:rFonts w:ascii="times" w:hAnsi="times"/>
          <w:b/>
          <w:sz w:val="20"/>
        </w:rPr>
        <w:t xml:space="preserve">FORWARD-LOOKING STATEMENTS </w:t>
      </w:r>
    </w:p>
    <w:p>
      <w:pPr>
        <w:pStyle w:val="TextBody"/>
        <w:rPr/>
      </w:pPr>
      <w:r>
        <w:rPr/>
        <w:t>        </w:t>
      </w:r>
      <w:r>
        <w:rPr>
          <w:rFonts w:ascii="times" w:hAnsi="times"/>
          <w:sz w:val="20"/>
        </w:rPr>
        <w:t>All statements included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pay distributions to our Class A shareholders;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expected receipt of, and amounts of, distributions from AAP;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failure to implement or capitalize, or delays in implementing or capitalizing, on planned internal growth projects;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unanticipated changes in crude oil market structure, grade differentials and volatility (or lack thereof);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environmental liabilities or events that are not covered by an indemnity, insurance or existing reserves;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declines in the volume of crude oil, refined product and NGL shipped, processed, purchased, stored, fractionated and/or gathered at or through the use of our facilities, whether due to </w:t>
      </w:r>
    </w:p>
    <w:p>
      <w:pPr>
        <w:pStyle w:val="TextBody"/>
        <w:jc w:val="center"/>
        <w:rPr>
          <w:rFonts w:ascii="times" w:hAnsi="times"/>
          <w:sz w:val="20"/>
        </w:rPr>
      </w:pPr>
      <w:r>
        <w:rPr>
          <w:rFonts w:ascii="times" w:hAnsi="times"/>
          <w:sz w:val="20"/>
        </w:rPr>
        <w:t>iii</w:t>
      </w:r>
    </w:p>
    <w:p>
      <w:pPr>
        <w:pStyle w:val="HorizontalLine"/>
        <w:pBdr>
          <w:bottom w:val="single" w:sz="20" w:space="0" w:color="808080"/>
        </w:pBdr>
        <w:rPr/>
      </w:pPr>
      <w:r>
        <w:rPr/>
      </w:r>
      <w:r>
        <w:br w:type="page"/>
      </w:r>
    </w:p>
    <w:p>
      <w:pPr>
        <w:pStyle w:val="TextBody"/>
        <w:rPr/>
      </w:pPr>
      <w:hyperlink w:anchor="bg76101a_main_toc">
        <w:bookmarkStart w:id="17" w:name="page_bi76101_1_4"/>
        <w:bookmarkEnd w:id="17"/>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declines in production from existing oil and gas reserves, failure to develop or slowdown in the development of additional oil and gas reserves or other factors;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refinery capacity in areas supplied by our mainlines and other factors affecting demand for various grades of crude oil, refined products and natural gas and resulting changes in pricing conditions or transportation throughput requirements;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occurrence of a natural disaster, catastrophe, terrorist attack or other event, including attacks on our electronic and computer systems;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weather interference with business operations or project construction, including the impact of extreme weather events or conditions;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tightened capital markets or other factors that increase our cost of capital or limit our access to capital;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maintenance of PAA's credit rating and ability to receive open credit from our suppliers and trade counterparties;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continued creditworthiness of, and performance by, our counterparties, including financial institutions and trading companies with which we do business;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currency exchange rate of the Canadian dollar;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availability of, and our ability to consummate, acquisition or combination opportunities;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successful integration and future performance of acquired assets or businesses and the risks associated with operating in lines of business that are distinct and separate from our historical operations;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shortages or cost increases of supplies, materials or labor;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effectiveness of our risk management activities;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ability to obtain debt or equity financing on satisfactory terms to fund additional acquisitions, expansion projects, working capital requirements and the repayment or refinancing of indebtedness;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impact of current and future laws, rulings, governmental regulations, accounting standards and statements, and related interpretations;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non-utilization of our assets and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effects of competition;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increased costs or lack of availability of insurance;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fluctuations in the debt and equity markets, including the price of PAA's units at the time of vesting under its long-term incentive plans;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risks related to the development and operation of our facilities, including our ability to satisfy our contractual obligations to our customers at our facilities;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factors affecting demand for natural gas and natural gas storage services and rates;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general economic, market or business conditions and the amplification of other risks caused by volatile financial markets, capital constraints and pervasive liquidity concerns;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factors and uncertainties inherent in the transportation, storage, terminalling and marketing of crude oil and refined products, as well as in the storage of natural gas and the processing, transportation, fractionation, storage and marketing of natural gas liquids. </w:t>
      </w:r>
    </w:p>
    <w:p>
      <w:pPr>
        <w:pStyle w:val="TextBody"/>
        <w:jc w:val="center"/>
        <w:rPr>
          <w:rFonts w:ascii="times" w:hAnsi="times"/>
          <w:sz w:val="20"/>
        </w:rPr>
      </w:pPr>
      <w:r>
        <w:rPr>
          <w:rFonts w:ascii="times" w:hAnsi="times"/>
          <w:sz w:val="20"/>
        </w:rPr>
        <w:t>iv</w:t>
      </w:r>
    </w:p>
    <w:p>
      <w:pPr>
        <w:pStyle w:val="HorizontalLine"/>
        <w:pBdr>
          <w:bottom w:val="single" w:sz="20" w:space="0" w:color="808080"/>
        </w:pBdr>
        <w:rPr/>
      </w:pPr>
      <w:r>
        <w:rPr/>
      </w:r>
      <w:r>
        <w:br w:type="page"/>
      </w:r>
    </w:p>
    <w:p>
      <w:pPr>
        <w:pStyle w:val="TextBody"/>
        <w:rPr/>
      </w:pPr>
      <w:hyperlink w:anchor="bg76101a_main_toc">
        <w:bookmarkStart w:id="18" w:name="page_bi76101_1_5"/>
        <w:bookmarkEnd w:id="18"/>
        <w:r>
          <w:rPr>
            <w:rStyle w:val="InternetLink"/>
            <w:rFonts w:ascii="times" w:hAnsi="times"/>
            <w:sz w:val="20"/>
          </w:rPr>
          <w:t>Table of Contents</w:t>
        </w:r>
      </w:hyperlink>
    </w:p>
    <w:p>
      <w:pPr>
        <w:pStyle w:val="TextBody"/>
        <w:rPr/>
      </w:pPr>
      <w:r>
        <w:rPr/>
        <w:t>        </w:t>
      </w:r>
      <w:r>
        <w:rPr>
          <w:rFonts w:ascii="times" w:hAnsi="times"/>
          <w:sz w:val="20"/>
        </w:rPr>
        <w:t xml:space="preserve">Other factors described or incorporated by reference herein, as well as factors that are unknown or unpredictable, could also have a material adverse effect on future results. Please read "Risk Factors" beginning on page 9 of this prospectus and in our Annual Report on Form 10-K for the fiscal year ended December 31, 2013 (File No. 001-36132), which is incorporated in this prospectus by reference, for information regarding risks you should consider before making an investment decision. Except as required by applicable securities laws, we do not intend to update these forward-looking statements and information. </w:t>
      </w:r>
    </w:p>
    <w:p>
      <w:pPr>
        <w:pStyle w:val="TextBody"/>
        <w:jc w:val="center"/>
        <w:rPr>
          <w:rFonts w:ascii="times" w:hAnsi="times"/>
          <w:sz w:val="20"/>
        </w:rPr>
      </w:pPr>
      <w:r>
        <w:rPr>
          <w:rFonts w:ascii="times" w:hAnsi="times"/>
          <w:sz w:val="20"/>
        </w:rPr>
        <w:t>v</w:t>
      </w:r>
    </w:p>
    <w:p>
      <w:pPr>
        <w:pStyle w:val="HorizontalLine"/>
        <w:pBdr>
          <w:bottom w:val="single" w:sz="20" w:space="0" w:color="808080"/>
        </w:pBdr>
        <w:rPr/>
      </w:pPr>
      <w:r>
        <w:rPr/>
      </w:r>
      <w:r>
        <w:br w:type="page"/>
      </w:r>
    </w:p>
    <w:p>
      <w:pPr>
        <w:pStyle w:val="TextBody"/>
        <w:rPr/>
      </w:pPr>
      <w:hyperlink w:anchor="bg76101a_main_toc">
        <w:bookmarkStart w:id="19" w:name="page_ca76101_1_1"/>
        <w:bookmarkEnd w:id="19"/>
        <w:r>
          <w:rPr>
            <w:rStyle w:val="InternetLink"/>
            <w:rFonts w:ascii="times" w:hAnsi="times"/>
            <w:sz w:val="20"/>
          </w:rPr>
          <w:t>Table of Contents</w:t>
        </w:r>
      </w:hyperlink>
      <w:r>
        <w:rPr>
          <w:rFonts w:ascii="times" w:hAnsi="times"/>
          <w:sz w:val="20"/>
        </w:rPr>
        <w:t xml:space="preserve"> </w:t>
      </w:r>
    </w:p>
    <w:p>
      <w:pPr>
        <w:pStyle w:val="TextBody"/>
        <w:rPr/>
      </w:pPr>
      <w:r>
        <w:rPr/>
        <w:t> </w:t>
      </w:r>
    </w:p>
    <w:p>
      <w:pPr>
        <w:pStyle w:val="TextBody"/>
        <w:ind w:left="0" w:right="0" w:firstLine="240"/>
        <w:jc w:val="center"/>
        <w:rPr>
          <w:rFonts w:ascii="times" w:hAnsi="times"/>
          <w:bdr w:val="single" w:sz="8" w:space="12" w:color="000000"/>
        </w:rPr>
      </w:pPr>
      <w:bookmarkStart w:id="20" w:name="toc_ca76101_1"/>
      <w:bookmarkStart w:id="21" w:name="ca76101_summary"/>
      <w:bookmarkEnd w:id="20"/>
      <w:bookmarkEnd w:id="21"/>
      <w:r>
        <w:rPr>
          <w:rFonts w:ascii="times" w:hAnsi="times"/>
          <w:sz w:val="20"/>
          <w:bdr w:val="single" w:sz="8" w:space="12" w:color="000000"/>
        </w:rPr>
        <w:br/>
      </w:r>
      <w:r>
        <w:rPr>
          <w:rFonts w:ascii="times" w:hAnsi="times"/>
          <w:b/>
          <w:sz w:val="20"/>
          <w:bdr w:val="single" w:sz="8" w:space="12" w:color="000000"/>
        </w:rPr>
        <w:t xml:space="preserve">SUMMARY </w:t>
      </w:r>
    </w:p>
    <w:p>
      <w:pPr>
        <w:pStyle w:val="TextBody"/>
        <w:ind w:left="0" w:right="0" w:firstLine="240"/>
        <w:rPr>
          <w:bdr w:val="single" w:sz="8" w:space="12" w:color="000000"/>
        </w:rPr>
      </w:pPr>
      <w:r>
        <w:rPr>
          <w:bdr w:val="single" w:sz="8" w:space="12" w:color="000000"/>
        </w:rPr>
        <w:t>        </w:t>
      </w:r>
      <w:r>
        <w:rPr>
          <w:rFonts w:ascii="times" w:hAnsi="times"/>
          <w:i/>
          <w:sz w:val="20"/>
          <w:bdr w:val="single" w:sz="8" w:space="12" w:color="000000"/>
        </w:rPr>
        <w:t>This summary highlights information included or incorporated by reference in this prospectus. You should read carefully the entire prospectus, the documents incorporated by reference herein and the other documents to which we refer for a more complete understanding of this offering. Furthermore, you should carefully read "Risk Factors" and "Forward-Looking Statements" for more information about important risks that you should consider before making a decision to purchase Class A shares in this offering. We include a glossary of some of the terms used in this prospectus as Appendix A.</w:t>
      </w:r>
    </w:p>
    <w:p>
      <w:pPr>
        <w:pStyle w:val="TextBody"/>
        <w:ind w:left="0" w:right="0" w:firstLine="240"/>
        <w:jc w:val="center"/>
        <w:rPr>
          <w:rFonts w:ascii="times" w:hAnsi="times"/>
          <w:bdr w:val="single" w:sz="8" w:space="12" w:color="000000"/>
        </w:rPr>
      </w:pPr>
      <w:bookmarkStart w:id="22" w:name="toc_ca76101_2"/>
      <w:bookmarkStart w:id="23" w:name="ca76101_plains_gp_holdings,_l.p."/>
      <w:bookmarkEnd w:id="22"/>
      <w:bookmarkEnd w:id="23"/>
      <w:r>
        <w:rPr>
          <w:rFonts w:ascii="times" w:hAnsi="times"/>
          <w:sz w:val="20"/>
          <w:bdr w:val="single" w:sz="8" w:space="12" w:color="000000"/>
        </w:rPr>
        <w:br/>
      </w:r>
      <w:r>
        <w:rPr>
          <w:rFonts w:ascii="times" w:hAnsi="times"/>
          <w:b/>
          <w:sz w:val="20"/>
          <w:bdr w:val="single" w:sz="8" w:space="12" w:color="000000"/>
        </w:rPr>
        <w:t xml:space="preserve">Plains GP Holdings, L.P.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We are a Delaware limited partnership formed in July 2013 that has elected to be treated as a corporation for U.S. federal income tax purposes. As of September 30, 2014, our only cash-generating assets consisted of 136,046,637 Class A Units in AAP, which we refer to as AAP units, which represent a 22.4% limited partner interest in AAP (20.9% economic interest including the dilutive effect of the AAP management units). AAP currently owns all of the incentive distribution rights ("IDRs") and an indirect 2% general partner interest in PAA.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 is a publicly traded limited partnership engaged in the transportation, storage, terminalling and marketing of crude oil and refined products, as well as in the processing, transportation, fractionation, storage and marketing of natural gas liquids ("NGL"). PAA is one of the largest publicly traded partnerships with an extensive network of pipeline transportation, terminalling, storage and gathering assets in key crude oil and NGL producing basins and transportation corridors and at major market hubs in the United States and Canada. As of September 30, 2014, the market capitalization of PAA's common units totaled approximately $21.9 billion, and on an average daily basis, PAA transported over 3.9 million barrels of crude oil and NGL on its pipelines.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To a lesser extent, PAA also engages in similar activities for natural gas and refined products. </w:t>
      </w:r>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Our Business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As of September 30, 2014, our only cash-generating assets consisted of 136,046,637 Class A Units in AAP, which represented a 22.4% limited partner interest in AAP (20.9% economic interest including the dilutive effect of the AAP management units). Unless we directly acquire and hold assets or businesses in the future, our cash flows will be generated solely from the cash distributions we receive from AAP. AAP does not own any common units in PAA and currently receives all of its cash flows from distributions on its direct ownership of PAA's IDRs and its indirect ownership of PAA's 2% general partner interest. AAP's ownership of both of these interests entitles it to receive, without duplication:</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2% of all cash distributed in a quarter until $0.2250 has been distributed in respect of each common unit of PAA for that quarter;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15% of all cash distributed in a quarter after $0.2250 has been distributed in respect of each common unit of PAA for that quarter;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25% of all cash distributed in a quarter after $0.2475 has been distributed in respect of each common unit of PAA for that quarter; and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1</w:t>
      </w:r>
    </w:p>
    <w:p>
      <w:pPr>
        <w:pStyle w:val="HorizontalLine"/>
        <w:pBdr>
          <w:bottom w:val="single" w:sz="20" w:space="0" w:color="808080"/>
        </w:pBdr>
        <w:rPr/>
      </w:pPr>
      <w:r>
        <w:rPr/>
      </w:r>
      <w:r>
        <w:br w:type="page"/>
      </w:r>
    </w:p>
    <w:p>
      <w:pPr>
        <w:pStyle w:val="TextBody"/>
        <w:rPr/>
      </w:pPr>
      <w:hyperlink w:anchor="bg76101a_main_toc">
        <w:bookmarkStart w:id="24" w:name="page_ca76101_1_2"/>
        <w:bookmarkEnd w:id="24"/>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50% of all cash distributed in a quarter after $0.3375 has been distributed in respect of each common unit of PAA for that quarter.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Such amounts do not take into account temporary and permanent reductions in IDR payments that are currently in place in connection with past PAA acquisition activities or that may be implemented with respect to future activities. The cash distributions AAP receives from PAA are tied to (i) PAA's per unit distribution level and (ii) the number of PAA common units outstanding. An increase in either factor (assuming the other factor remains constant or increases) will generally, absent additional IDR reductions, result in an increase in the amount of cash distributions AAP receives from PAA, a portion of which we, in turn, receive from AAP. Because the IDRs currently participate at the maximum percentage participation rate, any future growth in distributions we receive from AAP will not result from an increase in the percentage participation rate associated with the IDRs.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As a result of our ownership of an interest in PAA's IDRs through our ownership interest in AAP, we are positioned to grow our distributions disproportionately relative to the growth rate of PAA's common unit distributions. Distributions by PAA to AAP will grow at a multiple of the underlying rate of growth of PAA's distributions. Accordingly, our primary business objective is to increase our cash available for distribution to our Class A shareholders through the execution by PAA of its business strategy. In addition, we may facilitate PAA's growth activities through various means, including, but not limited to, modifying PAA's IDRs, making loans, purchasing equity interests or providing other forms of financial support to PAA. </w:t>
      </w:r>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Our Financial Strategy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Our financial strategy is designed to be complementary with PAA's financial and business strategies. Because our only cash-generating assets consist of our partnership interests in AAP, which currently derives all of its cash flows from PAA's distributions, we intend to maintain a level of indebtedness at AAP such that it will not be material in relation to PAA's adjusted EBITDA or other financial metrics used in the evaluation of its business. As of September 30, 2014, AAP had $531 million of debt outstanding under its credit facility. In connection with future PAA equity issuances, we expect AAP may fund any capital contribution required to maintain its indirect 2% general partner interest in PAA with credit facility borrowings. We do not anticipate that additional debt associated with these contributions will be material to PAA's consolidated credit profile, as such equity issuances are typically used to pay down existing debt or fund PAA's growth through acquisitions or organic growth opportunities. We would expect to fund direct acquisitions made by us, if any, with a combination of debt and equity. </w:t>
      </w:r>
    </w:p>
    <w:p>
      <w:pPr>
        <w:pStyle w:val="TextBody"/>
        <w:ind w:left="0" w:right="0" w:firstLine="240"/>
        <w:jc w:val="center"/>
        <w:rPr>
          <w:rFonts w:ascii="times" w:hAnsi="times"/>
          <w:bdr w:val="single" w:sz="8" w:space="12" w:color="000000"/>
        </w:rPr>
      </w:pPr>
      <w:bookmarkStart w:id="25" w:name="toc_ca76101_3"/>
      <w:bookmarkStart w:id="26" w:name="ca76101_plains_all_american_pipeline,_l."/>
      <w:bookmarkEnd w:id="25"/>
      <w:bookmarkEnd w:id="26"/>
      <w:r>
        <w:rPr>
          <w:rFonts w:ascii="times" w:hAnsi="times"/>
          <w:sz w:val="20"/>
          <w:bdr w:val="single" w:sz="8" w:space="12" w:color="000000"/>
        </w:rPr>
        <w:br/>
      </w:r>
      <w:r>
        <w:rPr>
          <w:rFonts w:ascii="times" w:hAnsi="times"/>
          <w:b/>
          <w:sz w:val="20"/>
          <w:bdr w:val="single" w:sz="8" w:space="12" w:color="000000"/>
        </w:rPr>
        <w:t xml:space="preserve">Plains All American Pipeline, L.P. </w:t>
      </w:r>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Assets and Operating Activities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We currently have no separate operating activities apart from those of PAA, which are managed through three operating segments: (i) Transportation, (ii) Facilities, and (iii) Supply and Logistics. Following is a description of the activities and assets for each business segment as of December 31, 2013: </w:t>
      </w:r>
    </w:p>
    <w:p>
      <w:pPr>
        <w:pStyle w:val="TextBody"/>
        <w:ind w:left="0" w:right="0" w:firstLine="240"/>
        <w:rPr>
          <w:bdr w:val="single" w:sz="8" w:space="12" w:color="000000"/>
        </w:rPr>
      </w:pPr>
      <w:r>
        <w:rPr>
          <w:bdr w:val="single" w:sz="8" w:space="12" w:color="000000"/>
        </w:rPr>
        <w:t>        </w:t>
      </w:r>
      <w:r>
        <w:rPr>
          <w:rFonts w:ascii="times" w:hAnsi="times"/>
          <w:b/>
          <w:i/>
          <w:sz w:val="20"/>
          <w:bdr w:val="single" w:sz="8" w:space="12" w:color="000000"/>
        </w:rPr>
        <w:t>Transportation Segment.</w:t>
      </w:r>
      <w:r>
        <w:rPr>
          <w:rFonts w:ascii="times" w:hAnsi="times"/>
          <w:bdr w:val="single" w:sz="8" w:space="12" w:color="000000"/>
        </w:rPr>
        <w:t>    </w:t>
      </w:r>
      <w:r>
        <w:rPr>
          <w:rFonts w:ascii="times" w:hAnsi="times"/>
          <w:sz w:val="20"/>
          <w:bdr w:val="single" w:sz="8" w:space="12" w:color="000000"/>
        </w:rPr>
        <w:t>Our transportation segment operations generally consist of fee-based activities associated with transporting crude oil and NGL on pipelines, gathering systems, trucks and barges. We generate revenue through a combination of tariffs, third-party leases of pipeline capacity and other transportation fees. As of December 31, 2013, we employed a variety of owned or, to a much lesser extent, leased long-term physical assets throughout the United States and Canada in this segment, including approximately:</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16,900 miles of active crude oil, NGL pipelines and gathering systems;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2</w:t>
      </w:r>
    </w:p>
    <w:p>
      <w:pPr>
        <w:pStyle w:val="HorizontalLine"/>
        <w:pBdr>
          <w:bottom w:val="single" w:sz="20" w:space="0" w:color="808080"/>
        </w:pBdr>
        <w:rPr/>
      </w:pPr>
      <w:r>
        <w:rPr/>
      </w:r>
      <w:r>
        <w:br w:type="page"/>
      </w:r>
    </w:p>
    <w:p>
      <w:pPr>
        <w:pStyle w:val="TextBody"/>
        <w:rPr/>
      </w:pPr>
      <w:hyperlink w:anchor="bg76101a_main_toc">
        <w:bookmarkStart w:id="27" w:name="page_ca76101_1_3"/>
        <w:bookmarkEnd w:id="27"/>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24 million barrels of active, above-ground tank capacity used primarily to facilitate pipeline throughput;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744 trailers (primarily in Canada);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130 transport and storage barges and 62 transport tugs through our interest in Settoon Towing, LLC ("Settoon Towing").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We also include in this segment our equity earnings from our investments in Settoon Towing and the White Cliffs, Butte, Frontier and Eagle Ford pipeline systems, in which we own noncontrolling interests. </w:t>
      </w:r>
    </w:p>
    <w:p>
      <w:pPr>
        <w:pStyle w:val="TextBody"/>
        <w:ind w:left="0" w:right="0" w:firstLine="240"/>
        <w:rPr>
          <w:bdr w:val="single" w:sz="8" w:space="12" w:color="000000"/>
        </w:rPr>
      </w:pPr>
      <w:r>
        <w:rPr>
          <w:bdr w:val="single" w:sz="8" w:space="12" w:color="000000"/>
        </w:rPr>
        <w:t>        </w:t>
      </w:r>
      <w:r>
        <w:rPr>
          <w:rFonts w:ascii="times" w:hAnsi="times"/>
          <w:b/>
          <w:i/>
          <w:sz w:val="20"/>
          <w:bdr w:val="single" w:sz="8" w:space="12" w:color="000000"/>
        </w:rPr>
        <w:t>Facilities Segment.</w:t>
      </w:r>
      <w:r>
        <w:rPr>
          <w:rFonts w:ascii="times" w:hAnsi="times"/>
          <w:bdr w:val="single" w:sz="8" w:space="12" w:color="000000"/>
        </w:rPr>
        <w:t>    </w:t>
      </w:r>
      <w:r>
        <w:rPr>
          <w:rFonts w:ascii="times" w:hAnsi="times"/>
          <w:sz w:val="20"/>
          <w:bdr w:val="single" w:sz="8" w:space="12" w:color="000000"/>
        </w:rPr>
        <w:t>Our facilities segment operations generally consist of fee-based activities associated with providing storage, terminalling and throughput services for crude oil, refined products, NGL and natural gas, NGL fractionation and isomerization services and natural gas and condensate processing services. We generate revenue through a combination of month-to-month and multi-year leases and processing arrangements. As of December 31, 2013, we owned, operated or employed a variety of long-term physical assets throughout the United States and Canada in this segment, including:</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approximately 74 million barrels of crude oil and refined products storage capacity primarily at our terminalling and storage locations;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approximately 23 million barrels of NGL storage capacity;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approximately 97 billion cubic feet ("Bcf") of natural gas storage working capacity;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approximately 17 Bcf of owned base gas;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11 natural gas processing plants located throughout Canada and the Gulf Coast area of the United States;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 condensate stabilization facility located in the Eagle Ford area of South Texas with an aggregate processing capacity of approximately 80,000 barrels per day;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seven fractionation plants located throughout Canada and the United States with an aggregate gross processing capacity of approximately 221,800 barrels per day, and an isomerization and fractionation facility in California with an aggregate processing capacity of approximately 14,000 barrels per day;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24 crude oil and NGL rail terminals located throughout the United States and Canada;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approximately 1,250 miles of active pipelines that support our facilities assets, consisting primarily of NGL and natural gas pipelines. </w:t>
      </w:r>
    </w:p>
    <w:p>
      <w:pPr>
        <w:pStyle w:val="TextBody"/>
        <w:ind w:left="0" w:right="0" w:firstLine="240"/>
        <w:rPr>
          <w:bdr w:val="single" w:sz="8" w:space="12" w:color="000000"/>
        </w:rPr>
      </w:pPr>
      <w:r>
        <w:rPr>
          <w:bdr w:val="single" w:sz="8" w:space="12" w:color="000000"/>
        </w:rPr>
        <w:t>        </w:t>
      </w:r>
      <w:r>
        <w:rPr>
          <w:rFonts w:ascii="times" w:hAnsi="times"/>
          <w:b/>
          <w:i/>
          <w:sz w:val="20"/>
          <w:bdr w:val="single" w:sz="8" w:space="12" w:color="000000"/>
        </w:rPr>
        <w:t>Supply and Logistics Segment.</w:t>
      </w:r>
      <w:r>
        <w:rPr>
          <w:rFonts w:ascii="times" w:hAnsi="times"/>
          <w:bdr w:val="single" w:sz="8" w:space="12" w:color="000000"/>
        </w:rPr>
        <w:t>    </w:t>
      </w:r>
      <w:r>
        <w:rPr>
          <w:rFonts w:ascii="times" w:hAnsi="times"/>
          <w:sz w:val="20"/>
          <w:bdr w:val="single" w:sz="8" w:space="12" w:color="000000"/>
        </w:rPr>
        <w:t>Our supply and logistics segment operations generally consist of the following merchant-related activities:</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purchase of U.S. and Canadian crude oil at the wellhead, the bulk purchase of crude oil at pipeline, terminal and rail facilities, and the purchase of cargos at their load port and various other locations in transit;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storage of inventory during contango market conditions and the seasonal storage of NGL;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purchase of NGL from producers, refiners, processors and other marketers;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resale or exchange of crude oil and NGL at various points along the distribution chain to refiners or other resellers to maximize profits; and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3</w:t>
      </w:r>
    </w:p>
    <w:p>
      <w:pPr>
        <w:pStyle w:val="HorizontalLine"/>
        <w:pBdr>
          <w:bottom w:val="single" w:sz="20" w:space="0" w:color="808080"/>
        </w:pBdr>
        <w:rPr/>
      </w:pPr>
      <w:r>
        <w:rPr/>
      </w:r>
      <w:r>
        <w:br w:type="page"/>
      </w:r>
    </w:p>
    <w:p>
      <w:pPr>
        <w:pStyle w:val="TextBody"/>
        <w:rPr/>
      </w:pPr>
      <w:hyperlink w:anchor="bg76101a_main_toc">
        <w:bookmarkStart w:id="28" w:name="page_ca76101_1_4"/>
        <w:bookmarkEnd w:id="28"/>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the transportation of crude oil and NGL on trucks, barges, railcars, pipelines and ocean-going vessels from various delivery points, market hub locations or directly to end users such as refineries, processors and fractionation facilities.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In addition to substantial working inventories associated with its merchant activities, as of December 31, 2013, the supply and logistics segment also owned significant volumes of crude oil and NGL classified as long-term assets for linefill or minimum inventory requirements and employs a variety of owned or leased physical assets throughout the United States and Canada, including approximately:</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12 million barrels of crude oil and NGL linefill in pipelines owned by us;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4 million barrels of crude oil and NGL linefill in pipelines owned by third parties and other long-term inventory;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843 trucks and 982 trailers;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7,400 crude oil and NGL railcars. </w:t>
      </w:r>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PAA's Business Strategy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PAA's principal business strategy is to provide competitive and efficient midstream transportation, terminalling, storage, processing, fractionation and supply and logistics services to producers, refiners and other customers. Toward this end, PAA endeavors to address regional supply and demand imbalances for crude oil and NGL in the United States and Canada by combining the strategic location and capabilities of its transportation, terminalling, storage, processing and fractionation assets with its extensive supply, logistics and distribution expertise. To a lesser extent, PAA also engages in similar activities for natural gas and refined products. We believe PAA's successful execution of this strategy will enable it to generate sustainable earnings and cash flow. PAA intends to manage and grow its business by:</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commercially optimizing its existing assets and realizing cost efficiencies through operational improvements;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using its transportation (including pipeline, rail, barge and truck), terminalling, storage, processing and fractionation assets in conjunction with its supply and logistics activities to capitalize on inefficient energy markets and to address physical market imbalances, mitigate inherent risks and increase margin;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developing and implementing internal growth projects that (i) address evolving crude oil and NGL needs in the midstream transportation and infrastructure sector and (ii) are well positioned to benefit from long-term industry trends and opportunities;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selectively pursuing strategic and accretive acquisitions that complement its existing asset base and distribution capabilities;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capitalizing on anticipated intermediate to long-term opportunities for natural gas storage services in North America by owning and operating high-quality natural gas storage facilities and providing its current and future customers reliable, competitive and flexible natural gas storage and related services.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4</w:t>
      </w:r>
    </w:p>
    <w:p>
      <w:pPr>
        <w:pStyle w:val="HorizontalLine"/>
        <w:pBdr>
          <w:bottom w:val="single" w:sz="20" w:space="0" w:color="808080"/>
        </w:pBdr>
        <w:rPr/>
      </w:pPr>
      <w:r>
        <w:rPr/>
      </w:r>
      <w:r>
        <w:br w:type="page"/>
      </w:r>
    </w:p>
    <w:p>
      <w:pPr>
        <w:pStyle w:val="TextBody"/>
        <w:rPr/>
      </w:pPr>
      <w:hyperlink w:anchor="bg76101a_main_toc">
        <w:bookmarkStart w:id="29" w:name="page_ca76101_1_5"/>
        <w:bookmarkEnd w:id="29"/>
        <w:r>
          <w:rPr>
            <w:rStyle w:val="InternetLink"/>
            <w:rFonts w:ascii="times" w:hAnsi="times"/>
            <w:sz w:val="20"/>
          </w:rPr>
          <w:t>Table of Contents</w:t>
        </w:r>
      </w:hyperlink>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PAA's Competitive Strengths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We believe that the following competitive strengths position PAA to successfully execute its principal business strategy:</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many of PAA's transportation segment and facilities segment assets are strategically located and operationally flexible;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possesses specialized crude oil market knowledge;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PAA's supply and logistics activities typically generate a base level of margin with the opportunity to realize incremental margins;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has the evaluation, integration and engineering skill sets and the financial flexibility to continue to pursue acquisition and expansion opportunities;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PAA has an experienced management team whose interests are aligned with those of its unitholders. </w:t>
      </w:r>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PAA's Financial Strategy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We believe that a major factor in PAA's continued success is its ability to maintain a competitive cost of capital and access to the capital markets. In that regard, PAA intends to maintain a credit profile that it believes is consistent with investment grade credit ratings. PAA has targeted a general credit profile with the following attributes:</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an average long-term debt-to-total capitalization ratio of approximately 45% to 50%;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 long-term debt-to-adjusted EBITDA multiple averaging between 3.5x and 4.0x (Adjusted EBITDA is earnings before interest, taxes, depreciation and amortization, equity-indexed compensation plan charges, gains and losses from derivative activities and other selected items that impact comparability);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an average total debt-to-total capitalization ratio of approximately 60%; and </w:t>
      </w:r>
    </w:p>
    <w:p>
      <w:pPr>
        <w:pStyle w:val="ListHeading"/>
        <w:numPr>
          <w:ilvl w:val="0"/>
          <w:numId w:val="0"/>
        </w:numPr>
        <w:spacing w:before="0" w:after="0"/>
        <w:ind w:left="707" w:right="0" w:hanging="0"/>
        <w:rPr>
          <w:rFonts w:ascii="times" w:hAnsi="times"/>
          <w:sz w:val="20"/>
          <w:bdr w:val="single" w:sz="8" w:space="12" w:color="000000"/>
        </w:rPr>
      </w:pPr>
      <w:r>
        <w:rPr>
          <w:rFonts w:ascii="times" w:hAnsi="times"/>
          <w:sz w:val="20"/>
          <w:bdr w:val="single" w:sz="8" w:space="12" w:color="000000"/>
        </w:rPr>
        <w:t></w:t>
      </w:r>
    </w:p>
    <w:p>
      <w:pPr>
        <w:pStyle w:val="ListContents"/>
        <w:numPr>
          <w:ilvl w:val="0"/>
          <w:numId w:val="0"/>
        </w:numPr>
        <w:spacing w:before="0" w:after="283"/>
        <w:ind w:left="1274" w:right="0" w:hanging="0"/>
        <w:rPr>
          <w:rFonts w:ascii="times" w:hAnsi="times"/>
          <w:sz w:val="20"/>
          <w:bdr w:val="single" w:sz="8" w:space="12" w:color="000000"/>
        </w:rPr>
      </w:pPr>
      <w:r>
        <w:rPr>
          <w:rFonts w:ascii="times" w:hAnsi="times"/>
          <w:sz w:val="20"/>
          <w:bdr w:val="single" w:sz="8" w:space="12" w:color="000000"/>
        </w:rPr>
        <w:t xml:space="preserve">an average adjusted EBITDA-to-interest coverage multiple of approximately 3.3x or better.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The first two of these four metrics include long-term debt as a critical measure. PAA also incurs short-term debt in connection with its supply and logistics activities that involve the simultaneous purchase and forward sale of crude oil, NGL and natural gas. The crude oil, NGL and natural gas purchased in these transactions are hedged. PAA does not consider the working capital borrowings associated with these activities to be part of its long-term capital structure. These borrowings are self-liquidating as they are repaid with sales proceeds. PAA also incurs short-term debt to fund New York Mercantile Exchange and IntercontinentalExchange margin requirements. In certain market conditions, these routine short-term debt levels may increase significantly above baseline levels.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In order for PAA to maintain its targeted credit profile and achieve growth through internal growth projects and acquisitions, PAA intends to fund approximately 55% of the capital requirements associated with these activities with equity and cash flow in excess of distributions. From time to time, PAA may be outside the parameters of its targeted credit profile as, in certain cases, these capital expenditures and acquisitions may be financed initially using debt or there may be delays in realizing anticipated synergies from acquisitions or contributions from capital expansion projects to adjusted EBITDA.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5</w:t>
      </w:r>
    </w:p>
    <w:p>
      <w:pPr>
        <w:pStyle w:val="HorizontalLine"/>
        <w:pBdr>
          <w:bottom w:val="single" w:sz="20" w:space="0" w:color="808080"/>
        </w:pBdr>
        <w:rPr/>
      </w:pPr>
      <w:r>
        <w:rPr/>
      </w:r>
      <w:r>
        <w:br w:type="page"/>
      </w:r>
    </w:p>
    <w:p>
      <w:pPr>
        <w:pStyle w:val="TextBody"/>
        <w:rPr/>
      </w:pPr>
      <w:hyperlink w:anchor="bg76101a_main_toc">
        <w:bookmarkStart w:id="30" w:name="page_ca76101_1_6"/>
        <w:bookmarkEnd w:id="30"/>
        <w:r>
          <w:rPr>
            <w:rStyle w:val="InternetLink"/>
            <w:rFonts w:ascii="times" w:hAnsi="times"/>
            <w:sz w:val="20"/>
          </w:rPr>
          <w:t>Table of Contents</w:t>
        </w:r>
      </w:hyperlink>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Recent Developments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Our Distribution Announcement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On October 8, 2014, we announced that we will pay a quarterly cash distribution of $0.19075 per Class A share ($0.7630 on an annualized basis) on November 14, 2014 to holders of record on October 31, 2014. Purchasers in this offering will not be entitled to receive the distribution payable on November 14, 2014.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PAA Distribution Announcement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On October 8, 2014, PAA announced that it will pay a quarterly cash distribution of $0.6600 per PAA common unit ($2.64 on an annualized basis) on November 14, 2014 to holders of record on October 31, 2014. </w:t>
      </w:r>
    </w:p>
    <w:p>
      <w:pPr>
        <w:pStyle w:val="TextBody"/>
        <w:ind w:left="0" w:right="0" w:firstLine="240"/>
        <w:rPr>
          <w:rFonts w:ascii="times" w:hAnsi="times"/>
          <w:b/>
          <w:i/>
          <w:sz w:val="20"/>
          <w:bdr w:val="single" w:sz="8" w:space="12" w:color="000000"/>
        </w:rPr>
      </w:pPr>
      <w:r>
        <w:rPr>
          <w:rFonts w:ascii="times" w:hAnsi="times"/>
          <w:b/>
          <w:i/>
          <w:sz w:val="20"/>
          <w:bdr w:val="single" w:sz="8" w:space="12" w:color="000000"/>
        </w:rPr>
        <w:t xml:space="preserve">Acquisition Announcement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On November 6, 2014, PAA entered into a definitive purchase and sale agreement with an affiliate of Occidental Petroleum Corporation ("Occidental") that provides for PAA's purchase of Occidental's 50% interest in BridgeTex Pipeline Company LLC ("BridgeTex") for $1.075 billion. BridgeTex owns a 300,000 barrel-per-day crude oil pipeline ("BridgeTex Pipeline") that extends from Colorado City in West Texas to Houston, with a southern leg from Houston to Texas City (the "Texas City Leg"). The remaining 50% interest in BridgeTex is owned by Magellan Midstream Partners, L.P. ("MMP"), which is also the operator of the BridgeTex Pipeline. Contemporaneous with the purchase by PAA of Occidental's 50% interest in BridgeTex, BridgeTex has agreed to sell the Texas City Leg to MMP, and MMP has agreed to enter into a long term capacity lease with BridgeTex pursuant to which shippers on the BridgeTex Pipeline will have access to capacity on the Texas City Leg.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In addition to customary closing conditions and the contemporaneous consummation of the sale of the Texas City Leg and execution of the capacity lease, PAA's acquisition of Occidental's 50% interest in BridgeTex is subject to the completion by us, prior to December 31, 2014, of this offering. In order to facilitate the offering and the overall transaction, (i) the board of directors of our general partner has agreed to an early release of the 15-month lock-up arrangement that was originally imposed on certain of our shareholders, including the selling shareholder, in connection with our initial public offering in October 2013, and (ii) certain affiliates of Kayne Anderson Investment Management, Inc., the Energy &amp; Minerals Group and PAA Management, L.P. have agreed to waive their participation rights in this offering, and (iii) the selling shareholder, certain affiliates of Kayne Anderson Investment Management, Inc., The Energy &amp; Minerals Group and PAA Management, L.P. have agreed to refrain from selling any of their respective interests in us for a period of up to 90 days following this offering. If the offering is not completed prior to December 31, 2014, both Occidental and PAA have the right to terminate the purchase and sale agreement. </w:t>
      </w:r>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Principal Executive Offices and Internet Address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Our principal executive offices are located at 333 Clay Street, Suite 1600, Houston, TX 77002 and our telephone number is (713) 646-4100. Our website is located at </w:t>
      </w:r>
      <w:r>
        <w:rPr>
          <w:rFonts w:ascii="times" w:hAnsi="times"/>
          <w:i/>
          <w:sz w:val="20"/>
          <w:bdr w:val="single" w:sz="8" w:space="12" w:color="000000"/>
        </w:rPr>
        <w:t>www.plainsallamerican.com</w:t>
      </w:r>
      <w:r>
        <w:rPr>
          <w:rFonts w:ascii="times" w:hAnsi="times"/>
          <w:sz w:val="20"/>
          <w:bdr w:val="single" w:sz="8" w:space="12" w:color="000000"/>
        </w:rPr>
        <w:t xml:space="preserve">.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 </w:t>
      </w:r>
    </w:p>
    <w:p>
      <w:pPr>
        <w:pStyle w:val="TextBody"/>
        <w:ind w:left="0" w:right="0" w:firstLine="240"/>
        <w:rPr>
          <w:rFonts w:ascii="times" w:hAnsi="times"/>
          <w:b/>
          <w:sz w:val="20"/>
          <w:bdr w:val="single" w:sz="8" w:space="12" w:color="000000"/>
        </w:rPr>
      </w:pPr>
      <w:r>
        <w:rPr>
          <w:rFonts w:ascii="times" w:hAnsi="times"/>
          <w:b/>
          <w:sz w:val="20"/>
          <w:bdr w:val="single" w:sz="8" w:space="12" w:color="000000"/>
        </w:rPr>
        <w:t xml:space="preserve">Risk Factors </w:t>
      </w:r>
    </w:p>
    <w:p>
      <w:pPr>
        <w:pStyle w:val="TextBody"/>
        <w:ind w:left="0" w:right="0" w:firstLine="240"/>
        <w:rPr>
          <w:bdr w:val="single" w:sz="8" w:space="12" w:color="000000"/>
        </w:rPr>
      </w:pPr>
      <w:r>
        <w:rPr>
          <w:bdr w:val="single" w:sz="8" w:space="12" w:color="000000"/>
        </w:rPr>
        <w:t>        </w:t>
      </w:r>
      <w:r>
        <w:rPr>
          <w:rFonts w:ascii="times" w:hAnsi="times"/>
          <w:sz w:val="20"/>
          <w:bdr w:val="single" w:sz="8" w:space="12" w:color="000000"/>
        </w:rPr>
        <w:t xml:space="preserve">An investment in our Class A shares involves a high degree of risk. For more information about these and other risks, please read "Risk Factors" beginning on page 9 of this prospectus. You should consider carefully these risk factors together with all of the other information included in, or incorporated by reference into, this prospectus before you invest in our Class A shares. </w:t>
      </w:r>
    </w:p>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6</w:t>
      </w:r>
    </w:p>
    <w:p>
      <w:pPr>
        <w:pStyle w:val="HorizontalLine"/>
        <w:pBdr>
          <w:bottom w:val="single" w:sz="20" w:space="0" w:color="808080"/>
        </w:pBdr>
        <w:rPr/>
      </w:pPr>
      <w:r>
        <w:rPr/>
      </w:r>
      <w:r>
        <w:br w:type="page"/>
      </w:r>
    </w:p>
    <w:p>
      <w:pPr>
        <w:pStyle w:val="TextBody"/>
        <w:rPr/>
      </w:pPr>
      <w:hyperlink w:anchor="bg76101a_main_toc">
        <w:bookmarkStart w:id="31" w:name="page_cc76101_1_7"/>
        <w:bookmarkEnd w:id="31"/>
        <w:r>
          <w:rPr>
            <w:rStyle w:val="InternetLink"/>
            <w:rFonts w:ascii="times" w:hAnsi="times"/>
            <w:sz w:val="20"/>
          </w:rPr>
          <w:t>Table of Contents</w:t>
        </w:r>
      </w:hyperlink>
      <w:r>
        <w:rPr>
          <w:rFonts w:ascii="times" w:hAnsi="times"/>
          <w:sz w:val="20"/>
        </w:rPr>
        <w:t xml:space="preserve"> </w:t>
      </w:r>
    </w:p>
    <w:p>
      <w:pPr>
        <w:pStyle w:val="TextBody"/>
        <w:rPr/>
      </w:pPr>
      <w:r>
        <w:rPr/>
        <w:t> </w:t>
      </w:r>
    </w:p>
    <w:p>
      <w:pPr>
        <w:pStyle w:val="TextBody"/>
        <w:ind w:left="0" w:right="0" w:firstLine="240"/>
        <w:jc w:val="center"/>
        <w:rPr>
          <w:rFonts w:ascii="times" w:hAnsi="times"/>
          <w:bdr w:val="single" w:sz="8" w:space="12" w:color="000000"/>
        </w:rPr>
      </w:pPr>
      <w:bookmarkStart w:id="32" w:name="toc_cc76101_1"/>
      <w:bookmarkStart w:id="33" w:name="cc76101_the_offering"/>
      <w:bookmarkEnd w:id="32"/>
      <w:bookmarkEnd w:id="33"/>
      <w:r>
        <w:rPr>
          <w:rFonts w:ascii="times" w:hAnsi="times"/>
          <w:sz w:val="20"/>
          <w:bdr w:val="single" w:sz="8" w:space="12" w:color="000000"/>
        </w:rPr>
        <w:br/>
      </w:r>
      <w:r>
        <w:rPr>
          <w:rFonts w:ascii="times" w:hAnsi="times"/>
          <w:b/>
          <w:sz w:val="20"/>
          <w:bdr w:val="single" w:sz="8" w:space="12" w:color="000000"/>
        </w:rPr>
        <w:t xml:space="preserve">The Offering </w:t>
      </w:r>
    </w:p>
    <w:tbl>
      <w:tblPr>
        <w:tblW w:w="5000" w:type="pct"/>
        <w:jc w:val="center"/>
        <w:tblInd w:w="0" w:type="dxa"/>
        <w:tblCellMar>
          <w:top w:w="0" w:type="dxa"/>
          <w:left w:w="0" w:type="dxa"/>
          <w:bottom w:w="0" w:type="dxa"/>
          <w:right w:w="0" w:type="dxa"/>
        </w:tblCellMar>
      </w:tblPr>
      <w:tblGrid>
        <w:gridCol w:w="2848"/>
        <w:gridCol w:w="83"/>
        <w:gridCol w:w="7274"/>
      </w:tblGrid>
      <w:tr>
        <w:trPr/>
        <w:tc>
          <w:tcPr>
            <w:tcW w:w="2848"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7274" w:type="dxa"/>
            <w:tcBorders/>
            <w:shd w:fill="auto" w:val="clear"/>
            <w:vAlign w:val="center"/>
          </w:tcPr>
          <w:p>
            <w:pPr>
              <w:pStyle w:val="TableContents"/>
              <w:spacing w:before="0" w:after="283"/>
              <w:rPr>
                <w:sz w:val="4"/>
                <w:szCs w:val="4"/>
              </w:rPr>
            </w:pPr>
            <w:r>
              <w:rPr>
                <w:sz w:val="4"/>
                <w:szCs w:val="4"/>
              </w:rPr>
            </w:r>
          </w:p>
        </w:tc>
      </w:tr>
      <w:tr>
        <w:trPr/>
        <w:tc>
          <w:tcPr>
            <w:tcW w:w="2848" w:type="dxa"/>
            <w:tcBorders/>
            <w:shd w:fill="auto" w:val="clear"/>
          </w:tcPr>
          <w:p>
            <w:pPr>
              <w:pStyle w:val="TableContents"/>
              <w:spacing w:before="0" w:after="283"/>
              <w:ind w:left="200" w:right="0" w:hanging="200"/>
              <w:rPr>
                <w:rFonts w:ascii="times" w:hAnsi="times"/>
                <w:sz w:val="20"/>
              </w:rPr>
            </w:pPr>
            <w:r>
              <w:rPr>
                <w:rFonts w:ascii="times" w:hAnsi="times"/>
                <w:sz w:val="20"/>
              </w:rPr>
              <w:t>Class A shares offered by the selling shareholder</w:t>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0" w:after="283"/>
              <w:rPr>
                <w:rFonts w:ascii="times" w:hAnsi="times"/>
                <w:sz w:val="20"/>
              </w:rPr>
            </w:pPr>
            <w:r>
              <w:rPr>
                <w:rFonts w:ascii="times" w:hAnsi="times"/>
                <w:sz w:val="20"/>
              </w:rPr>
              <w:t>55,000,000 Class A shares (63,250,000 Class A shares if the underwriters exercise in full their option to purchase additional Class A shares from the selling shareholder).</w:t>
            </w:r>
          </w:p>
        </w:tc>
      </w:tr>
      <w:tr>
        <w:trPr/>
        <w:tc>
          <w:tcPr>
            <w:tcW w:w="2848" w:type="dxa"/>
            <w:tcBorders/>
            <w:shd w:fill="auto" w:val="clear"/>
          </w:tcPr>
          <w:p>
            <w:pPr>
              <w:pStyle w:val="TableContents"/>
              <w:spacing w:before="240" w:after="283"/>
              <w:ind w:left="200" w:right="0" w:hanging="200"/>
              <w:rPr>
                <w:rFonts w:ascii="times" w:hAnsi="times"/>
                <w:sz w:val="20"/>
              </w:rPr>
            </w:pPr>
            <w:r>
              <w:rPr>
                <w:rFonts w:ascii="times" w:hAnsi="times"/>
                <w:sz w:val="20"/>
              </w:rPr>
              <w:t>Class A shares outstanding after this offering</w:t>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191,046,637 Class A shares (199,296,637 Class A shares if the underwriters exercise in full their option to purchase additional Class A shares from the selling shareholder). If all outstanding Class B shares and AAP units held by the Legacy Owners were exchanged for newly issued Class A shares on a one-for-one basis, 606,029,773 Class A shares would be outstanding.</w:t>
            </w:r>
          </w:p>
        </w:tc>
      </w:tr>
      <w:tr>
        <w:trPr/>
        <w:tc>
          <w:tcPr>
            <w:tcW w:w="2848" w:type="dxa"/>
            <w:tcBorders/>
            <w:shd w:fill="auto" w:val="clear"/>
          </w:tcPr>
          <w:p>
            <w:pPr>
              <w:pStyle w:val="TableContents"/>
              <w:spacing w:before="240" w:after="283"/>
              <w:ind w:left="200" w:right="0" w:hanging="200"/>
              <w:rPr>
                <w:rFonts w:ascii="times" w:hAnsi="times"/>
                <w:sz w:val="20"/>
              </w:rPr>
            </w:pPr>
            <w:r>
              <w:rPr>
                <w:rFonts w:ascii="times" w:hAnsi="times"/>
                <w:sz w:val="20"/>
              </w:rPr>
              <w:t>Class B shares outstanding after this offering</w:t>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414,983,136 Class B shares (406,733,136 Class B shares if the underwriters exercise in full their option to purchase additional Class A shares from the selling shareholder), or one Class B share for each AAP unit held by the Legacy Owners immediately following this offering.</w:t>
            </w:r>
          </w:p>
        </w:tc>
      </w:tr>
      <w:tr>
        <w:trPr/>
        <w:tc>
          <w:tcPr>
            <w:tcW w:w="2848" w:type="dxa"/>
            <w:tcBorders/>
            <w:shd w:fill="auto" w:val="clear"/>
          </w:tcPr>
          <w:p>
            <w:pPr>
              <w:pStyle w:val="TableContents"/>
              <w:spacing w:before="0" w:after="283"/>
              <w:ind w:left="200" w:right="0" w:hanging="200"/>
              <w:rPr>
                <w:sz w:val="4"/>
                <w:szCs w:val="4"/>
              </w:rPr>
            </w:pPr>
            <w:r>
              <w:rPr>
                <w:sz w:val="4"/>
                <w:szCs w:val="4"/>
              </w:rPr>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The Class A shares offered hereby will be acquired by the selling shareholder immediately prior to the completion of this offering upon exercise by the selling shareholder of the Exchange Right for an equivalent number of Class B shares, AAP units and general partner units, which were acquired by the selling shareholder in connection with our IPO in October 2013. See "Selling Shareholder."</w:t>
            </w:r>
          </w:p>
        </w:tc>
      </w:tr>
      <w:tr>
        <w:trPr/>
        <w:tc>
          <w:tcPr>
            <w:tcW w:w="2848" w:type="dxa"/>
            <w:tcBorders/>
            <w:shd w:fill="auto" w:val="clear"/>
          </w:tcPr>
          <w:p>
            <w:pPr>
              <w:pStyle w:val="TableContents"/>
              <w:spacing w:before="240" w:after="283"/>
              <w:ind w:left="200" w:right="0" w:hanging="200"/>
              <w:rPr>
                <w:rFonts w:ascii="times" w:hAnsi="times"/>
                <w:sz w:val="20"/>
              </w:rPr>
            </w:pPr>
            <w:r>
              <w:rPr>
                <w:rFonts w:ascii="times" w:hAnsi="times"/>
                <w:sz w:val="20"/>
              </w:rPr>
              <w:t>Use of proceeds</w:t>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We will not receive any proceeds from the sale of Class A shares by the selling shareholder in this offering. See "Use of Proceeds."</w:t>
            </w:r>
          </w:p>
        </w:tc>
      </w:tr>
      <w:tr>
        <w:trPr/>
        <w:tc>
          <w:tcPr>
            <w:tcW w:w="2848" w:type="dxa"/>
            <w:tcBorders/>
            <w:shd w:fill="auto" w:val="clear"/>
          </w:tcPr>
          <w:p>
            <w:pPr>
              <w:pStyle w:val="TableContents"/>
              <w:spacing w:before="240" w:after="283"/>
              <w:ind w:left="200" w:right="0" w:hanging="200"/>
              <w:rPr>
                <w:rFonts w:ascii="times" w:hAnsi="times"/>
                <w:sz w:val="20"/>
              </w:rPr>
            </w:pPr>
            <w:r>
              <w:rPr>
                <w:rFonts w:ascii="times" w:hAnsi="times"/>
                <w:sz w:val="20"/>
              </w:rPr>
              <w:t>Listing and trading symbol</w:t>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Our Class A shares are traded on the New York Stock Exchange under the symbol "PAGP."</w:t>
            </w:r>
          </w:p>
        </w:tc>
      </w:tr>
      <w:tr>
        <w:trPr/>
        <w:tc>
          <w:tcPr>
            <w:tcW w:w="2848" w:type="dxa"/>
            <w:tcBorders/>
            <w:shd w:fill="auto" w:val="clear"/>
          </w:tcPr>
          <w:p>
            <w:pPr>
              <w:pStyle w:val="TableContents"/>
              <w:spacing w:before="240" w:after="283"/>
              <w:ind w:left="200" w:right="0" w:hanging="200"/>
              <w:rPr>
                <w:rFonts w:ascii="times" w:hAnsi="times"/>
                <w:sz w:val="20"/>
              </w:rPr>
            </w:pPr>
            <w:r>
              <w:rPr>
                <w:rFonts w:ascii="times" w:hAnsi="times"/>
                <w:sz w:val="20"/>
              </w:rPr>
              <w:t>Cash Distributions</w:t>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Our partnership agreement requires us to distribute all of our available cash quarterly, less cash reserves established by our general partner and payment of fees and expenses. Please read "Our Cash Distribution Policy."</w:t>
            </w:r>
          </w:p>
        </w:tc>
      </w:tr>
      <w:tr>
        <w:trPr/>
        <w:tc>
          <w:tcPr>
            <w:tcW w:w="2848" w:type="dxa"/>
            <w:tcBorders/>
            <w:shd w:fill="auto" w:val="clear"/>
          </w:tcPr>
          <w:p>
            <w:pPr>
              <w:pStyle w:val="TableContents"/>
              <w:spacing w:before="0" w:after="283"/>
              <w:ind w:left="200" w:right="0" w:hanging="200"/>
              <w:rPr>
                <w:sz w:val="4"/>
                <w:szCs w:val="4"/>
              </w:rPr>
            </w:pPr>
            <w:r>
              <w:rPr>
                <w:sz w:val="4"/>
                <w:szCs w:val="4"/>
              </w:rPr>
            </w:r>
          </w:p>
        </w:tc>
        <w:tc>
          <w:tcPr>
            <w:tcW w:w="83" w:type="dxa"/>
            <w:tcBorders/>
            <w:shd w:fill="auto" w:val="clear"/>
          </w:tcPr>
          <w:p>
            <w:pPr>
              <w:pStyle w:val="TableContents"/>
              <w:spacing w:before="0" w:after="283"/>
              <w:rPr/>
            </w:pPr>
            <w:r>
              <w:rPr/>
              <w:t> </w:t>
            </w:r>
          </w:p>
        </w:tc>
        <w:tc>
          <w:tcPr>
            <w:tcW w:w="7274"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On October 8, 2014, we announced that we will pay a quarterly cash distribution of $0.19075 per Class A share ($0.7630 on an annualized basis) on November 14, 2014 to holders of record on October 31, 2014. Purchasers in this offering will not be entitled to receive the distribution payable on November 14, 2014.</w:t>
            </w:r>
          </w:p>
        </w:tc>
      </w:tr>
    </w:tbl>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7</w:t>
      </w:r>
    </w:p>
    <w:p>
      <w:pPr>
        <w:pStyle w:val="HorizontalLine"/>
        <w:pBdr>
          <w:bottom w:val="single" w:sz="20" w:space="0" w:color="808080"/>
        </w:pBdr>
        <w:rPr/>
      </w:pPr>
      <w:r>
        <w:rPr/>
      </w:r>
      <w:r>
        <w:br w:type="page"/>
      </w:r>
    </w:p>
    <w:p>
      <w:pPr>
        <w:pStyle w:val="TextBody"/>
        <w:rPr/>
      </w:pPr>
      <w:hyperlink w:anchor="bg76101a_main_toc">
        <w:bookmarkStart w:id="34" w:name="page_cc76101_1_8"/>
        <w:bookmarkEnd w:id="34"/>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1109"/>
        <w:gridCol w:w="66"/>
        <w:gridCol w:w="9030"/>
      </w:tblGrid>
      <w:tr>
        <w:trPr/>
        <w:tc>
          <w:tcPr>
            <w:tcW w:w="1109"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c>
          <w:tcPr>
            <w:tcW w:w="9030" w:type="dxa"/>
            <w:tcBorders/>
            <w:shd w:fill="auto" w:val="clear"/>
            <w:vAlign w:val="center"/>
          </w:tcPr>
          <w:p>
            <w:pPr>
              <w:pStyle w:val="TableContents"/>
              <w:spacing w:before="0" w:after="283"/>
              <w:rPr>
                <w:sz w:val="4"/>
                <w:szCs w:val="4"/>
              </w:rPr>
            </w:pPr>
            <w:r>
              <w:rPr>
                <w:sz w:val="4"/>
                <w:szCs w:val="4"/>
              </w:rPr>
            </w:r>
          </w:p>
        </w:tc>
      </w:tr>
      <w:tr>
        <w:trPr/>
        <w:tc>
          <w:tcPr>
            <w:tcW w:w="1109" w:type="dxa"/>
            <w:tcBorders/>
            <w:shd w:fill="auto" w:val="clear"/>
          </w:tcPr>
          <w:p>
            <w:pPr>
              <w:pStyle w:val="TableContents"/>
              <w:spacing w:before="0" w:after="283"/>
              <w:ind w:left="200" w:right="0" w:hanging="200"/>
              <w:rPr>
                <w:rFonts w:ascii="times" w:hAnsi="times"/>
                <w:sz w:val="20"/>
              </w:rPr>
            </w:pPr>
            <w:r>
              <w:rPr>
                <w:rFonts w:ascii="times" w:hAnsi="times"/>
                <w:sz w:val="20"/>
              </w:rPr>
              <w:t>Material Tax Consequences</w:t>
            </w:r>
          </w:p>
        </w:tc>
        <w:tc>
          <w:tcPr>
            <w:tcW w:w="66" w:type="dxa"/>
            <w:tcBorders/>
            <w:shd w:fill="auto" w:val="clear"/>
          </w:tcPr>
          <w:p>
            <w:pPr>
              <w:pStyle w:val="TableContents"/>
              <w:spacing w:before="0" w:after="283"/>
              <w:rPr/>
            </w:pPr>
            <w:r>
              <w:rPr/>
              <w:t> </w:t>
            </w:r>
          </w:p>
        </w:tc>
        <w:tc>
          <w:tcPr>
            <w:tcW w:w="9030" w:type="dxa"/>
            <w:tcBorders/>
            <w:shd w:fill="auto" w:val="clear"/>
            <w:vAlign w:val="bottom"/>
          </w:tcPr>
          <w:p>
            <w:pPr>
              <w:pStyle w:val="TableContents"/>
              <w:spacing w:before="0" w:after="283"/>
              <w:ind w:left="0" w:right="0" w:hanging="0"/>
              <w:rPr>
                <w:rFonts w:ascii="times" w:hAnsi="times"/>
                <w:sz w:val="20"/>
              </w:rPr>
            </w:pPr>
            <w:r>
              <w:rPr>
                <w:rFonts w:ascii="times" w:hAnsi="times"/>
                <w:sz w:val="20"/>
              </w:rPr>
              <w:t>Although we are a limited partnership, we have elected to be treated as a corporation for U.S. federal income tax purposes. As a result, we are subject to tax as a corporation and distributions on our Class A shares are treated as distributions on corporate stock for U.S. federal income tax purposes. No Schedule K-1s will be issued with respect to the Class A shares, but instead holders of Class A shares will receive a Form 1099 from us with respect to distributions received on the Class A shares. Distributions with respect to our Class A shares will constitute dividends to the extent paid from our current or accumulated earnings and profits (as determined under U.S. federal income tax principles). To the extent that the amount of a distribution with respect to our Class A shares exceeds our current and accumulated earnings and profits, and thus does not constitute a dividend, such distribution will be treated first as a tax-free return of capital that will reduce your tax basis in your Class A shares, and thereafter as capital gain. Because both AAP and PAA have made elections permitted by Section 754 of the Internal Revenue Code, our acquisition of AAP units in connection with our IPO and in connection with exchanges by the Legacy Owners and their permitted transferees of their AAP units and Class B shares for Class A shares since the IPO, including exchanges in connection with this offering, have resulted and will result in tax deductions that we anticipate will offset a substantial portion of our taxable income for an extended period of time. In addition, in the future, as the Legacy Owners exchange their AAP units and Class B shares in us for our Class A shares, we expect to benefit from additional tax deductions resulting from those exchanges, the amount of which will vary depending on the value of the Class A shares at the time of the exchange.</w:t>
            </w:r>
          </w:p>
        </w:tc>
      </w:tr>
      <w:tr>
        <w:trPr/>
        <w:tc>
          <w:tcPr>
            <w:tcW w:w="1109" w:type="dxa"/>
            <w:tcBorders/>
            <w:shd w:fill="auto" w:val="clear"/>
          </w:tcPr>
          <w:p>
            <w:pPr>
              <w:pStyle w:val="TableContents"/>
              <w:spacing w:before="0" w:after="283"/>
              <w:ind w:left="200" w:right="0" w:hanging="200"/>
              <w:rPr>
                <w:sz w:val="4"/>
                <w:szCs w:val="4"/>
              </w:rPr>
            </w:pPr>
            <w:r>
              <w:rPr>
                <w:sz w:val="4"/>
                <w:szCs w:val="4"/>
              </w:rPr>
            </w:r>
          </w:p>
        </w:tc>
        <w:tc>
          <w:tcPr>
            <w:tcW w:w="66" w:type="dxa"/>
            <w:tcBorders/>
            <w:shd w:fill="auto" w:val="clear"/>
          </w:tcPr>
          <w:p>
            <w:pPr>
              <w:pStyle w:val="TableContents"/>
              <w:spacing w:before="0" w:after="283"/>
              <w:rPr/>
            </w:pPr>
            <w:r>
              <w:rPr/>
              <w:t> </w:t>
            </w:r>
          </w:p>
        </w:tc>
        <w:tc>
          <w:tcPr>
            <w:tcW w:w="9030"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We estimate that for an extended period of time following the closing of this offering, which we estimate will include, at a minimum, each of the periods ending December 31, 2014, 2015, 2016 and 2017, we will not have sufficient earnings and profits for any distributions on our Class A shares to qualify as dividends for U.S. federal income tax purposes.</w:t>
            </w:r>
          </w:p>
        </w:tc>
      </w:tr>
    </w:tbl>
    <w:p>
      <w:pPr>
        <w:pStyle w:val="TextBody"/>
        <w:spacing w:lineRule="atLeast" w:line="141"/>
        <w:ind w:left="0" w:right="0" w:firstLine="240"/>
        <w:rPr>
          <w:bdr w:val="single" w:sz="8" w:space="12" w:color="000000"/>
        </w:rPr>
      </w:pPr>
      <w:r>
        <w:rPr>
          <w:bdr w:val="single" w:sz="8" w:space="12" w:color="000000"/>
        </w:rPr>
        <w:t> </w:t>
      </w:r>
    </w:p>
    <w:p>
      <w:pPr>
        <w:pStyle w:val="TextBody"/>
        <w:jc w:val="center"/>
        <w:rPr>
          <w:rFonts w:ascii="times" w:hAnsi="times"/>
          <w:sz w:val="20"/>
        </w:rPr>
      </w:pPr>
      <w:r>
        <w:rPr>
          <w:rFonts w:ascii="times" w:hAnsi="times"/>
          <w:sz w:val="20"/>
        </w:rPr>
        <w:t>8</w:t>
      </w:r>
    </w:p>
    <w:p>
      <w:pPr>
        <w:pStyle w:val="HorizontalLine"/>
        <w:pBdr>
          <w:bottom w:val="single" w:sz="20" w:space="0" w:color="808080"/>
        </w:pBdr>
        <w:rPr/>
      </w:pPr>
      <w:r>
        <w:rPr/>
      </w:r>
      <w:r>
        <w:br w:type="page"/>
      </w:r>
    </w:p>
    <w:p>
      <w:pPr>
        <w:pStyle w:val="TextBody"/>
        <w:rPr/>
      </w:pPr>
      <w:hyperlink w:anchor="bg76101a_main_toc">
        <w:bookmarkStart w:id="35" w:name="page_da76101_1_9"/>
        <w:bookmarkEnd w:id="35"/>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36" w:name="toc_da76101_1"/>
      <w:bookmarkStart w:id="37" w:name="da76101_risk_factors"/>
      <w:bookmarkEnd w:id="36"/>
      <w:bookmarkEnd w:id="37"/>
      <w:r>
        <w:rPr>
          <w:rFonts w:ascii="times" w:hAnsi="times"/>
          <w:sz w:val="20"/>
        </w:rPr>
        <w:br/>
      </w:r>
      <w:r>
        <w:rPr>
          <w:rFonts w:ascii="times" w:hAnsi="times"/>
          <w:b/>
          <w:sz w:val="20"/>
        </w:rPr>
        <w:t xml:space="preserve">RISK FACTORS </w:t>
      </w:r>
    </w:p>
    <w:p>
      <w:pPr>
        <w:pStyle w:val="TextBody"/>
        <w:rPr/>
      </w:pPr>
      <w:r>
        <w:rPr/>
        <w:t>        </w:t>
      </w:r>
      <w:r>
        <w:rPr>
          <w:rFonts w:ascii="times" w:hAnsi="times"/>
          <w:sz w:val="20"/>
        </w:rPr>
        <w:t xml:space="preserve">An investment in our Class A shares involves a high degree of risk. Before you invest in our Class A shares, you should carefully consider those risks described in our Annual Report on Form 10-K for the year ended December 31, 2013 (File No. 001-36132), which is incorporated into this prospectus by reference, together with all of the other information included in this prospectus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 </w:t>
      </w:r>
    </w:p>
    <w:p>
      <w:pPr>
        <w:pStyle w:val="TextBody"/>
        <w:jc w:val="center"/>
        <w:rPr>
          <w:rFonts w:ascii="times" w:hAnsi="times"/>
          <w:sz w:val="20"/>
        </w:rPr>
      </w:pPr>
      <w:r>
        <w:rPr>
          <w:rFonts w:ascii="times" w:hAnsi="times"/>
          <w:sz w:val="20"/>
        </w:rPr>
        <w:t>9</w:t>
      </w:r>
    </w:p>
    <w:p>
      <w:pPr>
        <w:pStyle w:val="HorizontalLine"/>
        <w:pBdr>
          <w:bottom w:val="single" w:sz="20" w:space="0" w:color="808080"/>
        </w:pBdr>
        <w:rPr/>
      </w:pPr>
      <w:r>
        <w:rPr/>
      </w:r>
      <w:r>
        <w:br w:type="page"/>
      </w:r>
    </w:p>
    <w:p>
      <w:pPr>
        <w:pStyle w:val="TextBody"/>
        <w:rPr/>
      </w:pPr>
      <w:hyperlink w:anchor="bg76101a_main_toc">
        <w:bookmarkStart w:id="38" w:name="page_da76101_1_10"/>
        <w:bookmarkEnd w:id="38"/>
        <w:r>
          <w:rPr>
            <w:rStyle w:val="InternetLink"/>
            <w:rFonts w:ascii="times" w:hAnsi="times"/>
            <w:sz w:val="20"/>
          </w:rPr>
          <w:t>Table of Contents</w:t>
        </w:r>
      </w:hyperlink>
    </w:p>
    <w:p>
      <w:pPr>
        <w:pStyle w:val="TextBody"/>
        <w:jc w:val="center"/>
        <w:rPr>
          <w:rFonts w:ascii="times" w:hAnsi="times"/>
        </w:rPr>
      </w:pPr>
      <w:bookmarkStart w:id="39" w:name="toc_da76101_2"/>
      <w:bookmarkStart w:id="40" w:name="da76101_use_of_proceeds"/>
      <w:bookmarkEnd w:id="39"/>
      <w:bookmarkEnd w:id="40"/>
      <w:r>
        <w:rPr>
          <w:rFonts w:ascii="times" w:hAnsi="times"/>
          <w:sz w:val="20"/>
        </w:rPr>
        <w:br/>
      </w:r>
      <w:r>
        <w:rPr>
          <w:rFonts w:ascii="times" w:hAnsi="times"/>
          <w:b/>
          <w:sz w:val="20"/>
        </w:rPr>
        <w:t xml:space="preserve">USE OF PROCEEDS </w:t>
      </w:r>
    </w:p>
    <w:p>
      <w:pPr>
        <w:pStyle w:val="TextBody"/>
        <w:rPr/>
      </w:pPr>
      <w:r>
        <w:rPr/>
        <w:t>        </w:t>
      </w:r>
      <w:r>
        <w:rPr>
          <w:rFonts w:ascii="times" w:hAnsi="times"/>
          <w:sz w:val="20"/>
        </w:rPr>
        <w:t xml:space="preserve">We will not receive any of the proceeds from the sale of Class A shares by the selling shareholder. We will cause AAP to pay certain expenses, other than underwriting discounts and commissions, associated with the sale of Class A shares by the selling shareholder. </w:t>
      </w:r>
    </w:p>
    <w:p>
      <w:pPr>
        <w:pStyle w:val="TextBody"/>
        <w:jc w:val="center"/>
        <w:rPr>
          <w:rFonts w:ascii="times" w:hAnsi="times"/>
          <w:sz w:val="20"/>
        </w:rPr>
      </w:pPr>
      <w:r>
        <w:rPr>
          <w:rFonts w:ascii="times" w:hAnsi="times"/>
          <w:sz w:val="20"/>
        </w:rPr>
        <w:t>10</w:t>
      </w:r>
    </w:p>
    <w:p>
      <w:pPr>
        <w:pStyle w:val="HorizontalLine"/>
        <w:pBdr>
          <w:bottom w:val="single" w:sz="20" w:space="0" w:color="808080"/>
        </w:pBdr>
        <w:rPr/>
      </w:pPr>
      <w:r>
        <w:rPr/>
      </w:r>
      <w:r>
        <w:br w:type="page"/>
      </w:r>
    </w:p>
    <w:p>
      <w:pPr>
        <w:pStyle w:val="TextBody"/>
        <w:rPr/>
      </w:pPr>
      <w:hyperlink w:anchor="bg76101a_main_toc">
        <w:bookmarkStart w:id="41" w:name="page_da76101_1_11"/>
        <w:bookmarkEnd w:id="41"/>
        <w:r>
          <w:rPr>
            <w:rStyle w:val="InternetLink"/>
            <w:rFonts w:ascii="times" w:hAnsi="times"/>
            <w:sz w:val="20"/>
          </w:rPr>
          <w:t>Table of Contents</w:t>
        </w:r>
      </w:hyperlink>
    </w:p>
    <w:p>
      <w:pPr>
        <w:pStyle w:val="TextBody"/>
        <w:jc w:val="center"/>
        <w:rPr>
          <w:rFonts w:ascii="times" w:hAnsi="times"/>
        </w:rPr>
      </w:pPr>
      <w:bookmarkStart w:id="42" w:name="toc_da76101_3"/>
      <w:bookmarkStart w:id="43" w:name="da76101_price_range_of_class_a_shares_an"/>
      <w:bookmarkEnd w:id="42"/>
      <w:bookmarkEnd w:id="43"/>
      <w:r>
        <w:rPr>
          <w:rFonts w:ascii="times" w:hAnsi="times"/>
          <w:sz w:val="20"/>
        </w:rPr>
        <w:br/>
      </w:r>
      <w:r>
        <w:rPr>
          <w:rFonts w:ascii="times" w:hAnsi="times"/>
          <w:b/>
          <w:sz w:val="20"/>
        </w:rPr>
        <w:t xml:space="preserve">PRICE RANGE OF CLASS A SHARES AND DISTRIBUTIONS </w:t>
      </w:r>
    </w:p>
    <w:p>
      <w:pPr>
        <w:pStyle w:val="TextBody"/>
        <w:rPr/>
      </w:pPr>
      <w:r>
        <w:rPr/>
        <w:t>        </w:t>
      </w:r>
      <w:r>
        <w:rPr>
          <w:rFonts w:ascii="times" w:hAnsi="times"/>
          <w:sz w:val="20"/>
        </w:rPr>
        <w:t xml:space="preserve">As of November 5, 2014, we had 136,046,637 Class A shares outstanding, held by approximately 32,000 shareholders, including Class A shares held in street name. Our Class A shares are traded on the NYSE under the symbol "PAGP." </w:t>
      </w:r>
    </w:p>
    <w:p>
      <w:pPr>
        <w:pStyle w:val="TextBody"/>
        <w:rPr/>
      </w:pPr>
      <w:r>
        <w:rPr/>
        <w:t>        </w:t>
      </w:r>
      <w:r>
        <w:rPr>
          <w:rFonts w:ascii="times" w:hAnsi="times"/>
          <w:sz w:val="20"/>
        </w:rPr>
        <w:t xml:space="preserve">The following table sets forth, for the periods indicated, the high and low sales prices for the Class A shares, as reported on the NYSE Composite Transactions Tape, and quarterly cash distributions declared per Class A share. The last reported sale price of Class A shares on the NYSE on November 5, 2014 was $26.99 per Class A share. </w:t>
      </w:r>
    </w:p>
    <w:tbl>
      <w:tblPr>
        <w:tblW w:w="5000" w:type="pct"/>
        <w:jc w:val="center"/>
        <w:tblInd w:w="0" w:type="dxa"/>
        <w:tblCellMar>
          <w:top w:w="0" w:type="dxa"/>
          <w:left w:w="0" w:type="dxa"/>
          <w:bottom w:w="0" w:type="dxa"/>
          <w:right w:w="0" w:type="dxa"/>
        </w:tblCellMar>
      </w:tblPr>
      <w:tblGrid>
        <w:gridCol w:w="5157"/>
        <w:gridCol w:w="261"/>
        <w:gridCol w:w="180"/>
        <w:gridCol w:w="848"/>
        <w:gridCol w:w="261"/>
        <w:gridCol w:w="181"/>
        <w:gridCol w:w="847"/>
        <w:gridCol w:w="261"/>
        <w:gridCol w:w="181"/>
        <w:gridCol w:w="1760"/>
        <w:gridCol w:w="268"/>
      </w:tblGrid>
      <w:tr>
        <w:trPr/>
        <w:tc>
          <w:tcPr>
            <w:tcW w:w="515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760"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5157" w:type="dxa"/>
            <w:tcBorders/>
            <w:shd w:fill="auto" w:val="clear"/>
            <w:vAlign w:val="bottom"/>
          </w:tcPr>
          <w:p>
            <w:pPr>
              <w:pStyle w:val="TableHeading"/>
              <w:spacing w:before="0" w:after="283"/>
              <w:jc w:val="left"/>
              <w:rPr/>
            </w:pPr>
            <w:r>
              <w:rPr/>
              <w:t> </w:t>
            </w:r>
          </w:p>
        </w:tc>
        <w:tc>
          <w:tcPr>
            <w:tcW w:w="261" w:type="dxa"/>
            <w:vMerge w:val="restart"/>
            <w:tcBorders/>
            <w:shd w:fill="auto" w:val="clear"/>
            <w:vAlign w:val="bottom"/>
          </w:tcPr>
          <w:p>
            <w:pPr>
              <w:pStyle w:val="TableHeading"/>
              <w:suppressLineNumbers/>
              <w:spacing w:before="0" w:after="283"/>
              <w:jc w:val="center"/>
              <w:rPr/>
            </w:pPr>
            <w:r>
              <w:rPr/>
              <w:t> </w:t>
            </w:r>
          </w:p>
        </w:tc>
        <w:tc>
          <w:tcPr>
            <w:tcW w:w="2317" w:type="dxa"/>
            <w:gridSpan w:val="5"/>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A Share</w:t>
              <w:br/>
              <w:t xml:space="preserve">Price Range </w:t>
            </w:r>
          </w:p>
        </w:tc>
        <w:tc>
          <w:tcPr>
            <w:tcW w:w="261" w:type="dxa"/>
            <w:tcBorders/>
            <w:shd w:fill="auto" w:val="clear"/>
            <w:vAlign w:val="bottom"/>
          </w:tcPr>
          <w:p>
            <w:pPr>
              <w:pStyle w:val="TableHeading"/>
              <w:suppressLineNumbers/>
              <w:spacing w:before="0" w:after="283"/>
              <w:jc w:val="center"/>
              <w:rPr/>
            </w:pPr>
            <w:r>
              <w:rPr/>
              <w:t> </w:t>
            </w:r>
          </w:p>
        </w:tc>
        <w:tc>
          <w:tcPr>
            <w:tcW w:w="1941" w:type="dxa"/>
            <w:gridSpan w:val="2"/>
            <w:tcBorders/>
            <w:shd w:fill="auto" w:val="clear"/>
            <w:vAlign w:val="bottom"/>
          </w:tcPr>
          <w:p>
            <w:pPr>
              <w:pStyle w:val="TableHeading"/>
              <w:spacing w:before="0" w:after="283"/>
              <w:jc w:val="left"/>
              <w:rPr/>
            </w:pPr>
            <w:r>
              <w:rPr/>
              <w:t> </w:t>
            </w:r>
          </w:p>
        </w:tc>
        <w:tc>
          <w:tcPr>
            <w:tcW w:w="268" w:type="dxa"/>
            <w:tcBorders/>
            <w:shd w:fill="auto" w:val="clear"/>
            <w:vAlign w:val="bottom"/>
          </w:tcPr>
          <w:p>
            <w:pPr>
              <w:pStyle w:val="TableHeading"/>
              <w:suppressLineNumbers/>
              <w:spacing w:before="0" w:after="283"/>
              <w:jc w:val="center"/>
              <w:rPr/>
            </w:pPr>
            <w:r>
              <w:rPr/>
              <w:t> </w:t>
            </w:r>
          </w:p>
        </w:tc>
      </w:tr>
      <w:tr>
        <w:trPr/>
        <w:tc>
          <w:tcPr>
            <w:tcW w:w="5157" w:type="dxa"/>
            <w:tcBorders/>
            <w:shd w:fill="auto" w:val="clear"/>
            <w:vAlign w:val="bottom"/>
          </w:tcPr>
          <w:p>
            <w:pPr>
              <w:pStyle w:val="TableHeading"/>
              <w:spacing w:before="0" w:after="283"/>
              <w:jc w:val="left"/>
              <w:rPr/>
            </w:pPr>
            <w:r>
              <w:rPr/>
              <w:t> </w:t>
            </w:r>
          </w:p>
        </w:tc>
        <w:tc>
          <w:tcPr>
            <w:tcW w:w="261" w:type="dxa"/>
            <w:vMerge w:val="continue"/>
            <w:tcBorders/>
            <w:shd w:fill="auto" w:val="clear"/>
            <w:vAlign w:val="bottom"/>
          </w:tcPr>
          <w:p>
            <w:pPr>
              <w:pStyle w:val="Normal"/>
              <w:rPr/>
            </w:pPr>
            <w:r>
              <w:rPr/>
            </w:r>
          </w:p>
        </w:tc>
        <w:tc>
          <w:tcPr>
            <w:tcW w:w="2317" w:type="dxa"/>
            <w:gridSpan w:val="5"/>
            <w:vMerge w:val="continue"/>
            <w:tcBorders>
              <w:bottom w:val="single" w:sz="8" w:space="0" w:color="000000"/>
            </w:tcBorders>
            <w:shd w:fill="auto" w:val="clear"/>
            <w:tcMar>
              <w:bottom w:w="28" w:type="dxa"/>
            </w:tcMar>
            <w:vAlign w:val="bottom"/>
          </w:tcPr>
          <w:p>
            <w:pPr>
              <w:pStyle w:val="Normal"/>
              <w:rPr/>
            </w:pPr>
            <w:r>
              <w:rPr/>
            </w:r>
          </w:p>
        </w:tc>
        <w:tc>
          <w:tcPr>
            <w:tcW w:w="261" w:type="dxa"/>
            <w:vMerge w:val="restart"/>
            <w:tcBorders/>
            <w:shd w:fill="auto" w:val="clear"/>
            <w:vAlign w:val="bottom"/>
          </w:tcPr>
          <w:p>
            <w:pPr>
              <w:pStyle w:val="TableHeading"/>
              <w:suppressLineNumbers/>
              <w:spacing w:before="0" w:after="283"/>
              <w:jc w:val="center"/>
              <w:rPr/>
            </w:pPr>
            <w:r>
              <w:rPr/>
              <w:t> </w:t>
            </w:r>
          </w:p>
        </w:tc>
        <w:tc>
          <w:tcPr>
            <w:tcW w:w="1941" w:type="dxa"/>
            <w:gridSpan w:val="2"/>
            <w:vMerge w:val="restart"/>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Cash</w:t>
              <w:br/>
              <w:t>Distributions per</w:t>
              <w:br/>
              <w:t xml:space="preserve">Class A Share(1) </w:t>
            </w:r>
          </w:p>
        </w:tc>
        <w:tc>
          <w:tcPr>
            <w:tcW w:w="268" w:type="dxa"/>
            <w:tcBorders/>
            <w:shd w:fill="auto" w:val="clear"/>
            <w:vAlign w:val="bottom"/>
          </w:tcPr>
          <w:p>
            <w:pPr>
              <w:pStyle w:val="TableHeading"/>
              <w:suppressLineNumbers/>
              <w:spacing w:before="0" w:after="283"/>
              <w:jc w:val="center"/>
              <w:rPr/>
            </w:pPr>
            <w:r>
              <w:rPr/>
              <w:t> </w:t>
            </w:r>
          </w:p>
        </w:tc>
      </w:tr>
      <w:tr>
        <w:trPr/>
        <w:tc>
          <w:tcPr>
            <w:tcW w:w="5157" w:type="dxa"/>
            <w:tcBorders/>
            <w:shd w:fill="auto" w:val="clear"/>
            <w:vAlign w:val="bottom"/>
          </w:tcPr>
          <w:p>
            <w:pPr>
              <w:pStyle w:val="TableHeading"/>
              <w:spacing w:before="0" w:after="283"/>
              <w:jc w:val="left"/>
              <w:rPr/>
            </w:pPr>
            <w:r>
              <w:rPr/>
              <w:t> </w:t>
            </w:r>
          </w:p>
        </w:tc>
        <w:tc>
          <w:tcPr>
            <w:tcW w:w="261" w:type="dxa"/>
            <w:tcBorders/>
            <w:shd w:fill="auto" w:val="clear"/>
            <w:vAlign w:val="bottom"/>
          </w:tcPr>
          <w:p>
            <w:pPr>
              <w:pStyle w:val="TableHeading"/>
              <w:suppressLineNumbers/>
              <w:spacing w:before="0" w:after="283"/>
              <w:jc w:val="center"/>
              <w:rPr/>
            </w:pPr>
            <w:r>
              <w:rPr/>
              <w:t> </w:t>
            </w:r>
          </w:p>
        </w:tc>
        <w:tc>
          <w:tcPr>
            <w:tcW w:w="102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High </w:t>
            </w:r>
          </w:p>
        </w:tc>
        <w:tc>
          <w:tcPr>
            <w:tcW w:w="261" w:type="dxa"/>
            <w:tcBorders/>
            <w:shd w:fill="auto" w:val="clear"/>
            <w:vAlign w:val="bottom"/>
          </w:tcPr>
          <w:p>
            <w:pPr>
              <w:pStyle w:val="TableHeading"/>
              <w:suppressLineNumbers/>
              <w:spacing w:before="0" w:after="283"/>
              <w:jc w:val="center"/>
              <w:rPr/>
            </w:pPr>
            <w:r>
              <w:rPr/>
              <w:t> </w:t>
            </w:r>
          </w:p>
        </w:tc>
        <w:tc>
          <w:tcPr>
            <w:tcW w:w="102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Low </w:t>
            </w:r>
          </w:p>
        </w:tc>
        <w:tc>
          <w:tcPr>
            <w:tcW w:w="261" w:type="dxa"/>
            <w:vMerge w:val="continue"/>
            <w:tcBorders/>
            <w:shd w:fill="auto" w:val="clear"/>
            <w:vAlign w:val="bottom"/>
          </w:tcPr>
          <w:p>
            <w:pPr>
              <w:pStyle w:val="Normal"/>
              <w:rPr/>
            </w:pPr>
            <w:r>
              <w:rPr/>
            </w:r>
          </w:p>
        </w:tc>
        <w:tc>
          <w:tcPr>
            <w:tcW w:w="1941" w:type="dxa"/>
            <w:gridSpan w:val="2"/>
            <w:vMerge w:val="continue"/>
            <w:tcBorders>
              <w:bottom w:val="single" w:sz="8" w:space="0" w:color="000000"/>
            </w:tcBorders>
            <w:shd w:fill="auto" w:val="clear"/>
            <w:tcMar>
              <w:bottom w:w="28" w:type="dxa"/>
            </w:tcMar>
            <w:vAlign w:val="bottom"/>
          </w:tcPr>
          <w:p>
            <w:pPr>
              <w:pStyle w:val="Normal"/>
              <w:rPr/>
            </w:pPr>
            <w:r>
              <w:rPr/>
            </w:r>
          </w:p>
        </w:tc>
        <w:tc>
          <w:tcPr>
            <w:tcW w:w="268" w:type="dxa"/>
            <w:tcBorders/>
            <w:shd w:fill="auto" w:val="clear"/>
            <w:vAlign w:val="bottom"/>
          </w:tcPr>
          <w:p>
            <w:pPr>
              <w:pStyle w:val="TableHeading"/>
              <w:suppressLineNumbers/>
              <w:spacing w:before="0" w:after="283"/>
              <w:jc w:val="center"/>
              <w:rPr/>
            </w:pPr>
            <w:r>
              <w:rPr/>
              <w:t> </w:t>
            </w:r>
          </w:p>
        </w:tc>
      </w:tr>
      <w:tr>
        <w:trPr/>
        <w:tc>
          <w:tcPr>
            <w:tcW w:w="5157"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2013</w:t>
            </w:r>
          </w:p>
        </w:tc>
        <w:tc>
          <w:tcPr>
            <w:tcW w:w="261"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 </w:t>
            </w:r>
          </w:p>
        </w:tc>
        <w:tc>
          <w:tcPr>
            <w:tcW w:w="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 </w:t>
            </w:r>
          </w:p>
        </w:tc>
        <w:tc>
          <w:tcPr>
            <w:tcW w:w="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760" w:type="dxa"/>
            <w:tcBorders/>
            <w:shd w:fill="CCEEFF" w:val="clear"/>
            <w:vAlign w:val="bottom"/>
          </w:tcPr>
          <w:p>
            <w:pPr>
              <w:pStyle w:val="TableContents"/>
              <w:spacing w:before="0" w:after="283"/>
              <w:jc w:val="right"/>
              <w:rPr/>
            </w:pPr>
            <w:r>
              <w:rPr/>
              <w:t> </w:t>
            </w:r>
          </w:p>
        </w:tc>
        <w:tc>
          <w:tcPr>
            <w:tcW w:w="268" w:type="dxa"/>
            <w:tcBorders/>
            <w:shd w:fill="CCEEFF" w:val="clear"/>
            <w:vAlign w:val="bottom"/>
          </w:tcPr>
          <w:p>
            <w:pPr>
              <w:pStyle w:val="TableContents"/>
              <w:spacing w:before="0" w:after="283"/>
              <w:rPr/>
            </w:pPr>
            <w:r>
              <w:rPr/>
              <w:t> </w:t>
            </w:r>
          </w:p>
        </w:tc>
      </w:tr>
      <w:tr>
        <w:trPr/>
        <w:tc>
          <w:tcPr>
            <w:tcW w:w="515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Fourth Quarter(2)</w:t>
            </w:r>
          </w:p>
        </w:tc>
        <w:tc>
          <w:tcPr>
            <w:tcW w:w="261"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48" w:type="dxa"/>
            <w:tcBorders/>
            <w:shd w:fill="FFFFFF" w:val="clear"/>
            <w:vAlign w:val="bottom"/>
          </w:tcPr>
          <w:p>
            <w:pPr>
              <w:pStyle w:val="TableContents"/>
              <w:spacing w:before="0" w:after="283"/>
              <w:jc w:val="right"/>
              <w:rPr>
                <w:rFonts w:ascii="times" w:hAnsi="times"/>
                <w:sz w:val="20"/>
              </w:rPr>
            </w:pPr>
            <w:r>
              <w:rPr>
                <w:rFonts w:ascii="times" w:hAnsi="times"/>
                <w:sz w:val="20"/>
              </w:rPr>
              <w:t>27.04</w:t>
            </w:r>
          </w:p>
        </w:tc>
        <w:tc>
          <w:tcPr>
            <w:tcW w:w="261"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47" w:type="dxa"/>
            <w:tcBorders/>
            <w:shd w:fill="FFFFFF" w:val="clear"/>
            <w:vAlign w:val="bottom"/>
          </w:tcPr>
          <w:p>
            <w:pPr>
              <w:pStyle w:val="TableContents"/>
              <w:spacing w:before="0" w:after="283"/>
              <w:jc w:val="right"/>
              <w:rPr>
                <w:rFonts w:ascii="times" w:hAnsi="times"/>
                <w:sz w:val="20"/>
              </w:rPr>
            </w:pPr>
            <w:r>
              <w:rPr>
                <w:rFonts w:ascii="times" w:hAnsi="times"/>
                <w:sz w:val="20"/>
              </w:rPr>
              <w:t>21.50</w:t>
            </w:r>
          </w:p>
        </w:tc>
        <w:tc>
          <w:tcPr>
            <w:tcW w:w="261"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760" w:type="dxa"/>
            <w:tcBorders/>
            <w:shd w:fill="FFFFFF" w:val="clear"/>
            <w:vAlign w:val="bottom"/>
          </w:tcPr>
          <w:p>
            <w:pPr>
              <w:pStyle w:val="TableContents"/>
              <w:spacing w:before="0" w:after="283"/>
              <w:jc w:val="right"/>
              <w:rPr>
                <w:rFonts w:ascii="times" w:hAnsi="times"/>
                <w:sz w:val="20"/>
              </w:rPr>
            </w:pPr>
            <w:r>
              <w:rPr>
                <w:rFonts w:ascii="times" w:hAnsi="times"/>
                <w:sz w:val="20"/>
              </w:rPr>
              <w:t>0.12505</w:t>
            </w:r>
          </w:p>
        </w:tc>
        <w:tc>
          <w:tcPr>
            <w:tcW w:w="268" w:type="dxa"/>
            <w:tcBorders/>
            <w:shd w:fill="FFFFFF" w:val="clear"/>
            <w:vAlign w:val="bottom"/>
          </w:tcPr>
          <w:p>
            <w:pPr>
              <w:pStyle w:val="TableContents"/>
              <w:spacing w:before="0" w:after="283"/>
              <w:rPr/>
            </w:pPr>
            <w:r>
              <w:rPr/>
              <w:t> </w:t>
            </w:r>
          </w:p>
        </w:tc>
      </w:tr>
      <w:tr>
        <w:trPr/>
        <w:tc>
          <w:tcPr>
            <w:tcW w:w="5157" w:type="dxa"/>
            <w:tcBorders/>
            <w:shd w:fill="CCEEFF" w:val="clear"/>
            <w:vAlign w:val="bottom"/>
          </w:tcPr>
          <w:p>
            <w:pPr>
              <w:pStyle w:val="TableContents"/>
              <w:spacing w:before="0" w:after="283"/>
              <w:ind w:left="200" w:right="0" w:hanging="200"/>
              <w:rPr>
                <w:rFonts w:ascii="times" w:hAnsi="times"/>
                <w:b/>
                <w:sz w:val="20"/>
              </w:rPr>
            </w:pPr>
            <w:r>
              <w:rPr>
                <w:rFonts w:ascii="times" w:hAnsi="times"/>
                <w:b/>
                <w:sz w:val="20"/>
              </w:rPr>
              <w:t>2014</w:t>
            </w:r>
          </w:p>
        </w:tc>
        <w:tc>
          <w:tcPr>
            <w:tcW w:w="261"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pPr>
            <w:r>
              <w:rPr/>
              <w:t> </w:t>
            </w:r>
          </w:p>
        </w:tc>
        <w:tc>
          <w:tcPr>
            <w:tcW w:w="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pPr>
            <w:r>
              <w:rPr/>
              <w:t> </w:t>
            </w:r>
          </w:p>
        </w:tc>
        <w:tc>
          <w:tcPr>
            <w:tcW w:w="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760" w:type="dxa"/>
            <w:tcBorders/>
            <w:shd w:fill="CCEEFF" w:val="clear"/>
            <w:vAlign w:val="bottom"/>
          </w:tcPr>
          <w:p>
            <w:pPr>
              <w:pStyle w:val="TableContents"/>
              <w:spacing w:before="0" w:after="283"/>
              <w:jc w:val="right"/>
              <w:rPr/>
            </w:pPr>
            <w:r>
              <w:rPr/>
              <w:t> </w:t>
            </w:r>
          </w:p>
        </w:tc>
        <w:tc>
          <w:tcPr>
            <w:tcW w:w="268" w:type="dxa"/>
            <w:tcBorders/>
            <w:shd w:fill="CCEEFF" w:val="clear"/>
            <w:vAlign w:val="bottom"/>
          </w:tcPr>
          <w:p>
            <w:pPr>
              <w:pStyle w:val="TableContents"/>
              <w:spacing w:before="0" w:after="283"/>
              <w:rPr/>
            </w:pPr>
            <w:r>
              <w:rPr/>
              <w:t> </w:t>
            </w:r>
          </w:p>
        </w:tc>
      </w:tr>
      <w:tr>
        <w:trPr/>
        <w:tc>
          <w:tcPr>
            <w:tcW w:w="515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First Quarter</w:t>
            </w:r>
          </w:p>
        </w:tc>
        <w:tc>
          <w:tcPr>
            <w:tcW w:w="261"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48" w:type="dxa"/>
            <w:tcBorders/>
            <w:shd w:fill="FFFFFF" w:val="clear"/>
            <w:vAlign w:val="bottom"/>
          </w:tcPr>
          <w:p>
            <w:pPr>
              <w:pStyle w:val="TableContents"/>
              <w:spacing w:before="0" w:after="283"/>
              <w:jc w:val="right"/>
              <w:rPr>
                <w:rFonts w:ascii="times" w:hAnsi="times"/>
                <w:sz w:val="20"/>
              </w:rPr>
            </w:pPr>
            <w:r>
              <w:rPr>
                <w:rFonts w:ascii="times" w:hAnsi="times"/>
                <w:sz w:val="20"/>
              </w:rPr>
              <w:t>29.00</w:t>
            </w:r>
          </w:p>
        </w:tc>
        <w:tc>
          <w:tcPr>
            <w:tcW w:w="261"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847" w:type="dxa"/>
            <w:tcBorders/>
            <w:shd w:fill="FFFFFF" w:val="clear"/>
            <w:vAlign w:val="bottom"/>
          </w:tcPr>
          <w:p>
            <w:pPr>
              <w:pStyle w:val="TableContents"/>
              <w:spacing w:before="0" w:after="283"/>
              <w:jc w:val="right"/>
              <w:rPr>
                <w:rFonts w:ascii="times" w:hAnsi="times"/>
                <w:sz w:val="20"/>
              </w:rPr>
            </w:pPr>
            <w:r>
              <w:rPr>
                <w:rFonts w:ascii="times" w:hAnsi="times"/>
                <w:sz w:val="20"/>
              </w:rPr>
              <w:t>24.38</w:t>
            </w:r>
          </w:p>
        </w:tc>
        <w:tc>
          <w:tcPr>
            <w:tcW w:w="261"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1760" w:type="dxa"/>
            <w:tcBorders/>
            <w:shd w:fill="FFFFFF" w:val="clear"/>
            <w:vAlign w:val="bottom"/>
          </w:tcPr>
          <w:p>
            <w:pPr>
              <w:pStyle w:val="TableContents"/>
              <w:spacing w:before="0" w:after="283"/>
              <w:jc w:val="right"/>
              <w:rPr>
                <w:rFonts w:ascii="times" w:hAnsi="times"/>
                <w:sz w:val="20"/>
              </w:rPr>
            </w:pPr>
            <w:r>
              <w:rPr>
                <w:rFonts w:ascii="times" w:hAnsi="times"/>
                <w:sz w:val="20"/>
              </w:rPr>
              <w:t>0.17055</w:t>
            </w:r>
          </w:p>
        </w:tc>
        <w:tc>
          <w:tcPr>
            <w:tcW w:w="268" w:type="dxa"/>
            <w:tcBorders/>
            <w:shd w:fill="FFFFFF" w:val="clear"/>
            <w:vAlign w:val="bottom"/>
          </w:tcPr>
          <w:p>
            <w:pPr>
              <w:pStyle w:val="TableContents"/>
              <w:spacing w:before="0" w:after="283"/>
              <w:rPr/>
            </w:pPr>
            <w:r>
              <w:rPr/>
              <w:t> </w:t>
            </w:r>
          </w:p>
        </w:tc>
      </w:tr>
      <w:tr>
        <w:trPr/>
        <w:tc>
          <w:tcPr>
            <w:tcW w:w="515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Second Quarter</w:t>
            </w:r>
          </w:p>
        </w:tc>
        <w:tc>
          <w:tcPr>
            <w:tcW w:w="261"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w:hAnsi="times"/>
                <w:sz w:val="20"/>
              </w:rPr>
            </w:pPr>
            <w:r>
              <w:rPr>
                <w:rFonts w:ascii="times" w:hAnsi="times"/>
                <w:sz w:val="20"/>
              </w:rPr>
              <w:t>32.58</w:t>
            </w:r>
          </w:p>
        </w:tc>
        <w:tc>
          <w:tcPr>
            <w:tcW w:w="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w:hAnsi="times"/>
                <w:sz w:val="20"/>
              </w:rPr>
            </w:pPr>
            <w:r>
              <w:rPr>
                <w:rFonts w:ascii="times" w:hAnsi="times"/>
                <w:sz w:val="20"/>
              </w:rPr>
              <w:t>27.00</w:t>
            </w:r>
          </w:p>
        </w:tc>
        <w:tc>
          <w:tcPr>
            <w:tcW w:w="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760" w:type="dxa"/>
            <w:tcBorders/>
            <w:shd w:fill="CCEEFF" w:val="clear"/>
            <w:vAlign w:val="bottom"/>
          </w:tcPr>
          <w:p>
            <w:pPr>
              <w:pStyle w:val="TableContents"/>
              <w:spacing w:before="0" w:after="283"/>
              <w:jc w:val="right"/>
              <w:rPr>
                <w:rFonts w:ascii="times" w:hAnsi="times"/>
                <w:sz w:val="20"/>
              </w:rPr>
            </w:pPr>
            <w:r>
              <w:rPr>
                <w:rFonts w:ascii="times" w:hAnsi="times"/>
                <w:sz w:val="20"/>
              </w:rPr>
              <w:t>0.18340</w:t>
            </w:r>
          </w:p>
        </w:tc>
        <w:tc>
          <w:tcPr>
            <w:tcW w:w="268" w:type="dxa"/>
            <w:tcBorders/>
            <w:shd w:fill="CCEEFF" w:val="clear"/>
            <w:vAlign w:val="bottom"/>
          </w:tcPr>
          <w:p>
            <w:pPr>
              <w:pStyle w:val="TableContents"/>
              <w:spacing w:before="0" w:after="283"/>
              <w:rPr/>
            </w:pPr>
            <w:r>
              <w:rPr/>
              <w:t> </w:t>
            </w:r>
          </w:p>
        </w:tc>
      </w:tr>
      <w:tr>
        <w:trPr/>
        <w:tc>
          <w:tcPr>
            <w:tcW w:w="5157" w:type="dxa"/>
            <w:tcBorders/>
            <w:shd w:fill="FFFFFF" w:val="clear"/>
            <w:vAlign w:val="bottom"/>
          </w:tcPr>
          <w:p>
            <w:pPr>
              <w:pStyle w:val="TableContents"/>
              <w:spacing w:before="0" w:after="283"/>
              <w:ind w:left="400" w:right="0" w:hanging="200"/>
              <w:rPr>
                <w:rFonts w:ascii="times" w:hAnsi="times"/>
                <w:sz w:val="20"/>
              </w:rPr>
            </w:pPr>
            <w:r>
              <w:rPr>
                <w:rFonts w:ascii="times" w:hAnsi="times"/>
                <w:sz w:val="20"/>
              </w:rPr>
              <w:t>Third Quarter</w:t>
            </w:r>
          </w:p>
        </w:tc>
        <w:tc>
          <w:tcPr>
            <w:tcW w:w="261" w:type="dxa"/>
            <w:tcBorders/>
            <w:shd w:fill="FFFFFF" w:val="clear"/>
            <w:vAlign w:val="bottom"/>
          </w:tcPr>
          <w:p>
            <w:pPr>
              <w:pStyle w:val="TableContents"/>
              <w:spacing w:before="0" w:after="283"/>
              <w:rPr/>
            </w:pPr>
            <w:r>
              <w:rPr/>
              <w:t> </w:t>
            </w:r>
          </w:p>
        </w:tc>
        <w:tc>
          <w:tcPr>
            <w:tcW w:w="180" w:type="dxa"/>
            <w:tcBorders/>
            <w:shd w:fill="FFFFFF" w:val="clear"/>
            <w:vAlign w:val="bottom"/>
          </w:tcPr>
          <w:p>
            <w:pPr>
              <w:pStyle w:val="TableContents"/>
              <w:spacing w:before="0" w:after="283"/>
              <w:rPr/>
            </w:pPr>
            <w:r>
              <w:rPr/>
              <w:t> </w:t>
            </w:r>
          </w:p>
        </w:tc>
        <w:tc>
          <w:tcPr>
            <w:tcW w:w="848" w:type="dxa"/>
            <w:tcBorders/>
            <w:shd w:fill="FFFFFF" w:val="clear"/>
            <w:vAlign w:val="bottom"/>
          </w:tcPr>
          <w:p>
            <w:pPr>
              <w:pStyle w:val="TableContents"/>
              <w:spacing w:before="0" w:after="283"/>
              <w:jc w:val="right"/>
              <w:rPr>
                <w:rFonts w:ascii="times" w:hAnsi="times"/>
                <w:sz w:val="20"/>
              </w:rPr>
            </w:pPr>
            <w:r>
              <w:rPr>
                <w:rFonts w:ascii="times" w:hAnsi="times"/>
                <w:sz w:val="20"/>
              </w:rPr>
              <w:t>32.26</w:t>
            </w:r>
          </w:p>
        </w:tc>
        <w:tc>
          <w:tcPr>
            <w:tcW w:w="261"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847" w:type="dxa"/>
            <w:tcBorders/>
            <w:shd w:fill="FFFFFF" w:val="clear"/>
            <w:vAlign w:val="bottom"/>
          </w:tcPr>
          <w:p>
            <w:pPr>
              <w:pStyle w:val="TableContents"/>
              <w:spacing w:before="0" w:after="283"/>
              <w:jc w:val="right"/>
              <w:rPr>
                <w:rFonts w:ascii="times" w:hAnsi="times"/>
                <w:sz w:val="20"/>
              </w:rPr>
            </w:pPr>
            <w:r>
              <w:rPr>
                <w:rFonts w:ascii="times" w:hAnsi="times"/>
                <w:sz w:val="20"/>
              </w:rPr>
              <w:t>28.48</w:t>
            </w:r>
          </w:p>
        </w:tc>
        <w:tc>
          <w:tcPr>
            <w:tcW w:w="261" w:type="dxa"/>
            <w:tcBorders/>
            <w:shd w:fill="FFFFFF" w:val="clear"/>
            <w:vAlign w:val="bottom"/>
          </w:tcPr>
          <w:p>
            <w:pPr>
              <w:pStyle w:val="TableContents"/>
              <w:spacing w:before="0" w:after="283"/>
              <w:rPr/>
            </w:pPr>
            <w:r>
              <w:rPr/>
              <w:t> </w:t>
            </w:r>
          </w:p>
        </w:tc>
        <w:tc>
          <w:tcPr>
            <w:tcW w:w="181" w:type="dxa"/>
            <w:tcBorders/>
            <w:shd w:fill="FFFFFF" w:val="clear"/>
            <w:vAlign w:val="bottom"/>
          </w:tcPr>
          <w:p>
            <w:pPr>
              <w:pStyle w:val="TableContents"/>
              <w:spacing w:before="0" w:after="283"/>
              <w:rPr/>
            </w:pPr>
            <w:r>
              <w:rPr/>
              <w:t> </w:t>
            </w:r>
          </w:p>
        </w:tc>
        <w:tc>
          <w:tcPr>
            <w:tcW w:w="1760" w:type="dxa"/>
            <w:tcBorders/>
            <w:shd w:fill="FFFFFF" w:val="clear"/>
            <w:vAlign w:val="bottom"/>
          </w:tcPr>
          <w:p>
            <w:pPr>
              <w:pStyle w:val="TableContents"/>
              <w:spacing w:before="0" w:after="283"/>
              <w:jc w:val="right"/>
              <w:rPr>
                <w:rFonts w:ascii="times" w:hAnsi="times"/>
                <w:sz w:val="20"/>
              </w:rPr>
            </w:pPr>
            <w:r>
              <w:rPr>
                <w:rFonts w:ascii="times" w:hAnsi="times"/>
                <w:sz w:val="20"/>
              </w:rPr>
              <w:t>0.19075</w:t>
            </w:r>
          </w:p>
        </w:tc>
        <w:tc>
          <w:tcPr>
            <w:tcW w:w="268" w:type="dxa"/>
            <w:tcBorders/>
            <w:shd w:fill="FFFFFF" w:val="clear"/>
            <w:vAlign w:val="bottom"/>
          </w:tcPr>
          <w:p>
            <w:pPr>
              <w:pStyle w:val="TableContents"/>
              <w:spacing w:before="0" w:after="283"/>
              <w:rPr>
                <w:rFonts w:ascii="times" w:hAnsi="times"/>
                <w:sz w:val="20"/>
              </w:rPr>
            </w:pPr>
            <w:r>
              <w:rPr>
                <w:rFonts w:ascii="times" w:hAnsi="times"/>
                <w:sz w:val="20"/>
              </w:rPr>
              <w:t>(3)</w:t>
            </w:r>
          </w:p>
        </w:tc>
      </w:tr>
      <w:tr>
        <w:trPr/>
        <w:tc>
          <w:tcPr>
            <w:tcW w:w="5157" w:type="dxa"/>
            <w:tcBorders/>
            <w:shd w:fill="CCEEFF" w:val="clear"/>
            <w:vAlign w:val="bottom"/>
          </w:tcPr>
          <w:p>
            <w:pPr>
              <w:pStyle w:val="TableContents"/>
              <w:spacing w:before="0" w:after="283"/>
              <w:ind w:left="400" w:right="0" w:hanging="200"/>
              <w:rPr>
                <w:rFonts w:ascii="times" w:hAnsi="times"/>
                <w:sz w:val="20"/>
              </w:rPr>
            </w:pPr>
            <w:r>
              <w:rPr>
                <w:rFonts w:ascii="times" w:hAnsi="times"/>
                <w:sz w:val="20"/>
              </w:rPr>
              <w:t>Fourth Quarter (through November 5, 2014)</w:t>
            </w:r>
          </w:p>
        </w:tc>
        <w:tc>
          <w:tcPr>
            <w:tcW w:w="261" w:type="dxa"/>
            <w:tcBorders/>
            <w:shd w:fill="CCEEFF" w:val="clear"/>
            <w:vAlign w:val="bottom"/>
          </w:tcPr>
          <w:p>
            <w:pPr>
              <w:pStyle w:val="TableContents"/>
              <w:spacing w:before="0" w:after="283"/>
              <w:rPr/>
            </w:pPr>
            <w:r>
              <w:rPr/>
              <w:t> </w:t>
            </w:r>
          </w:p>
        </w:tc>
        <w:tc>
          <w:tcPr>
            <w:tcW w:w="180" w:type="dxa"/>
            <w:tcBorders/>
            <w:shd w:fill="CCEEFF" w:val="clear"/>
            <w:vAlign w:val="bottom"/>
          </w:tcPr>
          <w:p>
            <w:pPr>
              <w:pStyle w:val="TableContents"/>
              <w:spacing w:before="0" w:after="283"/>
              <w:rPr/>
            </w:pPr>
            <w:r>
              <w:rPr/>
              <w:t> </w:t>
            </w:r>
          </w:p>
        </w:tc>
        <w:tc>
          <w:tcPr>
            <w:tcW w:w="848" w:type="dxa"/>
            <w:tcBorders/>
            <w:shd w:fill="CCEEFF" w:val="clear"/>
            <w:vAlign w:val="bottom"/>
          </w:tcPr>
          <w:p>
            <w:pPr>
              <w:pStyle w:val="TableContents"/>
              <w:spacing w:before="0" w:after="283"/>
              <w:jc w:val="right"/>
              <w:rPr>
                <w:rFonts w:ascii="times" w:hAnsi="times"/>
                <w:sz w:val="20"/>
              </w:rPr>
            </w:pPr>
            <w:r>
              <w:rPr>
                <w:rFonts w:ascii="times" w:hAnsi="times"/>
                <w:sz w:val="20"/>
              </w:rPr>
              <w:t>30.75</w:t>
            </w:r>
          </w:p>
        </w:tc>
        <w:tc>
          <w:tcPr>
            <w:tcW w:w="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847" w:type="dxa"/>
            <w:tcBorders/>
            <w:shd w:fill="CCEEFF" w:val="clear"/>
            <w:vAlign w:val="bottom"/>
          </w:tcPr>
          <w:p>
            <w:pPr>
              <w:pStyle w:val="TableContents"/>
              <w:spacing w:before="0" w:after="283"/>
              <w:jc w:val="right"/>
              <w:rPr>
                <w:rFonts w:ascii="times" w:hAnsi="times"/>
                <w:sz w:val="20"/>
              </w:rPr>
            </w:pPr>
            <w:r>
              <w:rPr>
                <w:rFonts w:ascii="times" w:hAnsi="times"/>
                <w:sz w:val="20"/>
              </w:rPr>
              <w:t>23.53</w:t>
            </w:r>
          </w:p>
        </w:tc>
        <w:tc>
          <w:tcPr>
            <w:tcW w:w="261" w:type="dxa"/>
            <w:tcBorders/>
            <w:shd w:fill="CCEEFF" w:val="clear"/>
            <w:vAlign w:val="bottom"/>
          </w:tcPr>
          <w:p>
            <w:pPr>
              <w:pStyle w:val="TableContents"/>
              <w:spacing w:before="0" w:after="283"/>
              <w:rPr/>
            </w:pPr>
            <w:r>
              <w:rPr/>
              <w:t> </w:t>
            </w:r>
          </w:p>
        </w:tc>
        <w:tc>
          <w:tcPr>
            <w:tcW w:w="181" w:type="dxa"/>
            <w:tcBorders/>
            <w:shd w:fill="CCEEFF" w:val="clear"/>
            <w:vAlign w:val="bottom"/>
          </w:tcPr>
          <w:p>
            <w:pPr>
              <w:pStyle w:val="TableContents"/>
              <w:spacing w:before="0" w:after="283"/>
              <w:rPr/>
            </w:pPr>
            <w:r>
              <w:rPr/>
              <w:t> </w:t>
            </w:r>
          </w:p>
        </w:tc>
        <w:tc>
          <w:tcPr>
            <w:tcW w:w="1760" w:type="dxa"/>
            <w:tcBorders/>
            <w:shd w:fill="CCEEFF" w:val="clear"/>
            <w:vAlign w:val="bottom"/>
          </w:tcPr>
          <w:p>
            <w:pPr>
              <w:pStyle w:val="TableContents"/>
              <w:spacing w:before="0" w:after="283"/>
              <w:jc w:val="right"/>
              <w:rPr/>
            </w:pPr>
            <w:r>
              <w:rPr/>
              <w:t>    </w:t>
            </w:r>
          </w:p>
        </w:tc>
        <w:tc>
          <w:tcPr>
            <w:tcW w:w="268" w:type="dxa"/>
            <w:tcBorders/>
            <w:shd w:fill="CCEEFF" w:val="clear"/>
            <w:vAlign w:val="bottom"/>
          </w:tcPr>
          <w:p>
            <w:pPr>
              <w:pStyle w:val="TableContents"/>
              <w:spacing w:before="0" w:after="283"/>
              <w:rPr>
                <w:rFonts w:ascii="times" w:hAnsi="times"/>
                <w:sz w:val="20"/>
              </w:rPr>
            </w:pPr>
            <w:r>
              <w:rPr>
                <w:rFonts w:ascii="times" w:hAnsi="times"/>
                <w:sz w:val="20"/>
              </w:rPr>
              <w:t>(4)</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Represents cash distributions attributable to the quarter and paid within 55 days after the quarter end.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Represents the trading period from October 16, 2013, the day our common units began trading on the NYSE, through December 31, 2013. We closed our initial public offering on October 21, 2013 and, therefore, made a prorated cash distribution for the fourth quarter of 2013.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 xml:space="preserve">Cash distributions in respect of the third quarter of 2014 will be paid on November 14, 2014. Purchasers in this offering will not be entitled to receive the distribution payable on November 14, 2014. </w:t>
      </w:r>
    </w:p>
    <w:p>
      <w:pPr>
        <w:pStyle w:val="ListHeading"/>
        <w:spacing w:before="0" w:after="0"/>
        <w:jc w:val="left"/>
        <w:rPr>
          <w:rFonts w:ascii="times" w:hAnsi="times"/>
          <w:sz w:val="20"/>
        </w:rPr>
      </w:pPr>
      <w:r>
        <w:rPr>
          <w:rFonts w:ascii="times" w:hAnsi="times"/>
          <w:sz w:val="20"/>
        </w:rPr>
        <w:t>(4)</w:t>
      </w:r>
    </w:p>
    <w:p>
      <w:pPr>
        <w:pStyle w:val="ListContents"/>
        <w:spacing w:before="0" w:after="283"/>
        <w:jc w:val="left"/>
        <w:rPr>
          <w:rFonts w:ascii="times" w:hAnsi="times"/>
          <w:sz w:val="20"/>
        </w:rPr>
      </w:pPr>
      <w:r>
        <w:rPr>
          <w:rFonts w:ascii="times" w:hAnsi="times"/>
          <w:sz w:val="20"/>
        </w:rPr>
        <w:t xml:space="preserve">Cash distributions in respect of the fourth quarter of 2014 have not been declared or paid. </w:t>
      </w:r>
    </w:p>
    <w:p>
      <w:pPr>
        <w:pStyle w:val="TextBody"/>
        <w:jc w:val="center"/>
        <w:rPr>
          <w:rFonts w:ascii="times" w:hAnsi="times"/>
          <w:sz w:val="20"/>
        </w:rPr>
      </w:pPr>
      <w:r>
        <w:rPr>
          <w:rFonts w:ascii="times" w:hAnsi="times"/>
          <w:sz w:val="20"/>
        </w:rPr>
        <w:t>11</w:t>
      </w:r>
    </w:p>
    <w:p>
      <w:pPr>
        <w:pStyle w:val="HorizontalLine"/>
        <w:pBdr>
          <w:bottom w:val="single" w:sz="20" w:space="0" w:color="808080"/>
        </w:pBdr>
        <w:rPr/>
      </w:pPr>
      <w:r>
        <w:rPr/>
      </w:r>
      <w:r>
        <w:br w:type="page"/>
      </w:r>
    </w:p>
    <w:p>
      <w:pPr>
        <w:pStyle w:val="TextBody"/>
        <w:rPr/>
      </w:pPr>
      <w:hyperlink w:anchor="bg76101a_main_toc">
        <w:bookmarkStart w:id="44" w:name="page_dc76101_1_12"/>
        <w:bookmarkEnd w:id="44"/>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45" w:name="toc_dc76101_1"/>
      <w:bookmarkStart w:id="46" w:name="dc76101_our_cash_distribution_policy"/>
      <w:bookmarkEnd w:id="45"/>
      <w:bookmarkEnd w:id="46"/>
      <w:r>
        <w:rPr>
          <w:rFonts w:ascii="times" w:hAnsi="times"/>
          <w:sz w:val="20"/>
        </w:rPr>
        <w:br/>
      </w:r>
      <w:r>
        <w:rPr>
          <w:rFonts w:ascii="times" w:hAnsi="times"/>
          <w:b/>
          <w:sz w:val="20"/>
        </w:rPr>
        <w:t xml:space="preserve">OUR CASH DISTRIBUTION POLICY </w:t>
      </w:r>
    </w:p>
    <w:p>
      <w:pPr>
        <w:pStyle w:val="TextBody"/>
        <w:rPr>
          <w:rFonts w:ascii="times" w:hAnsi="times"/>
          <w:b/>
          <w:sz w:val="20"/>
        </w:rPr>
      </w:pPr>
      <w:r>
        <w:rPr>
          <w:rFonts w:ascii="times" w:hAnsi="times"/>
          <w:b/>
          <w:sz w:val="20"/>
        </w:rPr>
        <w:t xml:space="preserve">Our Cash Distribution Policy </w:t>
      </w:r>
    </w:p>
    <w:p>
      <w:pPr>
        <w:pStyle w:val="TextBody"/>
        <w:rPr/>
      </w:pPr>
      <w:r>
        <w:rPr/>
        <w:t>        </w:t>
      </w:r>
      <w:r>
        <w:rPr>
          <w:rFonts w:ascii="times" w:hAnsi="times"/>
          <w:sz w:val="20"/>
        </w:rPr>
        <w:t xml:space="preserve">Our partnership agreement requires that, within 55 days after the end of each quarter, we distribute all of our available cash to Class A shareholders of record on the applicable record date. </w:t>
      </w:r>
    </w:p>
    <w:p>
      <w:pPr>
        <w:pStyle w:val="TextBody"/>
        <w:rPr/>
      </w:pPr>
      <w:r>
        <w:rPr/>
        <w:t>        </w:t>
      </w:r>
      <w:r>
        <w:rPr>
          <w:rFonts w:ascii="times" w:hAnsi="times"/>
          <w:sz w:val="20"/>
        </w:rPr>
        <w:t>Available cash generally means, for any quarter ending prior to liquidation, all cash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comply with applicable law or any agreement binding upon us or our subsidiaries (exclusive of PAA and its subsidiaries);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funds for future distributions to shareholders;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for future capital expenditures, debt service and other credit needs as well as any federal, state, provincial or other income tax that may affect us in the future;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permit us to pay a ratable amount to AAP as necessary to permit AAP to make required capital contributions to PAA to maintain PAA GP's 2% general partner interest upon the issuance of additional partnership securities by PAA;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provide for the proper conduct of our business, including with respect to the matters described under "The Partnership Agreement." </w:t>
      </w:r>
    </w:p>
    <w:p>
      <w:pPr>
        <w:pStyle w:val="TextBody"/>
        <w:rPr/>
      </w:pPr>
      <w:r>
        <w:rPr/>
        <w:t>        </w:t>
      </w:r>
      <w:r>
        <w:rPr>
          <w:rFonts w:ascii="times" w:hAnsi="times"/>
          <w:sz w:val="20"/>
        </w:rPr>
        <w:t xml:space="preserve">Our available cash also includes cash on hand resulting from borrowings made after the end of the quarter. </w:t>
      </w:r>
    </w:p>
    <w:p>
      <w:pPr>
        <w:pStyle w:val="TextBody"/>
        <w:rPr>
          <w:rFonts w:ascii="times" w:hAnsi="times"/>
          <w:b/>
          <w:sz w:val="20"/>
        </w:rPr>
      </w:pPr>
      <w:r>
        <w:rPr>
          <w:rFonts w:ascii="times" w:hAnsi="times"/>
          <w:b/>
          <w:sz w:val="20"/>
        </w:rPr>
        <w:t xml:space="preserve">Our Sources of Available Cash </w:t>
      </w:r>
    </w:p>
    <w:p>
      <w:pPr>
        <w:pStyle w:val="TextBody"/>
        <w:rPr/>
      </w:pPr>
      <w:r>
        <w:rPr/>
        <w:t>        </w:t>
      </w:r>
      <w:r>
        <w:rPr>
          <w:rFonts w:ascii="times" w:hAnsi="times"/>
          <w:sz w:val="20"/>
        </w:rPr>
        <w:t xml:space="preserve">As of September 30, 2014, our only cash-generating assets consisted of our indirect partnership interests in PAA through our 22.4% limited partnership interest in AAP. AAP currently receives all of its cash flows from its direct ownership of all of PAA's incentive distribution rights and its indirect ownership of the 2% general partner interest in PAA. Therefore, our cash flow and resulting ability to make distributions will be completely dependent upon the ability of PAA to make distributions to AAP in respect of those partnership interests. The actual amount of cash that PAA, and correspondingly AAP, will have available for distribution will primarily depend on the amount of cash PAA generates from its operations. Also, under the terms of the agreements governing AAP and PAA's debt, they are prohibited from declaring or paying any distribution to unitholders if a default or event of default (as defined in such agreements) exists. </w:t>
      </w:r>
    </w:p>
    <w:p>
      <w:pPr>
        <w:pStyle w:val="TextBody"/>
        <w:rPr/>
      </w:pPr>
      <w:r>
        <w:rPr/>
        <w:t>        </w:t>
      </w:r>
      <w:r>
        <w:rPr>
          <w:rFonts w:ascii="times" w:hAnsi="times"/>
          <w:sz w:val="20"/>
        </w:rPr>
        <w:t>In addition, the actual amount of cash that PAA and AAP will have available for distribution will depend on other factors, some of which are beyond PAA's or our control, including: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revenue PAA and AAP are able to generate from their respective businesses;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capital expenditures PAA or AAP makes;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level of PAA's and AAP's operating, maintenance and general and administrative expenses or related obligations;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cost of acquisitions, if any;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and AAP's debt service requirements and other liabilities;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and AAP's working capital needs; </w:t>
      </w:r>
    </w:p>
    <w:p>
      <w:pPr>
        <w:pStyle w:val="TextBody"/>
        <w:jc w:val="center"/>
        <w:rPr>
          <w:rFonts w:ascii="times" w:hAnsi="times"/>
          <w:sz w:val="20"/>
        </w:rPr>
      </w:pPr>
      <w:r>
        <w:rPr>
          <w:rFonts w:ascii="times" w:hAnsi="times"/>
          <w:sz w:val="20"/>
        </w:rPr>
        <w:t>12</w:t>
      </w:r>
    </w:p>
    <w:p>
      <w:pPr>
        <w:pStyle w:val="HorizontalLine"/>
        <w:pBdr>
          <w:bottom w:val="single" w:sz="20" w:space="0" w:color="808080"/>
        </w:pBdr>
        <w:rPr/>
      </w:pPr>
      <w:r>
        <w:rPr/>
      </w:r>
      <w:r>
        <w:br w:type="page"/>
      </w:r>
    </w:p>
    <w:p>
      <w:pPr>
        <w:pStyle w:val="TextBody"/>
        <w:rPr/>
      </w:pPr>
      <w:hyperlink w:anchor="bg76101a_main_toc">
        <w:bookmarkStart w:id="47" w:name="page_dc76101_1_13"/>
        <w:bookmarkEnd w:id="47"/>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restrictions on distributions contained in PAA's or AAP's debt agreements and any future debt agreements;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PAA's and AAP's ability to borrow under their respective revolving credit agreements to make distributions;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amount, if any, of cash reserves established by each of PAA GP and our general partner, in their sole discretion, for the proper conduct of PAA's and our business. </w:t>
      </w:r>
    </w:p>
    <w:p>
      <w:pPr>
        <w:pStyle w:val="TextBody"/>
        <w:rPr>
          <w:rFonts w:ascii="times" w:hAnsi="times"/>
          <w:b/>
          <w:sz w:val="20"/>
        </w:rPr>
      </w:pPr>
      <w:r>
        <w:rPr>
          <w:rFonts w:ascii="times" w:hAnsi="times"/>
          <w:b/>
          <w:sz w:val="20"/>
        </w:rPr>
        <w:t xml:space="preserve">General Partner Interest </w:t>
      </w:r>
    </w:p>
    <w:p>
      <w:pPr>
        <w:pStyle w:val="TextBody"/>
        <w:rPr/>
      </w:pPr>
      <w:r>
        <w:rPr/>
        <w:t>        </w:t>
      </w:r>
      <w:r>
        <w:rPr>
          <w:rFonts w:ascii="times" w:hAnsi="times"/>
          <w:sz w:val="20"/>
        </w:rPr>
        <w:t xml:space="preserve">Our general partner owns a non-economic general partner interest in us, which does not entitle it to receive cash distributions. </w:t>
      </w:r>
    </w:p>
    <w:p>
      <w:pPr>
        <w:pStyle w:val="TextBody"/>
        <w:rPr>
          <w:rFonts w:ascii="times" w:hAnsi="times"/>
          <w:b/>
          <w:sz w:val="20"/>
        </w:rPr>
      </w:pPr>
      <w:r>
        <w:rPr>
          <w:rFonts w:ascii="times" w:hAnsi="times"/>
          <w:b/>
          <w:sz w:val="20"/>
        </w:rPr>
        <w:t xml:space="preserve">Distributions of Cash Upon Liquidation </w:t>
      </w:r>
    </w:p>
    <w:p>
      <w:pPr>
        <w:pStyle w:val="TextBody"/>
        <w:rPr/>
      </w:pPr>
      <w:r>
        <w:rPr/>
        <w:t>        </w:t>
      </w:r>
      <w:r>
        <w:rPr>
          <w:rFonts w:ascii="times" w:hAnsi="times"/>
          <w:sz w:val="20"/>
        </w:rPr>
        <w:t xml:space="preserve">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 </w:t>
      </w:r>
    </w:p>
    <w:p>
      <w:pPr>
        <w:pStyle w:val="TextBody"/>
        <w:jc w:val="center"/>
        <w:rPr>
          <w:rFonts w:ascii="times" w:hAnsi="times"/>
          <w:sz w:val="20"/>
        </w:rPr>
      </w:pPr>
      <w:r>
        <w:rPr>
          <w:rFonts w:ascii="times" w:hAnsi="times"/>
          <w:sz w:val="20"/>
        </w:rPr>
        <w:t>13</w:t>
      </w:r>
    </w:p>
    <w:p>
      <w:pPr>
        <w:pStyle w:val="HorizontalLine"/>
        <w:pBdr>
          <w:bottom w:val="single" w:sz="20" w:space="0" w:color="808080"/>
        </w:pBdr>
        <w:rPr/>
      </w:pPr>
      <w:r>
        <w:rPr/>
      </w:r>
      <w:r>
        <w:br w:type="page"/>
      </w:r>
    </w:p>
    <w:p>
      <w:pPr>
        <w:pStyle w:val="TextBody"/>
        <w:rPr/>
      </w:pPr>
      <w:hyperlink w:anchor="bg76101a_main_toc">
        <w:bookmarkStart w:id="48" w:name="page_dc76101_1_14"/>
        <w:bookmarkEnd w:id="48"/>
        <w:r>
          <w:rPr>
            <w:rStyle w:val="InternetLink"/>
            <w:rFonts w:ascii="times" w:hAnsi="times"/>
            <w:sz w:val="20"/>
          </w:rPr>
          <w:t>Table of Contents</w:t>
        </w:r>
      </w:hyperlink>
    </w:p>
    <w:p>
      <w:pPr>
        <w:pStyle w:val="TextBody"/>
        <w:jc w:val="center"/>
        <w:rPr>
          <w:rFonts w:ascii="times" w:hAnsi="times"/>
        </w:rPr>
      </w:pPr>
      <w:bookmarkStart w:id="49" w:name="toc_dc76101_2"/>
      <w:bookmarkStart w:id="50" w:name="dc76101_the_partnership_agreement"/>
      <w:bookmarkEnd w:id="49"/>
      <w:bookmarkEnd w:id="50"/>
      <w:r>
        <w:rPr>
          <w:rFonts w:ascii="times" w:hAnsi="times"/>
          <w:sz w:val="20"/>
        </w:rPr>
        <w:br/>
      </w:r>
      <w:r>
        <w:rPr>
          <w:rFonts w:ascii="times" w:hAnsi="times"/>
          <w:b/>
          <w:sz w:val="20"/>
        </w:rPr>
        <w:t xml:space="preserve">THE PARTNERSHIP AGREEMENT </w:t>
      </w:r>
    </w:p>
    <w:p>
      <w:pPr>
        <w:pStyle w:val="TextBody"/>
        <w:rPr/>
      </w:pPr>
      <w:r>
        <w:rPr/>
        <w:t>        </w:t>
      </w:r>
      <w:r>
        <w:rPr>
          <w:rFonts w:ascii="times" w:hAnsi="times"/>
          <w:sz w:val="20"/>
        </w:rPr>
        <w:t>The following is a summary of the material provisions of our partnership agreement. We summarize the following provisions of our partnership agreement elsewhere in this prospectus: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distributions of available cash, please read "Our Cash Distribution Policy";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the rights of holders of Class A shares, please read "Description of Our Shares";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with regard to allocations of taxable income and taxable loss, please read "Material U.S. Federal Income Tax Consequences." </w:t>
      </w:r>
    </w:p>
    <w:p>
      <w:pPr>
        <w:pStyle w:val="TextBody"/>
        <w:rPr>
          <w:rFonts w:ascii="times" w:hAnsi="times"/>
          <w:b/>
          <w:sz w:val="20"/>
        </w:rPr>
      </w:pPr>
      <w:r>
        <w:rPr>
          <w:rFonts w:ascii="times" w:hAnsi="times"/>
          <w:b/>
          <w:sz w:val="20"/>
        </w:rPr>
        <w:t xml:space="preserve">Organization and Duration </w:t>
      </w:r>
    </w:p>
    <w:p>
      <w:pPr>
        <w:pStyle w:val="TextBody"/>
        <w:rPr/>
      </w:pPr>
      <w:r>
        <w:rPr/>
        <w:t>        </w:t>
      </w:r>
      <w:r>
        <w:rPr>
          <w:rFonts w:ascii="times" w:hAnsi="times"/>
          <w:sz w:val="20"/>
        </w:rPr>
        <w:t xml:space="preserve">We were formed in July 2013 and have a perpetual existence. </w:t>
      </w:r>
    </w:p>
    <w:p>
      <w:pPr>
        <w:pStyle w:val="TextBody"/>
        <w:rPr>
          <w:rFonts w:ascii="times" w:hAnsi="times"/>
          <w:b/>
          <w:sz w:val="20"/>
        </w:rPr>
      </w:pPr>
      <w:r>
        <w:rPr>
          <w:rFonts w:ascii="times" w:hAnsi="times"/>
          <w:b/>
          <w:sz w:val="20"/>
        </w:rPr>
        <w:t xml:space="preserve">Purpose </w:t>
      </w:r>
    </w:p>
    <w:p>
      <w:pPr>
        <w:pStyle w:val="TextBody"/>
        <w:rPr/>
      </w:pPr>
      <w:r>
        <w:rPr/>
        <w:t>        </w:t>
      </w:r>
      <w:r>
        <w:rPr>
          <w:rFonts w:ascii="times" w:hAnsi="times"/>
          <w:sz w:val="20"/>
        </w:rPr>
        <w:t xml:space="preserve">Under our partnership agreement, we are permitted to engage, directly or indirectly, in any business activity that is approved by our general partner and that lawfully may be conducted by a limited partnership organized under Delaware law. </w:t>
      </w:r>
    </w:p>
    <w:p>
      <w:pPr>
        <w:pStyle w:val="TextBody"/>
        <w:rPr/>
      </w:pPr>
      <w:r>
        <w:rPr/>
        <w:t>        </w:t>
      </w:r>
      <w:r>
        <w:rPr>
          <w:rFonts w:ascii="times" w:hAnsi="times"/>
          <w:sz w:val="20"/>
        </w:rPr>
        <w:t>Although our general partner has the ability to cause us, our affiliates and our subsidiaries to engage in activities other than the indirect ownership of partnership interests (including incentive distribution rights)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making of expenditures and the incurrence of debt and other obligations;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acquisition, disposition, mortgage, pledge, encumbrance, hypothecation or exchange of any or all of our assets or the merger or other combination of us with or into another person;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negotiation, execution and performance of contracts;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distribution of our cash;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purchase, sale or other acquisition or disposition of our partnership securities or the issuance of partnership securities or options or other rights relating thereto;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action in connection with our participation and management of PAA;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action to waive, reduce, limit or modify PAA's IDRs. </w:t>
      </w:r>
    </w:p>
    <w:p>
      <w:pPr>
        <w:pStyle w:val="TextBody"/>
        <w:rPr>
          <w:rFonts w:ascii="times" w:hAnsi="times"/>
          <w:b/>
          <w:sz w:val="20"/>
        </w:rPr>
      </w:pPr>
      <w:r>
        <w:rPr>
          <w:rFonts w:ascii="times" w:hAnsi="times"/>
          <w:b/>
          <w:sz w:val="20"/>
        </w:rPr>
        <w:t xml:space="preserve">Capital Contributions </w:t>
      </w:r>
    </w:p>
    <w:p>
      <w:pPr>
        <w:pStyle w:val="TextBody"/>
        <w:rPr/>
      </w:pPr>
      <w:r>
        <w:rPr/>
        <w:t>        </w:t>
      </w:r>
      <w:r>
        <w:rPr>
          <w:rFonts w:ascii="times" w:hAnsi="times"/>
          <w:sz w:val="20"/>
        </w:rPr>
        <w:t xml:space="preserve">Our shareholders are not obligated to make additional capital contributions, except as described below under "Limited Liability." </w:t>
      </w:r>
    </w:p>
    <w:p>
      <w:pPr>
        <w:pStyle w:val="TextBody"/>
        <w:rPr>
          <w:rFonts w:ascii="times" w:hAnsi="times"/>
          <w:b/>
          <w:sz w:val="20"/>
        </w:rPr>
      </w:pPr>
      <w:r>
        <w:rPr>
          <w:rFonts w:ascii="times" w:hAnsi="times"/>
          <w:b/>
          <w:sz w:val="20"/>
        </w:rPr>
        <w:t xml:space="preserve">Applicable Law; Forum, Venue and Jurisdiction </w:t>
      </w:r>
    </w:p>
    <w:p>
      <w:pPr>
        <w:pStyle w:val="TextBody"/>
        <w:rPr/>
      </w:pPr>
      <w:r>
        <w:rPr/>
        <w:t>        </w:t>
      </w:r>
      <w:r>
        <w:rPr>
          <w:rFonts w:ascii="times" w:hAnsi="times"/>
          <w:sz w:val="20"/>
        </w:rPr>
        <w:t>Our partnership agreement is governed by Delaware law. Our partnership agreement requires that any claims, suits, actions or proceedings: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arising out of or relating in any way to the partnership agreement (including any claims, suits or actions to interpret, apply or enforce the provisions of the partnership agreement or the duties, </w:t>
      </w:r>
    </w:p>
    <w:p>
      <w:pPr>
        <w:pStyle w:val="TextBody"/>
        <w:jc w:val="center"/>
        <w:rPr>
          <w:rFonts w:ascii="times" w:hAnsi="times"/>
          <w:sz w:val="20"/>
        </w:rPr>
      </w:pPr>
      <w:r>
        <w:rPr>
          <w:rFonts w:ascii="times" w:hAnsi="times"/>
          <w:sz w:val="20"/>
        </w:rPr>
        <w:t>14</w:t>
      </w:r>
    </w:p>
    <w:p>
      <w:pPr>
        <w:pStyle w:val="HorizontalLine"/>
        <w:pBdr>
          <w:bottom w:val="single" w:sz="20" w:space="0" w:color="808080"/>
        </w:pBdr>
        <w:rPr/>
      </w:pPr>
      <w:r>
        <w:rPr/>
      </w:r>
      <w:r>
        <w:br w:type="page"/>
      </w:r>
    </w:p>
    <w:p>
      <w:pPr>
        <w:pStyle w:val="TextBody"/>
        <w:rPr/>
      </w:pPr>
      <w:hyperlink w:anchor="bg76101a_main_toc">
        <w:bookmarkStart w:id="51" w:name="page_dc76101_1_15"/>
        <w:bookmarkEnd w:id="51"/>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obligations or liabilities among shareholders or of shareholders to us, or the rights or powers of, or restrictions on, the shareholders or us);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brought in a derivative manner on our behalf;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of breach of a fiduciary duty owed by any director, officer or other employee of us or our general partner, or owed by our general partner to us or the shareholders;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arising pursuant to any provision of the Delaware Revised Uniform Limited Partnership Act (the "Delaware Act");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asserting a claim governed by the internal affairs doctrine </w:t>
      </w:r>
    </w:p>
    <w:p>
      <w:pPr>
        <w:pStyle w:val="TextBody"/>
        <w:rPr>
          <w:rFonts w:ascii="times" w:hAnsi="times"/>
          <w:sz w:val="20"/>
        </w:rPr>
      </w:pPr>
      <w:r>
        <w:rPr>
          <w:rFonts w:ascii="times" w:hAnsi="times"/>
          <w:sz w:val="20"/>
        </w:rPr>
        <w:t xml:space="preserve">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 </w:t>
      </w:r>
    </w:p>
    <w:p>
      <w:pPr>
        <w:pStyle w:val="TextBody"/>
        <w:rPr>
          <w:rFonts w:ascii="times" w:hAnsi="times"/>
          <w:b/>
          <w:sz w:val="20"/>
        </w:rPr>
      </w:pPr>
      <w:r>
        <w:rPr>
          <w:rFonts w:ascii="times" w:hAnsi="times"/>
          <w:b/>
          <w:sz w:val="20"/>
        </w:rPr>
        <w:t xml:space="preserve">Limited Liability </w:t>
      </w:r>
    </w:p>
    <w:p>
      <w:pPr>
        <w:pStyle w:val="TextBody"/>
        <w:rPr/>
      </w:pPr>
      <w:r>
        <w:rPr/>
        <w:t>        </w:t>
      </w:r>
      <w:r>
        <w:rPr>
          <w:rFonts w:ascii="times" w:hAnsi="times"/>
          <w:sz w:val="20"/>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remove or replace our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approve some amendments to our partnership agreement,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take other action under our partnership agreement, </w:t>
      </w:r>
    </w:p>
    <w:p>
      <w:pPr>
        <w:pStyle w:val="TextBody"/>
        <w:rPr>
          <w:rFonts w:ascii="times" w:hAnsi="times"/>
          <w:sz w:val="20"/>
        </w:rPr>
      </w:pPr>
      <w:r>
        <w:rPr>
          <w:rFonts w:ascii="times" w:hAnsi="times"/>
          <w:sz w:val="20"/>
        </w:rPr>
        <w:t xml:space="preserve">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 </w:t>
      </w:r>
    </w:p>
    <w:p>
      <w:pPr>
        <w:pStyle w:val="TextBody"/>
        <w:rPr/>
      </w:pPr>
      <w:r>
        <w:rPr/>
        <w:t>        </w:t>
      </w:r>
      <w:r>
        <w:rPr>
          <w:rFonts w:ascii="times" w:hAnsi="times"/>
          <w:sz w:val="20"/>
        </w:rPr>
        <w:t xml:space="preserve">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w:t>
      </w:r>
    </w:p>
    <w:p>
      <w:pPr>
        <w:pStyle w:val="TextBody"/>
        <w:jc w:val="center"/>
        <w:rPr>
          <w:rFonts w:ascii="times" w:hAnsi="times"/>
          <w:sz w:val="20"/>
        </w:rPr>
      </w:pPr>
      <w:r>
        <w:rPr>
          <w:rFonts w:ascii="times" w:hAnsi="times"/>
          <w:sz w:val="20"/>
        </w:rPr>
        <w:t>15</w:t>
      </w:r>
    </w:p>
    <w:p>
      <w:pPr>
        <w:pStyle w:val="HorizontalLine"/>
        <w:pBdr>
          <w:bottom w:val="single" w:sz="20" w:space="0" w:color="808080"/>
        </w:pBdr>
        <w:rPr/>
      </w:pPr>
      <w:r>
        <w:rPr/>
      </w:r>
      <w:r>
        <w:br w:type="page"/>
      </w:r>
    </w:p>
    <w:p>
      <w:pPr>
        <w:pStyle w:val="TextBody"/>
        <w:rPr/>
      </w:pPr>
      <w:hyperlink w:anchor="bg76101a_main_toc">
        <w:bookmarkStart w:id="52" w:name="page_dc76101_1_16"/>
        <w:bookmarkEnd w:id="5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years. Under the Delaware Act, a substituted limited partner of a limited partnership is liable for the obligations of his assignor to make contributions to the partnership, except that such person is not obligated for liabilities unknown to him at the time he became a limited partner and that could not be ascertained from the partnership agreement. </w:t>
      </w:r>
    </w:p>
    <w:p>
      <w:pPr>
        <w:pStyle w:val="TextBody"/>
        <w:rPr/>
      </w:pPr>
      <w:r>
        <w:rPr/>
        <w:t>        </w:t>
      </w:r>
      <w:r>
        <w:rPr>
          <w:rFonts w:ascii="times" w:hAnsi="times"/>
          <w:sz w:val="20"/>
        </w:rPr>
        <w:t xml:space="preserve">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 </w:t>
      </w:r>
    </w:p>
    <w:p>
      <w:pPr>
        <w:pStyle w:val="TextBody"/>
        <w:rPr>
          <w:rFonts w:ascii="times" w:hAnsi="times"/>
          <w:b/>
          <w:sz w:val="20"/>
        </w:rPr>
      </w:pPr>
      <w:r>
        <w:rPr>
          <w:rFonts w:ascii="times" w:hAnsi="times"/>
          <w:b/>
          <w:sz w:val="20"/>
        </w:rPr>
        <w:t xml:space="preserve">Limited Voting Rights </w:t>
      </w:r>
    </w:p>
    <w:p>
      <w:pPr>
        <w:pStyle w:val="TextBody"/>
        <w:rPr/>
      </w:pPr>
      <w:r>
        <w:rPr/>
        <w:t>        </w:t>
      </w:r>
      <w:r>
        <w:rPr>
          <w:rFonts w:ascii="times" w:hAnsi="times"/>
          <w:sz w:val="20"/>
        </w:rPr>
        <w:t xml:space="preserve">Our general partner manages us and our operations. You will have only limited voting rights on matters affecting our business. You will not have the right to elect our general partner or, except as described below under "Public Election of Directors Following Trigger Date," its directors on an annual or other continuing basis. </w:t>
      </w:r>
    </w:p>
    <w:p>
      <w:pPr>
        <w:pStyle w:val="TextBody"/>
        <w:rPr/>
      </w:pPr>
      <w:r>
        <w:rPr/>
        <w:t>        </w:t>
      </w:r>
      <w:r>
        <w:rPr>
          <w:rFonts w:ascii="times" w:hAnsi="times"/>
          <w:sz w:val="20"/>
        </w:rPr>
        <w:t xml:space="preserve">The following is a summary of the shareholder vote required for the matters specified below. On all matters where our shareholders are entitled to vote,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their shares, our general partner will have no fiduciary </w:t>
      </w:r>
    </w:p>
    <w:p>
      <w:pPr>
        <w:pStyle w:val="TextBody"/>
        <w:jc w:val="center"/>
        <w:rPr>
          <w:rFonts w:ascii="times" w:hAnsi="times"/>
          <w:sz w:val="20"/>
        </w:rPr>
      </w:pPr>
      <w:r>
        <w:rPr>
          <w:rFonts w:ascii="times" w:hAnsi="times"/>
          <w:sz w:val="20"/>
        </w:rPr>
        <w:t>16</w:t>
      </w:r>
    </w:p>
    <w:p>
      <w:pPr>
        <w:pStyle w:val="HorizontalLine"/>
        <w:pBdr>
          <w:bottom w:val="single" w:sz="20" w:space="0" w:color="808080"/>
        </w:pBdr>
        <w:rPr/>
      </w:pPr>
      <w:r>
        <w:rPr/>
      </w:r>
      <w:r>
        <w:br w:type="page"/>
      </w:r>
    </w:p>
    <w:p>
      <w:pPr>
        <w:pStyle w:val="TextBody"/>
        <w:rPr/>
      </w:pPr>
      <w:hyperlink w:anchor="bg76101a_main_toc">
        <w:bookmarkStart w:id="53" w:name="page_dc76101_1_17"/>
        <w:bookmarkEnd w:id="53"/>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duty or obligation whatsoever to us or the shareholders, including any duty to act in good faith or in the best interests of us or the shareholders. </w:t>
      </w:r>
    </w:p>
    <w:tbl>
      <w:tblPr>
        <w:tblW w:w="5000" w:type="pct"/>
        <w:jc w:val="center"/>
        <w:tblInd w:w="0" w:type="dxa"/>
        <w:tblCellMar>
          <w:top w:w="0" w:type="dxa"/>
          <w:left w:w="0" w:type="dxa"/>
          <w:bottom w:w="0" w:type="dxa"/>
          <w:right w:w="0" w:type="dxa"/>
        </w:tblCellMar>
      </w:tblPr>
      <w:tblGrid>
        <w:gridCol w:w="1612"/>
        <w:gridCol w:w="91"/>
        <w:gridCol w:w="8502"/>
      </w:tblGrid>
      <w:tr>
        <w:trPr/>
        <w:tc>
          <w:tcPr>
            <w:tcW w:w="1612" w:type="dxa"/>
            <w:tcBorders/>
            <w:shd w:fill="auto" w:val="clear"/>
            <w:vAlign w:val="center"/>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8502" w:type="dxa"/>
            <w:tcBorders/>
            <w:shd w:fill="auto" w:val="clear"/>
            <w:vAlign w:val="center"/>
          </w:tcPr>
          <w:p>
            <w:pPr>
              <w:pStyle w:val="TableContents"/>
              <w:spacing w:before="0" w:after="283"/>
              <w:rPr>
                <w:sz w:val="4"/>
                <w:szCs w:val="4"/>
              </w:rPr>
            </w:pPr>
            <w:r>
              <w:rPr>
                <w:sz w:val="4"/>
                <w:szCs w:val="4"/>
              </w:rPr>
            </w:r>
          </w:p>
        </w:tc>
      </w:tr>
      <w:tr>
        <w:trPr/>
        <w:tc>
          <w:tcPr>
            <w:tcW w:w="1612" w:type="dxa"/>
            <w:tcBorders/>
            <w:shd w:fill="auto" w:val="clear"/>
          </w:tcPr>
          <w:p>
            <w:pPr>
              <w:pStyle w:val="TableContents"/>
              <w:spacing w:before="0" w:after="283"/>
              <w:ind w:left="200" w:right="0" w:hanging="200"/>
              <w:rPr>
                <w:rFonts w:ascii="times" w:hAnsi="times"/>
                <w:sz w:val="20"/>
              </w:rPr>
            </w:pPr>
            <w:r>
              <w:rPr>
                <w:rFonts w:ascii="times" w:hAnsi="times"/>
                <w:sz w:val="20"/>
              </w:rPr>
              <w:t>Issuance of additional shares (or other partnership securities)</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0" w:after="283"/>
              <w:rPr>
                <w:rFonts w:ascii="times" w:hAnsi="times"/>
                <w:sz w:val="20"/>
              </w:rPr>
            </w:pPr>
            <w:r>
              <w:rPr>
                <w:rFonts w:ascii="times" w:hAnsi="times"/>
                <w:sz w:val="20"/>
              </w:rPr>
              <w:t>No approval right.</w:t>
            </w:r>
          </w:p>
        </w:tc>
      </w:tr>
      <w:tr>
        <w:trPr/>
        <w:tc>
          <w:tcPr>
            <w:tcW w:w="1612" w:type="dxa"/>
            <w:tcBorders/>
            <w:shd w:fill="auto" w:val="clear"/>
          </w:tcPr>
          <w:p>
            <w:pPr>
              <w:pStyle w:val="TableContents"/>
              <w:spacing w:before="240" w:after="283"/>
              <w:ind w:left="200" w:right="0" w:hanging="200"/>
              <w:rPr>
                <w:rFonts w:ascii="times" w:hAnsi="times"/>
                <w:sz w:val="20"/>
              </w:rPr>
            </w:pPr>
            <w:r>
              <w:rPr>
                <w:rFonts w:ascii="times" w:hAnsi="times"/>
                <w:sz w:val="20"/>
              </w:rPr>
              <w:t>Amendment of our partnership agreement</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Amendments to our partnership agreement may be proposed only by or with the consent of our general partner. Certain amendments may be made by our general partner without the approval of our shareholders. Other amendments generally require the approval of a majority of our outstanding shares. Please read "Amendments to Our Partnership Agreement."</w:t>
            </w:r>
          </w:p>
        </w:tc>
      </w:tr>
      <w:tr>
        <w:trPr/>
        <w:tc>
          <w:tcPr>
            <w:tcW w:w="1612" w:type="dxa"/>
            <w:tcBorders/>
            <w:shd w:fill="auto" w:val="clear"/>
          </w:tcPr>
          <w:p>
            <w:pPr>
              <w:pStyle w:val="TableContents"/>
              <w:spacing w:before="240" w:after="283"/>
              <w:ind w:left="200" w:right="0" w:hanging="200"/>
              <w:rPr>
                <w:rFonts w:ascii="times" w:hAnsi="times"/>
                <w:sz w:val="20"/>
              </w:rPr>
            </w:pPr>
            <w:r>
              <w:rPr>
                <w:rFonts w:ascii="times" w:hAnsi="times"/>
                <w:sz w:val="20"/>
              </w:rPr>
              <w:t>Merger of our partnership or the sale of all or substantially all of our assets</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 majority of our outstanding shares in certain circumstances. Please read "Merger, Sale or Other Disposition of Assets."</w:t>
            </w:r>
          </w:p>
        </w:tc>
      </w:tr>
      <w:tr>
        <w:trPr/>
        <w:tc>
          <w:tcPr>
            <w:tcW w:w="1612" w:type="dxa"/>
            <w:tcBorders/>
            <w:shd w:fill="auto" w:val="clear"/>
          </w:tcPr>
          <w:p>
            <w:pPr>
              <w:pStyle w:val="TableContents"/>
              <w:spacing w:before="240" w:after="283"/>
              <w:ind w:left="200" w:right="0" w:hanging="200"/>
              <w:rPr>
                <w:rFonts w:ascii="times" w:hAnsi="times"/>
                <w:sz w:val="20"/>
              </w:rPr>
            </w:pPr>
            <w:r>
              <w:rPr>
                <w:rFonts w:ascii="times" w:hAnsi="times"/>
                <w:sz w:val="20"/>
              </w:rPr>
              <w:t>Dissolution</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 majority of our outstanding shares. Please read "Termination or Dissolution."</w:t>
            </w:r>
          </w:p>
        </w:tc>
      </w:tr>
      <w:tr>
        <w:trPr/>
        <w:tc>
          <w:tcPr>
            <w:tcW w:w="1612" w:type="dxa"/>
            <w:tcBorders/>
            <w:shd w:fill="auto" w:val="clear"/>
          </w:tcPr>
          <w:p>
            <w:pPr>
              <w:pStyle w:val="TableContents"/>
              <w:spacing w:before="240" w:after="283"/>
              <w:ind w:left="200" w:right="0" w:hanging="200"/>
              <w:rPr>
                <w:rFonts w:ascii="times" w:hAnsi="times"/>
                <w:sz w:val="20"/>
              </w:rPr>
            </w:pPr>
            <w:r>
              <w:rPr>
                <w:rFonts w:ascii="times" w:hAnsi="times"/>
                <w:sz w:val="20"/>
              </w:rPr>
              <w:t>Reconstitution upon dissolution</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A majority of our outstanding shares. Please read "Termination or Dissolution."</w:t>
            </w:r>
          </w:p>
        </w:tc>
      </w:tr>
      <w:tr>
        <w:trPr/>
        <w:tc>
          <w:tcPr>
            <w:tcW w:w="1612" w:type="dxa"/>
            <w:tcBorders/>
            <w:shd w:fill="auto" w:val="clear"/>
          </w:tcPr>
          <w:p>
            <w:pPr>
              <w:pStyle w:val="TableContents"/>
              <w:spacing w:before="240" w:after="283"/>
              <w:ind w:left="200" w:right="0" w:hanging="200"/>
              <w:rPr>
                <w:rFonts w:ascii="times" w:hAnsi="times"/>
                <w:sz w:val="20"/>
              </w:rPr>
            </w:pPr>
            <w:r>
              <w:rPr>
                <w:rFonts w:ascii="times" w:hAnsi="times"/>
                <w:sz w:val="20"/>
              </w:rPr>
              <w:t>Withdrawal of our general partner</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No approval right. Please read "Withdrawal or Removal of the General Partner."</w:t>
            </w:r>
          </w:p>
        </w:tc>
      </w:tr>
      <w:tr>
        <w:trPr/>
        <w:tc>
          <w:tcPr>
            <w:tcW w:w="1612" w:type="dxa"/>
            <w:tcBorders/>
            <w:shd w:fill="auto" w:val="clear"/>
          </w:tcPr>
          <w:p>
            <w:pPr>
              <w:pStyle w:val="TableContents"/>
              <w:spacing w:before="240" w:after="283"/>
              <w:ind w:left="200" w:right="0" w:hanging="200"/>
              <w:rPr>
                <w:rFonts w:ascii="times" w:hAnsi="times"/>
                <w:sz w:val="20"/>
              </w:rPr>
            </w:pPr>
            <w:r>
              <w:rPr>
                <w:rFonts w:ascii="times" w:hAnsi="times"/>
                <w:sz w:val="20"/>
              </w:rPr>
              <w:t>Removal of our general partner</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Not less than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our outstanding shares, including shares held by our general partner, the Legacy Owners and their respective affiliates. Please read "Withdrawal or Removal of the General Partner."</w:t>
            </w:r>
          </w:p>
        </w:tc>
      </w:tr>
      <w:tr>
        <w:trPr/>
        <w:tc>
          <w:tcPr>
            <w:tcW w:w="1612" w:type="dxa"/>
            <w:tcBorders/>
            <w:shd w:fill="auto" w:val="clear"/>
          </w:tcPr>
          <w:p>
            <w:pPr>
              <w:pStyle w:val="TableContents"/>
              <w:spacing w:before="240" w:after="283"/>
              <w:ind w:left="200" w:right="0" w:hanging="200"/>
              <w:rPr>
                <w:rFonts w:ascii="times" w:hAnsi="times"/>
                <w:sz w:val="20"/>
              </w:rPr>
            </w:pPr>
            <w:r>
              <w:rPr>
                <w:rFonts w:ascii="times" w:hAnsi="times"/>
                <w:sz w:val="20"/>
              </w:rPr>
              <w:t>Transfer of the general partner interest</w:t>
            </w:r>
          </w:p>
        </w:tc>
        <w:tc>
          <w:tcPr>
            <w:tcW w:w="91" w:type="dxa"/>
            <w:tcBorders/>
            <w:shd w:fill="auto" w:val="clear"/>
          </w:tcPr>
          <w:p>
            <w:pPr>
              <w:pStyle w:val="TableContents"/>
              <w:spacing w:before="0" w:after="283"/>
              <w:rPr/>
            </w:pPr>
            <w:r>
              <w:rPr/>
              <w:t> </w:t>
            </w:r>
          </w:p>
        </w:tc>
        <w:tc>
          <w:tcPr>
            <w:tcW w:w="8502" w:type="dxa"/>
            <w:tcBorders/>
            <w:shd w:fill="auto" w:val="clear"/>
            <w:vAlign w:val="bottom"/>
          </w:tcPr>
          <w:p>
            <w:pPr>
              <w:pStyle w:val="TableContents"/>
              <w:spacing w:before="240" w:after="283"/>
              <w:ind w:left="0" w:right="0" w:hanging="0"/>
              <w:rPr>
                <w:rFonts w:ascii="times" w:hAnsi="times"/>
                <w:sz w:val="20"/>
              </w:rPr>
            </w:pPr>
            <w:r>
              <w:rPr>
                <w:rFonts w:ascii="times" w:hAnsi="times"/>
                <w:sz w:val="20"/>
              </w:rPr>
              <w:t>No approval right. Please read "Transfer of General Partner Interest."</w:t>
            </w:r>
          </w:p>
        </w:tc>
      </w:tr>
    </w:tbl>
    <w:p>
      <w:pPr>
        <w:pStyle w:val="TextBody"/>
        <w:rPr>
          <w:rFonts w:ascii="times" w:hAnsi="times"/>
          <w:b/>
          <w:sz w:val="20"/>
        </w:rPr>
      </w:pPr>
      <w:r>
        <w:rPr>
          <w:rFonts w:ascii="times" w:hAnsi="times"/>
          <w:b/>
          <w:sz w:val="20"/>
        </w:rPr>
        <w:t xml:space="preserve">Transfer of Ownership Interests in Our General Partner </w:t>
      </w:r>
    </w:p>
    <w:p>
      <w:pPr>
        <w:pStyle w:val="TextBody"/>
        <w:rPr/>
      </w:pPr>
      <w:r>
        <w:rPr/>
        <w:t>        </w:t>
      </w:r>
      <w:r>
        <w:rPr>
          <w:rFonts w:ascii="times" w:hAnsi="times"/>
          <w:sz w:val="20"/>
        </w:rPr>
        <w:t xml:space="preserve">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 </w:t>
      </w:r>
    </w:p>
    <w:p>
      <w:pPr>
        <w:pStyle w:val="TextBody"/>
        <w:rPr/>
      </w:pPr>
      <w:r>
        <w:rPr/>
        <w:t>        </w:t>
      </w:r>
      <w:r>
        <w:rPr>
          <w:rFonts w:ascii="times" w:hAnsi="times"/>
          <w:sz w:val="20"/>
        </w:rPr>
        <w:t xml:space="preserve">Our general partner's limited liability company agreement includes provisions linking the ownership of the membership interests in our general partner to the ownership of the outstanding AAP units. Membership interests in our general partner are not allowed to be transferred without transferring the same number of AAP units and vice versa. </w:t>
      </w:r>
    </w:p>
    <w:p>
      <w:pPr>
        <w:pStyle w:val="TextBody"/>
        <w:rPr>
          <w:rFonts w:ascii="times" w:hAnsi="times"/>
          <w:b/>
          <w:sz w:val="20"/>
        </w:rPr>
      </w:pPr>
      <w:r>
        <w:rPr>
          <w:rFonts w:ascii="times" w:hAnsi="times"/>
          <w:b/>
          <w:sz w:val="20"/>
        </w:rPr>
        <w:t xml:space="preserve">Issuance of Additional Securities </w:t>
      </w:r>
    </w:p>
    <w:p>
      <w:pPr>
        <w:pStyle w:val="TextBody"/>
        <w:rPr/>
      </w:pPr>
      <w:r>
        <w:rPr/>
        <w:t>        </w:t>
      </w:r>
      <w:r>
        <w:rPr>
          <w:rFonts w:ascii="times" w:hAnsi="times"/>
          <w:sz w:val="20"/>
        </w:rPr>
        <w:t xml:space="preserve">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 </w:t>
      </w:r>
    </w:p>
    <w:p>
      <w:pPr>
        <w:pStyle w:val="TextBody"/>
        <w:rPr/>
      </w:pPr>
      <w:r>
        <w:rPr/>
        <w:t>        </w:t>
      </w:r>
      <w:r>
        <w:rPr>
          <w:rFonts w:ascii="times" w:hAnsi="times"/>
          <w:sz w:val="20"/>
        </w:rPr>
        <w:t xml:space="preserve">It is possible that we will fund acquisitions through the issuance of additional shares or other equity securities. Holders of any additional shares we issue will be entitled to share equally with the </w:t>
      </w:r>
    </w:p>
    <w:p>
      <w:pPr>
        <w:pStyle w:val="TextBody"/>
        <w:jc w:val="center"/>
        <w:rPr>
          <w:rFonts w:ascii="times" w:hAnsi="times"/>
          <w:sz w:val="20"/>
        </w:rPr>
      </w:pPr>
      <w:r>
        <w:rPr>
          <w:rFonts w:ascii="times" w:hAnsi="times"/>
          <w:sz w:val="20"/>
        </w:rPr>
        <w:t>17</w:t>
      </w:r>
    </w:p>
    <w:p>
      <w:pPr>
        <w:pStyle w:val="HorizontalLine"/>
        <w:pBdr>
          <w:bottom w:val="single" w:sz="20" w:space="0" w:color="808080"/>
        </w:pBdr>
        <w:rPr/>
      </w:pPr>
      <w:r>
        <w:rPr/>
      </w:r>
      <w:r>
        <w:br w:type="page"/>
      </w:r>
    </w:p>
    <w:p>
      <w:pPr>
        <w:pStyle w:val="TextBody"/>
        <w:rPr/>
      </w:pPr>
      <w:hyperlink w:anchor="bg76101a_main_toc">
        <w:bookmarkStart w:id="54" w:name="page_dc76101_1_18"/>
        <w:bookmarkEnd w:id="5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then-existing shareholders in our cash distributions. In addition, the issuance of additional partnership interests may dilute the value of the interests of the then-existing holders of shares in our net assets. </w:t>
      </w:r>
    </w:p>
    <w:p>
      <w:pPr>
        <w:pStyle w:val="TextBody"/>
        <w:rPr/>
      </w:pPr>
      <w:r>
        <w:rPr/>
        <w:t>        </w:t>
      </w:r>
      <w:r>
        <w:rPr>
          <w:rFonts w:ascii="times" w:hAnsi="times"/>
          <w:sz w:val="20"/>
        </w:rPr>
        <w:t xml:space="preserve">In accordance with Delaware law and the provisions of our partnership agreement, we may also issue additional partnership interests that have special voting rights to which the Class A shares and Class B shares are not entitled. </w:t>
      </w:r>
    </w:p>
    <w:p>
      <w:pPr>
        <w:pStyle w:val="TextBody"/>
        <w:rPr>
          <w:rFonts w:ascii="times" w:hAnsi="times"/>
          <w:b/>
          <w:sz w:val="20"/>
        </w:rPr>
      </w:pPr>
      <w:r>
        <w:rPr>
          <w:rFonts w:ascii="times" w:hAnsi="times"/>
          <w:b/>
          <w:sz w:val="20"/>
        </w:rPr>
        <w:t xml:space="preserve">Amendments to Our Partnership Agreement </w:t>
      </w:r>
    </w:p>
    <w:p>
      <w:pPr>
        <w:pStyle w:val="TextBody"/>
        <w:rPr>
          <w:rFonts w:ascii="times" w:hAnsi="times"/>
          <w:b/>
          <w:i/>
          <w:sz w:val="20"/>
        </w:rPr>
      </w:pPr>
      <w:r>
        <w:rPr>
          <w:rFonts w:ascii="times" w:hAnsi="times"/>
          <w:b/>
          <w:i/>
          <w:sz w:val="20"/>
        </w:rPr>
        <w:t xml:space="preserve">General </w:t>
      </w:r>
    </w:p>
    <w:p>
      <w:pPr>
        <w:pStyle w:val="TextBody"/>
        <w:rPr/>
      </w:pPr>
      <w:r>
        <w:rPr/>
        <w:t>        </w:t>
      </w:r>
      <w:r>
        <w:rPr>
          <w:rFonts w:ascii="times" w:hAnsi="times"/>
          <w:sz w:val="20"/>
        </w:rPr>
        <w:t xml:space="preserve">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 </w:t>
      </w:r>
    </w:p>
    <w:p>
      <w:pPr>
        <w:pStyle w:val="TextBody"/>
        <w:rPr>
          <w:rFonts w:ascii="times" w:hAnsi="times"/>
          <w:b/>
          <w:i/>
          <w:sz w:val="20"/>
        </w:rPr>
      </w:pPr>
      <w:r>
        <w:rPr>
          <w:rFonts w:ascii="times" w:hAnsi="times"/>
          <w:b/>
          <w:i/>
          <w:sz w:val="20"/>
        </w:rPr>
        <w:t xml:space="preserve">Prohibited Amendments </w:t>
      </w:r>
    </w:p>
    <w:p>
      <w:pPr>
        <w:pStyle w:val="TextBody"/>
        <w:rPr/>
      </w:pPr>
      <w:r>
        <w:rPr/>
        <w:t>        </w:t>
      </w:r>
      <w:r>
        <w:rPr>
          <w:rFonts w:ascii="times" w:hAnsi="times"/>
          <w:sz w:val="20"/>
        </w:rPr>
        <w:t xml:space="preserve">No amendment may be made that would: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enlarge the obligations of any shareholder without its consent, unless approved by at least a majority of the type or class of shareholder interests so affected; or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 </w:t>
      </w:r>
    </w:p>
    <w:p>
      <w:pPr>
        <w:pStyle w:val="TextBody"/>
        <w:rPr/>
      </w:pPr>
      <w:r>
        <w:rPr/>
        <w:t>        </w:t>
      </w:r>
      <w:r>
        <w:rPr>
          <w:rFonts w:ascii="times" w:hAnsi="times"/>
          <w:sz w:val="20"/>
        </w:rPr>
        <w:t xml:space="preserve">The provision of our partnership agreement preventing amendments having the effects described in clauses (1) or (2) above can be amended upon the approval of the holders of at least 90% of the outstanding shares. </w:t>
      </w:r>
    </w:p>
    <w:p>
      <w:pPr>
        <w:pStyle w:val="TextBody"/>
        <w:rPr>
          <w:rFonts w:ascii="times" w:hAnsi="times"/>
          <w:b/>
          <w:i/>
          <w:sz w:val="20"/>
        </w:rPr>
      </w:pPr>
      <w:r>
        <w:rPr>
          <w:rFonts w:ascii="times" w:hAnsi="times"/>
          <w:b/>
          <w:i/>
          <w:sz w:val="20"/>
        </w:rPr>
        <w:t xml:space="preserve">No Shareholder Approval </w:t>
      </w:r>
    </w:p>
    <w:p>
      <w:pPr>
        <w:pStyle w:val="TextBody"/>
        <w:rPr/>
      </w:pPr>
      <w:r>
        <w:rPr/>
        <w:t>        </w:t>
      </w:r>
      <w:r>
        <w:rPr>
          <w:rFonts w:ascii="times" w:hAnsi="times"/>
          <w:sz w:val="20"/>
        </w:rPr>
        <w:t xml:space="preserve">Our general partner may generally make amendments to our partnership agreement without the approval of any shareholder or assignee to reflect: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any change in our name, the location of our principal place of business, our registered agent or its registered office;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the admission, substitution, withdrawal or removal of partners in accordance with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a change that our general partner determines to be necessary or appropriate to qualify or continue the qualification of our partnership as a limited partnership or a partnership in which the limited partners have limited liability under the laws of any state;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is necessary, in the opinion of our counsel, to prevent us or our general partner or its directors, officers, agents or trustees, from in any manner being subjected to the provisions of the Investment Company Act of 1940, the Investment Advisors Act of 1940, or "plan asset" regulations adopted under the Employee Retirement Income Security Act of 1974, whether or not substantially similar to plan asset regulations currently applied or proposed; </w:t>
      </w:r>
    </w:p>
    <w:p>
      <w:pPr>
        <w:pStyle w:val="TextBody"/>
        <w:jc w:val="center"/>
        <w:rPr>
          <w:rFonts w:ascii="times" w:hAnsi="times"/>
          <w:sz w:val="20"/>
        </w:rPr>
      </w:pPr>
      <w:r>
        <w:rPr>
          <w:rFonts w:ascii="times" w:hAnsi="times"/>
          <w:sz w:val="20"/>
        </w:rPr>
        <w:t>18</w:t>
      </w:r>
    </w:p>
    <w:p>
      <w:pPr>
        <w:pStyle w:val="HorizontalLine"/>
        <w:pBdr>
          <w:bottom w:val="single" w:sz="20" w:space="0" w:color="808080"/>
        </w:pBdr>
        <w:rPr/>
      </w:pPr>
      <w:r>
        <w:rPr/>
      </w:r>
      <w:r>
        <w:br w:type="page"/>
      </w:r>
    </w:p>
    <w:p>
      <w:pPr>
        <w:pStyle w:val="TextBody"/>
        <w:rPr/>
      </w:pPr>
      <w:hyperlink w:anchor="bg76101a_main_toc">
        <w:bookmarkStart w:id="55" w:name="page_dc76101_1_19"/>
        <w:bookmarkEnd w:id="55"/>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our general partner determines to be necessary or appropriate for the authorization of additional partnership securities or rights to acquire partnership securities; </w:t>
      </w:r>
    </w:p>
    <w:p>
      <w:pPr>
        <w:pStyle w:val="ListHeading"/>
        <w:numPr>
          <w:ilvl w:val="0"/>
          <w:numId w:val="0"/>
        </w:numPr>
        <w:spacing w:before="0" w:after="0"/>
        <w:ind w:left="707" w:right="0" w:hanging="0"/>
        <w:rPr>
          <w:rFonts w:ascii="times" w:hAnsi="times"/>
          <w:sz w:val="20"/>
        </w:rPr>
      </w:pPr>
      <w:r>
        <w:rPr>
          <w:rFonts w:ascii="times" w:hAnsi="times"/>
          <w:sz w:val="20"/>
        </w:rPr>
        <w:t>(6)</w:t>
      </w:r>
    </w:p>
    <w:p>
      <w:pPr>
        <w:pStyle w:val="ListContents"/>
        <w:numPr>
          <w:ilvl w:val="0"/>
          <w:numId w:val="0"/>
        </w:numPr>
        <w:spacing w:before="0" w:after="283"/>
        <w:ind w:left="1274" w:right="0" w:hanging="0"/>
        <w:rPr>
          <w:rFonts w:ascii="times" w:hAnsi="times"/>
          <w:sz w:val="20"/>
        </w:rPr>
      </w:pPr>
      <w:r>
        <w:rPr>
          <w:rFonts w:ascii="times" w:hAnsi="times"/>
          <w:sz w:val="20"/>
        </w:rPr>
        <w:t xml:space="preserve">any amendment expressly permitted in our partnership agreement to be made by our general partner acting alone; </w:t>
      </w:r>
    </w:p>
    <w:p>
      <w:pPr>
        <w:pStyle w:val="ListHeading"/>
        <w:numPr>
          <w:ilvl w:val="0"/>
          <w:numId w:val="0"/>
        </w:numPr>
        <w:spacing w:before="0" w:after="0"/>
        <w:ind w:left="707" w:right="0" w:hanging="0"/>
        <w:rPr>
          <w:rFonts w:ascii="times" w:hAnsi="times"/>
          <w:sz w:val="20"/>
        </w:rPr>
      </w:pPr>
      <w:r>
        <w:rPr>
          <w:rFonts w:ascii="times" w:hAnsi="times"/>
          <w:sz w:val="20"/>
        </w:rPr>
        <w:t>(7)</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effected, necessitated or contemplated by a merger agreement that has been approved under the terms of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(8)</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that our general partner determines to be necessary or appropriate for the formation by us, or our investment in, any corporation, partnership or other entity, as otherwise permitted by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(9)</w:t>
      </w:r>
    </w:p>
    <w:p>
      <w:pPr>
        <w:pStyle w:val="ListContents"/>
        <w:numPr>
          <w:ilvl w:val="0"/>
          <w:numId w:val="0"/>
        </w:numPr>
        <w:spacing w:before="0" w:after="283"/>
        <w:ind w:left="1274" w:right="0" w:hanging="0"/>
        <w:rPr>
          <w:rFonts w:ascii="times" w:hAnsi="times"/>
          <w:sz w:val="20"/>
        </w:rPr>
      </w:pPr>
      <w:r>
        <w:rPr>
          <w:rFonts w:ascii="times" w:hAnsi="times"/>
          <w:sz w:val="20"/>
        </w:rPr>
        <w:t xml:space="preserve">a change in our fiscal year or taxable year and related changes; </w:t>
      </w:r>
    </w:p>
    <w:p>
      <w:pPr>
        <w:pStyle w:val="ListHeading"/>
        <w:numPr>
          <w:ilvl w:val="0"/>
          <w:numId w:val="0"/>
        </w:numPr>
        <w:spacing w:before="0" w:after="0"/>
        <w:ind w:left="707" w:right="0" w:hanging="0"/>
        <w:rPr>
          <w:rFonts w:ascii="times" w:hAnsi="times"/>
          <w:sz w:val="20"/>
        </w:rPr>
      </w:pPr>
      <w:r>
        <w:rPr>
          <w:rFonts w:ascii="times" w:hAnsi="times"/>
          <w:sz w:val="20"/>
        </w:rPr>
        <w:t>(10)</w:t>
      </w:r>
    </w:p>
    <w:p>
      <w:pPr>
        <w:pStyle w:val="ListContents"/>
        <w:numPr>
          <w:ilvl w:val="0"/>
          <w:numId w:val="0"/>
        </w:numPr>
        <w:spacing w:before="0" w:after="283"/>
        <w:ind w:left="1274" w:right="0" w:hanging="0"/>
        <w:rPr>
          <w:rFonts w:ascii="times" w:hAnsi="times"/>
          <w:sz w:val="20"/>
        </w:rPr>
      </w:pPr>
      <w:r>
        <w:rPr>
          <w:rFonts w:ascii="times" w:hAnsi="times"/>
          <w:sz w:val="20"/>
        </w:rPr>
        <w:t xml:space="preserve">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 </w:t>
      </w:r>
    </w:p>
    <w:p>
      <w:pPr>
        <w:pStyle w:val="ListHeading"/>
        <w:numPr>
          <w:ilvl w:val="0"/>
          <w:numId w:val="0"/>
        </w:numPr>
        <w:spacing w:before="0" w:after="0"/>
        <w:ind w:left="707" w:right="0" w:hanging="0"/>
        <w:rPr>
          <w:rFonts w:ascii="times" w:hAnsi="times"/>
          <w:sz w:val="20"/>
        </w:rPr>
      </w:pPr>
      <w:r>
        <w:rPr>
          <w:rFonts w:ascii="times" w:hAnsi="times"/>
          <w:sz w:val="20"/>
        </w:rPr>
        <w:t>(11)</w:t>
      </w:r>
    </w:p>
    <w:p>
      <w:pPr>
        <w:pStyle w:val="ListContents"/>
        <w:numPr>
          <w:ilvl w:val="0"/>
          <w:numId w:val="0"/>
        </w:numPr>
        <w:spacing w:before="0" w:after="283"/>
        <w:ind w:left="1274" w:right="0" w:hanging="0"/>
        <w:rPr>
          <w:rFonts w:ascii="times" w:hAnsi="times"/>
          <w:sz w:val="20"/>
        </w:rPr>
      </w:pPr>
      <w:r>
        <w:rPr>
          <w:rFonts w:ascii="times" w:hAnsi="times"/>
          <w:sz w:val="20"/>
        </w:rPr>
        <w:t xml:space="preserve">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 </w:t>
      </w:r>
    </w:p>
    <w:p>
      <w:pPr>
        <w:pStyle w:val="ListHeading"/>
        <w:numPr>
          <w:ilvl w:val="0"/>
          <w:numId w:val="0"/>
        </w:numPr>
        <w:spacing w:before="0" w:after="0"/>
        <w:ind w:left="707" w:right="0" w:hanging="0"/>
        <w:rPr>
          <w:rFonts w:ascii="times" w:hAnsi="times"/>
          <w:sz w:val="20"/>
        </w:rPr>
      </w:pPr>
      <w:r>
        <w:rPr>
          <w:rFonts w:ascii="times" w:hAnsi="times"/>
          <w:sz w:val="20"/>
        </w:rPr>
        <w:t>(12)</w:t>
      </w:r>
    </w:p>
    <w:p>
      <w:pPr>
        <w:pStyle w:val="ListContents"/>
        <w:numPr>
          <w:ilvl w:val="0"/>
          <w:numId w:val="0"/>
        </w:numPr>
        <w:spacing w:before="0" w:after="283"/>
        <w:ind w:left="1274" w:right="0" w:hanging="0"/>
        <w:rPr>
          <w:rFonts w:ascii="times" w:hAnsi="times"/>
          <w:sz w:val="20"/>
        </w:rPr>
      </w:pPr>
      <w:r>
        <w:rPr>
          <w:rFonts w:ascii="times" w:hAnsi="times"/>
          <w:sz w:val="20"/>
        </w:rPr>
        <w:t xml:space="preserve">any other amendments substantially similar to any of the matters described in (1) through (11) above. </w:t>
      </w:r>
    </w:p>
    <w:p>
      <w:pPr>
        <w:pStyle w:val="TextBody"/>
        <w:rPr/>
      </w:pPr>
      <w:r>
        <w:rPr/>
        <w:t>        </w:t>
      </w:r>
      <w:r>
        <w:rPr>
          <w:rFonts w:ascii="times" w:hAnsi="times"/>
          <w:sz w:val="20"/>
        </w:rPr>
        <w:t xml:space="preserve">In addition, our general partner may make amendments to our partnership agreement without the approval of any shareholder or assignee if those amendments, in the discretion of our general partner: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do not adversely affect our shareholders (or any particular class of holders of partnership interests) in any material respect;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satisfy any requirements, conditions or guidelines contained in any opinion, directive, order, ruling or regulation of any federal or state agency or judicial authority or contained in any federal or state statute;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facilitate the trading of our shares or to comply with any rule, regulation, guideline or requirement of any securities exchange on which our shares are or will be listed for trading;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for any action taken by our general partner relating to splits or combinations of shares under the provisions of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(5)</w:t>
      </w:r>
    </w:p>
    <w:p>
      <w:pPr>
        <w:pStyle w:val="ListContents"/>
        <w:numPr>
          <w:ilvl w:val="0"/>
          <w:numId w:val="0"/>
        </w:numPr>
        <w:spacing w:before="0" w:after="283"/>
        <w:ind w:left="1274" w:right="0" w:hanging="0"/>
        <w:rPr>
          <w:rFonts w:ascii="times" w:hAnsi="times"/>
          <w:sz w:val="20"/>
        </w:rPr>
      </w:pPr>
      <w:r>
        <w:rPr>
          <w:rFonts w:ascii="times" w:hAnsi="times"/>
          <w:sz w:val="20"/>
        </w:rPr>
        <w:t xml:space="preserve">are necessary or appropriate to implement certain governance procedures following the trigger date, including the staggering of our board of directors and the public election of directors; or </w:t>
      </w:r>
    </w:p>
    <w:p>
      <w:pPr>
        <w:pStyle w:val="ListHeading"/>
        <w:numPr>
          <w:ilvl w:val="0"/>
          <w:numId w:val="0"/>
        </w:numPr>
        <w:spacing w:before="0" w:after="0"/>
        <w:ind w:left="707" w:right="0" w:hanging="0"/>
        <w:rPr>
          <w:rFonts w:ascii="times" w:hAnsi="times"/>
          <w:sz w:val="20"/>
        </w:rPr>
      </w:pPr>
      <w:r>
        <w:rPr>
          <w:rFonts w:ascii="times" w:hAnsi="times"/>
          <w:sz w:val="20"/>
        </w:rPr>
        <w:t>(6)</w:t>
      </w:r>
    </w:p>
    <w:p>
      <w:pPr>
        <w:pStyle w:val="ListContents"/>
        <w:numPr>
          <w:ilvl w:val="0"/>
          <w:numId w:val="0"/>
        </w:numPr>
        <w:spacing w:before="0" w:after="283"/>
        <w:ind w:left="1274" w:right="0" w:hanging="0"/>
        <w:rPr>
          <w:rFonts w:ascii="times" w:hAnsi="times"/>
          <w:sz w:val="20"/>
        </w:rPr>
      </w:pPr>
      <w:r>
        <w:rPr>
          <w:rFonts w:ascii="times" w:hAnsi="times"/>
          <w:sz w:val="20"/>
        </w:rPr>
        <w:t xml:space="preserve">are required to effect the intent of the statements contained in this prospectus and in the provisions of our partnership agreement or as are otherwise contemplated by our partnership agreement. </w:t>
      </w:r>
    </w:p>
    <w:p>
      <w:pPr>
        <w:pStyle w:val="TextBody"/>
        <w:rPr>
          <w:rFonts w:ascii="times" w:hAnsi="times"/>
          <w:b/>
          <w:i/>
          <w:sz w:val="20"/>
        </w:rPr>
      </w:pPr>
      <w:r>
        <w:rPr>
          <w:rFonts w:ascii="times" w:hAnsi="times"/>
          <w:b/>
          <w:i/>
          <w:sz w:val="20"/>
        </w:rPr>
        <w:t xml:space="preserve">Opinion of Counsel and Shareholder Approval </w:t>
      </w:r>
    </w:p>
    <w:p>
      <w:pPr>
        <w:pStyle w:val="TextBody"/>
        <w:rPr/>
      </w:pPr>
      <w:r>
        <w:rPr/>
        <w:t>        </w:t>
      </w:r>
      <w:r>
        <w:rPr>
          <w:rFonts w:ascii="times" w:hAnsi="times"/>
          <w:sz w:val="20"/>
        </w:rPr>
        <w:t xml:space="preserve">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w:t>
      </w:r>
    </w:p>
    <w:p>
      <w:pPr>
        <w:pStyle w:val="TextBody"/>
        <w:jc w:val="center"/>
        <w:rPr>
          <w:rFonts w:ascii="times" w:hAnsi="times"/>
          <w:sz w:val="20"/>
        </w:rPr>
      </w:pPr>
      <w:r>
        <w:rPr>
          <w:rFonts w:ascii="times" w:hAnsi="times"/>
          <w:sz w:val="20"/>
        </w:rPr>
        <w:t>19</w:t>
      </w:r>
    </w:p>
    <w:p>
      <w:pPr>
        <w:pStyle w:val="HorizontalLine"/>
        <w:pBdr>
          <w:bottom w:val="single" w:sz="20" w:space="0" w:color="808080"/>
        </w:pBdr>
        <w:rPr/>
      </w:pPr>
      <w:r>
        <w:rPr/>
      </w:r>
      <w:r>
        <w:br w:type="page"/>
      </w:r>
    </w:p>
    <w:p>
      <w:pPr>
        <w:pStyle w:val="TextBody"/>
        <w:rPr/>
      </w:pPr>
      <w:hyperlink w:anchor="bg76101a_main_toc">
        <w:bookmarkStart w:id="56" w:name="page_dc76101_1_20"/>
        <w:bookmarkEnd w:id="56"/>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opinion where required, the approval of 90% of the outstanding shares is required for an amendment to become effective. </w:t>
      </w:r>
    </w:p>
    <w:p>
      <w:pPr>
        <w:pStyle w:val="TextBody"/>
        <w:rPr/>
      </w:pPr>
      <w:r>
        <w:rPr/>
        <w:t>        </w:t>
      </w:r>
      <w:r>
        <w:rPr>
          <w:rFonts w:ascii="times" w:hAnsi="times"/>
          <w:sz w:val="20"/>
        </w:rPr>
        <w:t xml:space="preserve">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 </w:t>
      </w:r>
    </w:p>
    <w:p>
      <w:pPr>
        <w:pStyle w:val="TextBody"/>
        <w:rPr>
          <w:rFonts w:ascii="times" w:hAnsi="times"/>
          <w:b/>
          <w:sz w:val="20"/>
        </w:rPr>
      </w:pPr>
      <w:r>
        <w:rPr>
          <w:rFonts w:ascii="times" w:hAnsi="times"/>
          <w:b/>
          <w:sz w:val="20"/>
        </w:rPr>
        <w:t xml:space="preserve">Merger, Sale or Other Disposition of Assets </w:t>
      </w:r>
    </w:p>
    <w:p>
      <w:pPr>
        <w:pStyle w:val="TextBody"/>
        <w:rPr/>
      </w:pPr>
      <w:r>
        <w:rPr/>
        <w:t>        </w:t>
      </w:r>
      <w:r>
        <w:rPr>
          <w:rFonts w:ascii="times" w:hAnsi="times"/>
          <w:sz w:val="20"/>
        </w:rPr>
        <w:t xml:space="preserve">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 </w:t>
      </w:r>
    </w:p>
    <w:p>
      <w:pPr>
        <w:pStyle w:val="TextBody"/>
        <w:rPr/>
      </w:pPr>
      <w:r>
        <w:rPr/>
        <w:t>        </w:t>
      </w:r>
      <w:r>
        <w:rPr>
          <w:rFonts w:ascii="times" w:hAnsi="times"/>
          <w:sz w:val="20"/>
        </w:rPr>
        <w:t xml:space="preserve">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 </w:t>
      </w:r>
    </w:p>
    <w:p>
      <w:pPr>
        <w:pStyle w:val="TextBody"/>
        <w:rPr/>
      </w:pPr>
      <w:r>
        <w:rPr/>
        <w:t>        </w:t>
      </w:r>
      <w:r>
        <w:rPr>
          <w:rFonts w:ascii="times" w:hAnsi="times"/>
          <w:sz w:val="20"/>
        </w:rPr>
        <w:t xml:space="preserve">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 </w:t>
      </w:r>
    </w:p>
    <w:p>
      <w:pPr>
        <w:pStyle w:val="TextBody"/>
        <w:rPr>
          <w:rFonts w:ascii="times" w:hAnsi="times"/>
          <w:b/>
          <w:sz w:val="20"/>
        </w:rPr>
      </w:pPr>
      <w:r>
        <w:rPr>
          <w:rFonts w:ascii="times" w:hAnsi="times"/>
          <w:b/>
          <w:sz w:val="20"/>
        </w:rPr>
        <w:t xml:space="preserve">Termination or Dissolution </w:t>
      </w:r>
    </w:p>
    <w:p>
      <w:pPr>
        <w:pStyle w:val="TextBody"/>
        <w:rPr/>
      </w:pPr>
      <w:r>
        <w:rPr/>
        <w:t>        </w:t>
      </w:r>
      <w:r>
        <w:rPr>
          <w:rFonts w:ascii="times" w:hAnsi="times"/>
          <w:sz w:val="20"/>
        </w:rPr>
        <w:t xml:space="preserve">We will continue as a limited partnership until terminated under our partnership agreement. We will dissolve upon: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election of our general partner to dissolve us, if approved by a majority of our outstanding shares;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being no holders of partnership interests, unless we are continued without dissolution in accordance with applicable Delaware law;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entry of a decree of judicial dissolution of us; or </w:t>
      </w:r>
    </w:p>
    <w:p>
      <w:pPr>
        <w:pStyle w:val="ListHeading"/>
        <w:numPr>
          <w:ilvl w:val="0"/>
          <w:numId w:val="0"/>
        </w:numPr>
        <w:spacing w:before="0" w:after="0"/>
        <w:ind w:left="707" w:right="0" w:hanging="0"/>
        <w:rPr>
          <w:rFonts w:ascii="times" w:hAnsi="times"/>
          <w:sz w:val="20"/>
        </w:rPr>
      </w:pPr>
      <w:r>
        <w:rPr>
          <w:rFonts w:ascii="times" w:hAnsi="times"/>
          <w:sz w:val="20"/>
        </w:rPr>
        <w:t>(4)</w:t>
      </w:r>
    </w:p>
    <w:p>
      <w:pPr>
        <w:pStyle w:val="ListContents"/>
        <w:numPr>
          <w:ilvl w:val="0"/>
          <w:numId w:val="0"/>
        </w:numPr>
        <w:spacing w:before="0" w:after="283"/>
        <w:ind w:left="1274" w:right="0" w:hanging="0"/>
        <w:rPr>
          <w:rFonts w:ascii="times" w:hAnsi="times"/>
          <w:sz w:val="20"/>
        </w:rPr>
      </w:pPr>
      <w:r>
        <w:rPr>
          <w:rFonts w:ascii="times" w:hAnsi="times"/>
          <w:sz w:val="20"/>
        </w:rPr>
        <w:t xml:space="preserve">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 </w:t>
      </w:r>
    </w:p>
    <w:p>
      <w:pPr>
        <w:pStyle w:val="TextBody"/>
        <w:jc w:val="center"/>
        <w:rPr>
          <w:rFonts w:ascii="times" w:hAnsi="times"/>
          <w:sz w:val="20"/>
        </w:rPr>
      </w:pPr>
      <w:r>
        <w:rPr>
          <w:rFonts w:ascii="times" w:hAnsi="times"/>
          <w:sz w:val="20"/>
        </w:rPr>
        <w:t>20</w:t>
      </w:r>
    </w:p>
    <w:p>
      <w:pPr>
        <w:pStyle w:val="HorizontalLine"/>
        <w:pBdr>
          <w:bottom w:val="single" w:sz="20" w:space="0" w:color="808080"/>
        </w:pBdr>
        <w:rPr/>
      </w:pPr>
      <w:r>
        <w:rPr/>
      </w:r>
      <w:r>
        <w:br w:type="page"/>
      </w:r>
    </w:p>
    <w:p>
      <w:pPr>
        <w:pStyle w:val="TextBody"/>
        <w:rPr/>
      </w:pPr>
      <w:hyperlink w:anchor="bg76101a_main_toc">
        <w:bookmarkStart w:id="57" w:name="page_dc76101_1_21"/>
        <w:bookmarkEnd w:id="57"/>
        <w:r>
          <w:rPr>
            <w:rStyle w:val="InternetLink"/>
            <w:rFonts w:ascii="times" w:hAnsi="times"/>
            <w:sz w:val="20"/>
          </w:rPr>
          <w:t>Table of Contents</w:t>
        </w:r>
      </w:hyperlink>
    </w:p>
    <w:p>
      <w:pPr>
        <w:pStyle w:val="TextBody"/>
        <w:rPr/>
      </w:pPr>
      <w:r>
        <w:rPr/>
        <w:t>        </w:t>
      </w:r>
      <w:r>
        <w:rPr>
          <w:rFonts w:ascii="times" w:hAnsi="times"/>
          <w:sz w:val="20"/>
        </w:rPr>
        <w:t xml:space="preserve">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 </w:t>
      </w:r>
    </w:p>
    <w:p>
      <w:pPr>
        <w:pStyle w:val="TextBody"/>
        <w:rPr>
          <w:rFonts w:ascii="times" w:hAnsi="times"/>
          <w:b/>
          <w:sz w:val="20"/>
        </w:rPr>
      </w:pPr>
      <w:r>
        <w:rPr>
          <w:rFonts w:ascii="times" w:hAnsi="times"/>
          <w:b/>
          <w:sz w:val="20"/>
        </w:rPr>
        <w:t xml:space="preserve">Liquidation and Distribution of Proceeds </w:t>
      </w:r>
    </w:p>
    <w:p>
      <w:pPr>
        <w:pStyle w:val="TextBody"/>
        <w:rPr/>
      </w:pPr>
      <w:r>
        <w:rPr/>
        <w:t>        </w:t>
      </w:r>
      <w:r>
        <w:rPr>
          <w:rFonts w:ascii="times" w:hAnsi="times"/>
          <w:sz w:val="20"/>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first</w:t>
      </w:r>
      <w:r>
        <w:rPr>
          <w:rFonts w:ascii="times" w:hAnsi="times"/>
          <w:sz w:val="20"/>
        </w:rPr>
        <w:t xml:space="preserve">, towards the payment of all of our creditors and the settlement of or creation of a reserve for contingent liabilities;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rPr>
      </w:pPr>
      <w:r>
        <w:rPr>
          <w:rFonts w:ascii="times" w:hAnsi="times"/>
          <w:i/>
          <w:sz w:val="20"/>
        </w:rPr>
        <w:t>then</w:t>
      </w:r>
      <w:r>
        <w:rPr>
          <w:rFonts w:ascii="times" w:hAnsi="times"/>
          <w:sz w:val="20"/>
        </w:rPr>
        <w:t xml:space="preserve">, to all partners in accordance with the positive balance in the respective capital accounts. </w:t>
      </w:r>
    </w:p>
    <w:p>
      <w:pPr>
        <w:pStyle w:val="TextBody"/>
        <w:rPr/>
      </w:pPr>
      <w:r>
        <w:rPr/>
        <w:t>        </w:t>
      </w:r>
      <w:r>
        <w:rPr>
          <w:rFonts w:ascii="times" w:hAnsi="times"/>
          <w:sz w:val="20"/>
        </w:rPr>
        <w:t xml:space="preserve">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 </w:t>
      </w:r>
    </w:p>
    <w:p>
      <w:pPr>
        <w:pStyle w:val="TextBody"/>
        <w:rPr>
          <w:rFonts w:ascii="times" w:hAnsi="times"/>
          <w:b/>
          <w:sz w:val="20"/>
        </w:rPr>
      </w:pPr>
      <w:r>
        <w:rPr>
          <w:rFonts w:ascii="times" w:hAnsi="times"/>
          <w:b/>
          <w:sz w:val="20"/>
        </w:rPr>
        <w:t xml:space="preserve">Withdrawal or Removal of the General Partner </w:t>
      </w:r>
    </w:p>
    <w:p>
      <w:pPr>
        <w:pStyle w:val="TextBody"/>
        <w:rPr/>
      </w:pPr>
      <w:r>
        <w:rPr/>
        <w:t>        </w:t>
      </w:r>
      <w:r>
        <w:rPr>
          <w:rFonts w:ascii="times" w:hAnsi="times"/>
          <w:sz w:val="20"/>
        </w:rPr>
        <w:t xml:space="preserve">Our general partner may withdraw as general partner in compliance with our partnership agreement after giving 90 days' written notice to our shareholders, and that withdrawal will not constitute a violation of our partnership agreement. </w:t>
      </w:r>
    </w:p>
    <w:p>
      <w:pPr>
        <w:pStyle w:val="TextBody"/>
        <w:rPr/>
      </w:pPr>
      <w:r>
        <w:rPr/>
        <w:t>        </w:t>
      </w:r>
      <w:r>
        <w:rPr>
          <w:rFonts w:ascii="times" w:hAnsi="times"/>
          <w:sz w:val="20"/>
        </w:rPr>
        <w:t xml:space="preserve">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 </w:t>
      </w:r>
    </w:p>
    <w:p>
      <w:pPr>
        <w:pStyle w:val="TextBody"/>
        <w:rPr/>
      </w:pPr>
      <w:r>
        <w:rPr/>
        <w:t>        </w:t>
      </w:r>
      <w:r>
        <w:rPr>
          <w:rFonts w:ascii="times" w:hAnsi="times"/>
          <w:sz w:val="20"/>
        </w:rPr>
        <w:t>Our general partner may not be removed unless that removal is approved by the vote of the holders of not less than 66</w:t>
      </w:r>
      <w:r>
        <w:rPr>
          <w:rFonts w:ascii="times" w:hAnsi="times"/>
          <w:position w:val="7"/>
          <w:sz w:val="16"/>
          <w:sz w:val="20"/>
        </w:rPr>
        <w:t>2</w:t>
      </w:r>
      <w:r>
        <w:rPr>
          <w:rFonts w:ascii="times" w:hAnsi="times"/>
          <w:sz w:val="20"/>
        </w:rPr>
        <w:t>/</w:t>
      </w:r>
      <w:r>
        <w:rPr>
          <w:rFonts w:ascii="times" w:hAnsi="times"/>
          <w:sz w:val="14"/>
        </w:rPr>
        <w:t>3</w:t>
      </w:r>
      <w:r>
        <w:rPr>
          <w:rFonts w:ascii="times" w:hAnsi="times"/>
          <w:sz w:val="20"/>
        </w:rPr>
        <w:t>% of our outstanding shares, including shares held by our general partner, the Legacy Owners and their respective affiliates, and we receive an opinion of counsel regarding limited liability. Any removal of our general partner is also subject to the approval of a successor general partner by the vote of the holders of a majority of the outstanding shares. The ownership of more than 33</w:t>
      </w:r>
      <w:r>
        <w:rPr>
          <w:rFonts w:ascii="times" w:hAnsi="times"/>
          <w:position w:val="7"/>
          <w:sz w:val="16"/>
          <w:sz w:val="20"/>
        </w:rPr>
        <w:t>1</w:t>
      </w:r>
      <w:r>
        <w:rPr>
          <w:rFonts w:ascii="times" w:hAnsi="times"/>
          <w:sz w:val="20"/>
        </w:rPr>
        <w:t>/</w:t>
      </w:r>
      <w:r>
        <w:rPr>
          <w:rFonts w:ascii="times" w:hAnsi="times"/>
          <w:sz w:val="14"/>
        </w:rPr>
        <w:t>3</w:t>
      </w:r>
      <w:r>
        <w:rPr>
          <w:rFonts w:ascii="times" w:hAnsi="times"/>
          <w:sz w:val="20"/>
        </w:rPr>
        <w:t>% of our outstanding shares by any person or group would give such persons the practical ability to prevent our general partner's removal. The Legacy Owners currently own substantially more than 33</w:t>
      </w:r>
      <w:r>
        <w:rPr>
          <w:rFonts w:ascii="times" w:hAnsi="times"/>
          <w:position w:val="7"/>
          <w:sz w:val="16"/>
          <w:sz w:val="20"/>
        </w:rPr>
        <w:t>1</w:t>
      </w:r>
      <w:r>
        <w:rPr>
          <w:rFonts w:ascii="times" w:hAnsi="times"/>
          <w:sz w:val="20"/>
        </w:rPr>
        <w:t>/</w:t>
      </w:r>
      <w:r>
        <w:rPr>
          <w:rFonts w:ascii="times" w:hAnsi="times"/>
          <w:sz w:val="14"/>
        </w:rPr>
        <w:t>3</w:t>
      </w:r>
      <w:r>
        <w:rPr>
          <w:rFonts w:ascii="times" w:hAnsi="times"/>
          <w:sz w:val="20"/>
        </w:rPr>
        <w:t xml:space="preserve">% of our outstanding shares and will continue to do so following the completion of this offering. </w:t>
      </w:r>
    </w:p>
    <w:p>
      <w:pPr>
        <w:pStyle w:val="TextBody"/>
        <w:rPr/>
      </w:pPr>
      <w:r>
        <w:rPr/>
        <w:t>        </w:t>
      </w:r>
      <w:r>
        <w:rPr>
          <w:rFonts w:ascii="times" w:hAnsi="times"/>
          <w:sz w:val="20"/>
        </w:rPr>
        <w:t xml:space="preserve">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 </w:t>
      </w:r>
    </w:p>
    <w:p>
      <w:pPr>
        <w:pStyle w:val="TextBody"/>
        <w:rPr>
          <w:rFonts w:ascii="times" w:hAnsi="times"/>
          <w:b/>
          <w:sz w:val="20"/>
        </w:rPr>
      </w:pPr>
      <w:r>
        <w:rPr>
          <w:rFonts w:ascii="times" w:hAnsi="times"/>
          <w:b/>
          <w:sz w:val="20"/>
        </w:rPr>
        <w:t xml:space="preserve">Transfer of General Partner Interest </w:t>
      </w:r>
    </w:p>
    <w:p>
      <w:pPr>
        <w:pStyle w:val="TextBody"/>
        <w:rPr/>
      </w:pPr>
      <w:r>
        <w:rPr/>
        <w:t>        </w:t>
      </w:r>
      <w:r>
        <w:rPr>
          <w:rFonts w:ascii="times" w:hAnsi="times"/>
          <w:sz w:val="20"/>
        </w:rPr>
        <w:t xml:space="preserve">Our general partner may transfer all or any of its general partner interest in us without obtaining approval of any shareholder. As a condition of this transfer, the transferee must assume the rights and duties of the general partner to whose interest that transferee has succeeded, agree to be bound by the provisions of our partnership agreement and furnish an opinion of counsel regarding limited liability. </w:t>
      </w:r>
    </w:p>
    <w:p>
      <w:pPr>
        <w:pStyle w:val="TextBody"/>
        <w:jc w:val="center"/>
        <w:rPr>
          <w:rFonts w:ascii="times" w:hAnsi="times"/>
          <w:sz w:val="20"/>
        </w:rPr>
      </w:pPr>
      <w:r>
        <w:rPr>
          <w:rFonts w:ascii="times" w:hAnsi="times"/>
          <w:sz w:val="20"/>
        </w:rPr>
        <w:t>21</w:t>
      </w:r>
    </w:p>
    <w:p>
      <w:pPr>
        <w:pStyle w:val="HorizontalLine"/>
        <w:pBdr>
          <w:bottom w:val="single" w:sz="20" w:space="0" w:color="808080"/>
        </w:pBdr>
        <w:rPr/>
      </w:pPr>
      <w:r>
        <w:rPr/>
      </w:r>
      <w:r>
        <w:br w:type="page"/>
      </w:r>
    </w:p>
    <w:p>
      <w:pPr>
        <w:pStyle w:val="TextBody"/>
        <w:rPr/>
      </w:pPr>
      <w:hyperlink w:anchor="bg76101a_main_toc">
        <w:bookmarkStart w:id="58" w:name="page_de76101_1_22"/>
        <w:bookmarkEnd w:id="58"/>
        <w:r>
          <w:rPr>
            <w:rStyle w:val="InternetLink"/>
            <w:rFonts w:ascii="times" w:hAnsi="times"/>
            <w:sz w:val="20"/>
          </w:rPr>
          <w:t>Table of Contents</w:t>
        </w:r>
      </w:hyperlink>
      <w:r>
        <w:rPr>
          <w:rFonts w:ascii="times" w:hAnsi="times"/>
          <w:sz w:val="20"/>
        </w:rPr>
        <w:t xml:space="preserve"> </w:t>
      </w:r>
    </w:p>
    <w:p>
      <w:pPr>
        <w:pStyle w:val="TextBody"/>
        <w:rPr>
          <w:rFonts w:ascii="times" w:hAnsi="times"/>
          <w:b/>
          <w:sz w:val="20"/>
        </w:rPr>
      </w:pPr>
      <w:r>
        <w:rPr>
          <w:rFonts w:ascii="times" w:hAnsi="times"/>
          <w:b/>
          <w:sz w:val="20"/>
        </w:rPr>
        <w:t xml:space="preserve">Change of Management Provision </w:t>
      </w:r>
    </w:p>
    <w:p>
      <w:pPr>
        <w:pStyle w:val="TextBody"/>
        <w:rPr/>
      </w:pPr>
      <w:r>
        <w:rPr/>
        <w:t>        </w:t>
      </w:r>
      <w:r>
        <w:rPr>
          <w:rFonts w:ascii="times" w:hAnsi="times"/>
          <w:sz w:val="20"/>
        </w:rPr>
        <w:t xml:space="preserve">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 </w:t>
      </w:r>
    </w:p>
    <w:p>
      <w:pPr>
        <w:pStyle w:val="TextBody"/>
        <w:rPr>
          <w:rFonts w:ascii="times" w:hAnsi="times"/>
          <w:b/>
          <w:sz w:val="20"/>
        </w:rPr>
      </w:pPr>
      <w:r>
        <w:rPr>
          <w:rFonts w:ascii="times" w:hAnsi="times"/>
          <w:b/>
          <w:sz w:val="20"/>
        </w:rPr>
        <w:t xml:space="preserve">Limited Call Right </w:t>
      </w:r>
    </w:p>
    <w:p>
      <w:pPr>
        <w:pStyle w:val="TextBody"/>
        <w:rPr/>
      </w:pPr>
      <w:r>
        <w:rPr/>
        <w:t>        </w:t>
      </w:r>
      <w:r>
        <w:rPr>
          <w:rFonts w:ascii="times" w:hAnsi="times"/>
          <w:sz w:val="20"/>
        </w:rPr>
        <w:t xml:space="preserve">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 </w:t>
      </w:r>
    </w:p>
    <w:p>
      <w:pPr>
        <w:pStyle w:val="TextBody"/>
        <w:rPr/>
      </w:pPr>
      <w:r>
        <w:rPr/>
        <w:t>        </w:t>
      </w:r>
      <w:r>
        <w:rPr>
          <w:rFonts w:ascii="times" w:hAnsi="times"/>
          <w:sz w:val="20"/>
        </w:rPr>
        <w:t xml:space="preserve">Upon completion of this offering, the Legacy Owners will own 68.5% of the Class A shares and Class B shares on a combined basis. </w:t>
      </w:r>
    </w:p>
    <w:p>
      <w:pPr>
        <w:pStyle w:val="TextBody"/>
        <w:rPr/>
      </w:pPr>
      <w:r>
        <w:rPr/>
        <w:t>        </w:t>
      </w:r>
      <w:r>
        <w:rPr>
          <w:rFonts w:ascii="times" w:hAnsi="times"/>
          <w:sz w:val="20"/>
        </w:rPr>
        <w:t xml:space="preserve">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 </w:t>
      </w:r>
    </w:p>
    <w:p>
      <w:pPr>
        <w:pStyle w:val="TextBody"/>
        <w:rPr>
          <w:rFonts w:ascii="times" w:hAnsi="times"/>
          <w:b/>
          <w:sz w:val="20"/>
        </w:rPr>
      </w:pPr>
      <w:r>
        <w:rPr>
          <w:rFonts w:ascii="times" w:hAnsi="times"/>
          <w:b/>
          <w:sz w:val="20"/>
        </w:rPr>
        <w:t xml:space="preserve">Meetings; Voting </w:t>
      </w:r>
    </w:p>
    <w:p>
      <w:pPr>
        <w:pStyle w:val="TextBody"/>
        <w:rPr/>
      </w:pPr>
      <w:r>
        <w:rPr/>
        <w:t>        </w:t>
      </w:r>
      <w:r>
        <w:rPr>
          <w:rFonts w:ascii="times" w:hAnsi="times"/>
          <w:sz w:val="20"/>
        </w:rPr>
        <w:t xml:space="preserve">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 </w:t>
      </w:r>
    </w:p>
    <w:p>
      <w:pPr>
        <w:pStyle w:val="TextBody"/>
        <w:rPr/>
      </w:pPr>
      <w:r>
        <w:rPr/>
        <w:t>        </w:t>
      </w:r>
      <w:r>
        <w:rPr>
          <w:rFonts w:ascii="times" w:hAnsi="times"/>
          <w:sz w:val="20"/>
        </w:rPr>
        <w:t xml:space="preserve">Our general partner does not anticipate that any meeting of shareholders will be called in the foreseeable future. Our shareholders will not be entitled to act by written consent. 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unless any action by the shareholders requires approval by holders of a greater percentage of the shares, in which case the quorum will be the greater percentage. </w:t>
      </w:r>
    </w:p>
    <w:p>
      <w:pPr>
        <w:pStyle w:val="TextBody"/>
        <w:jc w:val="center"/>
        <w:rPr>
          <w:rFonts w:ascii="times" w:hAnsi="times"/>
          <w:sz w:val="20"/>
        </w:rPr>
      </w:pPr>
      <w:r>
        <w:rPr>
          <w:rFonts w:ascii="times" w:hAnsi="times"/>
          <w:sz w:val="20"/>
        </w:rPr>
        <w:t>22</w:t>
      </w:r>
    </w:p>
    <w:p>
      <w:pPr>
        <w:pStyle w:val="HorizontalLine"/>
        <w:pBdr>
          <w:bottom w:val="single" w:sz="20" w:space="0" w:color="808080"/>
        </w:pBdr>
        <w:rPr/>
      </w:pPr>
      <w:r>
        <w:rPr/>
      </w:r>
      <w:r>
        <w:br w:type="page"/>
      </w:r>
    </w:p>
    <w:p>
      <w:pPr>
        <w:pStyle w:val="TextBody"/>
        <w:rPr/>
      </w:pPr>
      <w:hyperlink w:anchor="bg76101a_main_toc">
        <w:bookmarkStart w:id="59" w:name="page_de76101_1_23"/>
        <w:bookmarkEnd w:id="59"/>
        <w:r>
          <w:rPr>
            <w:rStyle w:val="InternetLink"/>
            <w:rFonts w:ascii="times" w:hAnsi="times"/>
            <w:sz w:val="20"/>
          </w:rPr>
          <w:t>Table of Contents</w:t>
        </w:r>
      </w:hyperlink>
    </w:p>
    <w:p>
      <w:pPr>
        <w:pStyle w:val="TextBody"/>
        <w:rPr/>
      </w:pPr>
      <w:r>
        <w:rPr/>
        <w:t>        </w:t>
      </w:r>
      <w:r>
        <w:rPr>
          <w:rFonts w:ascii="times" w:hAnsi="times"/>
          <w:sz w:val="20"/>
        </w:rPr>
        <w:t xml:space="preserve">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 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 </w:t>
      </w:r>
    </w:p>
    <w:p>
      <w:pPr>
        <w:pStyle w:val="TextBody"/>
        <w:rPr/>
      </w:pPr>
      <w:r>
        <w:rPr/>
        <w:t>        </w:t>
      </w:r>
      <w:r>
        <w:rPr>
          <w:rFonts w:ascii="times" w:hAnsi="times"/>
          <w:sz w:val="20"/>
        </w:rPr>
        <w:t xml:space="preserve">Any notice, demand, request, report or proxy material required or permitted to be given or made to record holders of shares under our partnership agreement will be delivered to the record holder by us or by the transfer agent. </w:t>
      </w:r>
    </w:p>
    <w:p>
      <w:pPr>
        <w:pStyle w:val="TextBody"/>
        <w:rPr>
          <w:rFonts w:ascii="times" w:hAnsi="times"/>
          <w:b/>
          <w:sz w:val="20"/>
        </w:rPr>
      </w:pPr>
      <w:r>
        <w:rPr>
          <w:rFonts w:ascii="times" w:hAnsi="times"/>
          <w:b/>
          <w:sz w:val="20"/>
        </w:rPr>
        <w:t xml:space="preserve">Public Election of Directors Following Trigger Date </w:t>
      </w:r>
    </w:p>
    <w:p>
      <w:pPr>
        <w:pStyle w:val="TextBody"/>
        <w:rPr/>
      </w:pPr>
      <w:r>
        <w:rPr/>
        <w:t>        </w:t>
      </w:r>
      <w:r>
        <w:rPr>
          <w:rFonts w:ascii="times" w:hAnsi="times"/>
          <w:sz w:val="20"/>
        </w:rPr>
        <w:t xml:space="preserve">Commencing no sooner than 180 days after and no later than the end of the calendar year (as determined by our general partner's board of directors) following the calendar year in which the date that overall direct and indirect economic interest of the Legacy Owners and their permitted transferees in AAP falls below 40% (calculated as described below), which we refer to as the "trigger date," our general partner's board of directors will be divided into three classes of directors such that each class will be comprised of one designated director and one independent director. The 40% threshold referred to above will be calculated on a fully diluted basis that takes into account any Class A shares owned by the Legacy Owners and their affiliates and permitted transferees, assumes the exchange of all AAP management units for AAP units based on the applicable conversion factor and attributes the ownership of such AAP units to the Legacy Owners. Upon completion of this offering, the Legacy Owners will own a 63.7% overall direct and indirect economic interest in AAP. As provided in our general partner's limited liability company agreement, the CEO of our general partner is an automatic member (and Chairman) of our general partner's board of directors and therefore will not be included in a class. Each class of directors will serve a three year term. </w:t>
      </w:r>
    </w:p>
    <w:p>
      <w:pPr>
        <w:pStyle w:val="TextBody"/>
        <w:rPr/>
      </w:pPr>
      <w:r>
        <w:rPr/>
        <w:t>        </w:t>
      </w:r>
      <w:r>
        <w:rPr>
          <w:rFonts w:ascii="times" w:hAnsi="times"/>
          <w:sz w:val="20"/>
        </w:rPr>
        <w:t xml:space="preserve">After the trigger date and once our general partner's board of directors has been divided into classes and staggered as described above, our amended and restated partnership agreement provides that, prior to the expiration of the term of each class of directors (at such time as is determined by our general partner),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and Class B shares, together as a single class, will constitute a quorum. </w:t>
      </w:r>
    </w:p>
    <w:p>
      <w:pPr>
        <w:pStyle w:val="TextBody"/>
        <w:rPr/>
      </w:pPr>
      <w:r>
        <w:rPr/>
        <w:t>        </w:t>
      </w:r>
      <w:r>
        <w:rPr>
          <w:rFonts w:ascii="times" w:hAnsi="times"/>
          <w:sz w:val="20"/>
        </w:rPr>
        <w:t xml:space="preserve">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that owns of record at least 10% of the combined Class A and Class B shares following the trigger date,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w:t>
      </w:r>
    </w:p>
    <w:p>
      <w:pPr>
        <w:pStyle w:val="TextBody"/>
        <w:jc w:val="center"/>
        <w:rPr>
          <w:rFonts w:ascii="times" w:hAnsi="times"/>
          <w:sz w:val="20"/>
        </w:rPr>
      </w:pPr>
      <w:r>
        <w:rPr>
          <w:rFonts w:ascii="times" w:hAnsi="times"/>
          <w:sz w:val="20"/>
        </w:rPr>
        <w:t>23</w:t>
      </w:r>
    </w:p>
    <w:p>
      <w:pPr>
        <w:pStyle w:val="HorizontalLine"/>
        <w:pBdr>
          <w:bottom w:val="single" w:sz="20" w:space="0" w:color="808080"/>
        </w:pBdr>
        <w:rPr/>
      </w:pPr>
      <w:r>
        <w:rPr/>
      </w:r>
      <w:r>
        <w:br w:type="page"/>
      </w:r>
    </w:p>
    <w:p>
      <w:pPr>
        <w:pStyle w:val="TextBody"/>
        <w:rPr/>
      </w:pPr>
      <w:hyperlink w:anchor="bg76101a_main_toc">
        <w:bookmarkStart w:id="60" w:name="page_de76101_1_24"/>
        <w:bookmarkEnd w:id="60"/>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case of our first annual meeting, such date as shall be set by our general partner) and comply with certain other requirements set forth in our amended and restated partnership agreement. </w:t>
      </w:r>
    </w:p>
    <w:p>
      <w:pPr>
        <w:pStyle w:val="TextBody"/>
        <w:rPr/>
      </w:pPr>
      <w:r>
        <w:rPr/>
        <w:t>        </w:t>
      </w:r>
      <w:r>
        <w:rPr>
          <w:rFonts w:ascii="times" w:hAnsi="times"/>
          <w:sz w:val="20"/>
        </w:rPr>
        <w:t xml:space="preserve">In addition to the provisions described above and in our amended and restated partnership agreement, a shareholder must also comply with all applicable requirements of the Exchange Act and the rules and regulations thereunder; provided, however, that any references in our amended and restated partnership agreement to the Exchange Act or the rules promulgated thereunder are not intended to and do not limit any requirements applicable to nominations pursuant to our amended and restated partnership agreement, and compliance with our amended and restated partnership agreement is the exclusive means for a shareholder to make nominations. </w:t>
      </w:r>
    </w:p>
    <w:p>
      <w:pPr>
        <w:pStyle w:val="TextBody"/>
        <w:rPr/>
      </w:pPr>
      <w:r>
        <w:rPr/>
        <w:t>        </w:t>
      </w:r>
      <w:r>
        <w:rPr>
          <w:rFonts w:ascii="times" w:hAnsi="times"/>
          <w:sz w:val="20"/>
        </w:rPr>
        <w:t xml:space="preserve">The elected directors will be elected by a plurality of the votes cast, and the designating parties will be entitled to vote in any election of elected directors. </w:t>
      </w:r>
    </w:p>
    <w:p>
      <w:pPr>
        <w:pStyle w:val="TextBody"/>
        <w:rPr/>
      </w:pPr>
      <w:r>
        <w:rPr/>
        <w:t>        </w:t>
      </w:r>
      <w:r>
        <w:rPr>
          <w:rFonts w:ascii="times" w:hAnsi="times"/>
          <w:sz w:val="20"/>
        </w:rPr>
        <w:t xml:space="preserve">No more than one director subject to designation by the designating parties would be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 </w:t>
      </w:r>
    </w:p>
    <w:p>
      <w:pPr>
        <w:pStyle w:val="TextBody"/>
        <w:rPr/>
      </w:pPr>
      <w:r>
        <w:rPr/>
        <w:t>        </w:t>
      </w:r>
      <w:r>
        <w:rPr>
          <w:rFonts w:ascii="times" w:hAnsi="times"/>
          <w:sz w:val="20"/>
        </w:rPr>
        <w:t xml:space="preserve">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will become subject to election by our shareholders. </w:t>
      </w:r>
    </w:p>
    <w:p>
      <w:pPr>
        <w:pStyle w:val="TextBody"/>
        <w:rPr/>
      </w:pPr>
      <w:r>
        <w:rPr/>
        <w:t>        </w:t>
      </w:r>
      <w:r>
        <w:rPr>
          <w:rFonts w:ascii="times" w:hAnsi="times"/>
          <w:sz w:val="20"/>
        </w:rPr>
        <w:t xml:space="preserve">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 Any vacancies in designated directors may be filled by the applicable designating party in its sole discretion. </w:t>
      </w:r>
    </w:p>
    <w:p>
      <w:pPr>
        <w:pStyle w:val="TextBody"/>
        <w:rPr>
          <w:rFonts w:ascii="times" w:hAnsi="times"/>
          <w:b/>
          <w:sz w:val="20"/>
        </w:rPr>
      </w:pPr>
      <w:r>
        <w:rPr>
          <w:rFonts w:ascii="times" w:hAnsi="times"/>
          <w:b/>
          <w:sz w:val="20"/>
        </w:rPr>
        <w:t xml:space="preserve">Status as Limited Partner </w:t>
      </w:r>
    </w:p>
    <w:p>
      <w:pPr>
        <w:pStyle w:val="TextBody"/>
        <w:rPr/>
      </w:pPr>
      <w:r>
        <w:rPr/>
        <w:t>        </w:t>
      </w:r>
      <w:r>
        <w:rPr>
          <w:rFonts w:ascii="times" w:hAnsi="times"/>
          <w:sz w:val="20"/>
        </w:rPr>
        <w:t xml:space="preserve">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 </w:t>
      </w:r>
    </w:p>
    <w:p>
      <w:pPr>
        <w:pStyle w:val="TextBody"/>
        <w:rPr>
          <w:rFonts w:ascii="times" w:hAnsi="times"/>
          <w:b/>
          <w:sz w:val="20"/>
        </w:rPr>
      </w:pPr>
      <w:r>
        <w:rPr>
          <w:rFonts w:ascii="times" w:hAnsi="times"/>
          <w:b/>
          <w:sz w:val="20"/>
        </w:rPr>
        <w:t xml:space="preserve">Non-Citizen Assignees; Redemption </w:t>
      </w:r>
    </w:p>
    <w:p>
      <w:pPr>
        <w:pStyle w:val="TextBody"/>
        <w:rPr/>
      </w:pPr>
      <w:r>
        <w:rPr/>
        <w:t>        </w:t>
      </w:r>
      <w:r>
        <w:rPr>
          <w:rFonts w:ascii="times" w:hAnsi="times"/>
          <w:sz w:val="20"/>
        </w:rPr>
        <w:t xml:space="preserve">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w:t>
      </w:r>
    </w:p>
    <w:p>
      <w:pPr>
        <w:pStyle w:val="TextBody"/>
        <w:jc w:val="center"/>
        <w:rPr>
          <w:rFonts w:ascii="times" w:hAnsi="times"/>
          <w:sz w:val="20"/>
        </w:rPr>
      </w:pPr>
      <w:r>
        <w:rPr>
          <w:rFonts w:ascii="times" w:hAnsi="times"/>
          <w:sz w:val="20"/>
        </w:rPr>
        <w:t>24</w:t>
      </w:r>
    </w:p>
    <w:p>
      <w:pPr>
        <w:pStyle w:val="HorizontalLine"/>
        <w:pBdr>
          <w:bottom w:val="single" w:sz="20" w:space="0" w:color="808080"/>
        </w:pBdr>
        <w:rPr/>
      </w:pPr>
      <w:r>
        <w:rPr/>
      </w:r>
      <w:r>
        <w:br w:type="page"/>
      </w:r>
    </w:p>
    <w:p>
      <w:pPr>
        <w:pStyle w:val="TextBody"/>
        <w:rPr/>
      </w:pPr>
      <w:hyperlink w:anchor="bg76101a_main_toc">
        <w:bookmarkStart w:id="61" w:name="page_de76101_1_25"/>
        <w:bookmarkEnd w:id="6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 </w:t>
      </w:r>
    </w:p>
    <w:p>
      <w:pPr>
        <w:pStyle w:val="TextBody"/>
        <w:rPr>
          <w:rFonts w:ascii="times" w:hAnsi="times"/>
          <w:b/>
          <w:sz w:val="20"/>
        </w:rPr>
      </w:pPr>
      <w:r>
        <w:rPr>
          <w:rFonts w:ascii="times" w:hAnsi="times"/>
          <w:b/>
          <w:sz w:val="20"/>
        </w:rPr>
        <w:t xml:space="preserve">Indemnification </w:t>
      </w:r>
    </w:p>
    <w:p>
      <w:pPr>
        <w:pStyle w:val="TextBody"/>
        <w:rPr/>
      </w:pPr>
      <w:r>
        <w:rPr/>
        <w:t>        </w:t>
      </w:r>
      <w:r>
        <w:rPr>
          <w:rFonts w:ascii="times" w:hAnsi="times"/>
          <w:sz w:val="20"/>
        </w:rPr>
        <w:t>Under our partnership agreement, in most circumstances, we will indemnify the following persons, to the fullest extent permitted by law, from and against all losses, claims, damages or similar events: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departing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Legacy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Qualifying Interest Holders (as defined in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an affiliate of our general partner, any departing general partner, the Legacy Owners or any Qualifying Interest Holder;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 managing member, manager, general partner, director, officer, fiduciary, agent or trustee of our general partner or any departing general partner or any affiliate of our general partner, any departing general partner or the Legacy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designated by our general partner. </w:t>
      </w:r>
    </w:p>
    <w:p>
      <w:pPr>
        <w:pStyle w:val="TextBody"/>
        <w:rPr/>
      </w:pPr>
      <w:r>
        <w:rPr/>
        <w:t>        </w:t>
      </w:r>
      <w:r>
        <w:rPr>
          <w:rFonts w:ascii="times" w:hAnsi="times"/>
          <w:sz w:val="20"/>
        </w:rPr>
        <w:t xml:space="preserve">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 whether we would have the power to indemnify the person against liabilities under our partnership agreement. </w:t>
      </w:r>
    </w:p>
    <w:p>
      <w:pPr>
        <w:pStyle w:val="TextBody"/>
        <w:rPr>
          <w:rFonts w:ascii="times" w:hAnsi="times"/>
          <w:b/>
          <w:sz w:val="20"/>
        </w:rPr>
      </w:pPr>
      <w:r>
        <w:rPr>
          <w:rFonts w:ascii="times" w:hAnsi="times"/>
          <w:b/>
          <w:sz w:val="20"/>
        </w:rPr>
        <w:t xml:space="preserve">Reimbursement of Expenses </w:t>
      </w:r>
    </w:p>
    <w:p>
      <w:pPr>
        <w:pStyle w:val="TextBody"/>
        <w:rPr/>
      </w:pPr>
      <w:r>
        <w:rPr/>
        <w:t>        </w:t>
      </w:r>
      <w:r>
        <w:rPr>
          <w:rFonts w:ascii="times" w:hAnsi="times"/>
          <w:sz w:val="20"/>
        </w:rPr>
        <w:t xml:space="preserve">In connection with our IPO, we entered into an administrative agreement with our general partner, AAP, PAA, PAA GP and GP LLC, which requires AAP to reimburse our general partner for all direct and indirect expenses it incurs or payments it makes on our behalf and all other expenses allocable to us or otherwise incurred by our general partner in connection with operating our or its business. These expenses include any amounts paid to persons who perform services for us or on our behalf and expenses allocated to our general partner by its affiliates. Our general partner is entitled to determine the expenses that are allocable to us. In any event, these expenses will include any costs to the general partner of maintaining its existence and good standing in whatever jurisdiction it deems advisable. There is no limit on the amount of fees and expenses AAP may be required to pay to affiliates of our general partner on our behalf pursuant to the administrative agreement. </w:t>
      </w:r>
    </w:p>
    <w:p>
      <w:pPr>
        <w:pStyle w:val="TextBody"/>
        <w:jc w:val="center"/>
        <w:rPr>
          <w:rFonts w:ascii="times" w:hAnsi="times"/>
          <w:sz w:val="20"/>
        </w:rPr>
      </w:pPr>
      <w:r>
        <w:rPr>
          <w:rFonts w:ascii="times" w:hAnsi="times"/>
          <w:sz w:val="20"/>
        </w:rPr>
        <w:t>25</w:t>
      </w:r>
    </w:p>
    <w:p>
      <w:pPr>
        <w:pStyle w:val="HorizontalLine"/>
        <w:pBdr>
          <w:bottom w:val="single" w:sz="20" w:space="0" w:color="808080"/>
        </w:pBdr>
        <w:rPr/>
      </w:pPr>
      <w:r>
        <w:rPr/>
      </w:r>
      <w:r>
        <w:br w:type="page"/>
      </w:r>
    </w:p>
    <w:p>
      <w:pPr>
        <w:pStyle w:val="TextBody"/>
        <w:rPr/>
      </w:pPr>
      <w:hyperlink w:anchor="bg76101a_main_toc">
        <w:bookmarkStart w:id="62" w:name="page_de76101_1_26"/>
        <w:bookmarkEnd w:id="62"/>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Books and Reports </w:t>
      </w:r>
    </w:p>
    <w:p>
      <w:pPr>
        <w:pStyle w:val="TextBody"/>
        <w:rPr/>
      </w:pPr>
      <w:r>
        <w:rPr/>
        <w:t>        </w:t>
      </w:r>
      <w:r>
        <w:rPr>
          <w:rFonts w:ascii="times" w:hAnsi="times"/>
          <w:sz w:val="20"/>
        </w:rPr>
        <w:t xml:space="preserve">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 </w:t>
      </w:r>
    </w:p>
    <w:p>
      <w:pPr>
        <w:pStyle w:val="TextBody"/>
        <w:rPr/>
      </w:pPr>
      <w:r>
        <w:rPr/>
        <w:t>        </w:t>
      </w:r>
      <w:r>
        <w:rPr>
          <w:rFonts w:ascii="times" w:hAnsi="times"/>
          <w:sz w:val="20"/>
        </w:rPr>
        <w:t xml:space="preserve">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 </w:t>
      </w:r>
    </w:p>
    <w:p>
      <w:pPr>
        <w:pStyle w:val="TextBody"/>
        <w:rPr>
          <w:rFonts w:ascii="times" w:hAnsi="times"/>
          <w:b/>
          <w:sz w:val="20"/>
        </w:rPr>
      </w:pPr>
      <w:r>
        <w:rPr>
          <w:rFonts w:ascii="times" w:hAnsi="times"/>
          <w:b/>
          <w:sz w:val="20"/>
        </w:rPr>
        <w:t xml:space="preserve">Right to Inspect Our Books and Records </w:t>
      </w:r>
    </w:p>
    <w:p>
      <w:pPr>
        <w:pStyle w:val="TextBody"/>
        <w:rPr/>
      </w:pPr>
      <w:r>
        <w:rPr/>
        <w:t>        </w:t>
      </w:r>
      <w:r>
        <w:rPr>
          <w:rFonts w:ascii="times" w:hAnsi="times"/>
          <w:sz w:val="20"/>
        </w:rPr>
        <w:t>Our partnership agreement provides that a limited partner can, for a purpose reasonably related to his interest as a limited partner, upon reasonable written demand and at his own expense, have furnished to him:</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current list of the name and last known address of each record holder;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copies of our partnership agreement, our certificate of limited partnership of the partnership, related amendments and powers of attorney under which they have been executed. </w:t>
      </w:r>
    </w:p>
    <w:p>
      <w:pPr>
        <w:pStyle w:val="TextBody"/>
        <w:rPr/>
      </w:pPr>
      <w:r>
        <w:rPr/>
        <w:t>        </w:t>
      </w:r>
      <w:r>
        <w:rPr>
          <w:rFonts w:ascii="times" w:hAnsi="times"/>
          <w:sz w:val="20"/>
        </w:rPr>
        <w:t xml:space="preserve">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 </w:t>
      </w:r>
    </w:p>
    <w:p>
      <w:pPr>
        <w:pStyle w:val="TextBody"/>
        <w:rPr/>
      </w:pPr>
      <w:r>
        <w:rPr/>
        <w:t>        </w:t>
      </w:r>
      <w:r>
        <w:rPr>
          <w:rFonts w:ascii="times" w:hAnsi="times"/>
          <w:sz w:val="20"/>
        </w:rPr>
        <w:t xml:space="preserve">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 </w:t>
      </w:r>
    </w:p>
    <w:p>
      <w:pPr>
        <w:pStyle w:val="TextBody"/>
        <w:jc w:val="center"/>
        <w:rPr>
          <w:rFonts w:ascii="times" w:hAnsi="times"/>
          <w:sz w:val="20"/>
        </w:rPr>
      </w:pPr>
      <w:r>
        <w:rPr>
          <w:rFonts w:ascii="times" w:hAnsi="times"/>
          <w:sz w:val="20"/>
        </w:rPr>
        <w:t>26</w:t>
      </w:r>
    </w:p>
    <w:p>
      <w:pPr>
        <w:pStyle w:val="HorizontalLine"/>
        <w:pBdr>
          <w:bottom w:val="single" w:sz="20" w:space="0" w:color="808080"/>
        </w:pBdr>
        <w:rPr/>
      </w:pPr>
      <w:r>
        <w:rPr/>
      </w:r>
      <w:r>
        <w:br w:type="page"/>
      </w:r>
    </w:p>
    <w:p>
      <w:pPr>
        <w:pStyle w:val="TextBody"/>
        <w:rPr/>
      </w:pPr>
      <w:hyperlink w:anchor="bg76101a_main_toc">
        <w:bookmarkStart w:id="63" w:name="page_dg76101_1_27"/>
        <w:bookmarkEnd w:id="63"/>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64" w:name="toc_dg76101_1"/>
      <w:bookmarkStart w:id="65" w:name="dg76101_description_of_our_shares"/>
      <w:bookmarkEnd w:id="64"/>
      <w:bookmarkEnd w:id="65"/>
      <w:r>
        <w:rPr>
          <w:rFonts w:ascii="times" w:hAnsi="times"/>
          <w:sz w:val="20"/>
        </w:rPr>
        <w:br/>
      </w:r>
      <w:r>
        <w:rPr>
          <w:rFonts w:ascii="times" w:hAnsi="times"/>
          <w:b/>
          <w:sz w:val="20"/>
        </w:rPr>
        <w:t xml:space="preserve">DESCRIPTION OF OUR SHARES </w:t>
      </w:r>
    </w:p>
    <w:p>
      <w:pPr>
        <w:pStyle w:val="TextBody"/>
        <w:rPr>
          <w:rFonts w:ascii="times" w:hAnsi="times"/>
          <w:b/>
          <w:sz w:val="20"/>
        </w:rPr>
      </w:pPr>
      <w:r>
        <w:rPr>
          <w:rFonts w:ascii="times" w:hAnsi="times"/>
          <w:b/>
          <w:sz w:val="20"/>
        </w:rPr>
        <w:t xml:space="preserve">Our Share Structure </w:t>
      </w:r>
    </w:p>
    <w:p>
      <w:pPr>
        <w:pStyle w:val="TextBody"/>
        <w:rPr/>
      </w:pPr>
      <w:r>
        <w:rPr/>
        <w:t>        </w:t>
      </w:r>
      <w:r>
        <w:rPr>
          <w:rFonts w:ascii="times" w:hAnsi="times"/>
          <w:sz w:val="20"/>
        </w:rPr>
        <w:t xml:space="preserve">Our partnership agreement provides for two classes of shares, Class A shares and Class B shares, both representing limited partner interests in us. The holders of our Class A and Class B shares are entitled to exercise the rights or privileges available to limited partners under our partnership agreement, but only holders of our Class A shares are entitled to participate in our distributions.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 </w:t>
      </w:r>
    </w:p>
    <w:p>
      <w:pPr>
        <w:pStyle w:val="TextBody"/>
        <w:rPr/>
      </w:pPr>
      <w:r>
        <w:rPr/>
        <w:t>        </w:t>
      </w:r>
      <w:r>
        <w:rPr>
          <w:rFonts w:ascii="times" w:hAnsi="times"/>
          <w:sz w:val="20"/>
        </w:rPr>
        <w:t xml:space="preserve">Our Class A shares are listed on the NYSE under the symbol "PAGP"; we do not intend to list the Class B shares on any stock exchange. All of our Class B shares are owned by the Legacy Owners. </w:t>
      </w:r>
    </w:p>
    <w:p>
      <w:pPr>
        <w:pStyle w:val="TextBody"/>
        <w:rPr>
          <w:rFonts w:ascii="times" w:hAnsi="times"/>
          <w:b/>
          <w:sz w:val="20"/>
        </w:rPr>
      </w:pPr>
      <w:r>
        <w:rPr>
          <w:rFonts w:ascii="times" w:hAnsi="times"/>
          <w:b/>
          <w:sz w:val="20"/>
        </w:rPr>
        <w:t xml:space="preserve">Exchange Right </w:t>
      </w:r>
    </w:p>
    <w:p>
      <w:pPr>
        <w:pStyle w:val="TextBody"/>
        <w:rPr/>
      </w:pPr>
      <w:r>
        <w:rPr/>
        <w:t>        </w:t>
      </w:r>
      <w:r>
        <w:rPr>
          <w:rFonts w:ascii="times" w:hAnsi="times"/>
          <w:sz w:val="20"/>
        </w:rPr>
        <w:t xml:space="preserve">The Legacy Owners and any permitted transferees of their AAP units each have the right to exchange (the "Exchange Right") all or a portion of their AAP units into Class A shares at an exchange ratio of one Class A share for each AAP unit exchanged. The above exchange right may be exercised only if, simultaneously therewith, an equal number of our Class B shares and general partner units are transferred by the exercising party to us. </w:t>
      </w:r>
    </w:p>
    <w:p>
      <w:pPr>
        <w:pStyle w:val="TextBody"/>
        <w:rPr/>
      </w:pPr>
      <w:r>
        <w:rPr/>
        <w:t>        </w:t>
      </w:r>
      <w:r>
        <w:rPr>
          <w:rFonts w:ascii="times" w:hAnsi="times"/>
          <w:sz w:val="20"/>
        </w:rPr>
        <w:t xml:space="preserve">For purposes of any transfer or exchange of AAP units owned by the Legacy Owners and our Class B shares, the AAP partnership agreement, our general partner's limited liability company agreement and our partnership agreement contain provisions linking each such AAP unit with one of our Class B shares and a general partner unit. Our Class B shares and general partner units cannot be transferred without transferring an equal number of AAP units and vice versa. </w:t>
      </w:r>
    </w:p>
    <w:p>
      <w:pPr>
        <w:pStyle w:val="TextBody"/>
        <w:rPr/>
      </w:pPr>
      <w:r>
        <w:rPr/>
        <w:t>        </w:t>
      </w:r>
      <w:r>
        <w:rPr>
          <w:rFonts w:ascii="times" w:hAnsi="times"/>
          <w:sz w:val="20"/>
        </w:rPr>
        <w:t xml:space="preserve">Additionally, if the Class A shares are publicly traded at any time after December 31, 2015, a holder of vested AAP management units will be entitled to exchange his or her AAP management units for AAP units and a like number of Class B shares based on a conversion ratio calculated in accordance with the AAP limited partnership agreement (which conversion ratio will not be more than one-to-one and is expected to be approximately 0.925 AAP units for each AAP management unit as of the date of the distribution that will be paid with respect to the third quarter of 2014). Following any such exchange, the holder will have the Exchange Right for our Class A shares. Holders of AAP management units who exchange for AAP units and Class B shares will not receive general partner units and thus will not need to include any general partner units in a transfer or the exercise of their Exchange Right. </w:t>
      </w:r>
    </w:p>
    <w:p>
      <w:pPr>
        <w:pStyle w:val="TextBody"/>
        <w:rPr/>
      </w:pPr>
      <w:r>
        <w:rPr/>
        <w:t>        </w:t>
      </w:r>
      <w:r>
        <w:rPr>
          <w:rFonts w:ascii="times" w:hAnsi="times"/>
          <w:sz w:val="20"/>
        </w:rPr>
        <w:t xml:space="preserve">The above mechanisms are subject to customary conversion rate adjustments for equity splits, equity dividends and reclassifications. </w:t>
      </w:r>
    </w:p>
    <w:p>
      <w:pPr>
        <w:pStyle w:val="TextBody"/>
        <w:rPr>
          <w:rFonts w:ascii="times" w:hAnsi="times"/>
          <w:b/>
          <w:sz w:val="20"/>
        </w:rPr>
      </w:pPr>
      <w:r>
        <w:rPr>
          <w:rFonts w:ascii="times" w:hAnsi="times"/>
          <w:b/>
          <w:sz w:val="20"/>
        </w:rPr>
        <w:t xml:space="preserve">Transfer of Class A Shares and Class B shares </w:t>
      </w:r>
    </w:p>
    <w:p>
      <w:pPr>
        <w:pStyle w:val="TextBody"/>
        <w:rPr/>
      </w:pPr>
      <w:r>
        <w:rPr/>
        <w:t>        </w:t>
      </w:r>
      <w:r>
        <w:rPr>
          <w:rFonts w:ascii="times" w:hAnsi="times"/>
          <w:sz w:val="20"/>
        </w:rPr>
        <w:t>By transfer of our Class A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represents that the transferee has the capacity, power and authority to become bound by our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automatically agrees to be bound by the terms and conditions of, and is deemed to have executed, our partnership agreement; and </w:t>
      </w:r>
    </w:p>
    <w:p>
      <w:pPr>
        <w:pStyle w:val="TextBody"/>
        <w:jc w:val="center"/>
        <w:rPr>
          <w:rFonts w:ascii="times" w:hAnsi="times"/>
          <w:sz w:val="20"/>
        </w:rPr>
      </w:pPr>
      <w:r>
        <w:rPr>
          <w:rFonts w:ascii="times" w:hAnsi="times"/>
          <w:sz w:val="20"/>
        </w:rPr>
        <w:t>27</w:t>
      </w:r>
    </w:p>
    <w:p>
      <w:pPr>
        <w:pStyle w:val="HorizontalLine"/>
        <w:pBdr>
          <w:bottom w:val="single" w:sz="20" w:space="0" w:color="808080"/>
        </w:pBdr>
        <w:rPr/>
      </w:pPr>
      <w:r>
        <w:rPr/>
      </w:r>
      <w:r>
        <w:br w:type="page"/>
      </w:r>
    </w:p>
    <w:p>
      <w:pPr>
        <w:pStyle w:val="TextBody"/>
        <w:rPr/>
      </w:pPr>
      <w:hyperlink w:anchor="bg76101a_main_toc">
        <w:bookmarkStart w:id="66" w:name="page_dg76101_1_28"/>
        <w:bookmarkEnd w:id="66"/>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gives the consents and approvals contained in our partnership agreement. </w:t>
      </w:r>
    </w:p>
    <w:p>
      <w:pPr>
        <w:pStyle w:val="TextBody"/>
        <w:rPr/>
      </w:pPr>
      <w:r>
        <w:rPr/>
        <w:t>        </w:t>
      </w:r>
      <w:r>
        <w:rPr>
          <w:rFonts w:ascii="times" w:hAnsi="times"/>
          <w:sz w:val="20"/>
        </w:rPr>
        <w:t xml:space="preserve">A transferee will become a substituted limited partner for the transferred shares automatically upon the recording of the transfer on our books and records. Our general partner will cause any transfers to be recorded on our books and records no less frequently than quarterly. </w:t>
      </w:r>
    </w:p>
    <w:p>
      <w:pPr>
        <w:pStyle w:val="TextBody"/>
        <w:rPr/>
      </w:pPr>
      <w:r>
        <w:rPr/>
        <w:t>        </w:t>
      </w:r>
      <w:r>
        <w:rPr>
          <w:rFonts w:ascii="times" w:hAnsi="times"/>
          <w:sz w:val="20"/>
        </w:rPr>
        <w:t xml:space="preserve">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 </w:t>
      </w:r>
    </w:p>
    <w:p>
      <w:pPr>
        <w:pStyle w:val="TextBody"/>
        <w:rPr/>
      </w:pPr>
      <w:r>
        <w:rPr/>
        <w:t>        </w:t>
      </w:r>
      <w:r>
        <w:rPr>
          <w:rFonts w:ascii="times" w:hAnsi="times"/>
          <w:sz w:val="20"/>
        </w:rPr>
        <w:t xml:space="preserve">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 </w:t>
      </w:r>
    </w:p>
    <w:p>
      <w:pPr>
        <w:pStyle w:val="TextBody"/>
        <w:rPr/>
      </w:pPr>
      <w:r>
        <w:rPr/>
        <w:t>        </w:t>
      </w:r>
      <w:r>
        <w:rPr>
          <w:rFonts w:ascii="times" w:hAnsi="times"/>
          <w:sz w:val="20"/>
        </w:rPr>
        <w:t xml:space="preserve">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 </w:t>
      </w:r>
    </w:p>
    <w:p>
      <w:pPr>
        <w:pStyle w:val="TextBody"/>
        <w:rPr/>
      </w:pPr>
      <w:r>
        <w:rPr/>
        <w:t>        </w:t>
      </w:r>
      <w:r>
        <w:rPr>
          <w:rFonts w:ascii="times" w:hAnsi="times"/>
          <w:sz w:val="20"/>
        </w:rPr>
        <w:t xml:space="preserve">For purposes of any transfer or exchange of AAP units and our Class B shares, the AAP partnership agreement, our general partner's limited liability company agreement and our partnership agreement will contain provisions linking each AAP unit with one of our Class B shares and a general partner unit. Please read "Exchange Right" above. </w:t>
      </w:r>
    </w:p>
    <w:p>
      <w:pPr>
        <w:pStyle w:val="TextBody"/>
        <w:rPr>
          <w:rFonts w:ascii="times" w:hAnsi="times"/>
          <w:b/>
          <w:sz w:val="20"/>
        </w:rPr>
      </w:pPr>
      <w:r>
        <w:rPr>
          <w:rFonts w:ascii="times" w:hAnsi="times"/>
          <w:b/>
          <w:sz w:val="20"/>
        </w:rPr>
        <w:t xml:space="preserve">Transfer Agent and Registrar </w:t>
      </w:r>
    </w:p>
    <w:p>
      <w:pPr>
        <w:pStyle w:val="TextBody"/>
        <w:rPr>
          <w:rFonts w:ascii="times" w:hAnsi="times"/>
          <w:b/>
          <w:i/>
          <w:sz w:val="20"/>
        </w:rPr>
      </w:pPr>
      <w:r>
        <w:rPr>
          <w:rFonts w:ascii="times" w:hAnsi="times"/>
          <w:b/>
          <w:i/>
          <w:sz w:val="20"/>
        </w:rPr>
        <w:t xml:space="preserve">Duties </w:t>
      </w:r>
    </w:p>
    <w:p>
      <w:pPr>
        <w:pStyle w:val="TextBody"/>
        <w:rPr/>
      </w:pPr>
      <w:r>
        <w:rPr/>
        <w:t>        </w:t>
      </w:r>
      <w:r>
        <w:rPr>
          <w:rFonts w:ascii="times" w:hAnsi="times"/>
          <w:sz w:val="20"/>
        </w:rPr>
        <w:t>American Stock Transfer and Trust Company serves as registrar and transfer agent for our Class A shares. We will pay all fees charged by the transfer agent for transfers of our shares except the following fees that will be paid by shareholders: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surety bond premiums to replace lost or stolen certificates, taxes and other governmental charges;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special charges for services requested by a holder of a share;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 similar fees or charges. </w:t>
      </w:r>
    </w:p>
    <w:p>
      <w:pPr>
        <w:pStyle w:val="TextBody"/>
        <w:rPr/>
      </w:pPr>
      <w:r>
        <w:rPr/>
        <w:t>        </w:t>
      </w:r>
      <w:r>
        <w:rPr>
          <w:rFonts w:ascii="times" w:hAnsi="times"/>
          <w:sz w:val="20"/>
        </w:rPr>
        <w:t xml:space="preserve">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 </w:t>
      </w:r>
    </w:p>
    <w:p>
      <w:pPr>
        <w:pStyle w:val="TextBody"/>
        <w:rPr>
          <w:rFonts w:ascii="times" w:hAnsi="times"/>
          <w:b/>
          <w:sz w:val="20"/>
        </w:rPr>
      </w:pPr>
      <w:r>
        <w:rPr>
          <w:rFonts w:ascii="times" w:hAnsi="times"/>
          <w:b/>
          <w:sz w:val="20"/>
        </w:rPr>
        <w:t xml:space="preserve">Resignation or Removal </w:t>
      </w:r>
    </w:p>
    <w:p>
      <w:pPr>
        <w:pStyle w:val="TextBody"/>
        <w:rPr/>
      </w:pPr>
      <w:r>
        <w:rPr/>
        <w:t>        </w:t>
      </w:r>
      <w:r>
        <w:rPr>
          <w:rFonts w:ascii="times" w:hAnsi="times"/>
          <w:sz w:val="20"/>
        </w:rPr>
        <w:t xml:space="preserve">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 </w:t>
      </w:r>
    </w:p>
    <w:p>
      <w:pPr>
        <w:pStyle w:val="TextBody"/>
        <w:jc w:val="center"/>
        <w:rPr>
          <w:rFonts w:ascii="times" w:hAnsi="times"/>
          <w:sz w:val="20"/>
        </w:rPr>
      </w:pPr>
      <w:r>
        <w:rPr>
          <w:rFonts w:ascii="times" w:hAnsi="times"/>
          <w:sz w:val="20"/>
        </w:rPr>
        <w:t>28</w:t>
      </w:r>
    </w:p>
    <w:p>
      <w:pPr>
        <w:pStyle w:val="HorizontalLine"/>
        <w:pBdr>
          <w:bottom w:val="single" w:sz="20" w:space="0" w:color="808080"/>
        </w:pBdr>
        <w:rPr/>
      </w:pPr>
      <w:r>
        <w:rPr/>
      </w:r>
      <w:r>
        <w:br w:type="page"/>
      </w:r>
    </w:p>
    <w:p>
      <w:pPr>
        <w:pStyle w:val="TextBody"/>
        <w:rPr/>
      </w:pPr>
      <w:hyperlink w:anchor="bg76101a_main_toc">
        <w:bookmarkStart w:id="67" w:name="page_dg76101_1_29"/>
        <w:bookmarkEnd w:id="67"/>
        <w:r>
          <w:rPr>
            <w:rStyle w:val="InternetLink"/>
            <w:rFonts w:ascii="times" w:hAnsi="times"/>
            <w:sz w:val="20"/>
          </w:rPr>
          <w:t>Table of Contents</w:t>
        </w:r>
      </w:hyperlink>
    </w:p>
    <w:p>
      <w:pPr>
        <w:pStyle w:val="TextBody"/>
        <w:jc w:val="center"/>
        <w:rPr>
          <w:rFonts w:ascii="times" w:hAnsi="times"/>
        </w:rPr>
      </w:pPr>
      <w:bookmarkStart w:id="68" w:name="toc_dg76101_2"/>
      <w:bookmarkStart w:id="69" w:name="dg76101_material_u.s._federal_income_tax"/>
      <w:bookmarkEnd w:id="68"/>
      <w:bookmarkEnd w:id="69"/>
      <w:r>
        <w:rPr>
          <w:rFonts w:ascii="times" w:hAnsi="times"/>
          <w:sz w:val="20"/>
        </w:rPr>
        <w:br/>
      </w:r>
      <w:r>
        <w:rPr>
          <w:rFonts w:ascii="times" w:hAnsi="times"/>
          <w:b/>
          <w:sz w:val="20"/>
        </w:rPr>
        <w:t xml:space="preserve">MATERIAL U.S. FEDERAL INCOME TAX CONSEQUENCES </w:t>
      </w:r>
    </w:p>
    <w:p>
      <w:pPr>
        <w:pStyle w:val="TextBody"/>
        <w:rPr/>
      </w:pPr>
      <w:r>
        <w:rPr/>
        <w:t>        </w:t>
      </w:r>
      <w:r>
        <w:rPr>
          <w:rFonts w:ascii="times" w:hAnsi="times"/>
          <w:sz w:val="20"/>
        </w:rPr>
        <w:t xml:space="preserve">The following is a summary of the material U.S. federal income tax consequences, and, in the case of a non-U.S. holder, estate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and administrative rulings and judicial decisions, all as in effect on the date hereof,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will agree with such statements and conclusions. </w:t>
      </w:r>
    </w:p>
    <w:p>
      <w:pPr>
        <w:pStyle w:val="TextBody"/>
        <w:rPr/>
      </w:pPr>
      <w:r>
        <w:rPr/>
        <w:t>        </w:t>
      </w:r>
      <w:r>
        <w:rPr>
          <w:rFonts w:ascii="times" w:hAnsi="times"/>
          <w:sz w:val="20"/>
        </w:rPr>
        <w:t>Legal conclusions contained in this section, unless otherwise noted, are the opinion of Vinson &amp; Elkins L.L.P. This summary does not address all aspects of U.S. federal income and estate taxation or the tax considerations arising under the laws of any non-U.S., state, or local jurisdiction, or under U.S. federal gift tax laws. In addition, this summary does not address tax considerations applicable to investors that may be subject to special treatment under the U.S. federal income tax laws, such as (without limitation):</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banks, insurance companies or other financial institutions;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tax-exempt or governmental organizations;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dealers in securities or foreign currencies;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traders in securities that use the mark-to-market method of accounting for U.S. federal income tax purposes;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"controlled foreign corporations," "passive foreign investment companies" and corporations that accumulate earnings to avoid U.S. federal income tax;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subject to the alternative minimum tax;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partnerships or other pass-through entities for U.S. federal income tax purposes or holders of interests therein;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hold or are deemed to sell our Class A shares under the constructive sale provisions of the Code;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acquired our Class A shares through the exercise of employee stock options or otherwise as compensation or through a tax-qualified retirement plan;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certain former citizens or long-term residents of the United States;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real estate investment trusts or regulated investment companies;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hold our Class A shares as part of a straddle, appreciated financial position, synthetic security, hedge, conversion transaction or other integrated investment or risk reduction transaction;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persons that hold in excess of 5% of our Class A shares. </w:t>
      </w:r>
    </w:p>
    <w:p>
      <w:pPr>
        <w:pStyle w:val="TextBody"/>
        <w:rPr/>
      </w:pPr>
      <w:r>
        <w:rPr/>
        <w:t>        </w:t>
      </w:r>
      <w:r>
        <w:rPr>
          <w:rFonts w:ascii="times" w:hAnsi="times"/>
          <w:sz w:val="20"/>
        </w:rPr>
        <w:t xml:space="preserve">If a partnership (or an entity treated as a partnership for U.S. federal income tax purposes) holds our Class A shares, the tax treatment of a partner in the partnership generally will depend upon the status of the partner and upon the activities of the partnership. Accordingly, we urge partners of a partnership (including an entity treated as a partnership for U.S. federal income tax purposes) investing in our Class A shares to consult their tax advisors regarding the U.S. federal income tax considerations of the purchase, ownership and disposition of our Class A shares by such partnership. </w:t>
      </w:r>
    </w:p>
    <w:p>
      <w:pPr>
        <w:pStyle w:val="TextBody"/>
        <w:jc w:val="center"/>
        <w:rPr>
          <w:rFonts w:ascii="times" w:hAnsi="times"/>
          <w:sz w:val="20"/>
        </w:rPr>
      </w:pPr>
      <w:r>
        <w:rPr>
          <w:rFonts w:ascii="times" w:hAnsi="times"/>
          <w:sz w:val="20"/>
        </w:rPr>
        <w:t>29</w:t>
      </w:r>
    </w:p>
    <w:p>
      <w:pPr>
        <w:pStyle w:val="HorizontalLine"/>
        <w:pBdr>
          <w:bottom w:val="single" w:sz="20" w:space="0" w:color="808080"/>
        </w:pBdr>
        <w:rPr/>
      </w:pPr>
      <w:r>
        <w:rPr/>
      </w:r>
      <w:r>
        <w:br w:type="page"/>
      </w:r>
    </w:p>
    <w:p>
      <w:pPr>
        <w:pStyle w:val="TextBody"/>
        <w:rPr/>
      </w:pPr>
      <w:hyperlink w:anchor="bg76101a_main_toc">
        <w:bookmarkStart w:id="70" w:name="page_dg76101_1_30"/>
        <w:bookmarkEnd w:id="70"/>
        <w:r>
          <w:rPr>
            <w:rStyle w:val="InternetLink"/>
            <w:rFonts w:ascii="times" w:hAnsi="times"/>
            <w:sz w:val="20"/>
          </w:rPr>
          <w:t>Table of Contents</w:t>
        </w:r>
      </w:hyperlink>
    </w:p>
    <w:p>
      <w:pPr>
        <w:pStyle w:val="TextBody"/>
        <w:rPr/>
      </w:pPr>
      <w:r>
        <w:rPr/>
        <w:t>        </w:t>
      </w:r>
      <w:r>
        <w:rPr>
          <w:rFonts w:ascii="times" w:hAnsi="times"/>
          <w:b/>
          <w:sz w:val="20"/>
        </w:rPr>
        <w:t>YOU ARE ENCOURAGED TO CONSULT YOUR TAX ADVISOR WITH RESPECT TO THE APPLICATION OF THE U.S. FEDERAL INCOME AND ESTATE TAX LAWS TO YOUR PARTICULAR SITUATION, AS WELL AS ANY TAX CONSEQUENCES OF THE PURCHASE, OWNERSHIP AND DISPOSITION OF OUR CLASS A SHARES ARISING UNDER THE U.S. FEDERAL GIFT TAX LAWS OR UNDER THE LAWS OF ANY STATE, LOCAL, NON-U.S. OR OTHER TAXING JURISDICTION OR UNDER ANY APPLICABLE TAX TREATY.</w:t>
      </w:r>
    </w:p>
    <w:p>
      <w:pPr>
        <w:pStyle w:val="TextBody"/>
        <w:rPr>
          <w:rFonts w:ascii="times" w:hAnsi="times"/>
          <w:b/>
          <w:sz w:val="20"/>
        </w:rPr>
      </w:pPr>
      <w:r>
        <w:rPr>
          <w:rFonts w:ascii="times" w:hAnsi="times"/>
          <w:b/>
          <w:sz w:val="20"/>
        </w:rPr>
        <w:t xml:space="preserve">Corporate Status </w:t>
      </w:r>
    </w:p>
    <w:p>
      <w:pPr>
        <w:pStyle w:val="TextBody"/>
        <w:rPr/>
      </w:pPr>
      <w:r>
        <w:rPr/>
        <w:t>        </w:t>
      </w:r>
      <w:r>
        <w:rPr>
          <w:rFonts w:ascii="times" w:hAnsi="times"/>
          <w:sz w:val="20"/>
        </w:rPr>
        <w:t xml:space="preserve">Although we are a Delaware limited partnership, we have elected to be treated as a corporation for U.S. federal income tax purposes. As a result, we are subject to tax as a corporation and distributions on the Class A shares will be treated as distributions on corporate stock for federal income tax purposes. No Schedule K-1 will be issued with respect to the Class A shares, but instead holders of Class A shares will receive a Form 1099 from us with respect to distributions received on the Class A shares. </w:t>
      </w:r>
    </w:p>
    <w:p>
      <w:pPr>
        <w:pStyle w:val="TextBody"/>
        <w:rPr>
          <w:rFonts w:ascii="times" w:hAnsi="times"/>
          <w:b/>
          <w:sz w:val="20"/>
        </w:rPr>
      </w:pPr>
      <w:r>
        <w:rPr>
          <w:rFonts w:ascii="times" w:hAnsi="times"/>
          <w:b/>
          <w:sz w:val="20"/>
        </w:rPr>
        <w:t xml:space="preserve">Consequences to U.S. Holders </w:t>
      </w:r>
    </w:p>
    <w:p>
      <w:pPr>
        <w:pStyle w:val="TextBody"/>
        <w:rPr/>
      </w:pPr>
      <w:r>
        <w:rPr/>
        <w:t>        </w:t>
      </w:r>
      <w:r>
        <w:rPr>
          <w:rFonts w:ascii="times" w:hAnsi="times"/>
          <w:sz w:val="20"/>
        </w:rPr>
        <w:t>The discussion in this section is addressed to holders of our Class A shares who are U.S. holders for U.S. federal income tax purposes. A U.S. holder for purposes of this discussion is a beneficial owner of our Class A shares and who is, for U.S. federal income tax purposes: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individual citizen or resident of the United States;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corporation, or other entity taxable as a corporation for U.S. federal income tax purposes, that was created or organized in or under the laws of the United States, any state thereof or the District of Columbia;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 estate whose income is subject to U.S. federal income tax regardless of its source;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trust if (i) a U.S. court can exercise primary supervision over the trust's administration and one or more United States persons are authorized to control all substantial decisions of the trust or (ii) certain circumstances apply and the trust has validly elected to be treated as a United States person. </w:t>
      </w:r>
    </w:p>
    <w:p>
      <w:pPr>
        <w:pStyle w:val="TextBody"/>
        <w:rPr>
          <w:rFonts w:ascii="times" w:hAnsi="times"/>
          <w:b/>
          <w:i/>
          <w:sz w:val="20"/>
        </w:rPr>
      </w:pPr>
      <w:r>
        <w:rPr>
          <w:rFonts w:ascii="times" w:hAnsi="times"/>
          <w:b/>
          <w:i/>
          <w:sz w:val="20"/>
        </w:rPr>
        <w:t xml:space="preserve">Distributions </w:t>
      </w:r>
    </w:p>
    <w:p>
      <w:pPr>
        <w:pStyle w:val="TextBody"/>
        <w:rPr/>
      </w:pPr>
      <w:r>
        <w:rPr/>
        <w:t>        </w:t>
      </w:r>
      <w:r>
        <w:rPr>
          <w:rFonts w:ascii="times" w:hAnsi="times"/>
          <w:sz w:val="20"/>
        </w:rPr>
        <w:t xml:space="preserve">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Such gain will be long-term capital gain provided that the U.S. holder has held such Class A shares for more than one year as of the time of the distribution. Non-corporate holders that receive distributions on our Class A shares that are treated as dividends for U.S. federal income tax purposes generally will be subject to U.S. federal income tax at a maximum tax rate of 20% on such dividends provided certain holding period requirements are met. </w:t>
      </w:r>
    </w:p>
    <w:p>
      <w:pPr>
        <w:pStyle w:val="TextBody"/>
        <w:rPr/>
      </w:pPr>
      <w:r>
        <w:rPr/>
        <w:t>        </w:t>
      </w:r>
      <w:r>
        <w:rPr>
          <w:rFonts w:ascii="times" w:hAnsi="times"/>
          <w:sz w:val="20"/>
        </w:rPr>
        <w:t xml:space="preserve">Both AAP and PAA have made elections permitted by Section 754 of the Code. As a result, our acquisition of AAP units in connection with our IPO and in connection with exchanges by the Legacy Owners and their permitted transferees of their AAP units and Class B shares for Class A shares since the IPO, including exchanges in connection with this offering, have resulted and will result in basis adjustments with respect to our interest in the assets of AAP (and indirectly in PAA). Such adjustments have resulted and will result in depreciation and amortization deductions that we anticipate will offset a </w:t>
      </w:r>
    </w:p>
    <w:p>
      <w:pPr>
        <w:pStyle w:val="TextBody"/>
        <w:jc w:val="center"/>
        <w:rPr>
          <w:rFonts w:ascii="times" w:hAnsi="times"/>
          <w:sz w:val="20"/>
        </w:rPr>
      </w:pPr>
      <w:r>
        <w:rPr>
          <w:rFonts w:ascii="times" w:hAnsi="times"/>
          <w:sz w:val="20"/>
        </w:rPr>
        <w:t>30</w:t>
      </w:r>
    </w:p>
    <w:p>
      <w:pPr>
        <w:pStyle w:val="HorizontalLine"/>
        <w:pBdr>
          <w:bottom w:val="single" w:sz="20" w:space="0" w:color="808080"/>
        </w:pBdr>
        <w:rPr/>
      </w:pPr>
      <w:r>
        <w:rPr/>
      </w:r>
      <w:r>
        <w:br w:type="page"/>
      </w:r>
    </w:p>
    <w:p>
      <w:pPr>
        <w:pStyle w:val="TextBody"/>
        <w:rPr/>
      </w:pPr>
      <w:hyperlink w:anchor="bg76101a_main_toc">
        <w:bookmarkStart w:id="71" w:name="page_dg76101_1_31"/>
        <w:bookmarkEnd w:id="71"/>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substantial portion of our taxable income for an extended period of time. In addition, future exchanges of AAP units and Class B shares in us for our Class A shares will result in additional basis adjustments with respect to our interest in the assets of AAP (and indirectly in PAA). We expect to benefit from additional tax deductions resulting from those adjustments, the amount of which will vary depending on the value of the Class A shares at the time of the exchange. </w:t>
      </w:r>
    </w:p>
    <w:p>
      <w:pPr>
        <w:pStyle w:val="TextBody"/>
        <w:rPr/>
      </w:pPr>
      <w:r>
        <w:rPr/>
        <w:t>        </w:t>
      </w:r>
      <w:r>
        <w:rPr>
          <w:rFonts w:ascii="times" w:hAnsi="times"/>
          <w:sz w:val="20"/>
        </w:rPr>
        <w:t xml:space="preserve">We do not expect to have any earnings and profits for an extended period of time, which we estimate will include, at a minimum, each of the periods ending December 31, 2014, 2015, 2016 and 2017,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 </w:t>
      </w:r>
    </w:p>
    <w:p>
      <w:pPr>
        <w:pStyle w:val="TextBody"/>
        <w:rPr/>
      </w:pPr>
      <w:r>
        <w:rPr/>
        <w:t>        </w:t>
      </w:r>
      <w:r>
        <w:rPr>
          <w:rFonts w:ascii="times" w:hAnsi="times"/>
          <w:b/>
          <w:sz w:val="20"/>
        </w:rPr>
        <w:t>Prospective investors in our Class A shares are encouraged to consult their tax advisors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pStyle w:val="TextBody"/>
        <w:rPr>
          <w:rFonts w:ascii="times" w:hAnsi="times"/>
          <w:b/>
          <w:i/>
          <w:sz w:val="20"/>
        </w:rPr>
      </w:pPr>
      <w:r>
        <w:rPr>
          <w:rFonts w:ascii="times" w:hAnsi="times"/>
          <w:b/>
          <w:i/>
          <w:sz w:val="20"/>
        </w:rPr>
        <w:t xml:space="preserve">Gain on Disposition of Class A Shares </w:t>
      </w:r>
    </w:p>
    <w:p>
      <w:pPr>
        <w:pStyle w:val="TextBody"/>
        <w:rPr/>
      </w:pPr>
      <w:r>
        <w:rPr/>
        <w:t>        </w:t>
      </w:r>
      <w:r>
        <w:rPr>
          <w:rFonts w:ascii="times" w:hAnsi="times"/>
          <w:sz w:val="20"/>
        </w:rPr>
        <w:t xml:space="preserve">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a reduced maximum U.S. federal income tax rate of 20%. The deductibility of net capital losses is subject to limitations. </w:t>
      </w:r>
    </w:p>
    <w:p>
      <w:pPr>
        <w:pStyle w:val="TextBody"/>
        <w:rPr>
          <w:rFonts w:ascii="times" w:hAnsi="times"/>
          <w:b/>
          <w:i/>
          <w:sz w:val="20"/>
        </w:rPr>
      </w:pPr>
      <w:r>
        <w:rPr>
          <w:rFonts w:ascii="times" w:hAnsi="times"/>
          <w:b/>
          <w:i/>
          <w:sz w:val="20"/>
        </w:rPr>
        <w:t xml:space="preserve">Backup Withholding and Information Reporting </w:t>
      </w:r>
    </w:p>
    <w:p>
      <w:pPr>
        <w:pStyle w:val="TextBody"/>
        <w:rPr/>
      </w:pPr>
      <w:r>
        <w:rPr/>
        <w:t>        </w:t>
      </w:r>
      <w:r>
        <w:rPr>
          <w:rFonts w:ascii="times" w:hAnsi="times"/>
          <w:sz w:val="20"/>
        </w:rPr>
        <w:t xml:space="preserve">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 </w:t>
      </w:r>
    </w:p>
    <w:p>
      <w:pPr>
        <w:pStyle w:val="TextBody"/>
        <w:rPr/>
      </w:pPr>
      <w:r>
        <w:rPr/>
        <w:t>        </w:t>
      </w:r>
      <w:r>
        <w:rPr>
          <w:rFonts w:ascii="times" w:hAnsi="times"/>
          <w:sz w:val="20"/>
        </w:rPr>
        <w:t xml:space="preserve">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 </w:t>
      </w:r>
    </w:p>
    <w:p>
      <w:pPr>
        <w:pStyle w:val="TextBody"/>
        <w:rPr>
          <w:rFonts w:ascii="times" w:hAnsi="times"/>
          <w:b/>
          <w:i/>
          <w:sz w:val="20"/>
        </w:rPr>
      </w:pPr>
      <w:r>
        <w:rPr>
          <w:rFonts w:ascii="times" w:hAnsi="times"/>
          <w:b/>
          <w:i/>
          <w:sz w:val="20"/>
        </w:rPr>
        <w:t xml:space="preserve">3.8% Tax On Unearned Income </w:t>
      </w:r>
    </w:p>
    <w:p>
      <w:pPr>
        <w:pStyle w:val="TextBody"/>
        <w:rPr/>
      </w:pPr>
      <w:r>
        <w:rPr/>
        <w:t>        </w:t>
      </w:r>
      <w:r>
        <w:rPr>
          <w:rFonts w:ascii="times" w:hAnsi="times"/>
          <w:sz w:val="20"/>
        </w:rPr>
        <w:t xml:space="preserve">Certain U.S. holders that are individuals, trusts or estates will be subject to an additional 3.8% Medicare tax on unearned income, which generally will include dividends received and gain recognized with respect to our Class A shares. For individual U.S. holders, the additional Medicare tax applies to </w:t>
      </w:r>
    </w:p>
    <w:p>
      <w:pPr>
        <w:pStyle w:val="TextBody"/>
        <w:jc w:val="center"/>
        <w:rPr>
          <w:rFonts w:ascii="times" w:hAnsi="times"/>
          <w:sz w:val="20"/>
        </w:rPr>
      </w:pPr>
      <w:r>
        <w:rPr>
          <w:rFonts w:ascii="times" w:hAnsi="times"/>
          <w:sz w:val="20"/>
        </w:rPr>
        <w:t>31</w:t>
      </w:r>
    </w:p>
    <w:p>
      <w:pPr>
        <w:pStyle w:val="HorizontalLine"/>
        <w:pBdr>
          <w:bottom w:val="single" w:sz="20" w:space="0" w:color="808080"/>
        </w:pBdr>
        <w:rPr/>
      </w:pPr>
      <w:r>
        <w:rPr/>
      </w:r>
      <w:r>
        <w:br w:type="page"/>
      </w:r>
    </w:p>
    <w:p>
      <w:pPr>
        <w:pStyle w:val="TextBody"/>
        <w:rPr/>
      </w:pPr>
      <w:hyperlink w:anchor="bg76101a_main_toc">
        <w:bookmarkStart w:id="72" w:name="page_dg76101_1_32"/>
        <w:bookmarkEnd w:id="72"/>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the lesser of (i) "net investment income," or (ii) the excess of "modified adjusted gross income" over $200,000 ($250,000 if married and filing jointly or $125,000 if married and filing separately). "Net investment income" generally equals a U.S. holder's gross investment income reduced by the deductions that are allocable to such income. Investment income generally includes passive income such as interest, dividends, annuities, royalties, rents and capital gains. U.S. holders are urged to consult their own tax advisors regarding the application of this additional Medicare tax to their particular circumstances. </w:t>
      </w:r>
    </w:p>
    <w:p>
      <w:pPr>
        <w:pStyle w:val="TextBody"/>
        <w:rPr>
          <w:rFonts w:ascii="times" w:hAnsi="times"/>
          <w:b/>
          <w:sz w:val="20"/>
        </w:rPr>
      </w:pPr>
      <w:r>
        <w:rPr>
          <w:rFonts w:ascii="times" w:hAnsi="times"/>
          <w:b/>
          <w:sz w:val="20"/>
        </w:rPr>
        <w:t xml:space="preserve">Consequences to Non-U.S. Holders </w:t>
      </w:r>
    </w:p>
    <w:p>
      <w:pPr>
        <w:pStyle w:val="TextBody"/>
        <w:rPr/>
      </w:pPr>
      <w:r>
        <w:rPr/>
        <w:t>        </w:t>
      </w:r>
      <w:r>
        <w:rPr>
          <w:rFonts w:ascii="times" w:hAnsi="times"/>
          <w:sz w:val="20"/>
        </w:rPr>
        <w:t xml:space="preserve">The discussion in this section is addressed to holders of our Class A shares who are non-U.S. holders for U.S. federal income tax purposes. For purposes of this discussion, a non-U.S. holder is a beneficial owner of our Class A shares that is an individual, corporation, estate or trust that is not a U.S. holder as defined above. </w:t>
      </w:r>
    </w:p>
    <w:p>
      <w:pPr>
        <w:pStyle w:val="TextBody"/>
        <w:rPr>
          <w:rFonts w:ascii="times" w:hAnsi="times"/>
          <w:b/>
          <w:i/>
          <w:sz w:val="20"/>
        </w:rPr>
      </w:pPr>
      <w:r>
        <w:rPr>
          <w:rFonts w:ascii="times" w:hAnsi="times"/>
          <w:b/>
          <w:i/>
          <w:sz w:val="20"/>
        </w:rPr>
        <w:t xml:space="preserve">Distributions </w:t>
      </w:r>
    </w:p>
    <w:p>
      <w:pPr>
        <w:pStyle w:val="TextBody"/>
        <w:rPr/>
      </w:pPr>
      <w:r>
        <w:rPr/>
        <w:t>        </w:t>
      </w:r>
      <w:r>
        <w:rPr>
          <w:rFonts w:ascii="times" w:hAnsi="times"/>
          <w:sz w:val="20"/>
        </w:rPr>
        <w:t xml:space="preserve">Generally, a distribution treated as a dividend paid to a non-U.S. holder on our Class A shares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10%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withholding agent with an IRS Form W-8BEN or an IRS Form W-8BEN-E, as applicable, (or other appropriate form) certifying qualification for the reduced rate. </w:t>
      </w:r>
    </w:p>
    <w:p>
      <w:pPr>
        <w:pStyle w:val="TextBody"/>
        <w:rPr/>
      </w:pPr>
      <w:r>
        <w:rPr/>
        <w:t>        </w:t>
      </w:r>
      <w:r>
        <w:rPr>
          <w:rFonts w:ascii="times" w:hAnsi="times"/>
          <w:b/>
          <w:sz w:val="20"/>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pStyle w:val="TextBody"/>
        <w:rPr/>
      </w:pPr>
      <w:r>
        <w:rPr/>
        <w:t>        </w:t>
      </w:r>
      <w:r>
        <w:rPr>
          <w:rFonts w:ascii="times" w:hAnsi="times"/>
          <w:sz w:val="20"/>
        </w:rPr>
        <w:t xml:space="preserve">Distributions treated as dividends that are paid to a non-U.S. holder and are effectively connected with a trade or business conducted by the non-U.S. holder in the United States (and, if required by an applicable tax treaty, are attributable to a permanent establishment maintained by the non-U.S. holder in the United States) generally will be taxed on a net income basis at the rates and in the manner generally applicable to U.S. persons (as defined under the Code). Effectively connected dividend income will not be subject to U.S. withholding tax if the non-U.S. holder satisfies certain certification requirements by providing to the withholding agent a properly executed IRS Form W-8ECI (or successor form) certifying eligibility for the exemption. If the non-U.S. holder is a corporation, that portion of the corporation's earnings and profits for the taxable year, as adjusted for certain items, that is effectively connected with its U.S. trade or business (and, if required by applicable income tax treaty, is attributable to a permanent establishment maintained by the corporate non-U.S. holder in the United States) may also be subject to a "branch profits tax" at a 30% rate or such lower rate as may be specified by an applicable tax treaty. </w:t>
      </w:r>
    </w:p>
    <w:p>
      <w:pPr>
        <w:pStyle w:val="TextBody"/>
        <w:jc w:val="center"/>
        <w:rPr>
          <w:rFonts w:ascii="times" w:hAnsi="times"/>
          <w:sz w:val="20"/>
        </w:rPr>
      </w:pPr>
      <w:r>
        <w:rPr>
          <w:rFonts w:ascii="times" w:hAnsi="times"/>
          <w:sz w:val="20"/>
        </w:rPr>
        <w:t>32</w:t>
      </w:r>
    </w:p>
    <w:p>
      <w:pPr>
        <w:pStyle w:val="HorizontalLine"/>
        <w:pBdr>
          <w:bottom w:val="single" w:sz="20" w:space="0" w:color="808080"/>
        </w:pBdr>
        <w:rPr/>
      </w:pPr>
      <w:r>
        <w:rPr/>
      </w:r>
      <w:r>
        <w:br w:type="page"/>
      </w:r>
    </w:p>
    <w:p>
      <w:pPr>
        <w:pStyle w:val="TextBody"/>
        <w:rPr/>
      </w:pPr>
      <w:hyperlink w:anchor="bg76101a_main_toc">
        <w:bookmarkStart w:id="73" w:name="page_dg76101_1_33"/>
        <w:bookmarkEnd w:id="73"/>
        <w:r>
          <w:rPr>
            <w:rStyle w:val="InternetLink"/>
            <w:rFonts w:ascii="times" w:hAnsi="times"/>
            <w:sz w:val="20"/>
          </w:rPr>
          <w:t>Table of Contents</w:t>
        </w:r>
      </w:hyperlink>
    </w:p>
    <w:p>
      <w:pPr>
        <w:pStyle w:val="TextBody"/>
        <w:rPr>
          <w:rFonts w:ascii="times" w:hAnsi="times"/>
          <w:b/>
          <w:i/>
          <w:sz w:val="20"/>
        </w:rPr>
      </w:pPr>
      <w:r>
        <w:rPr>
          <w:rFonts w:ascii="times" w:hAnsi="times"/>
          <w:b/>
          <w:i/>
          <w:sz w:val="20"/>
        </w:rPr>
        <w:t xml:space="preserve">Gain on Disposition of Class A Shares </w:t>
      </w:r>
    </w:p>
    <w:p>
      <w:pPr>
        <w:pStyle w:val="TextBody"/>
        <w:rPr/>
      </w:pPr>
      <w:r>
        <w:rPr/>
        <w:t>        </w:t>
      </w:r>
      <w:r>
        <w:rPr>
          <w:rFonts w:ascii="times" w:hAnsi="times"/>
          <w:sz w:val="20"/>
        </w:rPr>
        <w:t>A non-U.S. holder generally will not be subject to U.S. federal income tax on any gain realized upon the sale or other disposition of our Class A shares unless: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non-U.S. holder is an individual who is present in the United States for a period or periods aggregating 183 days or more during the calendar year in which the sale or disposition occurs and certain other conditions are met;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gain is effectively connected with a trade or business conducted by the non-U.S. holder in the United States (and, if required by an applicable tax treaty, is attributable to a permanent establishment maintained by the non-U.S. holder in the United States);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our Class A shares constitute a U.S. real property interest by reason of our status as a USRPHC for U.S. federal income tax purposes. </w:t>
      </w:r>
    </w:p>
    <w:p>
      <w:pPr>
        <w:pStyle w:val="TextBody"/>
        <w:rPr/>
      </w:pPr>
      <w:r>
        <w:rPr/>
        <w:t>        </w:t>
      </w:r>
      <w:r>
        <w:rPr>
          <w:rFonts w:ascii="times" w:hAnsi="times"/>
          <w:sz w:val="20"/>
        </w:rPr>
        <w:t xml:space="preserve">A non-U.S. holder described in the first bullet point above will be subject to tax at a rate of 30% (or such lower rate as may be specified by an applicable tax treaty) on the amount of such gain (which may be offset by U.S. source capital losses). </w:t>
      </w:r>
    </w:p>
    <w:p>
      <w:pPr>
        <w:pStyle w:val="TextBody"/>
        <w:rPr/>
      </w:pPr>
      <w:r>
        <w:rPr/>
        <w:t>        </w:t>
      </w:r>
      <w:r>
        <w:rPr>
          <w:rFonts w:ascii="times" w:hAnsi="times"/>
          <w:sz w:val="20"/>
        </w:rPr>
        <w:t xml:space="preserve">A non-U.S. holder whose gain is described in the second bullet point above will be subject to U.S. federal income tax on any gain recognized on a net income basis at the same graduated rates generally applicable to U.S. persons unless an applicable tax treaty provides otherwise. Corporate non-U.S. holders may also be subject to a branch profits tax equal to 30% (or such lower rate as may be specified by an applicable tax treaty) of their effectively connected earnings and profits attributable to such gain, as adjusted for certain items. </w:t>
      </w:r>
    </w:p>
    <w:p>
      <w:pPr>
        <w:pStyle w:val="TextBody"/>
        <w:rPr/>
      </w:pPr>
      <w:r>
        <w:rPr/>
        <w:t>        </w:t>
      </w:r>
      <w:r>
        <w:rPr>
          <w:rFonts w:ascii="times" w:hAnsi="times"/>
          <w:sz w:val="20"/>
        </w:rPr>
        <w:t xml:space="preserve">Generally, a corporation is a USRPHC if the fair market value of its U.S.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are "regularly traded on an established securities market," a non-U.S. holder will be taxable on gain recognized on the disposition of our Class A shares as a result of our status as a USRPHC only if the non-U.S. holder actually or constructively owns, or owned at any time during the five-year period ending on the date of the disposition or, if shorter, the non-U.S. holder's holding period for the Class A shares, more than 5% of our Class A shares. If our Class A shares were not considered to be regularly traded on an established securities market, all non-U.S. holders would be subject to U.S. federal income tax on a disposition of our Class A shares, and a 10% withholding tax would apply to the gross proceeds from the sale of our Class A shares by such non-U.S. holder. Non-U.S. holders should consult their tax advisors with respect to the application of the foregoing rules to their ownership and disposition of our Class A shares. </w:t>
      </w:r>
    </w:p>
    <w:p>
      <w:pPr>
        <w:pStyle w:val="TextBody"/>
        <w:rPr>
          <w:rFonts w:ascii="times" w:hAnsi="times"/>
          <w:b/>
          <w:i/>
          <w:sz w:val="20"/>
        </w:rPr>
      </w:pPr>
      <w:r>
        <w:rPr>
          <w:rFonts w:ascii="times" w:hAnsi="times"/>
          <w:b/>
          <w:i/>
          <w:sz w:val="20"/>
        </w:rPr>
        <w:t xml:space="preserve">U.S. Federal Estate Tax </w:t>
      </w:r>
    </w:p>
    <w:p>
      <w:pPr>
        <w:pStyle w:val="TextBody"/>
        <w:rPr/>
      </w:pPr>
      <w:r>
        <w:rPr/>
        <w:t>        </w:t>
      </w:r>
      <w:r>
        <w:rPr>
          <w:rFonts w:ascii="times" w:hAnsi="times"/>
          <w:sz w:val="20"/>
        </w:rPr>
        <w:t xml:space="preserve">Our Class A shares beneficially owned or treated as owned by an individual who is not a citizen or resident of the United States (as defined for U.S. federal estate tax purposes) at the time of death generally will be includable in the decedent's gross estate for U.S. federal estate tax purposes, unless an applicable estate tax treaty provides otherwise, and therefore may be subject to U.S. federal estate tax. </w:t>
      </w:r>
    </w:p>
    <w:p>
      <w:pPr>
        <w:pStyle w:val="TextBody"/>
        <w:rPr>
          <w:rFonts w:ascii="times" w:hAnsi="times"/>
          <w:b/>
          <w:i/>
          <w:sz w:val="20"/>
        </w:rPr>
      </w:pPr>
      <w:r>
        <w:rPr>
          <w:rFonts w:ascii="times" w:hAnsi="times"/>
          <w:b/>
          <w:i/>
          <w:sz w:val="20"/>
        </w:rPr>
        <w:t xml:space="preserve">Backup Withholding and Information Reporting </w:t>
      </w:r>
    </w:p>
    <w:p>
      <w:pPr>
        <w:pStyle w:val="TextBody"/>
        <w:rPr/>
      </w:pPr>
      <w:r>
        <w:rPr/>
        <w:t>        </w:t>
      </w:r>
      <w:r>
        <w:rPr>
          <w:rFonts w:ascii="times" w:hAnsi="times"/>
          <w:sz w:val="20"/>
        </w:rPr>
        <w:t xml:space="preserve">Generally, we must report annually to the IRS and to each non-U.S. holder the amount of dividends paid to such holder, the name and address of the recipient, and the amount, if any, of tax withheld with respect to those dividends. These information reporting requirements apply even if </w:t>
      </w:r>
    </w:p>
    <w:p>
      <w:pPr>
        <w:pStyle w:val="TextBody"/>
        <w:jc w:val="center"/>
        <w:rPr>
          <w:rFonts w:ascii="times" w:hAnsi="times"/>
          <w:sz w:val="20"/>
        </w:rPr>
      </w:pPr>
      <w:r>
        <w:rPr>
          <w:rFonts w:ascii="times" w:hAnsi="times"/>
          <w:sz w:val="20"/>
        </w:rPr>
        <w:t>33</w:t>
      </w:r>
    </w:p>
    <w:p>
      <w:pPr>
        <w:pStyle w:val="HorizontalLine"/>
        <w:pBdr>
          <w:bottom w:val="single" w:sz="20" w:space="0" w:color="808080"/>
        </w:pBdr>
        <w:rPr/>
      </w:pPr>
      <w:r>
        <w:rPr/>
      </w:r>
      <w:r>
        <w:br w:type="page"/>
      </w:r>
    </w:p>
    <w:p>
      <w:pPr>
        <w:pStyle w:val="TextBody"/>
        <w:rPr/>
      </w:pPr>
      <w:hyperlink w:anchor="bg76101a_main_toc">
        <w:bookmarkStart w:id="74" w:name="page_dg76101_1_34"/>
        <w:bookmarkEnd w:id="74"/>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withholding was not required. Pursuant to tax treaties or other agreements, the IRS may make such reports available to tax authorities in the recipient's country of residence. </w:t>
      </w:r>
    </w:p>
    <w:p>
      <w:pPr>
        <w:pStyle w:val="TextBody"/>
        <w:rPr/>
      </w:pPr>
      <w:r>
        <w:rPr/>
        <w:t>        </w:t>
      </w:r>
      <w:r>
        <w:rPr>
          <w:rFonts w:ascii="times" w:hAnsi="times"/>
          <w:sz w:val="20"/>
        </w:rPr>
        <w:t xml:space="preserve">Payments of dividends to a non-U.S. holder generally will not be subject to backup withholding if the non-U.S. holder establishes an exemption by properly certifying its non-U.S. status on an IRS Form W-8BEN, IRS Form W-8BEN-E or another appropriate version of IRS Form W-8, provided that the withholding agent does not have actual knowledge, or reason to know, that the beneficial owner is a U.S. person that is not an exempt recipient. </w:t>
      </w:r>
    </w:p>
    <w:p>
      <w:pPr>
        <w:pStyle w:val="TextBody"/>
        <w:rPr/>
      </w:pPr>
      <w:r>
        <w:rPr/>
        <w:t>        </w:t>
      </w:r>
      <w:r>
        <w:rPr>
          <w:rFonts w:ascii="times" w:hAnsi="times"/>
          <w:sz w:val="20"/>
        </w:rPr>
        <w:t xml:space="preserve">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another appropriate version of IRS Form W-8 and certain other conditions are met or the non-U.S. holder otherwise establishes an exemption. Information reporting and backup withholding generally will not apply to any payment of the proceeds from a sale or other disposition of our Class A shares effected outside the United States by a foreign office of a broker. However, unless such broker has documentary evidence in its records that the holder is a non-U.S. holder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 </w:t>
      </w:r>
    </w:p>
    <w:p>
      <w:pPr>
        <w:pStyle w:val="TextBody"/>
        <w:rPr/>
      </w:pPr>
      <w:r>
        <w:rPr/>
        <w:t>        </w:t>
      </w:r>
      <w:r>
        <w:rPr>
          <w:rFonts w:ascii="times" w:hAnsi="times"/>
          <w:sz w:val="20"/>
        </w:rPr>
        <w:t xml:space="preserve">Backup withholding is not an additional tax. Rather, the U.S. income tax liability (if any) of persons subject to backup withholding will be reduced by the amount of tax withheld. If withholding results in an overpayment of taxes, a refund may be obtained, provided that certain required information is timely furnished to the IRS. </w:t>
      </w:r>
    </w:p>
    <w:p>
      <w:pPr>
        <w:pStyle w:val="TextBody"/>
        <w:rPr>
          <w:rFonts w:ascii="times" w:hAnsi="times"/>
          <w:b/>
          <w:sz w:val="20"/>
        </w:rPr>
      </w:pPr>
      <w:r>
        <w:rPr>
          <w:rFonts w:ascii="times" w:hAnsi="times"/>
          <w:b/>
          <w:sz w:val="20"/>
        </w:rPr>
        <w:t xml:space="preserve">Additional Withholding Requirements </w:t>
      </w:r>
    </w:p>
    <w:p>
      <w:pPr>
        <w:pStyle w:val="TextBody"/>
        <w:rPr/>
      </w:pPr>
      <w:r>
        <w:rPr/>
        <w:t>        </w:t>
      </w:r>
      <w:r>
        <w:rPr>
          <w:rFonts w:ascii="times" w:hAnsi="times"/>
          <w:sz w:val="20"/>
        </w:rPr>
        <w:t xml:space="preserve">Sections 1471 through 1474 of the Code and the Treasury regulations and administrative guidance issued thereunder impose a 30% withholding tax on any dividends paid on our Class A shares on or after July 1, 2014, and on the gross proceeds from a disposition of our Class A shares paid after December 31, 2016,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United States owners" (as defined in the Code) or furnishes the applicable withholding agent with a certification identifying each direct and indirect substantial United States owner of the entity; or (iii) the foreign financial institution or non-financial foreign entity otherwise qualifies for an exemption from these rules. Foreign financial institutions located in jurisdictions that have an intergovernmental agreement with the United States governing these rules may be subject to different rules. Under certain circumstances, a holder might be eligible for refunds or credits of such taxes. </w:t>
      </w:r>
    </w:p>
    <w:p>
      <w:pPr>
        <w:pStyle w:val="TextBody"/>
        <w:rPr/>
      </w:pPr>
      <w:r>
        <w:rPr/>
        <w:t>        </w:t>
      </w:r>
      <w:r>
        <w:rPr>
          <w:rFonts w:ascii="times" w:hAnsi="times"/>
          <w:b/>
          <w:sz w:val="20"/>
        </w:rPr>
        <w:t xml:space="preserve">Prospective purchasers of our Class A shares are urged to consult their own tax advisors with respect to the tax consequences of these withholding provisions. </w:t>
      </w:r>
    </w:p>
    <w:p>
      <w:pPr>
        <w:pStyle w:val="TextBody"/>
        <w:rPr/>
      </w:pPr>
      <w:r>
        <w:rPr/>
        <w:t>        </w:t>
      </w:r>
      <w:r>
        <w:rPr>
          <w:rFonts w:ascii="times" w:hAnsi="times"/>
          <w:b/>
          <w:sz w:val="20"/>
        </w:rPr>
        <w:t xml:space="preserve">INVESTORS CONSIDERING THE PURCHASE OF OUR CLASS A SHARES ARE URGED TO CONSULT THEIR OWN TAX ADVISORS REGARDING THE APPLICATION OF THE U.S. FEDERAL INCOME AND ESTATE TAX LAWS TO THEIR PARTICULAR SITUATIONS AND THE APPLICABILITY AND EFFECT OF STATE, LOCAL OR FOREIGN TAX LAWS AND TREATIES. </w:t>
      </w:r>
    </w:p>
    <w:p>
      <w:pPr>
        <w:pStyle w:val="TextBody"/>
        <w:jc w:val="center"/>
        <w:rPr>
          <w:rFonts w:ascii="times" w:hAnsi="times"/>
          <w:sz w:val="20"/>
        </w:rPr>
      </w:pPr>
      <w:r>
        <w:rPr>
          <w:rFonts w:ascii="times" w:hAnsi="times"/>
          <w:sz w:val="20"/>
        </w:rPr>
        <w:t>34</w:t>
      </w:r>
    </w:p>
    <w:p>
      <w:pPr>
        <w:pStyle w:val="HorizontalLine"/>
        <w:pBdr>
          <w:bottom w:val="single" w:sz="20" w:space="0" w:color="808080"/>
        </w:pBdr>
        <w:rPr/>
      </w:pPr>
      <w:r>
        <w:rPr/>
      </w:r>
      <w:r>
        <w:br w:type="page"/>
      </w:r>
    </w:p>
    <w:p>
      <w:pPr>
        <w:pStyle w:val="TextBody"/>
        <w:rPr/>
      </w:pPr>
      <w:hyperlink w:anchor="bg76101a_main_toc">
        <w:bookmarkStart w:id="75" w:name="page_di76101_1_35"/>
        <w:bookmarkEnd w:id="75"/>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76" w:name="toc_di76101_1"/>
      <w:bookmarkStart w:id="77" w:name="di76101_investment_in_plains_gp_holdin__"/>
      <w:bookmarkEnd w:id="76"/>
      <w:bookmarkEnd w:id="77"/>
      <w:r>
        <w:rPr>
          <w:rFonts w:ascii="times" w:hAnsi="times"/>
          <w:sz w:val="20"/>
        </w:rPr>
        <w:br/>
      </w:r>
      <w:r>
        <w:rPr>
          <w:rFonts w:ascii="times" w:hAnsi="times"/>
          <w:b/>
          <w:sz w:val="20"/>
        </w:rPr>
        <w:t xml:space="preserve">INVESTMENT IN PLAINS GP HOLDINGS, L.P. BY EMPLOYEE BENEFIT PLANS </w:t>
      </w:r>
    </w:p>
    <w:p>
      <w:pPr>
        <w:pStyle w:val="TextBody"/>
        <w:rPr/>
      </w:pPr>
      <w:r>
        <w:rPr/>
        <w:t>        </w:t>
      </w:r>
      <w:r>
        <w:rPr>
          <w:rFonts w:ascii="times" w:hAnsi="times"/>
          <w:sz w:val="20"/>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Internal Revenue Code and provisions under any federal, state, local, non-U.S. or other laws or regulations that are similar to such provisions of ERISA or the Internal Revenue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 Among other things, consideration should be given to:</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 investment is prudent under Section 404(a)(1)(B) of ERISA and any applicable Similar Law;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in making the investment, the plan will satisfy the diversification requirements of Section 404(a)(1)(C) of ERISA and any applicable Similar Law; and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whether the investment will result in recognition of unrelated business taxable income by the plan and, if so, the potential after-tax investment return. </w:t>
      </w:r>
    </w:p>
    <w:p>
      <w:pPr>
        <w:pStyle w:val="TextBody"/>
        <w:rPr/>
      </w:pPr>
      <w:r>
        <w:rPr/>
        <w:t>        </w:t>
      </w:r>
      <w:r>
        <w:rPr>
          <w:rFonts w:ascii="times" w:hAnsi="times"/>
          <w:sz w:val="20"/>
        </w:rPr>
        <w:t xml:space="preserve">In addition, the person with investment discretion with respect to the assets of an employee benefit plan, often called a fiduciary, should determine whether an investment in our Class A shares is authorized by the appropriate governing instrument and is a proper investment for the plan. </w:t>
      </w:r>
    </w:p>
    <w:p>
      <w:pPr>
        <w:pStyle w:val="TextBody"/>
        <w:rPr/>
      </w:pPr>
      <w:r>
        <w:rPr/>
        <w:t>        </w:t>
      </w:r>
      <w:r>
        <w:rPr>
          <w:rFonts w:ascii="times" w:hAnsi="times"/>
          <w:sz w:val="20"/>
        </w:rPr>
        <w:t xml:space="preserve">Section 406 of ERISA and Section 4975 of the Internal Revenue Code prohibit employee benefit plans, and IRAs that are not considered part of an employee benefit plan, from engaging in specified transactions involving "plan assets" with parties that are "parties in interest" under ERISA or "disqualified persons" under the Internal Revenue Code with respect to the plan. Therefore, a fiduciary of an employee benefit plan or an IRA accountholder that is considering an investment in our Class A shares should consider whether the entity's purchase or ownership of such Class A shares would or could result in the occurrence of such a prohibited transaction. </w:t>
      </w:r>
    </w:p>
    <w:p>
      <w:pPr>
        <w:pStyle w:val="TextBody"/>
        <w:rPr/>
      </w:pPr>
      <w:r>
        <w:rPr/>
        <w:t>        </w:t>
      </w:r>
      <w:r>
        <w:rPr>
          <w:rFonts w:ascii="times" w:hAnsi="times"/>
          <w:sz w:val="20"/>
        </w:rPr>
        <w:t xml:space="preserve">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 general partner also would be a fiduciary of the plan and our operations would be subject to the regulatory restrictions of ERISA, including fiduciary standards and its prohibited transaction rules, as well as the prohibited transaction rules of the Internal Revenue Code. </w:t>
      </w:r>
    </w:p>
    <w:p>
      <w:pPr>
        <w:pStyle w:val="TextBody"/>
        <w:rPr/>
      </w:pPr>
      <w:r>
        <w:rPr/>
        <w:t>        </w:t>
      </w:r>
      <w:r>
        <w:rPr>
          <w:rFonts w:ascii="times" w:hAnsi="times"/>
          <w:sz w:val="20"/>
        </w:rPr>
        <w:t>ERISA and the Department of Labor regulations provide guidance with respect to whether the assets of an entity in which employee benefit plans acquire equity interests would be deemed "plan assets" under some circumstances. Under these rules, an entity's assets would not be considered to be "plan assets" if, among other things:</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equity interests acquired by employee benefit plans are publicly offered securities; i.e., the equity interests are widely held by 100 or more investors independent of the issuer and each other, freely transferable and registered under some provisions of the federal securities laws;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entity is an "operating company"; i.e., it is primarily engaged in the production or sale of a product or service other than the investment of capital either directly or through a majority owned subsidiary or subsidiaries;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there is no significant investment by benefit plan investors, which is defined to mean that less than 25% of the value of each class of equity interest, disregarding some interests held by our </w:t>
      </w:r>
    </w:p>
    <w:p>
      <w:pPr>
        <w:pStyle w:val="TextBody"/>
        <w:jc w:val="center"/>
        <w:rPr>
          <w:rFonts w:ascii="times" w:hAnsi="times"/>
          <w:sz w:val="20"/>
        </w:rPr>
      </w:pPr>
      <w:r>
        <w:rPr>
          <w:rFonts w:ascii="times" w:hAnsi="times"/>
          <w:sz w:val="20"/>
        </w:rPr>
        <w:t>35</w:t>
      </w:r>
    </w:p>
    <w:p>
      <w:pPr>
        <w:pStyle w:val="HorizontalLine"/>
        <w:pBdr>
          <w:bottom w:val="single" w:sz="20" w:space="0" w:color="808080"/>
        </w:pBdr>
        <w:rPr/>
      </w:pPr>
      <w:r>
        <w:rPr/>
      </w:r>
      <w:r>
        <w:br w:type="page"/>
      </w:r>
    </w:p>
    <w:p>
      <w:pPr>
        <w:pStyle w:val="TextBody"/>
        <w:rPr/>
      </w:pPr>
      <w:hyperlink w:anchor="bg76101a_main_toc">
        <w:bookmarkStart w:id="78" w:name="page_di76101_1_36"/>
        <w:bookmarkEnd w:id="78"/>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general partner, its affiliates, and some other persons, is held by (1) employee benefit plans subject to the fiduciary responsibility provisions of ERISA, (2) plans to which the prohibited transaction rules of Section 4975 of the Internal Revenue Code apply, and (3) entities whose underlying assets include plan assets by reason of a plan's investment in such entity. </w:t>
      </w:r>
    </w:p>
    <w:p>
      <w:pPr>
        <w:pStyle w:val="TextBody"/>
        <w:rPr/>
      </w:pPr>
      <w:r>
        <w:rPr/>
        <w:t>        </w:t>
      </w:r>
      <w:r>
        <w:rPr>
          <w:rFonts w:ascii="times" w:hAnsi="times"/>
          <w:sz w:val="20"/>
        </w:rPr>
        <w:t xml:space="preserve">Plan fiduciaries contemplating a purchase of Class A shares should consult with their own counsel regarding the consequences under ERISA, the Internal Revenue Code and other Similar Laws in light of the serious penalties imposed on persons who engage in prohibited transactions or other violations. </w:t>
      </w:r>
    </w:p>
    <w:p>
      <w:pPr>
        <w:pStyle w:val="TextBody"/>
        <w:jc w:val="center"/>
        <w:rPr>
          <w:rFonts w:ascii="times" w:hAnsi="times"/>
          <w:sz w:val="20"/>
        </w:rPr>
      </w:pPr>
      <w:r>
        <w:rPr>
          <w:rFonts w:ascii="times" w:hAnsi="times"/>
          <w:sz w:val="20"/>
        </w:rPr>
        <w:t>36</w:t>
      </w:r>
    </w:p>
    <w:p>
      <w:pPr>
        <w:pStyle w:val="HorizontalLine"/>
        <w:pBdr>
          <w:bottom w:val="single" w:sz="20" w:space="0" w:color="808080"/>
        </w:pBdr>
        <w:rPr/>
      </w:pPr>
      <w:r>
        <w:rPr/>
      </w:r>
      <w:r>
        <w:br w:type="page"/>
      </w:r>
    </w:p>
    <w:p>
      <w:pPr>
        <w:pStyle w:val="TextBody"/>
        <w:rPr/>
      </w:pPr>
      <w:hyperlink w:anchor="bg76101a_main_toc">
        <w:bookmarkStart w:id="79" w:name="page_di76101_1_37"/>
        <w:bookmarkEnd w:id="79"/>
        <w:r>
          <w:rPr>
            <w:rStyle w:val="InternetLink"/>
            <w:rFonts w:ascii="times" w:hAnsi="times"/>
            <w:sz w:val="20"/>
          </w:rPr>
          <w:t>Table of Contents</w:t>
        </w:r>
      </w:hyperlink>
    </w:p>
    <w:p>
      <w:pPr>
        <w:pStyle w:val="TextBody"/>
        <w:jc w:val="center"/>
        <w:rPr>
          <w:rFonts w:ascii="times" w:hAnsi="times"/>
        </w:rPr>
      </w:pPr>
      <w:bookmarkStart w:id="80" w:name="toc_di76101_2"/>
      <w:bookmarkStart w:id="81" w:name="di76101_selling_shareholder"/>
      <w:bookmarkEnd w:id="80"/>
      <w:bookmarkEnd w:id="81"/>
      <w:r>
        <w:rPr>
          <w:rFonts w:ascii="times" w:hAnsi="times"/>
          <w:sz w:val="20"/>
        </w:rPr>
        <w:br/>
      </w:r>
      <w:r>
        <w:rPr>
          <w:rFonts w:ascii="times" w:hAnsi="times"/>
          <w:b/>
          <w:sz w:val="20"/>
        </w:rPr>
        <w:t xml:space="preserve">SELLING SHAREHOLDER </w:t>
      </w:r>
    </w:p>
    <w:p>
      <w:pPr>
        <w:pStyle w:val="TextBody"/>
        <w:rPr/>
      </w:pPr>
      <w:r>
        <w:rPr/>
        <w:t>        </w:t>
      </w:r>
      <w:r>
        <w:rPr>
          <w:rFonts w:ascii="times" w:hAnsi="times"/>
          <w:sz w:val="20"/>
        </w:rPr>
        <w:t xml:space="preserve">This prospectus covers the offering by the selling shareholder of 55,000,000 Class A shares. The Class A shares offered hereby will be acquired by the selling shareholder immediately prior to the completion of this offering upon exercise by the selling shareholder of the Exchange Right for an equivalent number of Class B shares, AAP units and general partner units, which were acquired by the selling shareholder in connection with our IPO in October 2013. The issuance of the Class A shares to the selling shareholder in connection with exercise of the Exchange Right and the initial issuance of the Class B shares (and related AAP units and general partner units) were exempt from the registration requirements of the Securities Act of 1933, as amended (the "Securities Act"). We are registering the offering by the selling shareholder of the Class A shares described below pursuant to the provisions of the Registration Rights Agreement. The board of directors of our general partner has agreed to an early release of the 15-month lock-up arrangement that was originally imposed on certain of our shareholders, including the selling shareholder, in connection with our IPO in October 2013. </w:t>
      </w:r>
    </w:p>
    <w:p>
      <w:pPr>
        <w:pStyle w:val="TextBody"/>
        <w:rPr/>
      </w:pPr>
      <w:r>
        <w:rPr/>
        <w:t>        </w:t>
      </w:r>
      <w:r>
        <w:rPr>
          <w:rFonts w:ascii="times" w:hAnsi="times"/>
          <w:sz w:val="20"/>
        </w:rPr>
        <w:t xml:space="preserve">The selling shareholder owns a significant equity position in us. As of November 5, 2014, the selling shareholder owned 148,830,161 of the Class A shares and Class B shares on a combined basis. Further, the selling shareholder is entitled to appoint one member of the board of directors of our general partner pursuant to our general partner's limited liability company agreement. </w:t>
      </w:r>
    </w:p>
    <w:p>
      <w:pPr>
        <w:pStyle w:val="TextBody"/>
        <w:rPr/>
      </w:pPr>
      <w:r>
        <w:rPr/>
        <w:t>        </w:t>
      </w:r>
      <w:r>
        <w:rPr>
          <w:rFonts w:ascii="times" w:hAnsi="times"/>
          <w:sz w:val="20"/>
        </w:rPr>
        <w:t xml:space="preserve">The following table sets forth information relating to the selling shareholder as of November 5, 2014 based on information supplied to us by the selling shareholder on or prior to that date. We have not sought to verify such information. Information concerning the selling shareholder may change over time; if necessary, we will supplement this prospectus accordingly. The selling shareholder is not a broker-dealer registered under Section 15 of the Exchange Act or an affiliate of a broker-dealer registered under Section 15 of the Exchange Act. The selling shareholder may be deemed under federal securities laws to be an underwriter with respect to the Class A shares it may sell in connection with this offering. The selling shareholder may hold or acquire at any time Class A shares in addition to those offered by this prospectus and may have acquired additional Class A shares since the date on which the information reflected herein was provided to us. In addition, the selling shareholder may have sold, transferred or otherwise disposed of some or all of its Class A shares since the date on which the information reflected herein was provided to us and may in the future sell, transfer or otherwise dispose of some or all of its Class A shares in private placement transactions exempt from or not subject to the registration requirements of the Securities Act. </w:t>
      </w:r>
    </w:p>
    <w:tbl>
      <w:tblPr>
        <w:tblW w:w="5000" w:type="pct"/>
        <w:jc w:val="center"/>
        <w:tblInd w:w="0" w:type="dxa"/>
        <w:tblCellMar>
          <w:top w:w="0" w:type="dxa"/>
          <w:left w:w="0" w:type="dxa"/>
          <w:bottom w:w="0" w:type="dxa"/>
          <w:right w:w="0" w:type="dxa"/>
        </w:tblCellMar>
      </w:tblPr>
      <w:tblGrid>
        <w:gridCol w:w="2968"/>
        <w:gridCol w:w="157"/>
        <w:gridCol w:w="84"/>
        <w:gridCol w:w="1067"/>
        <w:gridCol w:w="157"/>
        <w:gridCol w:w="84"/>
        <w:gridCol w:w="1055"/>
        <w:gridCol w:w="157"/>
        <w:gridCol w:w="90"/>
        <w:gridCol w:w="1131"/>
        <w:gridCol w:w="185"/>
        <w:gridCol w:w="84"/>
        <w:gridCol w:w="1200"/>
        <w:gridCol w:w="157"/>
        <w:gridCol w:w="90"/>
        <w:gridCol w:w="1349"/>
        <w:gridCol w:w="190"/>
      </w:tblGrid>
      <w:tr>
        <w:trPr/>
        <w:tc>
          <w:tcPr>
            <w:tcW w:w="296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06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131"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c>
          <w:tcPr>
            <w:tcW w:w="1200"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2968"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Selling Shareholder </w:t>
            </w:r>
          </w:p>
        </w:tc>
        <w:tc>
          <w:tcPr>
            <w:tcW w:w="157" w:type="dxa"/>
            <w:tcBorders/>
            <w:shd w:fill="auto" w:val="clear"/>
            <w:vAlign w:val="bottom"/>
          </w:tcPr>
          <w:p>
            <w:pPr>
              <w:pStyle w:val="TableHeading"/>
              <w:suppressLineNumbers/>
              <w:spacing w:before="0" w:after="283"/>
              <w:jc w:val="center"/>
              <w:rPr/>
            </w:pPr>
            <w:r>
              <w:rPr/>
              <w:t> </w:t>
            </w:r>
          </w:p>
        </w:tc>
        <w:tc>
          <w:tcPr>
            <w:tcW w:w="115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A Shares</w:t>
              <w:br/>
              <w:t>Beneficially</w:t>
              <w:br/>
              <w:t>Owned Prior to</w:t>
              <w:br/>
              <w:t xml:space="preserve">the Offering(1) </w:t>
            </w:r>
          </w:p>
        </w:tc>
        <w:tc>
          <w:tcPr>
            <w:tcW w:w="157" w:type="dxa"/>
            <w:tcBorders/>
            <w:shd w:fill="auto" w:val="clear"/>
            <w:vAlign w:val="bottom"/>
          </w:tcPr>
          <w:p>
            <w:pPr>
              <w:pStyle w:val="TableHeading"/>
              <w:suppressLineNumbers/>
              <w:spacing w:before="0" w:after="283"/>
              <w:jc w:val="center"/>
              <w:rPr/>
            </w:pPr>
            <w:r>
              <w:rPr/>
              <w:t> </w:t>
            </w:r>
          </w:p>
        </w:tc>
        <w:tc>
          <w:tcPr>
            <w:tcW w:w="11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A Shares</w:t>
              <w:br/>
              <w:t>Offered</w:t>
              <w:br/>
              <w:t xml:space="preserve">Hereby(2) </w:t>
            </w:r>
          </w:p>
        </w:tc>
        <w:tc>
          <w:tcPr>
            <w:tcW w:w="157" w:type="dxa"/>
            <w:tcBorders/>
            <w:shd w:fill="auto" w:val="clear"/>
            <w:vAlign w:val="bottom"/>
          </w:tcPr>
          <w:p>
            <w:pPr>
              <w:pStyle w:val="TableHeading"/>
              <w:suppressLineNumbers/>
              <w:spacing w:before="0" w:after="283"/>
              <w:jc w:val="center"/>
              <w:rPr/>
            </w:pPr>
            <w:r>
              <w:rPr/>
              <w:t> </w:t>
            </w:r>
          </w:p>
        </w:tc>
        <w:tc>
          <w:tcPr>
            <w:tcW w:w="122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Percentage of</w:t>
              <w:br/>
              <w:t>Class A Shares to</w:t>
              <w:br/>
              <w:t>be Beneficially</w:t>
              <w:br/>
              <w:t>Owned After</w:t>
              <w:br/>
              <w:t xml:space="preserve">Offering </w:t>
            </w:r>
          </w:p>
        </w:tc>
        <w:tc>
          <w:tcPr>
            <w:tcW w:w="185" w:type="dxa"/>
            <w:tcBorders/>
            <w:shd w:fill="auto" w:val="clear"/>
            <w:vAlign w:val="bottom"/>
          </w:tcPr>
          <w:p>
            <w:pPr>
              <w:pStyle w:val="TableHeading"/>
              <w:suppressLineNumbers/>
              <w:spacing w:before="0" w:after="283"/>
              <w:jc w:val="center"/>
              <w:rPr/>
            </w:pPr>
            <w:r>
              <w:rPr/>
              <w:t> </w:t>
            </w:r>
          </w:p>
        </w:tc>
        <w:tc>
          <w:tcPr>
            <w:tcW w:w="1284"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Class B Shares to</w:t>
              <w:br/>
              <w:t>be Beneficially</w:t>
              <w:br/>
              <w:t>Owned After</w:t>
              <w:br/>
              <w:t xml:space="preserve">Offering </w:t>
            </w:r>
          </w:p>
        </w:tc>
        <w:tc>
          <w:tcPr>
            <w:tcW w:w="157" w:type="dxa"/>
            <w:tcBorders/>
            <w:shd w:fill="auto" w:val="clear"/>
            <w:vAlign w:val="bottom"/>
          </w:tcPr>
          <w:p>
            <w:pPr>
              <w:pStyle w:val="TableHeading"/>
              <w:suppressLineNumbers/>
              <w:spacing w:before="0" w:after="283"/>
              <w:jc w:val="center"/>
              <w:rPr/>
            </w:pPr>
            <w:r>
              <w:rPr/>
              <w:t> </w:t>
            </w:r>
          </w:p>
        </w:tc>
        <w:tc>
          <w:tcPr>
            <w:tcW w:w="1439"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Percentage of Class B</w:t>
              <w:br/>
              <w:t>Shares to be</w:t>
              <w:br/>
              <w:t>Beneficially Owned</w:t>
              <w:br/>
              <w:t xml:space="preserve">After Offering </w:t>
            </w:r>
          </w:p>
        </w:tc>
        <w:tc>
          <w:tcPr>
            <w:tcW w:w="190" w:type="dxa"/>
            <w:tcBorders/>
            <w:shd w:fill="auto" w:val="clear"/>
            <w:vAlign w:val="bottom"/>
          </w:tcPr>
          <w:p>
            <w:pPr>
              <w:pStyle w:val="TableHeading"/>
              <w:suppressLineNumbers/>
              <w:spacing w:before="0" w:after="283"/>
              <w:jc w:val="center"/>
              <w:rPr/>
            </w:pPr>
            <w:r>
              <w:rPr/>
              <w:t> </w:t>
            </w:r>
          </w:p>
        </w:tc>
      </w:tr>
      <w:tr>
        <w:trPr/>
        <w:tc>
          <w:tcPr>
            <w:tcW w:w="2968" w:type="dxa"/>
            <w:tcBorders/>
            <w:shd w:fill="CCEEFF" w:val="clear"/>
            <w:vAlign w:val="bottom"/>
          </w:tcPr>
          <w:p>
            <w:pPr>
              <w:pStyle w:val="TableContents"/>
              <w:spacing w:before="0" w:after="283"/>
              <w:ind w:left="180" w:right="0" w:hanging="180"/>
              <w:rPr>
                <w:rFonts w:ascii="times" w:hAnsi="times"/>
                <w:sz w:val="20"/>
              </w:rPr>
            </w:pPr>
            <w:r>
              <w:rPr>
                <w:rFonts w:ascii="times" w:hAnsi="times"/>
                <w:sz w:val="20"/>
              </w:rPr>
              <w:t>Oxy Holding Company (Pipeline), Inc.(3)</w:t>
            </w:r>
          </w:p>
        </w:tc>
        <w:tc>
          <w:tcPr>
            <w:tcW w:w="15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67" w:type="dxa"/>
            <w:tcBorders/>
            <w:shd w:fill="CCEEFF" w:val="clear"/>
            <w:vAlign w:val="bottom"/>
          </w:tcPr>
          <w:p>
            <w:pPr>
              <w:pStyle w:val="TableContents"/>
              <w:spacing w:before="0" w:after="283"/>
              <w:jc w:val="right"/>
              <w:rPr>
                <w:rFonts w:ascii="times" w:hAnsi="times"/>
                <w:sz w:val="20"/>
              </w:rPr>
            </w:pPr>
            <w:r>
              <w:rPr>
                <w:rFonts w:ascii="times" w:hAnsi="times"/>
                <w:sz w:val="20"/>
              </w:rPr>
              <w:t>55,000,000</w:t>
            </w:r>
          </w:p>
        </w:tc>
        <w:tc>
          <w:tcPr>
            <w:tcW w:w="157" w:type="dxa"/>
            <w:tcBorders/>
            <w:shd w:fill="CCEEFF" w:val="clear"/>
            <w:vAlign w:val="bottom"/>
          </w:tcPr>
          <w:p>
            <w:pPr>
              <w:pStyle w:val="TableContents"/>
              <w:spacing w:before="0" w:after="283"/>
              <w:rPr/>
            </w:pPr>
            <w:r>
              <w:rPr/>
              <w:t> </w:t>
            </w:r>
          </w:p>
        </w:tc>
        <w:tc>
          <w:tcPr>
            <w:tcW w:w="84" w:type="dxa"/>
            <w:tcBorders/>
            <w:shd w:fill="CCEEFF" w:val="clear"/>
            <w:vAlign w:val="bottom"/>
          </w:tcPr>
          <w:p>
            <w:pPr>
              <w:pStyle w:val="TableContents"/>
              <w:spacing w:before="0" w:after="283"/>
              <w:rPr/>
            </w:pPr>
            <w:r>
              <w:rPr/>
              <w:t> </w:t>
            </w:r>
          </w:p>
        </w:tc>
        <w:tc>
          <w:tcPr>
            <w:tcW w:w="1055" w:type="dxa"/>
            <w:tcBorders/>
            <w:shd w:fill="CCEEFF" w:val="clear"/>
            <w:vAlign w:val="bottom"/>
          </w:tcPr>
          <w:p>
            <w:pPr>
              <w:pStyle w:val="TableContents"/>
              <w:spacing w:before="0" w:after="283"/>
              <w:jc w:val="right"/>
              <w:rPr>
                <w:rFonts w:ascii="times" w:hAnsi="times"/>
                <w:sz w:val="20"/>
              </w:rPr>
            </w:pPr>
            <w:r>
              <w:rPr>
                <w:rFonts w:ascii="times" w:hAnsi="times"/>
                <w:sz w:val="20"/>
              </w:rPr>
              <w:t>55,000,000</w:t>
            </w:r>
          </w:p>
        </w:tc>
        <w:tc>
          <w:tcPr>
            <w:tcW w:w="15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13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185"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84" w:type="dxa"/>
            <w:tcBorders/>
            <w:shd w:fill="CCEEFF" w:val="clear"/>
            <w:vAlign w:val="bottom"/>
          </w:tcPr>
          <w:p>
            <w:pPr>
              <w:pStyle w:val="TableContents"/>
              <w:spacing w:before="0" w:after="283"/>
              <w:rPr/>
            </w:pPr>
            <w:r>
              <w:rPr/>
              <w:t> </w:t>
            </w:r>
          </w:p>
        </w:tc>
        <w:tc>
          <w:tcPr>
            <w:tcW w:w="1200" w:type="dxa"/>
            <w:tcBorders/>
            <w:shd w:fill="CCEEFF" w:val="clear"/>
            <w:vAlign w:val="bottom"/>
          </w:tcPr>
          <w:p>
            <w:pPr>
              <w:pStyle w:val="TableContents"/>
              <w:spacing w:before="0" w:after="283"/>
              <w:jc w:val="right"/>
              <w:rPr>
                <w:rFonts w:ascii="times" w:hAnsi="times"/>
                <w:sz w:val="20"/>
              </w:rPr>
            </w:pPr>
            <w:r>
              <w:rPr>
                <w:rFonts w:ascii="times" w:hAnsi="times"/>
                <w:sz w:val="20"/>
              </w:rPr>
              <w:t>93,830,161</w:t>
            </w:r>
          </w:p>
        </w:tc>
        <w:tc>
          <w:tcPr>
            <w:tcW w:w="157" w:type="dxa"/>
            <w:tcBorders/>
            <w:shd w:fill="CCEEFF" w:val="clear"/>
            <w:vAlign w:val="bottom"/>
          </w:tcPr>
          <w:p>
            <w:pPr>
              <w:pStyle w:val="TableContents"/>
              <w:spacing w:before="0" w:after="283"/>
              <w:rPr/>
            </w:pPr>
            <w:r>
              <w:rPr/>
              <w:t> </w:t>
            </w:r>
          </w:p>
        </w:tc>
        <w:tc>
          <w:tcPr>
            <w:tcW w:w="90" w:type="dxa"/>
            <w:tcBorders/>
            <w:shd w:fill="CCEEFF" w:val="clear"/>
            <w:vAlign w:val="bottom"/>
          </w:tcPr>
          <w:p>
            <w:pPr>
              <w:pStyle w:val="TableContents"/>
              <w:spacing w:before="0" w:after="283"/>
              <w:rPr/>
            </w:pPr>
            <w:r>
              <w:rPr/>
              <w:t> </w:t>
            </w:r>
          </w:p>
        </w:tc>
        <w:tc>
          <w:tcPr>
            <w:tcW w:w="1349" w:type="dxa"/>
            <w:tcBorders/>
            <w:shd w:fill="CCEEFF" w:val="clear"/>
            <w:vAlign w:val="bottom"/>
          </w:tcPr>
          <w:p>
            <w:pPr>
              <w:pStyle w:val="TableContents"/>
              <w:spacing w:before="0" w:after="283"/>
              <w:jc w:val="right"/>
              <w:rPr>
                <w:rFonts w:ascii="times" w:hAnsi="times"/>
                <w:sz w:val="20"/>
              </w:rPr>
            </w:pPr>
            <w:r>
              <w:rPr>
                <w:rFonts w:ascii="times" w:hAnsi="times"/>
                <w:sz w:val="20"/>
              </w:rPr>
              <w:t>22.6</w:t>
            </w:r>
          </w:p>
        </w:tc>
        <w:tc>
          <w:tcPr>
            <w:tcW w:w="190" w:type="dxa"/>
            <w:tcBorders/>
            <w:shd w:fill="CCEEFF" w:val="clear"/>
            <w:vAlign w:val="bottom"/>
          </w:tcPr>
          <w:p>
            <w:pPr>
              <w:pStyle w:val="TableContents"/>
              <w:spacing w:before="0" w:after="283"/>
              <w:rPr>
                <w:rFonts w:ascii="times" w:hAnsi="times"/>
                <w:sz w:val="20"/>
              </w:rPr>
            </w:pPr>
            <w:r>
              <w:rPr>
                <w:rFonts w:ascii="times" w:hAnsi="times"/>
                <w:sz w:val="20"/>
              </w:rPr>
              <w:t>%</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(1)</w:t>
      </w:r>
    </w:p>
    <w:p>
      <w:pPr>
        <w:pStyle w:val="ListContents"/>
        <w:spacing w:before="0" w:after="283"/>
        <w:jc w:val="left"/>
        <w:rPr>
          <w:rFonts w:ascii="times" w:hAnsi="times"/>
          <w:sz w:val="20"/>
        </w:rPr>
      </w:pPr>
      <w:r>
        <w:rPr>
          <w:rFonts w:ascii="times" w:hAnsi="times"/>
          <w:sz w:val="20"/>
        </w:rPr>
        <w:t xml:space="preserve">Assumes the exchange of an equivalent number of Class B shares, AAP units and general partner units for Class A shares to be sold in this offering. </w:t>
      </w:r>
    </w:p>
    <w:p>
      <w:pPr>
        <w:pStyle w:val="ListHeading"/>
        <w:spacing w:before="0" w:after="0"/>
        <w:jc w:val="left"/>
        <w:rPr>
          <w:rFonts w:ascii="times" w:hAnsi="times"/>
          <w:sz w:val="20"/>
        </w:rPr>
      </w:pPr>
      <w:r>
        <w:rPr>
          <w:rFonts w:ascii="times" w:hAnsi="times"/>
          <w:sz w:val="20"/>
        </w:rPr>
        <w:t>(2)</w:t>
      </w:r>
    </w:p>
    <w:p>
      <w:pPr>
        <w:pStyle w:val="ListContents"/>
        <w:spacing w:before="0" w:after="283"/>
        <w:jc w:val="left"/>
        <w:rPr>
          <w:rFonts w:ascii="times" w:hAnsi="times"/>
          <w:sz w:val="20"/>
        </w:rPr>
      </w:pPr>
      <w:r>
        <w:rPr>
          <w:rFonts w:ascii="times" w:hAnsi="times"/>
          <w:sz w:val="20"/>
        </w:rPr>
        <w:t xml:space="preserve">Assumes no exercise of the underwriters' option to purchase up to 8,250,000 additional Class A shares. If exercised, the selling shareholder would exchange an equivalent number of Class B shares, AAP units and general partner units for such additional Class A shares. </w:t>
      </w:r>
    </w:p>
    <w:p>
      <w:pPr>
        <w:pStyle w:val="ListHeading"/>
        <w:spacing w:before="0" w:after="0"/>
        <w:jc w:val="left"/>
        <w:rPr>
          <w:rFonts w:ascii="times" w:hAnsi="times"/>
          <w:sz w:val="20"/>
        </w:rPr>
      </w:pPr>
      <w:r>
        <w:rPr>
          <w:rFonts w:ascii="times" w:hAnsi="times"/>
          <w:sz w:val="20"/>
        </w:rPr>
        <w:t>(3)</w:t>
      </w:r>
    </w:p>
    <w:p>
      <w:pPr>
        <w:pStyle w:val="ListContents"/>
        <w:spacing w:before="0" w:after="283"/>
        <w:jc w:val="left"/>
        <w:rPr>
          <w:rFonts w:ascii="times" w:hAnsi="times"/>
          <w:sz w:val="20"/>
        </w:rPr>
      </w:pPr>
      <w:r>
        <w:rPr>
          <w:rFonts w:ascii="times" w:hAnsi="times"/>
          <w:sz w:val="20"/>
        </w:rPr>
        <w:t>Oxy Holding Company (Pipeline), Inc. is an indirect wholly owned subsidiary of Occidental. The voting and disposition of any Class A shares held by Oxy Holding Company (Pipeline), Inc. is controlled by the board of directors of Occidental. The board of directors of Occidental, which acts by majority approval, consists of Spencer Abraham, Howard I. Atkins, Eugene L. Batchelder, Stephen I. Chazen, Edward P. Djerejian, John E. Feick, Margaret M. Foran, Carlos M. Gutierrez, William R. Klesse, Avedick B. Poladian and Elisse B. Walter. Each of the members of Occidental's board of directors disclaims beneficial ownership of any of our Class A shares held by Oxy Holding Company (Pipeline), Inc.</w:t>
      </w:r>
    </w:p>
    <w:p>
      <w:pPr>
        <w:pStyle w:val="TextBody"/>
        <w:jc w:val="center"/>
        <w:rPr>
          <w:rFonts w:ascii="times" w:hAnsi="times"/>
          <w:sz w:val="20"/>
        </w:rPr>
      </w:pPr>
      <w:r>
        <w:rPr>
          <w:rFonts w:ascii="times" w:hAnsi="times"/>
          <w:sz w:val="20"/>
        </w:rPr>
        <w:t>37</w:t>
      </w:r>
    </w:p>
    <w:p>
      <w:pPr>
        <w:pStyle w:val="HorizontalLine"/>
        <w:pBdr>
          <w:bottom w:val="single" w:sz="20" w:space="0" w:color="808080"/>
        </w:pBdr>
        <w:rPr/>
      </w:pPr>
      <w:r>
        <w:rPr/>
      </w:r>
      <w:r>
        <w:br w:type="page"/>
      </w:r>
    </w:p>
    <w:p>
      <w:pPr>
        <w:pStyle w:val="TextBody"/>
        <w:rPr/>
      </w:pPr>
      <w:hyperlink w:anchor="bg76101a_main_toc">
        <w:bookmarkStart w:id="82" w:name="page_di76101_1_38"/>
        <w:bookmarkEnd w:id="82"/>
        <w:r>
          <w:rPr>
            <w:rStyle w:val="InternetLink"/>
            <w:rFonts w:ascii="times" w:hAnsi="times"/>
            <w:sz w:val="20"/>
          </w:rPr>
          <w:t>Table of Contents</w:t>
        </w:r>
      </w:hyperlink>
    </w:p>
    <w:p>
      <w:pPr>
        <w:pStyle w:val="TextBody"/>
        <w:jc w:val="center"/>
        <w:rPr>
          <w:rFonts w:ascii="times" w:hAnsi="times"/>
        </w:rPr>
      </w:pPr>
      <w:bookmarkStart w:id="83" w:name="toc_di76101_3"/>
      <w:bookmarkStart w:id="84" w:name="di76101_underwriting"/>
      <w:bookmarkEnd w:id="83"/>
      <w:bookmarkEnd w:id="84"/>
      <w:r>
        <w:rPr>
          <w:rFonts w:ascii="times" w:hAnsi="times"/>
          <w:sz w:val="20"/>
        </w:rPr>
        <w:br/>
      </w:r>
      <w:r>
        <w:rPr>
          <w:rFonts w:ascii="times" w:hAnsi="times"/>
          <w:b/>
          <w:sz w:val="20"/>
        </w:rPr>
        <w:t xml:space="preserve">UNDERWRITING </w:t>
      </w:r>
    </w:p>
    <w:p>
      <w:pPr>
        <w:pStyle w:val="TextBody"/>
        <w:rPr/>
      </w:pPr>
      <w:r>
        <w:rPr/>
        <w:t>        </w:t>
      </w:r>
      <w:r>
        <w:rPr>
          <w:rFonts w:ascii="times" w:hAnsi="times"/>
          <w:sz w:val="20"/>
        </w:rPr>
        <w:t xml:space="preserve">J.P. Morgan Securities LLC and Citigroup Global Markets Inc. are acting as joint book-running managers of the underwritten offering and representatives of the underwriters named below. Subject to the terms and conditions stated in the underwriting agreement dated the date of this prospectus, each underwriter named below has agreed to purchase from the selling shareholder, and the selling shareholder has agreed to sell to that underwriter, the number of common units set forth opposite the underwriter's name. </w:t>
      </w:r>
    </w:p>
    <w:tbl>
      <w:tblPr>
        <w:tblW w:w="5000" w:type="pct"/>
        <w:jc w:val="center"/>
        <w:tblInd w:w="0" w:type="dxa"/>
        <w:tblCellMar>
          <w:top w:w="0" w:type="dxa"/>
          <w:left w:w="0" w:type="dxa"/>
          <w:bottom w:w="0" w:type="dxa"/>
          <w:right w:w="0" w:type="dxa"/>
        </w:tblCellMar>
      </w:tblPr>
      <w:tblGrid>
        <w:gridCol w:w="6364"/>
        <w:gridCol w:w="456"/>
        <w:gridCol w:w="266"/>
        <w:gridCol w:w="2662"/>
        <w:gridCol w:w="457"/>
      </w:tblGrid>
      <w:tr>
        <w:trPr/>
        <w:tc>
          <w:tcPr>
            <w:tcW w:w="636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2662"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r>
      <w:tr>
        <w:trPr/>
        <w:tc>
          <w:tcPr>
            <w:tcW w:w="6364" w:type="dxa"/>
            <w:tcBorders/>
            <w:shd w:fill="auto" w:val="clear"/>
            <w:vAlign w:val="bottom"/>
          </w:tcPr>
          <w:p>
            <w:pPr>
              <w:pStyle w:val="TableHeading"/>
              <w:spacing w:before="0" w:after="0"/>
              <w:jc w:val="left"/>
              <w:rPr>
                <w:rFonts w:ascii="times" w:hAnsi="times"/>
                <w:b/>
                <w:sz w:val="14"/>
                <w:bdr w:val="single" w:sz="8" w:space="1" w:color="000000"/>
              </w:rPr>
            </w:pPr>
            <w:r>
              <w:rPr>
                <w:rFonts w:ascii="times" w:hAnsi="times"/>
                <w:b/>
                <w:sz w:val="14"/>
                <w:bdr w:val="single" w:sz="8" w:space="1" w:color="000000"/>
              </w:rPr>
              <w:t xml:space="preserve">Underwriters </w:t>
            </w:r>
          </w:p>
        </w:tc>
        <w:tc>
          <w:tcPr>
            <w:tcW w:w="456" w:type="dxa"/>
            <w:tcBorders/>
            <w:shd w:fill="auto" w:val="clear"/>
            <w:vAlign w:val="bottom"/>
          </w:tcPr>
          <w:p>
            <w:pPr>
              <w:pStyle w:val="TableHeading"/>
              <w:suppressLineNumbers/>
              <w:spacing w:before="0" w:after="283"/>
              <w:jc w:val="center"/>
              <w:rPr/>
            </w:pPr>
            <w:r>
              <w:rPr/>
              <w:t> </w:t>
            </w:r>
          </w:p>
        </w:tc>
        <w:tc>
          <w:tcPr>
            <w:tcW w:w="2928"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Number of</w:t>
              <w:br/>
              <w:t xml:space="preserve">Class A shares </w:t>
            </w:r>
          </w:p>
        </w:tc>
        <w:tc>
          <w:tcPr>
            <w:tcW w:w="457" w:type="dxa"/>
            <w:tcBorders/>
            <w:shd w:fill="auto" w:val="clear"/>
            <w:vAlign w:val="bottom"/>
          </w:tcPr>
          <w:p>
            <w:pPr>
              <w:pStyle w:val="TableHeading"/>
              <w:suppressLineNumbers/>
              <w:spacing w:before="0" w:after="283"/>
              <w:jc w:val="center"/>
              <w:rPr/>
            </w:pPr>
            <w:r>
              <w:rPr/>
              <w:t> </w:t>
            </w:r>
          </w:p>
        </w:tc>
      </w:tr>
      <w:tr>
        <w:trPr/>
        <w:tc>
          <w:tcPr>
            <w:tcW w:w="636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J.P. Morgan Securities LLC</w:t>
            </w:r>
          </w:p>
        </w:tc>
        <w:tc>
          <w:tcPr>
            <w:tcW w:w="456"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2662" w:type="dxa"/>
            <w:tcBorders/>
            <w:shd w:fill="CCEEFF" w:val="clear"/>
            <w:vAlign w:val="bottom"/>
          </w:tcPr>
          <w:p>
            <w:pPr>
              <w:pStyle w:val="TableContents"/>
              <w:spacing w:before="0" w:after="283"/>
              <w:jc w:val="right"/>
              <w:rPr/>
            </w:pPr>
            <w:r>
              <w:rPr/>
              <w:t> </w:t>
            </w:r>
          </w:p>
        </w:tc>
        <w:tc>
          <w:tcPr>
            <w:tcW w:w="457" w:type="dxa"/>
            <w:tcBorders/>
            <w:shd w:fill="CCEEFF" w:val="clear"/>
            <w:vAlign w:val="bottom"/>
          </w:tcPr>
          <w:p>
            <w:pPr>
              <w:pStyle w:val="TableContents"/>
              <w:spacing w:before="0" w:after="283"/>
              <w:rPr/>
            </w:pPr>
            <w:r>
              <w:rPr/>
              <w:t> </w:t>
            </w:r>
          </w:p>
        </w:tc>
      </w:tr>
      <w:tr>
        <w:trPr/>
        <w:tc>
          <w:tcPr>
            <w:tcW w:w="6364"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Citigroup Global Markets Inc. </w:t>
            </w:r>
          </w:p>
        </w:tc>
        <w:tc>
          <w:tcPr>
            <w:tcW w:w="456" w:type="dxa"/>
            <w:tcBorders/>
            <w:shd w:fill="FFFFFF" w:val="clear"/>
            <w:vAlign w:val="bottom"/>
          </w:tcPr>
          <w:p>
            <w:pPr>
              <w:pStyle w:val="TableContents"/>
              <w:spacing w:before="0" w:after="283"/>
              <w:rPr/>
            </w:pPr>
            <w:r>
              <w:rPr/>
              <w:t> </w:t>
            </w:r>
          </w:p>
        </w:tc>
        <w:tc>
          <w:tcPr>
            <w:tcW w:w="266" w:type="dxa"/>
            <w:tcBorders/>
            <w:shd w:fill="FFFFFF" w:val="clear"/>
            <w:vAlign w:val="bottom"/>
          </w:tcPr>
          <w:p>
            <w:pPr>
              <w:pStyle w:val="TableContents"/>
              <w:spacing w:before="0" w:after="283"/>
              <w:rPr/>
            </w:pPr>
            <w:r>
              <w:rPr/>
              <w:t> </w:t>
            </w:r>
          </w:p>
        </w:tc>
        <w:tc>
          <w:tcPr>
            <w:tcW w:w="2662" w:type="dxa"/>
            <w:tcBorders/>
            <w:shd w:fill="FFFFFF" w:val="clear"/>
            <w:vAlign w:val="bottom"/>
          </w:tcPr>
          <w:p>
            <w:pPr>
              <w:pStyle w:val="TableContents"/>
              <w:spacing w:before="0" w:after="283"/>
              <w:jc w:val="right"/>
              <w:rPr/>
            </w:pPr>
            <w:r>
              <w:rPr/>
              <w:t> </w:t>
            </w:r>
          </w:p>
        </w:tc>
        <w:tc>
          <w:tcPr>
            <w:tcW w:w="457" w:type="dxa"/>
            <w:tcBorders/>
            <w:shd w:fill="FFFFFF" w:val="clear"/>
            <w:vAlign w:val="bottom"/>
          </w:tcPr>
          <w:p>
            <w:pPr>
              <w:pStyle w:val="TableContents"/>
              <w:spacing w:before="0" w:after="283"/>
              <w:rPr/>
            </w:pPr>
            <w:r>
              <w:rPr/>
              <w:t> </w:t>
            </w:r>
          </w:p>
        </w:tc>
      </w:tr>
      <w:tr>
        <w:trPr/>
        <w:tc>
          <w:tcPr>
            <w:tcW w:w="6364" w:type="dxa"/>
            <w:tcBorders/>
            <w:shd w:fill="FFFFFF" w:val="clear"/>
            <w:vAlign w:val="bottom"/>
          </w:tcPr>
          <w:p>
            <w:pPr>
              <w:pStyle w:val="TableContents"/>
              <w:spacing w:before="0" w:after="283"/>
              <w:rPr/>
            </w:pPr>
            <w:r>
              <w:rPr/>
              <w:t> </w:t>
            </w:r>
          </w:p>
        </w:tc>
        <w:tc>
          <w:tcPr>
            <w:tcW w:w="456" w:type="dxa"/>
            <w:tcBorders/>
            <w:shd w:fill="FFFFFF" w:val="clear"/>
            <w:vAlign w:val="bottom"/>
          </w:tcPr>
          <w:p>
            <w:pPr>
              <w:pStyle w:val="TableContents"/>
              <w:spacing w:before="0" w:after="283"/>
              <w:rPr/>
            </w:pPr>
            <w:r>
              <w:rPr/>
              <w:t> </w:t>
            </w:r>
          </w:p>
        </w:tc>
        <w:tc>
          <w:tcPr>
            <w:tcW w:w="2928"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457" w:type="dxa"/>
            <w:tcBorders/>
            <w:shd w:fill="FFFFFF" w:val="clear"/>
            <w:vAlign w:val="bottom"/>
          </w:tcPr>
          <w:p>
            <w:pPr>
              <w:pStyle w:val="TableContents"/>
              <w:spacing w:before="0" w:after="283"/>
              <w:rPr/>
            </w:pPr>
            <w:r>
              <w:rPr/>
              <w:t> </w:t>
            </w:r>
          </w:p>
        </w:tc>
      </w:tr>
      <w:tr>
        <w:trPr/>
        <w:tc>
          <w:tcPr>
            <w:tcW w:w="6364" w:type="dxa"/>
            <w:tcBorders/>
            <w:shd w:fill="FFFFFF" w:val="clear"/>
            <w:vAlign w:val="bottom"/>
          </w:tcPr>
          <w:p>
            <w:pPr>
              <w:pStyle w:val="TableContents"/>
              <w:spacing w:lineRule="atLeast" w:line="141" w:before="0" w:after="283"/>
              <w:rPr/>
            </w:pPr>
            <w:r>
              <w:rPr/>
              <w:t>​</w:t>
            </w:r>
          </w:p>
        </w:tc>
        <w:tc>
          <w:tcPr>
            <w:tcW w:w="456" w:type="dxa"/>
            <w:tcBorders/>
            <w:shd w:fill="FFFFFF" w:val="clear"/>
            <w:vAlign w:val="bottom"/>
          </w:tcPr>
          <w:p>
            <w:pPr>
              <w:pStyle w:val="TableContents"/>
              <w:spacing w:lineRule="atLeast" w:line="141" w:before="0" w:after="283"/>
              <w:rPr/>
            </w:pPr>
            <w:r>
              <w:rPr/>
              <w:t>​</w:t>
            </w:r>
          </w:p>
        </w:tc>
        <w:tc>
          <w:tcPr>
            <w:tcW w:w="266" w:type="dxa"/>
            <w:tcBorders/>
            <w:shd w:fill="FFFFFF" w:val="clear"/>
            <w:vAlign w:val="bottom"/>
          </w:tcPr>
          <w:p>
            <w:pPr>
              <w:pStyle w:val="TableContents"/>
              <w:spacing w:lineRule="atLeast" w:line="141" w:before="0" w:after="283"/>
              <w:rPr/>
            </w:pPr>
            <w:r>
              <w:rPr/>
              <w:t>​</w:t>
            </w:r>
          </w:p>
        </w:tc>
        <w:tc>
          <w:tcPr>
            <w:tcW w:w="2662" w:type="dxa"/>
            <w:tcBorders/>
            <w:shd w:fill="FFFFFF" w:val="clear"/>
            <w:vAlign w:val="bottom"/>
          </w:tcPr>
          <w:p>
            <w:pPr>
              <w:pStyle w:val="TableContents"/>
              <w:spacing w:lineRule="atLeast" w:line="141" w:before="0" w:after="283"/>
              <w:jc w:val="right"/>
              <w:rPr/>
            </w:pPr>
            <w:r>
              <w:rPr/>
              <w:t>​</w:t>
            </w:r>
          </w:p>
        </w:tc>
        <w:tc>
          <w:tcPr>
            <w:tcW w:w="457" w:type="dxa"/>
            <w:tcBorders/>
            <w:shd w:fill="FFFFFF" w:val="clear"/>
            <w:vAlign w:val="bottom"/>
          </w:tcPr>
          <w:p>
            <w:pPr>
              <w:pStyle w:val="TableContents"/>
              <w:spacing w:lineRule="atLeast" w:line="141" w:before="0" w:after="283"/>
              <w:rPr/>
            </w:pPr>
            <w:r>
              <w:rPr/>
              <w:t xml:space="preserve">​ </w:t>
            </w:r>
          </w:p>
        </w:tc>
      </w:tr>
      <w:tr>
        <w:trPr/>
        <w:tc>
          <w:tcPr>
            <w:tcW w:w="6364"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w:t>
            </w:r>
          </w:p>
        </w:tc>
        <w:tc>
          <w:tcPr>
            <w:tcW w:w="456" w:type="dxa"/>
            <w:tcBorders/>
            <w:shd w:fill="CCEEFF" w:val="clear"/>
            <w:vAlign w:val="bottom"/>
          </w:tcPr>
          <w:p>
            <w:pPr>
              <w:pStyle w:val="TableContents"/>
              <w:spacing w:before="0" w:after="283"/>
              <w:rPr/>
            </w:pPr>
            <w:r>
              <w:rPr/>
              <w:t> </w:t>
            </w:r>
          </w:p>
        </w:tc>
        <w:tc>
          <w:tcPr>
            <w:tcW w:w="266" w:type="dxa"/>
            <w:tcBorders/>
            <w:shd w:fill="CCEEFF" w:val="clear"/>
            <w:vAlign w:val="bottom"/>
          </w:tcPr>
          <w:p>
            <w:pPr>
              <w:pStyle w:val="TableContents"/>
              <w:spacing w:before="0" w:after="283"/>
              <w:rPr/>
            </w:pPr>
            <w:r>
              <w:rPr/>
              <w:t> </w:t>
            </w:r>
          </w:p>
        </w:tc>
        <w:tc>
          <w:tcPr>
            <w:tcW w:w="2662" w:type="dxa"/>
            <w:tcBorders/>
            <w:shd w:fill="CCEEFF" w:val="clear"/>
            <w:vAlign w:val="bottom"/>
          </w:tcPr>
          <w:p>
            <w:pPr>
              <w:pStyle w:val="TableContents"/>
              <w:spacing w:before="0" w:after="283"/>
              <w:jc w:val="right"/>
              <w:rPr>
                <w:rFonts w:ascii="times" w:hAnsi="times"/>
                <w:sz w:val="20"/>
              </w:rPr>
            </w:pPr>
            <w:r>
              <w:rPr>
                <w:rFonts w:ascii="times" w:hAnsi="times"/>
                <w:sz w:val="20"/>
              </w:rPr>
              <w:t>55,000,000</w:t>
            </w:r>
          </w:p>
        </w:tc>
        <w:tc>
          <w:tcPr>
            <w:tcW w:w="457" w:type="dxa"/>
            <w:tcBorders/>
            <w:shd w:fill="CCEEFF" w:val="clear"/>
            <w:vAlign w:val="bottom"/>
          </w:tcPr>
          <w:p>
            <w:pPr>
              <w:pStyle w:val="TableContents"/>
              <w:spacing w:before="0" w:after="283"/>
              <w:rPr/>
            </w:pPr>
            <w:r>
              <w:rPr/>
              <w:t> </w:t>
            </w:r>
          </w:p>
        </w:tc>
      </w:tr>
      <w:tr>
        <w:trPr/>
        <w:tc>
          <w:tcPr>
            <w:tcW w:w="6364" w:type="dxa"/>
            <w:tcBorders/>
            <w:shd w:fill="FFFFFF" w:val="clear"/>
            <w:vAlign w:val="bottom"/>
          </w:tcPr>
          <w:p>
            <w:pPr>
              <w:pStyle w:val="TableContents"/>
              <w:spacing w:before="0" w:after="283"/>
              <w:rPr/>
            </w:pPr>
            <w:r>
              <w:rPr/>
              <w:t> </w:t>
            </w:r>
          </w:p>
        </w:tc>
        <w:tc>
          <w:tcPr>
            <w:tcW w:w="456" w:type="dxa"/>
            <w:tcBorders/>
            <w:shd w:fill="FFFFFF" w:val="clear"/>
            <w:vAlign w:val="bottom"/>
          </w:tcPr>
          <w:p>
            <w:pPr>
              <w:pStyle w:val="TableContents"/>
              <w:spacing w:before="0" w:after="283"/>
              <w:rPr/>
            </w:pPr>
            <w:r>
              <w:rPr/>
              <w:t> </w:t>
            </w:r>
          </w:p>
        </w:tc>
        <w:tc>
          <w:tcPr>
            <w:tcW w:w="2928"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457" w:type="dxa"/>
            <w:tcBorders/>
            <w:shd w:fill="FFFFFF" w:val="clear"/>
            <w:vAlign w:val="bottom"/>
          </w:tcPr>
          <w:p>
            <w:pPr>
              <w:pStyle w:val="TableContents"/>
              <w:spacing w:before="0" w:after="283"/>
              <w:rPr/>
            </w:pPr>
            <w:r>
              <w:rPr/>
              <w:t> </w:t>
            </w:r>
          </w:p>
        </w:tc>
      </w:tr>
      <w:tr>
        <w:trPr/>
        <w:tc>
          <w:tcPr>
            <w:tcW w:w="6364" w:type="dxa"/>
            <w:tcBorders/>
            <w:shd w:fill="FFFFFF" w:val="clear"/>
            <w:vAlign w:val="bottom"/>
          </w:tcPr>
          <w:p>
            <w:pPr>
              <w:pStyle w:val="TableContents"/>
              <w:spacing w:lineRule="atLeast" w:line="141" w:before="0" w:after="283"/>
              <w:rPr/>
            </w:pPr>
            <w:r>
              <w:rPr/>
              <w:t>​</w:t>
            </w:r>
          </w:p>
        </w:tc>
        <w:tc>
          <w:tcPr>
            <w:tcW w:w="456" w:type="dxa"/>
            <w:tcBorders/>
            <w:shd w:fill="FFFFFF" w:val="clear"/>
            <w:vAlign w:val="bottom"/>
          </w:tcPr>
          <w:p>
            <w:pPr>
              <w:pStyle w:val="TableContents"/>
              <w:spacing w:lineRule="atLeast" w:line="141" w:before="0" w:after="283"/>
              <w:rPr/>
            </w:pPr>
            <w:r>
              <w:rPr/>
              <w:t>​</w:t>
            </w:r>
          </w:p>
        </w:tc>
        <w:tc>
          <w:tcPr>
            <w:tcW w:w="266" w:type="dxa"/>
            <w:tcBorders/>
            <w:shd w:fill="FFFFFF" w:val="clear"/>
            <w:vAlign w:val="bottom"/>
          </w:tcPr>
          <w:p>
            <w:pPr>
              <w:pStyle w:val="TableContents"/>
              <w:spacing w:lineRule="atLeast" w:line="141" w:before="0" w:after="283"/>
              <w:rPr/>
            </w:pPr>
            <w:r>
              <w:rPr/>
              <w:t>​</w:t>
            </w:r>
          </w:p>
        </w:tc>
        <w:tc>
          <w:tcPr>
            <w:tcW w:w="2662" w:type="dxa"/>
            <w:tcBorders/>
            <w:shd w:fill="FFFFFF" w:val="clear"/>
            <w:vAlign w:val="bottom"/>
          </w:tcPr>
          <w:p>
            <w:pPr>
              <w:pStyle w:val="TableContents"/>
              <w:spacing w:lineRule="atLeast" w:line="141" w:before="0" w:after="283"/>
              <w:jc w:val="right"/>
              <w:rPr/>
            </w:pPr>
            <w:r>
              <w:rPr/>
              <w:t>​</w:t>
            </w:r>
          </w:p>
        </w:tc>
        <w:tc>
          <w:tcPr>
            <w:tcW w:w="457" w:type="dxa"/>
            <w:tcBorders/>
            <w:shd w:fill="FFFFFF" w:val="clear"/>
            <w:vAlign w:val="bottom"/>
          </w:tcPr>
          <w:p>
            <w:pPr>
              <w:pStyle w:val="TableContents"/>
              <w:spacing w:lineRule="atLeast" w:line="141" w:before="0" w:after="283"/>
              <w:rPr/>
            </w:pPr>
            <w:r>
              <w:rPr/>
              <w:t xml:space="preserve">​ </w:t>
            </w:r>
          </w:p>
        </w:tc>
      </w:tr>
      <w:tr>
        <w:trPr/>
        <w:tc>
          <w:tcPr>
            <w:tcW w:w="6364" w:type="dxa"/>
            <w:tcBorders/>
            <w:shd w:fill="FFFFFF" w:val="clear"/>
            <w:vAlign w:val="bottom"/>
          </w:tcPr>
          <w:p>
            <w:pPr>
              <w:pStyle w:val="TableContents"/>
              <w:spacing w:lineRule="atLeast" w:line="141" w:before="0" w:after="283"/>
              <w:rPr/>
            </w:pPr>
            <w:r>
              <w:rPr/>
              <w:t>​</w:t>
            </w:r>
          </w:p>
        </w:tc>
        <w:tc>
          <w:tcPr>
            <w:tcW w:w="456" w:type="dxa"/>
            <w:tcBorders/>
            <w:shd w:fill="FFFFFF" w:val="clear"/>
            <w:vAlign w:val="bottom"/>
          </w:tcPr>
          <w:p>
            <w:pPr>
              <w:pStyle w:val="TableContents"/>
              <w:spacing w:lineRule="atLeast" w:line="141" w:before="0" w:after="283"/>
              <w:rPr/>
            </w:pPr>
            <w:r>
              <w:rPr/>
              <w:t>​</w:t>
            </w:r>
          </w:p>
        </w:tc>
        <w:tc>
          <w:tcPr>
            <w:tcW w:w="266" w:type="dxa"/>
            <w:tcBorders/>
            <w:shd w:fill="FFFFFF" w:val="clear"/>
            <w:vAlign w:val="bottom"/>
          </w:tcPr>
          <w:p>
            <w:pPr>
              <w:pStyle w:val="TableContents"/>
              <w:spacing w:lineRule="atLeast" w:line="141" w:before="0" w:after="283"/>
              <w:rPr/>
            </w:pPr>
            <w:r>
              <w:rPr/>
              <w:t>​</w:t>
            </w:r>
          </w:p>
        </w:tc>
        <w:tc>
          <w:tcPr>
            <w:tcW w:w="2662" w:type="dxa"/>
            <w:tcBorders/>
            <w:shd w:fill="FFFFFF" w:val="clear"/>
            <w:vAlign w:val="bottom"/>
          </w:tcPr>
          <w:p>
            <w:pPr>
              <w:pStyle w:val="TableContents"/>
              <w:spacing w:lineRule="atLeast" w:line="141" w:before="0" w:after="283"/>
              <w:jc w:val="right"/>
              <w:rPr/>
            </w:pPr>
            <w:r>
              <w:rPr/>
              <w:t>​</w:t>
            </w:r>
          </w:p>
        </w:tc>
        <w:tc>
          <w:tcPr>
            <w:tcW w:w="457" w:type="dxa"/>
            <w:tcBorders/>
            <w:shd w:fill="FFFFFF" w:val="clear"/>
            <w:vAlign w:val="bottom"/>
          </w:tcPr>
          <w:p>
            <w:pPr>
              <w:pStyle w:val="TableContents"/>
              <w:spacing w:lineRule="atLeast" w:line="141" w:before="0" w:after="283"/>
              <w:rPr/>
            </w:pPr>
            <w:r>
              <w:rPr/>
              <w:t xml:space="preserve">​ </w:t>
            </w:r>
          </w:p>
        </w:tc>
      </w:tr>
      <w:tr>
        <w:trPr/>
        <w:tc>
          <w:tcPr>
            <w:tcW w:w="6364" w:type="dxa"/>
            <w:tcBorders/>
            <w:shd w:fill="FFFFFF" w:val="clear"/>
            <w:vAlign w:val="bottom"/>
          </w:tcPr>
          <w:p>
            <w:pPr>
              <w:pStyle w:val="TableContents"/>
              <w:spacing w:before="0" w:after="283"/>
              <w:rPr/>
            </w:pPr>
            <w:r>
              <w:rPr/>
              <w:t> </w:t>
            </w:r>
          </w:p>
        </w:tc>
        <w:tc>
          <w:tcPr>
            <w:tcW w:w="456" w:type="dxa"/>
            <w:tcBorders/>
            <w:shd w:fill="FFFFFF" w:val="clear"/>
            <w:vAlign w:val="bottom"/>
          </w:tcPr>
          <w:p>
            <w:pPr>
              <w:pStyle w:val="TableContents"/>
              <w:spacing w:before="0" w:after="283"/>
              <w:rPr/>
            </w:pPr>
            <w:r>
              <w:rPr/>
              <w:t> </w:t>
            </w:r>
          </w:p>
        </w:tc>
        <w:tc>
          <w:tcPr>
            <w:tcW w:w="2928"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457" w:type="dxa"/>
            <w:tcBorders/>
            <w:shd w:fill="FFFFFF" w:val="clear"/>
            <w:vAlign w:val="bottom"/>
          </w:tcPr>
          <w:p>
            <w:pPr>
              <w:pStyle w:val="TableContents"/>
              <w:spacing w:before="0" w:after="283"/>
              <w:rPr/>
            </w:pPr>
            <w:r>
              <w:rPr/>
              <w:t> </w:t>
            </w:r>
          </w:p>
        </w:tc>
      </w:tr>
    </w:tbl>
    <w:p>
      <w:pPr>
        <w:pStyle w:val="TextBody"/>
        <w:rPr/>
      </w:pPr>
      <w:r>
        <w:rPr/>
        <w:t>        </w:t>
      </w:r>
      <w:r>
        <w:rPr>
          <w:rFonts w:ascii="times" w:hAnsi="times"/>
          <w:sz w:val="20"/>
        </w:rPr>
        <w:t xml:space="preserve">The underwriting agreement provides that the obligations of the underwriters to purchase the Class A shares included in this offering are subject to approval of legal matters by counsel and to other conditions. The underwriters are obligated to purchase all of the Class A shares (other than those covered by their option to purchase additional Class A shares described below) if they purchase any of the Class A shares. </w:t>
      </w:r>
    </w:p>
    <w:p>
      <w:pPr>
        <w:pStyle w:val="TextBody"/>
        <w:rPr>
          <w:rFonts w:ascii="times" w:hAnsi="times"/>
          <w:b/>
          <w:sz w:val="20"/>
        </w:rPr>
      </w:pPr>
      <w:r>
        <w:rPr>
          <w:rFonts w:ascii="times" w:hAnsi="times"/>
          <w:b/>
          <w:sz w:val="20"/>
        </w:rPr>
        <w:t xml:space="preserve">Commissions and Expenses </w:t>
      </w:r>
    </w:p>
    <w:p>
      <w:pPr>
        <w:pStyle w:val="TextBody"/>
        <w:rPr/>
      </w:pPr>
      <w:r>
        <w:rPr/>
        <w:t>        </w:t>
      </w:r>
      <w:r>
        <w:rPr>
          <w:rFonts w:ascii="times" w:hAnsi="times"/>
          <w:sz w:val="20"/>
        </w:rPr>
        <w:t xml:space="preserve">The following table summarizes the underwriting discount the selling shareholder will pay to the underwriters. These amounts are shown assuming both no exercise and full exercise of the underwriters' option to purchase additional Class A shares. </w:t>
      </w:r>
    </w:p>
    <w:tbl>
      <w:tblPr>
        <w:tblW w:w="5000" w:type="pct"/>
        <w:jc w:val="center"/>
        <w:tblInd w:w="0" w:type="dxa"/>
        <w:tblCellMar>
          <w:top w:w="0" w:type="dxa"/>
          <w:left w:w="0" w:type="dxa"/>
          <w:bottom w:w="0" w:type="dxa"/>
          <w:right w:w="0" w:type="dxa"/>
        </w:tblCellMar>
      </w:tblPr>
      <w:tblGrid>
        <w:gridCol w:w="2298"/>
        <w:gridCol w:w="560"/>
        <w:gridCol w:w="388"/>
        <w:gridCol w:w="2609"/>
        <w:gridCol w:w="559"/>
        <w:gridCol w:w="389"/>
        <w:gridCol w:w="2842"/>
        <w:gridCol w:w="560"/>
      </w:tblGrid>
      <w:tr>
        <w:trPr/>
        <w:tc>
          <w:tcPr>
            <w:tcW w:w="2298"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26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2842"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r>
      <w:tr>
        <w:trPr/>
        <w:tc>
          <w:tcPr>
            <w:tcW w:w="2298" w:type="dxa"/>
            <w:tcBorders/>
            <w:shd w:fill="auto" w:val="clear"/>
            <w:vAlign w:val="bottom"/>
          </w:tcPr>
          <w:p>
            <w:pPr>
              <w:pStyle w:val="TableHeading"/>
              <w:spacing w:before="0" w:after="283"/>
              <w:jc w:val="left"/>
              <w:rPr/>
            </w:pPr>
            <w:r>
              <w:rPr/>
              <w:t> </w:t>
            </w:r>
          </w:p>
        </w:tc>
        <w:tc>
          <w:tcPr>
            <w:tcW w:w="560" w:type="dxa"/>
            <w:tcBorders/>
            <w:shd w:fill="auto" w:val="clear"/>
            <w:vAlign w:val="bottom"/>
          </w:tcPr>
          <w:p>
            <w:pPr>
              <w:pStyle w:val="TableHeading"/>
              <w:suppressLineNumbers/>
              <w:spacing w:before="0" w:after="283"/>
              <w:jc w:val="center"/>
              <w:rPr/>
            </w:pPr>
            <w:r>
              <w:rPr/>
              <w:t> </w:t>
            </w:r>
          </w:p>
        </w:tc>
        <w:tc>
          <w:tcPr>
            <w:tcW w:w="6787" w:type="dxa"/>
            <w:gridSpan w:val="5"/>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Paid by the Selling</w:t>
              <w:br/>
              <w:t xml:space="preserve">Shareholder </w:t>
            </w:r>
          </w:p>
        </w:tc>
        <w:tc>
          <w:tcPr>
            <w:tcW w:w="560" w:type="dxa"/>
            <w:tcBorders/>
            <w:shd w:fill="auto" w:val="clear"/>
            <w:vAlign w:val="bottom"/>
          </w:tcPr>
          <w:p>
            <w:pPr>
              <w:pStyle w:val="TableHeading"/>
              <w:suppressLineNumbers/>
              <w:spacing w:before="0" w:after="283"/>
              <w:jc w:val="center"/>
              <w:rPr/>
            </w:pPr>
            <w:r>
              <w:rPr/>
              <w:t> </w:t>
            </w:r>
          </w:p>
        </w:tc>
      </w:tr>
      <w:tr>
        <w:trPr/>
        <w:tc>
          <w:tcPr>
            <w:tcW w:w="2298" w:type="dxa"/>
            <w:tcBorders/>
            <w:shd w:fill="auto" w:val="clear"/>
            <w:vAlign w:val="bottom"/>
          </w:tcPr>
          <w:p>
            <w:pPr>
              <w:pStyle w:val="TableHeading"/>
              <w:spacing w:before="0" w:after="283"/>
              <w:jc w:val="left"/>
              <w:rPr/>
            </w:pPr>
            <w:r>
              <w:rPr/>
              <w:t> </w:t>
            </w:r>
          </w:p>
        </w:tc>
        <w:tc>
          <w:tcPr>
            <w:tcW w:w="560" w:type="dxa"/>
            <w:tcBorders/>
            <w:shd w:fill="auto" w:val="clear"/>
            <w:vAlign w:val="bottom"/>
          </w:tcPr>
          <w:p>
            <w:pPr>
              <w:pStyle w:val="TableHeading"/>
              <w:suppressLineNumbers/>
              <w:spacing w:before="0" w:after="283"/>
              <w:jc w:val="center"/>
              <w:rPr/>
            </w:pPr>
            <w:r>
              <w:rPr/>
              <w:t> </w:t>
            </w:r>
          </w:p>
        </w:tc>
        <w:tc>
          <w:tcPr>
            <w:tcW w:w="2997"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No Exercise </w:t>
            </w:r>
          </w:p>
        </w:tc>
        <w:tc>
          <w:tcPr>
            <w:tcW w:w="559" w:type="dxa"/>
            <w:tcBorders/>
            <w:shd w:fill="auto" w:val="clear"/>
            <w:vAlign w:val="bottom"/>
          </w:tcPr>
          <w:p>
            <w:pPr>
              <w:pStyle w:val="TableHeading"/>
              <w:suppressLineNumbers/>
              <w:spacing w:before="0" w:after="283"/>
              <w:jc w:val="center"/>
              <w:rPr/>
            </w:pPr>
            <w:r>
              <w:rPr/>
              <w:t> </w:t>
            </w:r>
          </w:p>
        </w:tc>
        <w:tc>
          <w:tcPr>
            <w:tcW w:w="3231"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Full Exercise </w:t>
            </w:r>
          </w:p>
        </w:tc>
        <w:tc>
          <w:tcPr>
            <w:tcW w:w="560" w:type="dxa"/>
            <w:tcBorders/>
            <w:shd w:fill="auto" w:val="clear"/>
            <w:vAlign w:val="bottom"/>
          </w:tcPr>
          <w:p>
            <w:pPr>
              <w:pStyle w:val="TableHeading"/>
              <w:suppressLineNumbers/>
              <w:spacing w:before="0" w:after="283"/>
              <w:jc w:val="center"/>
              <w:rPr/>
            </w:pPr>
            <w:r>
              <w:rPr/>
              <w:t> </w:t>
            </w:r>
          </w:p>
        </w:tc>
      </w:tr>
      <w:tr>
        <w:trPr/>
        <w:tc>
          <w:tcPr>
            <w:tcW w:w="2298"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Per share</w:t>
            </w:r>
          </w:p>
        </w:tc>
        <w:tc>
          <w:tcPr>
            <w:tcW w:w="560" w:type="dxa"/>
            <w:tcBorders/>
            <w:shd w:fill="CCEEFF" w:val="clear"/>
            <w:vAlign w:val="bottom"/>
          </w:tcPr>
          <w:p>
            <w:pPr>
              <w:pStyle w:val="TableContents"/>
              <w:spacing w:before="0" w:after="283"/>
              <w:rPr/>
            </w:pPr>
            <w:r>
              <w:rPr/>
              <w:t> </w:t>
            </w:r>
          </w:p>
        </w:tc>
        <w:tc>
          <w:tcPr>
            <w:tcW w:w="388"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609" w:type="dxa"/>
            <w:tcBorders/>
            <w:shd w:fill="CCEEFF" w:val="clear"/>
            <w:vAlign w:val="bottom"/>
          </w:tcPr>
          <w:p>
            <w:pPr>
              <w:pStyle w:val="TableContents"/>
              <w:spacing w:before="0" w:after="283"/>
              <w:jc w:val="right"/>
              <w:rPr/>
            </w:pPr>
            <w:r>
              <w:rPr/>
              <w:t>            </w:t>
            </w:r>
          </w:p>
        </w:tc>
        <w:tc>
          <w:tcPr>
            <w:tcW w:w="559" w:type="dxa"/>
            <w:tcBorders/>
            <w:shd w:fill="CCEEFF" w:val="clear"/>
            <w:vAlign w:val="bottom"/>
          </w:tcPr>
          <w:p>
            <w:pPr>
              <w:pStyle w:val="TableContents"/>
              <w:spacing w:before="0" w:after="283"/>
              <w:rPr/>
            </w:pPr>
            <w:r>
              <w:rPr/>
              <w:t> </w:t>
            </w:r>
          </w:p>
        </w:tc>
        <w:tc>
          <w:tcPr>
            <w:tcW w:w="389"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842" w:type="dxa"/>
            <w:tcBorders/>
            <w:shd w:fill="CCEEFF" w:val="clear"/>
            <w:vAlign w:val="bottom"/>
          </w:tcPr>
          <w:p>
            <w:pPr>
              <w:pStyle w:val="TableContents"/>
              <w:spacing w:before="0" w:after="283"/>
              <w:jc w:val="right"/>
              <w:rPr/>
            </w:pPr>
            <w:r>
              <w:rPr/>
              <w:t>            </w:t>
            </w:r>
          </w:p>
        </w:tc>
        <w:tc>
          <w:tcPr>
            <w:tcW w:w="560" w:type="dxa"/>
            <w:tcBorders/>
            <w:shd w:fill="CCEEFF" w:val="clear"/>
            <w:vAlign w:val="bottom"/>
          </w:tcPr>
          <w:p>
            <w:pPr>
              <w:pStyle w:val="TableContents"/>
              <w:spacing w:before="0" w:after="283"/>
              <w:rPr/>
            </w:pPr>
            <w:r>
              <w:rPr/>
              <w:t> </w:t>
            </w:r>
          </w:p>
        </w:tc>
      </w:tr>
      <w:tr>
        <w:trPr/>
        <w:tc>
          <w:tcPr>
            <w:tcW w:w="2298"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rPr/>
            </w:pPr>
            <w:r>
              <w:rPr/>
              <w:t> </w:t>
            </w:r>
          </w:p>
        </w:tc>
        <w:tc>
          <w:tcPr>
            <w:tcW w:w="2997"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559" w:type="dxa"/>
            <w:tcBorders/>
            <w:shd w:fill="FFFFFF" w:val="clear"/>
            <w:vAlign w:val="bottom"/>
          </w:tcPr>
          <w:p>
            <w:pPr>
              <w:pStyle w:val="TableContents"/>
              <w:spacing w:before="0" w:after="283"/>
              <w:rPr/>
            </w:pPr>
            <w:r>
              <w:rPr/>
              <w:t> </w:t>
            </w:r>
          </w:p>
        </w:tc>
        <w:tc>
          <w:tcPr>
            <w:tcW w:w="3231"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560" w:type="dxa"/>
            <w:tcBorders/>
            <w:shd w:fill="FFFFFF" w:val="clear"/>
            <w:vAlign w:val="bottom"/>
          </w:tcPr>
          <w:p>
            <w:pPr>
              <w:pStyle w:val="TableContents"/>
              <w:spacing w:before="0" w:after="283"/>
              <w:rPr/>
            </w:pPr>
            <w:r>
              <w:rPr/>
              <w:t> </w:t>
            </w:r>
          </w:p>
        </w:tc>
      </w:tr>
      <w:tr>
        <w:trPr/>
        <w:tc>
          <w:tcPr>
            <w:tcW w:w="2298" w:type="dxa"/>
            <w:tcBorders/>
            <w:shd w:fill="FFFFFF" w:val="clear"/>
            <w:vAlign w:val="bottom"/>
          </w:tcPr>
          <w:p>
            <w:pPr>
              <w:pStyle w:val="TableContents"/>
              <w:spacing w:lineRule="atLeast" w:line="141" w:before="0" w:after="283"/>
              <w:rPr/>
            </w:pPr>
            <w:r>
              <w:rPr/>
              <w:t>​</w:t>
            </w:r>
          </w:p>
        </w:tc>
        <w:tc>
          <w:tcPr>
            <w:tcW w:w="560" w:type="dxa"/>
            <w:tcBorders/>
            <w:shd w:fill="FFFFFF" w:val="clear"/>
            <w:vAlign w:val="bottom"/>
          </w:tcPr>
          <w:p>
            <w:pPr>
              <w:pStyle w:val="TableContents"/>
              <w:spacing w:lineRule="atLeast" w:line="141" w:before="0" w:after="283"/>
              <w:rPr/>
            </w:pPr>
            <w:r>
              <w:rPr/>
              <w:t>​</w:t>
            </w:r>
          </w:p>
        </w:tc>
        <w:tc>
          <w:tcPr>
            <w:tcW w:w="388" w:type="dxa"/>
            <w:tcBorders/>
            <w:shd w:fill="FFFFFF" w:val="clear"/>
            <w:vAlign w:val="bottom"/>
          </w:tcPr>
          <w:p>
            <w:pPr>
              <w:pStyle w:val="TableContents"/>
              <w:spacing w:lineRule="atLeast" w:line="141" w:before="0" w:after="283"/>
              <w:rPr/>
            </w:pPr>
            <w:r>
              <w:rPr/>
              <w:t>​</w:t>
            </w:r>
          </w:p>
        </w:tc>
        <w:tc>
          <w:tcPr>
            <w:tcW w:w="2609" w:type="dxa"/>
            <w:tcBorders/>
            <w:shd w:fill="FFFFFF" w:val="clear"/>
            <w:vAlign w:val="bottom"/>
          </w:tcPr>
          <w:p>
            <w:pPr>
              <w:pStyle w:val="TableContents"/>
              <w:spacing w:lineRule="atLeast" w:line="141" w:before="0" w:after="283"/>
              <w:jc w:val="right"/>
              <w:rPr/>
            </w:pPr>
            <w:r>
              <w:rPr/>
              <w:t>​</w:t>
            </w:r>
          </w:p>
        </w:tc>
        <w:tc>
          <w:tcPr>
            <w:tcW w:w="559" w:type="dxa"/>
            <w:tcBorders/>
            <w:shd w:fill="FFFFFF" w:val="clear"/>
            <w:vAlign w:val="bottom"/>
          </w:tcPr>
          <w:p>
            <w:pPr>
              <w:pStyle w:val="TableContents"/>
              <w:spacing w:lineRule="atLeast" w:line="141" w:before="0" w:after="283"/>
              <w:rPr/>
            </w:pPr>
            <w:r>
              <w:rPr/>
              <w:t>​</w:t>
            </w:r>
          </w:p>
        </w:tc>
        <w:tc>
          <w:tcPr>
            <w:tcW w:w="389" w:type="dxa"/>
            <w:tcBorders/>
            <w:shd w:fill="FFFFFF" w:val="clear"/>
            <w:vAlign w:val="bottom"/>
          </w:tcPr>
          <w:p>
            <w:pPr>
              <w:pStyle w:val="TableContents"/>
              <w:spacing w:lineRule="atLeast" w:line="141" w:before="0" w:after="283"/>
              <w:rPr/>
            </w:pPr>
            <w:r>
              <w:rPr/>
              <w:t>​</w:t>
            </w:r>
          </w:p>
        </w:tc>
        <w:tc>
          <w:tcPr>
            <w:tcW w:w="2842" w:type="dxa"/>
            <w:tcBorders/>
            <w:shd w:fill="FFFFFF" w:val="clear"/>
            <w:vAlign w:val="bottom"/>
          </w:tcPr>
          <w:p>
            <w:pPr>
              <w:pStyle w:val="TableContents"/>
              <w:spacing w:lineRule="atLeast" w:line="141" w:before="0" w:after="283"/>
              <w:jc w:val="right"/>
              <w:rPr/>
            </w:pPr>
            <w:r>
              <w:rPr/>
              <w:t>​</w:t>
            </w:r>
          </w:p>
        </w:tc>
        <w:tc>
          <w:tcPr>
            <w:tcW w:w="560" w:type="dxa"/>
            <w:tcBorders/>
            <w:shd w:fill="FFFFFF" w:val="clear"/>
            <w:vAlign w:val="bottom"/>
          </w:tcPr>
          <w:p>
            <w:pPr>
              <w:pStyle w:val="TableContents"/>
              <w:spacing w:lineRule="atLeast" w:line="141" w:before="0" w:after="283"/>
              <w:rPr/>
            </w:pPr>
            <w:r>
              <w:rPr/>
              <w:t xml:space="preserve">​ </w:t>
            </w:r>
          </w:p>
        </w:tc>
      </w:tr>
      <w:tr>
        <w:trPr/>
        <w:tc>
          <w:tcPr>
            <w:tcW w:w="2298"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Total</w:t>
            </w:r>
          </w:p>
        </w:tc>
        <w:tc>
          <w:tcPr>
            <w:tcW w:w="560" w:type="dxa"/>
            <w:tcBorders/>
            <w:shd w:fill="FFFFFF" w:val="clear"/>
            <w:vAlign w:val="bottom"/>
          </w:tcPr>
          <w:p>
            <w:pPr>
              <w:pStyle w:val="TableContents"/>
              <w:spacing w:before="0" w:after="283"/>
              <w:rPr/>
            </w:pPr>
            <w:r>
              <w:rPr/>
              <w:t> </w:t>
            </w:r>
          </w:p>
        </w:tc>
        <w:tc>
          <w:tcPr>
            <w:tcW w:w="388"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609" w:type="dxa"/>
            <w:tcBorders/>
            <w:shd w:fill="FFFFFF" w:val="clear"/>
            <w:vAlign w:val="bottom"/>
          </w:tcPr>
          <w:p>
            <w:pPr>
              <w:pStyle w:val="TableContents"/>
              <w:spacing w:before="0" w:after="283"/>
              <w:jc w:val="right"/>
              <w:rPr/>
            </w:pPr>
            <w:r>
              <w:rPr/>
              <w:t>            </w:t>
            </w:r>
          </w:p>
        </w:tc>
        <w:tc>
          <w:tcPr>
            <w:tcW w:w="559" w:type="dxa"/>
            <w:tcBorders/>
            <w:shd w:fill="FFFFFF" w:val="clear"/>
            <w:vAlign w:val="bottom"/>
          </w:tcPr>
          <w:p>
            <w:pPr>
              <w:pStyle w:val="TableContents"/>
              <w:spacing w:before="0" w:after="283"/>
              <w:rPr/>
            </w:pPr>
            <w:r>
              <w:rPr/>
              <w:t> </w:t>
            </w:r>
          </w:p>
        </w:tc>
        <w:tc>
          <w:tcPr>
            <w:tcW w:w="389" w:type="dxa"/>
            <w:tcBorders/>
            <w:shd w:fill="FFFFFF" w:val="clear"/>
            <w:vAlign w:val="bottom"/>
          </w:tcPr>
          <w:p>
            <w:pPr>
              <w:pStyle w:val="TableContents"/>
              <w:spacing w:before="0" w:after="283"/>
              <w:rPr>
                <w:rFonts w:ascii="times" w:hAnsi="times"/>
                <w:sz w:val="20"/>
              </w:rPr>
            </w:pPr>
            <w:r>
              <w:rPr>
                <w:rFonts w:ascii="times" w:hAnsi="times"/>
                <w:sz w:val="20"/>
              </w:rPr>
              <w:t>$</w:t>
            </w:r>
          </w:p>
        </w:tc>
        <w:tc>
          <w:tcPr>
            <w:tcW w:w="2842" w:type="dxa"/>
            <w:tcBorders/>
            <w:shd w:fill="FFFFFF" w:val="clear"/>
            <w:vAlign w:val="bottom"/>
          </w:tcPr>
          <w:p>
            <w:pPr>
              <w:pStyle w:val="TableContents"/>
              <w:spacing w:before="0" w:after="283"/>
              <w:jc w:val="right"/>
              <w:rPr/>
            </w:pPr>
            <w:r>
              <w:rPr/>
              <w:t>            </w:t>
            </w:r>
          </w:p>
        </w:tc>
        <w:tc>
          <w:tcPr>
            <w:tcW w:w="560" w:type="dxa"/>
            <w:tcBorders/>
            <w:shd w:fill="FFFFFF" w:val="clear"/>
            <w:vAlign w:val="bottom"/>
          </w:tcPr>
          <w:p>
            <w:pPr>
              <w:pStyle w:val="TableContents"/>
              <w:spacing w:before="0" w:after="283"/>
              <w:rPr/>
            </w:pPr>
            <w:r>
              <w:rPr/>
              <w:t> </w:t>
            </w:r>
          </w:p>
        </w:tc>
      </w:tr>
      <w:tr>
        <w:trPr/>
        <w:tc>
          <w:tcPr>
            <w:tcW w:w="2298"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rPr/>
            </w:pPr>
            <w:r>
              <w:rPr/>
              <w:t> </w:t>
            </w:r>
          </w:p>
        </w:tc>
        <w:tc>
          <w:tcPr>
            <w:tcW w:w="2997"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559" w:type="dxa"/>
            <w:tcBorders/>
            <w:shd w:fill="FFFFFF" w:val="clear"/>
            <w:vAlign w:val="bottom"/>
          </w:tcPr>
          <w:p>
            <w:pPr>
              <w:pStyle w:val="TableContents"/>
              <w:spacing w:before="0" w:after="283"/>
              <w:rPr/>
            </w:pPr>
            <w:r>
              <w:rPr/>
              <w:t> </w:t>
            </w:r>
          </w:p>
        </w:tc>
        <w:tc>
          <w:tcPr>
            <w:tcW w:w="3231"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560" w:type="dxa"/>
            <w:tcBorders/>
            <w:shd w:fill="FFFFFF" w:val="clear"/>
            <w:vAlign w:val="bottom"/>
          </w:tcPr>
          <w:p>
            <w:pPr>
              <w:pStyle w:val="TableContents"/>
              <w:spacing w:before="0" w:after="283"/>
              <w:rPr/>
            </w:pPr>
            <w:r>
              <w:rPr/>
              <w:t> </w:t>
            </w:r>
          </w:p>
        </w:tc>
      </w:tr>
      <w:tr>
        <w:trPr/>
        <w:tc>
          <w:tcPr>
            <w:tcW w:w="2298" w:type="dxa"/>
            <w:tcBorders/>
            <w:shd w:fill="FFFFFF" w:val="clear"/>
            <w:vAlign w:val="bottom"/>
          </w:tcPr>
          <w:p>
            <w:pPr>
              <w:pStyle w:val="TableContents"/>
              <w:spacing w:lineRule="atLeast" w:line="141" w:before="0" w:after="283"/>
              <w:rPr/>
            </w:pPr>
            <w:r>
              <w:rPr/>
              <w:t>​</w:t>
            </w:r>
          </w:p>
        </w:tc>
        <w:tc>
          <w:tcPr>
            <w:tcW w:w="560" w:type="dxa"/>
            <w:tcBorders/>
            <w:shd w:fill="FFFFFF" w:val="clear"/>
            <w:vAlign w:val="bottom"/>
          </w:tcPr>
          <w:p>
            <w:pPr>
              <w:pStyle w:val="TableContents"/>
              <w:spacing w:lineRule="atLeast" w:line="141" w:before="0" w:after="283"/>
              <w:rPr/>
            </w:pPr>
            <w:r>
              <w:rPr/>
              <w:t>​</w:t>
            </w:r>
          </w:p>
        </w:tc>
        <w:tc>
          <w:tcPr>
            <w:tcW w:w="388" w:type="dxa"/>
            <w:tcBorders/>
            <w:shd w:fill="FFFFFF" w:val="clear"/>
            <w:vAlign w:val="bottom"/>
          </w:tcPr>
          <w:p>
            <w:pPr>
              <w:pStyle w:val="TableContents"/>
              <w:spacing w:lineRule="atLeast" w:line="141" w:before="0" w:after="283"/>
              <w:rPr/>
            </w:pPr>
            <w:r>
              <w:rPr/>
              <w:t>​</w:t>
            </w:r>
          </w:p>
        </w:tc>
        <w:tc>
          <w:tcPr>
            <w:tcW w:w="2609" w:type="dxa"/>
            <w:tcBorders/>
            <w:shd w:fill="FFFFFF" w:val="clear"/>
            <w:vAlign w:val="bottom"/>
          </w:tcPr>
          <w:p>
            <w:pPr>
              <w:pStyle w:val="TableContents"/>
              <w:spacing w:lineRule="atLeast" w:line="141" w:before="0" w:after="283"/>
              <w:jc w:val="right"/>
              <w:rPr/>
            </w:pPr>
            <w:r>
              <w:rPr/>
              <w:t>​</w:t>
            </w:r>
          </w:p>
        </w:tc>
        <w:tc>
          <w:tcPr>
            <w:tcW w:w="559" w:type="dxa"/>
            <w:tcBorders/>
            <w:shd w:fill="FFFFFF" w:val="clear"/>
            <w:vAlign w:val="bottom"/>
          </w:tcPr>
          <w:p>
            <w:pPr>
              <w:pStyle w:val="TableContents"/>
              <w:spacing w:lineRule="atLeast" w:line="141" w:before="0" w:after="283"/>
              <w:rPr/>
            </w:pPr>
            <w:r>
              <w:rPr/>
              <w:t>​</w:t>
            </w:r>
          </w:p>
        </w:tc>
        <w:tc>
          <w:tcPr>
            <w:tcW w:w="389" w:type="dxa"/>
            <w:tcBorders/>
            <w:shd w:fill="FFFFFF" w:val="clear"/>
            <w:vAlign w:val="bottom"/>
          </w:tcPr>
          <w:p>
            <w:pPr>
              <w:pStyle w:val="TableContents"/>
              <w:spacing w:lineRule="atLeast" w:line="141" w:before="0" w:after="283"/>
              <w:rPr/>
            </w:pPr>
            <w:r>
              <w:rPr/>
              <w:t>​</w:t>
            </w:r>
          </w:p>
        </w:tc>
        <w:tc>
          <w:tcPr>
            <w:tcW w:w="2842" w:type="dxa"/>
            <w:tcBorders/>
            <w:shd w:fill="FFFFFF" w:val="clear"/>
            <w:vAlign w:val="bottom"/>
          </w:tcPr>
          <w:p>
            <w:pPr>
              <w:pStyle w:val="TableContents"/>
              <w:spacing w:lineRule="atLeast" w:line="141" w:before="0" w:after="283"/>
              <w:jc w:val="right"/>
              <w:rPr/>
            </w:pPr>
            <w:r>
              <w:rPr/>
              <w:t>​</w:t>
            </w:r>
          </w:p>
        </w:tc>
        <w:tc>
          <w:tcPr>
            <w:tcW w:w="560" w:type="dxa"/>
            <w:tcBorders/>
            <w:shd w:fill="FFFFFF" w:val="clear"/>
            <w:vAlign w:val="bottom"/>
          </w:tcPr>
          <w:p>
            <w:pPr>
              <w:pStyle w:val="TableContents"/>
              <w:spacing w:lineRule="atLeast" w:line="141" w:before="0" w:after="283"/>
              <w:rPr/>
            </w:pPr>
            <w:r>
              <w:rPr/>
              <w:t xml:space="preserve">​ </w:t>
            </w:r>
          </w:p>
        </w:tc>
      </w:tr>
      <w:tr>
        <w:trPr/>
        <w:tc>
          <w:tcPr>
            <w:tcW w:w="2298" w:type="dxa"/>
            <w:tcBorders/>
            <w:shd w:fill="FFFFFF" w:val="clear"/>
            <w:vAlign w:val="bottom"/>
          </w:tcPr>
          <w:p>
            <w:pPr>
              <w:pStyle w:val="TableContents"/>
              <w:spacing w:lineRule="atLeast" w:line="141" w:before="0" w:after="283"/>
              <w:rPr/>
            </w:pPr>
            <w:r>
              <w:rPr/>
              <w:t>​</w:t>
            </w:r>
          </w:p>
        </w:tc>
        <w:tc>
          <w:tcPr>
            <w:tcW w:w="560" w:type="dxa"/>
            <w:tcBorders/>
            <w:shd w:fill="FFFFFF" w:val="clear"/>
            <w:vAlign w:val="bottom"/>
          </w:tcPr>
          <w:p>
            <w:pPr>
              <w:pStyle w:val="TableContents"/>
              <w:spacing w:lineRule="atLeast" w:line="141" w:before="0" w:after="283"/>
              <w:rPr/>
            </w:pPr>
            <w:r>
              <w:rPr/>
              <w:t>​</w:t>
            </w:r>
          </w:p>
        </w:tc>
        <w:tc>
          <w:tcPr>
            <w:tcW w:w="388" w:type="dxa"/>
            <w:tcBorders/>
            <w:shd w:fill="FFFFFF" w:val="clear"/>
            <w:vAlign w:val="bottom"/>
          </w:tcPr>
          <w:p>
            <w:pPr>
              <w:pStyle w:val="TableContents"/>
              <w:spacing w:lineRule="atLeast" w:line="141" w:before="0" w:after="283"/>
              <w:rPr/>
            </w:pPr>
            <w:r>
              <w:rPr/>
              <w:t>​</w:t>
            </w:r>
          </w:p>
        </w:tc>
        <w:tc>
          <w:tcPr>
            <w:tcW w:w="2609" w:type="dxa"/>
            <w:tcBorders/>
            <w:shd w:fill="FFFFFF" w:val="clear"/>
            <w:vAlign w:val="bottom"/>
          </w:tcPr>
          <w:p>
            <w:pPr>
              <w:pStyle w:val="TableContents"/>
              <w:spacing w:lineRule="atLeast" w:line="141" w:before="0" w:after="283"/>
              <w:jc w:val="right"/>
              <w:rPr/>
            </w:pPr>
            <w:r>
              <w:rPr/>
              <w:t>​</w:t>
            </w:r>
          </w:p>
        </w:tc>
        <w:tc>
          <w:tcPr>
            <w:tcW w:w="559" w:type="dxa"/>
            <w:tcBorders/>
            <w:shd w:fill="FFFFFF" w:val="clear"/>
            <w:vAlign w:val="bottom"/>
          </w:tcPr>
          <w:p>
            <w:pPr>
              <w:pStyle w:val="TableContents"/>
              <w:spacing w:lineRule="atLeast" w:line="141" w:before="0" w:after="283"/>
              <w:rPr/>
            </w:pPr>
            <w:r>
              <w:rPr/>
              <w:t>​</w:t>
            </w:r>
          </w:p>
        </w:tc>
        <w:tc>
          <w:tcPr>
            <w:tcW w:w="389" w:type="dxa"/>
            <w:tcBorders/>
            <w:shd w:fill="FFFFFF" w:val="clear"/>
            <w:vAlign w:val="bottom"/>
          </w:tcPr>
          <w:p>
            <w:pPr>
              <w:pStyle w:val="TableContents"/>
              <w:spacing w:lineRule="atLeast" w:line="141" w:before="0" w:after="283"/>
              <w:rPr/>
            </w:pPr>
            <w:r>
              <w:rPr/>
              <w:t>​</w:t>
            </w:r>
          </w:p>
        </w:tc>
        <w:tc>
          <w:tcPr>
            <w:tcW w:w="2842" w:type="dxa"/>
            <w:tcBorders/>
            <w:shd w:fill="FFFFFF" w:val="clear"/>
            <w:vAlign w:val="bottom"/>
          </w:tcPr>
          <w:p>
            <w:pPr>
              <w:pStyle w:val="TableContents"/>
              <w:spacing w:lineRule="atLeast" w:line="141" w:before="0" w:after="283"/>
              <w:jc w:val="right"/>
              <w:rPr/>
            </w:pPr>
            <w:r>
              <w:rPr/>
              <w:t>​</w:t>
            </w:r>
          </w:p>
        </w:tc>
        <w:tc>
          <w:tcPr>
            <w:tcW w:w="560" w:type="dxa"/>
            <w:tcBorders/>
            <w:shd w:fill="FFFFFF" w:val="clear"/>
            <w:vAlign w:val="bottom"/>
          </w:tcPr>
          <w:p>
            <w:pPr>
              <w:pStyle w:val="TableContents"/>
              <w:spacing w:lineRule="atLeast" w:line="141" w:before="0" w:after="283"/>
              <w:rPr/>
            </w:pPr>
            <w:r>
              <w:rPr/>
              <w:t xml:space="preserve">​ </w:t>
            </w:r>
          </w:p>
        </w:tc>
      </w:tr>
      <w:tr>
        <w:trPr/>
        <w:tc>
          <w:tcPr>
            <w:tcW w:w="2298" w:type="dxa"/>
            <w:tcBorders/>
            <w:shd w:fill="FFFFFF" w:val="clear"/>
            <w:vAlign w:val="bottom"/>
          </w:tcPr>
          <w:p>
            <w:pPr>
              <w:pStyle w:val="TableContents"/>
              <w:spacing w:before="0" w:after="283"/>
              <w:rPr/>
            </w:pPr>
            <w:r>
              <w:rPr/>
              <w:t> </w:t>
            </w:r>
          </w:p>
        </w:tc>
        <w:tc>
          <w:tcPr>
            <w:tcW w:w="560" w:type="dxa"/>
            <w:tcBorders/>
            <w:shd w:fill="FFFFFF" w:val="clear"/>
            <w:vAlign w:val="bottom"/>
          </w:tcPr>
          <w:p>
            <w:pPr>
              <w:pStyle w:val="TableContents"/>
              <w:spacing w:before="0" w:after="283"/>
              <w:rPr/>
            </w:pPr>
            <w:r>
              <w:rPr/>
              <w:t> </w:t>
            </w:r>
          </w:p>
        </w:tc>
        <w:tc>
          <w:tcPr>
            <w:tcW w:w="2997"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559" w:type="dxa"/>
            <w:tcBorders/>
            <w:shd w:fill="FFFFFF" w:val="clear"/>
            <w:vAlign w:val="bottom"/>
          </w:tcPr>
          <w:p>
            <w:pPr>
              <w:pStyle w:val="TableContents"/>
              <w:spacing w:before="0" w:after="283"/>
              <w:rPr/>
            </w:pPr>
            <w:r>
              <w:rPr/>
              <w:t> </w:t>
            </w:r>
          </w:p>
        </w:tc>
        <w:tc>
          <w:tcPr>
            <w:tcW w:w="3231"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560" w:type="dxa"/>
            <w:tcBorders/>
            <w:shd w:fill="FFFFFF" w:val="clear"/>
            <w:vAlign w:val="bottom"/>
          </w:tcPr>
          <w:p>
            <w:pPr>
              <w:pStyle w:val="TableContents"/>
              <w:spacing w:before="0" w:after="283"/>
              <w:rPr/>
            </w:pPr>
            <w:r>
              <w:rPr/>
              <w:t> </w:t>
            </w:r>
          </w:p>
        </w:tc>
      </w:tr>
    </w:tbl>
    <w:p>
      <w:pPr>
        <w:pStyle w:val="TextBody"/>
        <w:rPr/>
      </w:pPr>
      <w:r>
        <w:rPr/>
        <w:t>        </w:t>
      </w:r>
      <w:r>
        <w:rPr>
          <w:rFonts w:ascii="times" w:hAnsi="times"/>
          <w:sz w:val="20"/>
        </w:rPr>
        <w:t xml:space="preserve">The underwriters propose to offer some of the Class A shares directly to the public at the public offering price set forth on the cover page of this prospectus and some of the Class A shares to dealers at the public offering price less a concession not to exceed $            per Class A share. If all of the Class A shares are not sold at the initial offering price, the underwriters may change the public offering price and the other selling terms. </w:t>
      </w:r>
    </w:p>
    <w:p>
      <w:pPr>
        <w:pStyle w:val="TextBody"/>
        <w:rPr/>
      </w:pPr>
      <w:r>
        <w:rPr/>
        <w:t>        </w:t>
      </w:r>
      <w:r>
        <w:rPr>
          <w:rFonts w:ascii="times" w:hAnsi="times"/>
          <w:sz w:val="20"/>
        </w:rPr>
        <w:t xml:space="preserve">We will cause AAP to pay expenses incurred by the selling shareholder in connection with this offering, other than the underwriting discounts and commissions. The expenses of this offering that are payable by us are estimated to be approximately $700,000. </w:t>
      </w:r>
    </w:p>
    <w:p>
      <w:pPr>
        <w:pStyle w:val="TextBody"/>
        <w:rPr>
          <w:rFonts w:ascii="times" w:hAnsi="times"/>
          <w:b/>
          <w:sz w:val="20"/>
        </w:rPr>
      </w:pPr>
      <w:r>
        <w:rPr>
          <w:rFonts w:ascii="times" w:hAnsi="times"/>
          <w:b/>
          <w:sz w:val="20"/>
        </w:rPr>
        <w:t xml:space="preserve">Option to Purchase Additional Shares </w:t>
      </w:r>
    </w:p>
    <w:p>
      <w:pPr>
        <w:pStyle w:val="TextBody"/>
        <w:rPr/>
      </w:pPr>
      <w:r>
        <w:rPr/>
        <w:t>        </w:t>
      </w:r>
      <w:r>
        <w:rPr>
          <w:rFonts w:ascii="times" w:hAnsi="times"/>
          <w:sz w:val="20"/>
        </w:rPr>
        <w:t xml:space="preserve">The selling shareholder has granted the underwriters an option exercisable for 30 days after the date of this prospectus, to purchase, from time to time, in whole or in part, up to an aggregate of 8,250,000 Class A shares from the selling shareholder at the public offering price less the underwriting discount. To the extent that the option is exercised, each underwriter will be obligated, subject to certain conditions, to purchase its pro rata portion of these additional shares based on the underwriter's underwriting commitment in this offering as indicated in the table at the beginning of this "Underwriting" section. </w:t>
      </w:r>
    </w:p>
    <w:p>
      <w:pPr>
        <w:pStyle w:val="TextBody"/>
        <w:jc w:val="center"/>
        <w:rPr>
          <w:rFonts w:ascii="times" w:hAnsi="times"/>
          <w:sz w:val="20"/>
        </w:rPr>
      </w:pPr>
      <w:r>
        <w:rPr>
          <w:rFonts w:ascii="times" w:hAnsi="times"/>
          <w:sz w:val="20"/>
        </w:rPr>
        <w:t>38</w:t>
      </w:r>
    </w:p>
    <w:p>
      <w:pPr>
        <w:pStyle w:val="HorizontalLine"/>
        <w:pBdr>
          <w:bottom w:val="single" w:sz="20" w:space="0" w:color="808080"/>
        </w:pBdr>
        <w:rPr/>
      </w:pPr>
      <w:r>
        <w:rPr/>
      </w:r>
      <w:r>
        <w:br w:type="page"/>
      </w:r>
    </w:p>
    <w:p>
      <w:pPr>
        <w:pStyle w:val="TextBody"/>
        <w:rPr/>
      </w:pPr>
      <w:hyperlink w:anchor="bg76101a_main_toc">
        <w:bookmarkStart w:id="85" w:name="page_di76101_1_39"/>
        <w:bookmarkEnd w:id="85"/>
        <w:r>
          <w:rPr>
            <w:rStyle w:val="InternetLink"/>
            <w:rFonts w:ascii="times" w:hAnsi="times"/>
            <w:sz w:val="20"/>
          </w:rPr>
          <w:t>Table of Contents</w:t>
        </w:r>
      </w:hyperlink>
    </w:p>
    <w:p>
      <w:pPr>
        <w:pStyle w:val="TextBody"/>
        <w:rPr>
          <w:rFonts w:ascii="times" w:hAnsi="times"/>
          <w:b/>
          <w:sz w:val="20"/>
        </w:rPr>
      </w:pPr>
      <w:r>
        <w:rPr>
          <w:rFonts w:ascii="times" w:hAnsi="times"/>
          <w:b/>
          <w:sz w:val="20"/>
        </w:rPr>
        <w:t xml:space="preserve">Lock-Up Agreements </w:t>
      </w:r>
    </w:p>
    <w:p>
      <w:pPr>
        <w:pStyle w:val="TextBody"/>
        <w:rPr/>
      </w:pPr>
      <w:r>
        <w:rPr/>
        <w:t>        </w:t>
      </w:r>
      <w:r>
        <w:rPr>
          <w:rFonts w:ascii="times" w:hAnsi="times"/>
          <w:sz w:val="20"/>
        </w:rPr>
        <w:t xml:space="preserve">We, certain of the Legacy Owners, the selling shareholder and certain of our directors have agreed that, without the prior written consent of J.P. Morgan Securities LLC, we and they will not directly or indirectly, (1) offer for sale, sell, pledge, or otherwise dispose of (or enter into any transaction or device that is designed to, or could be expected to, result in the disposition by any person at any time in the future of) any of our Class A shares (including, without limitation, Class A shares that may be deemed to be beneficially owned by us or them in accordance with the rules and regulations of the SEC and Class A shares that may be issued upon exercise of any options or warrants), (2) enter into any swap or other derivatives transaction that transfers to another, in whole or in part, any of the economic consequences of ownership of the Class A shares, (3) make any demand for or exercise any right or file or cause to be filed a registration statement, including any amendments thereto, with respect to the registration of any Class A shares or securities convertible, exercisable or exchangeable into Class A shares or any of our other securities (other than a resale shelf registration statement on Form S-3 pursuant to the Registration Rights Agreement), or (4) publicly disclose the intention to do any of the foregoing for a period of 90 days after the date of this prospectus in the case of the selling shareholder, certain affiliates of Kayne Anderson Investment Management, Inc., the Energy &amp; Minerals Group and PAA Management, L.P., and 45 days after the date of this prospectus in the case of certain of the other Legacy Owners and certain of our directors. The foregoing lock-up arrangements do not apply to, among other things, private transfers of AAP units and our Class B shares, although any transferee of such AAP units and Class B shares will be subject to the foregoing lock-up arrangements, and certain charitable contributions. </w:t>
      </w:r>
    </w:p>
    <w:p>
      <w:pPr>
        <w:pStyle w:val="TextBody"/>
        <w:rPr>
          <w:rFonts w:ascii="times" w:hAnsi="times"/>
          <w:b/>
          <w:sz w:val="20"/>
        </w:rPr>
      </w:pPr>
      <w:r>
        <w:rPr>
          <w:rFonts w:ascii="times" w:hAnsi="times"/>
          <w:b/>
          <w:sz w:val="20"/>
        </w:rPr>
        <w:t xml:space="preserve">Indemnification </w:t>
      </w:r>
    </w:p>
    <w:p>
      <w:pPr>
        <w:pStyle w:val="TextBody"/>
        <w:rPr/>
      </w:pPr>
      <w:r>
        <w:rPr/>
        <w:t>        </w:t>
      </w:r>
      <w:r>
        <w:rPr>
          <w:rFonts w:ascii="times" w:hAnsi="times"/>
          <w:sz w:val="20"/>
        </w:rPr>
        <w:t xml:space="preserve">We and the selling shareholder have agreed to indemnify the underwriters against certain liabilities, including liabilities under the Securities Act, and to contribute to payments that the underwriters may be required to make for these liabilities. </w:t>
      </w:r>
    </w:p>
    <w:p>
      <w:pPr>
        <w:pStyle w:val="TextBody"/>
        <w:rPr>
          <w:rFonts w:ascii="times" w:hAnsi="times"/>
          <w:b/>
          <w:sz w:val="20"/>
        </w:rPr>
      </w:pPr>
      <w:r>
        <w:rPr>
          <w:rFonts w:ascii="times" w:hAnsi="times"/>
          <w:b/>
          <w:sz w:val="20"/>
        </w:rPr>
        <w:t xml:space="preserve">Stabilization, Short Positions and Penalty Bids </w:t>
      </w:r>
    </w:p>
    <w:p>
      <w:pPr>
        <w:pStyle w:val="TextBody"/>
        <w:rPr/>
      </w:pPr>
      <w:r>
        <w:rPr/>
        <w:t>        </w:t>
      </w:r>
      <w:r>
        <w:rPr>
          <w:rFonts w:ascii="times" w:hAnsi="times"/>
          <w:sz w:val="20"/>
        </w:rPr>
        <w:t>The representatives may engage in stabilizing transactions, short sales and purchases to cover positions created by short sales, and penalty bids or purchases for the purpose of pegging, fixing or maintaining the price of the Class A shares, in accordance with Regulation M under the Exchange Act:</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Stabilizing transactions permit bids to purchase the underlying security so long as the stabilizing bids do not exceed a specified maximum.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 short position involves a sale by the underwriters of Class A shares in excess of the number of Class A shares the underwriters are obligated to purchase in the offering, which creates the syndicate short position. This short position may be either a covered short position or a naked short position. In a covered short position, the number of Class A shares involved in the sales made by the underwriters in excess of the number of Class A shares they are obligated to purchase is not greater than the number of Class A shares that they may purchase by exercising their option to purchase additional Class A shares. In a naked short position, the number of Class A shares involved is greater than the number of Class A shares in their option to purchase additional Class A shares. The underwriters may close out any short position by either exercising their option to purchase additional Class A shares and/or purchasing Class A shares in the open market. In determining the source of Class A shares to close out the short position, the underwriters will consider, among other things, the price of Class A shares available for purchase in the open market as compared to the price at which they may purchase Class A shares through their option to purchase additional Class A shares. A naked short position is more likely to be created if the underwriters are concerned that there could be downward </w:t>
      </w:r>
    </w:p>
    <w:p>
      <w:pPr>
        <w:pStyle w:val="TextBody"/>
        <w:jc w:val="center"/>
        <w:rPr>
          <w:rFonts w:ascii="times" w:hAnsi="times"/>
          <w:sz w:val="20"/>
        </w:rPr>
      </w:pPr>
      <w:r>
        <w:rPr>
          <w:rFonts w:ascii="times" w:hAnsi="times"/>
          <w:sz w:val="20"/>
        </w:rPr>
        <w:t>39</w:t>
      </w:r>
    </w:p>
    <w:p>
      <w:pPr>
        <w:pStyle w:val="HorizontalLine"/>
        <w:pBdr>
          <w:bottom w:val="single" w:sz="20" w:space="0" w:color="808080"/>
        </w:pBdr>
        <w:rPr/>
      </w:pPr>
      <w:r>
        <w:rPr/>
      </w:r>
      <w:r>
        <w:br w:type="page"/>
      </w:r>
    </w:p>
    <w:p>
      <w:pPr>
        <w:pStyle w:val="TextBody"/>
        <w:rPr/>
      </w:pPr>
      <w:hyperlink w:anchor="bg76101a_main_toc">
        <w:bookmarkStart w:id="86" w:name="page_di76101_1_40"/>
        <w:bookmarkEnd w:id="86"/>
        <w:r>
          <w:rPr>
            <w:rStyle w:val="InternetLink"/>
            <w:rFonts w:ascii="times" w:hAnsi="times"/>
            <w:sz w:val="20"/>
          </w:rPr>
          <w:t>Table of Contents</w:t>
        </w:r>
      </w:hyperlink>
    </w:p>
    <w:p>
      <w:pPr>
        <w:pStyle w:val="TextBody"/>
        <w:numPr>
          <w:ilvl w:val="0"/>
          <w:numId w:val="0"/>
        </w:numPr>
        <w:ind w:left="1414" w:hanging="0"/>
        <w:rPr>
          <w:rFonts w:ascii="times" w:hAnsi="times"/>
          <w:sz w:val="20"/>
        </w:rPr>
      </w:pPr>
      <w:r>
        <w:rPr>
          <w:rFonts w:ascii="times" w:hAnsi="times"/>
          <w:sz w:val="20"/>
        </w:rPr>
        <w:t xml:space="preserve">pressure on the price of the Class A shares in the open market after pricing that could adversely affect investors who purchase in the offering.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Syndicate covering transactions involve purchases of the Class A shares in the open market after the distribution has been completed in order to cover syndicate short positions.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Penalty bids permit the representatives to reclaim a selling concession from a syndicate member when the Class A shares originally sold by the syndicate member are purchased in a stabilizing or syndicate covering transaction to cover syndicate short positions. </w:t>
      </w:r>
    </w:p>
    <w:p>
      <w:pPr>
        <w:pStyle w:val="TextBody"/>
        <w:rPr/>
      </w:pPr>
      <w:r>
        <w:rPr/>
        <w:t>        </w:t>
      </w:r>
      <w:r>
        <w:rPr>
          <w:rFonts w:ascii="times" w:hAnsi="times"/>
          <w:sz w:val="20"/>
        </w:rPr>
        <w:t xml:space="preserve">These stabilizing transactions, syndicate covering transactions and penalty bids may have the effect of raising or maintaining the market price of our Class A shares or preventing or slowing a decline in the market price of the Class A shares. As a result, the price of the Class A shares may be higher than the price that might otherwise exist in the open market. These transactions may be effected on the New York Stock Exchange or otherwise and, if commenced, may be discontinued at any time. </w:t>
      </w:r>
    </w:p>
    <w:p>
      <w:pPr>
        <w:pStyle w:val="TextBody"/>
        <w:rPr/>
      </w:pPr>
      <w:r>
        <w:rPr/>
        <w:t>        </w:t>
      </w:r>
      <w:r>
        <w:rPr>
          <w:rFonts w:ascii="times" w:hAnsi="times"/>
          <w:sz w:val="20"/>
        </w:rPr>
        <w:t xml:space="preserve">Neither we nor any of the underwriters make any representation or prediction as to the direction or magnitude of any effect that the transactions described above may have on the price of the Class A shares. In addition, neither we nor any of the underwriters make any representation that the representatives will engage in these stabilizing transactions or that any transaction, once commenced, will not be discontinued without notice. </w:t>
      </w:r>
    </w:p>
    <w:p>
      <w:pPr>
        <w:pStyle w:val="TextBody"/>
        <w:rPr>
          <w:rFonts w:ascii="times" w:hAnsi="times"/>
          <w:b/>
          <w:sz w:val="20"/>
        </w:rPr>
      </w:pPr>
      <w:r>
        <w:rPr>
          <w:rFonts w:ascii="times" w:hAnsi="times"/>
          <w:b/>
          <w:sz w:val="20"/>
        </w:rPr>
        <w:t xml:space="preserve">Electronic Distribution </w:t>
      </w:r>
    </w:p>
    <w:p>
      <w:pPr>
        <w:pStyle w:val="TextBody"/>
        <w:rPr/>
      </w:pPr>
      <w:r>
        <w:rPr/>
        <w:t>        </w:t>
      </w:r>
      <w:r>
        <w:rPr>
          <w:rFonts w:ascii="times" w:hAnsi="times"/>
          <w:sz w:val="20"/>
        </w:rPr>
        <w:t xml:space="preserve">A prospectus in electronic format may be made available on the Internet sites or through other online services maintained by one or more of the underwriters and/or selling group members participating in this offering, or by their affiliates. In those cases, prospective investors may view offering terms online and, depending upon the particular underwriter or selling group member, prospective investors may be allowed to place orders online. The underwriters may agree with the selling shareholder to allocate a specific number of Class A shares for sale to online brokerage account holders. Any such allocation for online distributions will be made by the representatives on the same basis as other allocations. </w:t>
      </w:r>
    </w:p>
    <w:p>
      <w:pPr>
        <w:pStyle w:val="TextBody"/>
        <w:rPr/>
      </w:pPr>
      <w:r>
        <w:rPr/>
        <w:t>        </w:t>
      </w:r>
      <w:r>
        <w:rPr>
          <w:rFonts w:ascii="times" w:hAnsi="times"/>
          <w:sz w:val="20"/>
        </w:rPr>
        <w:t xml:space="preserve">Other than the prospectus in electronic format, the information on any underwriter's or selling group member's web site and any information contained in any other web site maintained by an underwriter or selling group member is not part of the prospectus or the registration statement of which this prospectus forms a part, has not been approved and/or endorsed by us or any underwriter or selling group member in its capacity as underwriter or selling group member and should not be relied upon by investors. </w:t>
      </w:r>
    </w:p>
    <w:p>
      <w:pPr>
        <w:pStyle w:val="TextBody"/>
        <w:rPr>
          <w:rFonts w:ascii="times" w:hAnsi="times"/>
          <w:b/>
          <w:sz w:val="20"/>
        </w:rPr>
      </w:pPr>
      <w:r>
        <w:rPr>
          <w:rFonts w:ascii="times" w:hAnsi="times"/>
          <w:b/>
          <w:sz w:val="20"/>
        </w:rPr>
        <w:t xml:space="preserve">New York Stock Exchange </w:t>
      </w:r>
    </w:p>
    <w:p>
      <w:pPr>
        <w:pStyle w:val="TextBody"/>
        <w:rPr/>
      </w:pPr>
      <w:r>
        <w:rPr/>
        <w:t>        </w:t>
      </w:r>
      <w:r>
        <w:rPr>
          <w:rFonts w:ascii="times" w:hAnsi="times"/>
          <w:sz w:val="20"/>
        </w:rPr>
        <w:t xml:space="preserve">Our Class A shares are listed on the New York Stock Exchange under the symbol "PAGP." </w:t>
      </w:r>
    </w:p>
    <w:p>
      <w:pPr>
        <w:pStyle w:val="TextBody"/>
        <w:rPr>
          <w:rFonts w:ascii="times" w:hAnsi="times"/>
          <w:b/>
          <w:sz w:val="20"/>
        </w:rPr>
      </w:pPr>
      <w:r>
        <w:rPr>
          <w:rFonts w:ascii="times" w:hAnsi="times"/>
          <w:b/>
          <w:sz w:val="20"/>
        </w:rPr>
        <w:t xml:space="preserve">Stamp Taxes </w:t>
      </w:r>
    </w:p>
    <w:p>
      <w:pPr>
        <w:pStyle w:val="TextBody"/>
        <w:rPr/>
      </w:pPr>
      <w:r>
        <w:rPr/>
        <w:t>        </w:t>
      </w:r>
      <w:r>
        <w:rPr>
          <w:rFonts w:ascii="times" w:hAnsi="times"/>
          <w:sz w:val="20"/>
        </w:rPr>
        <w:t xml:space="preserve">If you purchase shares of Class A shares offered in this prospectus, you may be required to pay stamp taxes and other charges under the laws and practices of the country of purchase, in addition to the offering price listed on the cover page of this prospectus. </w:t>
      </w:r>
    </w:p>
    <w:p>
      <w:pPr>
        <w:pStyle w:val="TextBody"/>
        <w:rPr>
          <w:rFonts w:ascii="times" w:hAnsi="times"/>
          <w:b/>
          <w:sz w:val="20"/>
        </w:rPr>
      </w:pPr>
      <w:r>
        <w:rPr>
          <w:rFonts w:ascii="times" w:hAnsi="times"/>
          <w:b/>
          <w:sz w:val="20"/>
        </w:rPr>
        <w:t xml:space="preserve">Relationships </w:t>
      </w:r>
    </w:p>
    <w:p>
      <w:pPr>
        <w:pStyle w:val="TextBody"/>
        <w:rPr/>
      </w:pPr>
      <w:r>
        <w:rPr/>
        <w:t>        </w:t>
      </w:r>
      <w:r>
        <w:rPr>
          <w:rFonts w:ascii="times" w:hAnsi="times"/>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w:t>
      </w:r>
    </w:p>
    <w:p>
      <w:pPr>
        <w:pStyle w:val="TextBody"/>
        <w:jc w:val="center"/>
        <w:rPr>
          <w:rFonts w:ascii="times" w:hAnsi="times"/>
          <w:sz w:val="20"/>
        </w:rPr>
      </w:pPr>
      <w:r>
        <w:rPr>
          <w:rFonts w:ascii="times" w:hAnsi="times"/>
          <w:sz w:val="20"/>
        </w:rPr>
        <w:t>40</w:t>
      </w:r>
    </w:p>
    <w:p>
      <w:pPr>
        <w:pStyle w:val="HorizontalLine"/>
        <w:pBdr>
          <w:bottom w:val="single" w:sz="20" w:space="0" w:color="808080"/>
        </w:pBdr>
        <w:rPr/>
      </w:pPr>
      <w:r>
        <w:rPr/>
      </w:r>
      <w:r>
        <w:br w:type="page"/>
      </w:r>
    </w:p>
    <w:p>
      <w:pPr>
        <w:pStyle w:val="TextBody"/>
        <w:rPr/>
      </w:pPr>
      <w:hyperlink w:anchor="bg76101a_main_toc">
        <w:bookmarkStart w:id="87" w:name="page_di76101_1_41"/>
        <w:bookmarkEnd w:id="87"/>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and other financial and non-financial activities and services. The underwriters and their affiliates have in the past, and may in the future, perform investment banking, commercial banking, advisory and other services for us and our respective affiliates, including PAA, from time to time for which they have received, and may in the future receive, customary fees and expenses. </w:t>
      </w:r>
    </w:p>
    <w:p>
      <w:pPr>
        <w:pStyle w:val="TextBody"/>
        <w:rPr/>
      </w:pPr>
      <w:r>
        <w:rPr/>
        <w:t>        </w:t>
      </w:r>
      <w:r>
        <w:rPr>
          <w:rFonts w:ascii="times" w:hAnsi="times"/>
          <w:sz w:val="20"/>
        </w:rPr>
        <w:t xml:space="preserve">Affiliates of each of the underwriters are lenders under AAP's term loan facility. Additionally, affiliates of each of the underwriters are lenders under PAA's senior unsecured revolving credit facility and PAA's senior secured hedged inventory facility. None of the affiliates of such underwriters will receive any proceeds of this offering as a result of their lending relationships with AAP and/or PAA. Further, each of the underwriters have entered into an equity distribution agreement with PAA pursuant to which they have sold and may sell common units of PAA as part of PAA's continuous offering program. </w:t>
      </w:r>
    </w:p>
    <w:p>
      <w:pPr>
        <w:pStyle w:val="TextBody"/>
        <w:rPr/>
      </w:pPr>
      <w:r>
        <w:rPr/>
        <w:t>        </w:t>
      </w:r>
      <w:r>
        <w:rPr>
          <w:rFonts w:ascii="times" w:hAnsi="times"/>
          <w:sz w:val="20"/>
        </w:rPr>
        <w:t xml:space="preserve">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securities and instruments of ours or our affiliates. The underwriters and their affiliates may also make investment recommendations or publish or express independent research views in respect of such securities or financial instruments and may hold, or recommend to clients that they acquire, long or short positions in such securities and instruments. </w:t>
      </w:r>
    </w:p>
    <w:p>
      <w:pPr>
        <w:pStyle w:val="TextBody"/>
        <w:rPr>
          <w:rFonts w:ascii="times" w:hAnsi="times"/>
          <w:b/>
          <w:sz w:val="20"/>
        </w:rPr>
      </w:pPr>
      <w:r>
        <w:rPr>
          <w:rFonts w:ascii="times" w:hAnsi="times"/>
          <w:b/>
          <w:sz w:val="20"/>
        </w:rPr>
        <w:t xml:space="preserve">Selling Restrictions </w:t>
      </w:r>
    </w:p>
    <w:p>
      <w:pPr>
        <w:pStyle w:val="TextBody"/>
        <w:numPr>
          <w:ilvl w:val="0"/>
          <w:numId w:val="0"/>
        </w:numPr>
        <w:ind w:left="707" w:hanging="0"/>
        <w:rPr>
          <w:rFonts w:ascii="times" w:hAnsi="times"/>
          <w:i/>
          <w:sz w:val="20"/>
        </w:rPr>
      </w:pPr>
      <w:r>
        <w:rPr>
          <w:rFonts w:ascii="times" w:hAnsi="times"/>
          <w:i/>
          <w:sz w:val="20"/>
        </w:rPr>
        <w:t xml:space="preserve">Notice to Prospective Investors in the European Economic Area </w:t>
      </w:r>
    </w:p>
    <w:p>
      <w:pPr>
        <w:pStyle w:val="TextBody"/>
        <w:rPr/>
      </w:pPr>
      <w:r>
        <w:rPr/>
        <w:t>        </w:t>
      </w:r>
      <w:r>
        <w:rPr>
          <w:rFonts w:ascii="times" w:hAnsi="times"/>
          <w:sz w:val="20"/>
        </w:rPr>
        <w:t>In relation to each member state of the European Economic Area that has implemented the Prospectus Directive (each, a relevant member state), other than Germany, with effect from and including the date on which the Prospectus Directive is implemented in that relevant member state (the relevant implementation date), an offer of shares described in this prospectus may not be made to the public in that relevant member state other than:</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any legal entity which is a qualified investor as defined in the Prospectus Directive;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in any other circumstances falling within Article 3(2) of the Prospectus Directive, </w:t>
      </w:r>
    </w:p>
    <w:p>
      <w:pPr>
        <w:pStyle w:val="TextBody"/>
        <w:rPr>
          <w:rFonts w:ascii="times" w:hAnsi="times"/>
          <w:sz w:val="20"/>
        </w:rPr>
      </w:pPr>
      <w:r>
        <w:rPr>
          <w:rFonts w:ascii="times" w:hAnsi="times"/>
          <w:sz w:val="20"/>
        </w:rPr>
        <w:t xml:space="preserve">provided that no such offer of shares shall require us or any underwriter to publish a prospectus pursuant to Article 3 of the Prospectus Directive. </w:t>
      </w:r>
    </w:p>
    <w:p>
      <w:pPr>
        <w:pStyle w:val="TextBody"/>
        <w:rPr/>
      </w:pPr>
      <w:r>
        <w:rPr/>
        <w:t>        </w:t>
      </w:r>
      <w:r>
        <w:rPr>
          <w:rFonts w:ascii="times" w:hAnsi="times"/>
          <w:sz w:val="20"/>
        </w:rPr>
        <w:t xml:space="preserve">For purposes of this provision, the expression an "offer of securities to the public" in any relevant member state means the communication in any form and by any means of sufficient information on the terms of the offer and the shares to be offered so as to enable an investor to decide to purchase or subscribe for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each relevant member state) and includes any relevant implementing measure in the relevant member state. The expression 2010 PD Amending Directive means Directive 2010/73/EU. </w:t>
      </w:r>
    </w:p>
    <w:p>
      <w:pPr>
        <w:pStyle w:val="TextBody"/>
        <w:jc w:val="center"/>
        <w:rPr>
          <w:rFonts w:ascii="times" w:hAnsi="times"/>
          <w:sz w:val="20"/>
        </w:rPr>
      </w:pPr>
      <w:r>
        <w:rPr>
          <w:rFonts w:ascii="times" w:hAnsi="times"/>
          <w:sz w:val="20"/>
        </w:rPr>
        <w:t>41</w:t>
      </w:r>
    </w:p>
    <w:p>
      <w:pPr>
        <w:pStyle w:val="HorizontalLine"/>
        <w:pBdr>
          <w:bottom w:val="single" w:sz="20" w:space="0" w:color="808080"/>
        </w:pBdr>
        <w:rPr/>
      </w:pPr>
      <w:r>
        <w:rPr/>
      </w:r>
      <w:r>
        <w:br w:type="page"/>
      </w:r>
    </w:p>
    <w:p>
      <w:pPr>
        <w:pStyle w:val="TextBody"/>
        <w:rPr/>
      </w:pPr>
      <w:hyperlink w:anchor="bg76101a_main_toc">
        <w:bookmarkStart w:id="88" w:name="page_di76101_1_42"/>
        <w:bookmarkEnd w:id="88"/>
        <w:r>
          <w:rPr>
            <w:rStyle w:val="InternetLink"/>
            <w:rFonts w:ascii="times" w:hAnsi="times"/>
            <w:sz w:val="20"/>
          </w:rPr>
          <w:t>Table of Contents</w:t>
        </w:r>
      </w:hyperlink>
    </w:p>
    <w:p>
      <w:pPr>
        <w:pStyle w:val="TextBody"/>
        <w:rPr/>
      </w:pPr>
      <w:r>
        <w:rPr/>
        <w:t>        </w:t>
      </w:r>
      <w:r>
        <w:rPr>
          <w:rFonts w:ascii="times" w:hAnsi="times"/>
          <w:sz w:val="20"/>
        </w:rPr>
        <w:t xml:space="preserve">We have not authorized and do not authorize the making of any offer of shares through any financial intermediary on their behalf, other than offers made by the underwriters with a view to the final placement of the shares as contemplated in this prospectus. Accordingly, no purchaser of the shares, other than the underwriters, is authorized to make any further offer of the shares on behalf of us or the underwriters. </w:t>
      </w:r>
    </w:p>
    <w:p>
      <w:pPr>
        <w:pStyle w:val="TextBody"/>
        <w:numPr>
          <w:ilvl w:val="0"/>
          <w:numId w:val="0"/>
        </w:numPr>
        <w:ind w:left="707" w:hanging="0"/>
        <w:rPr>
          <w:rFonts w:ascii="times" w:hAnsi="times"/>
          <w:i/>
          <w:sz w:val="20"/>
        </w:rPr>
      </w:pPr>
      <w:r>
        <w:rPr>
          <w:rFonts w:ascii="times" w:hAnsi="times"/>
          <w:i/>
          <w:sz w:val="20"/>
        </w:rPr>
        <w:t xml:space="preserve">Notice to Prospective Investors in the United Kingdom </w:t>
      </w:r>
    </w:p>
    <w:p>
      <w:pPr>
        <w:pStyle w:val="TextBody"/>
        <w:rPr/>
      </w:pPr>
      <w:r>
        <w:rPr/>
        <w:t>        </w:t>
      </w:r>
      <w:r>
        <w:rPr>
          <w:rFonts w:ascii="times" w:hAnsi="times"/>
          <w:sz w:val="20"/>
        </w:rPr>
        <w:t xml:space="preserve">Our partnership may constitute a "collective investment scheme" as defined by section 235 of the Financial Services and Markets Act 2000 (FSMA) that is not a "recognised collective investment scheme" for the purposes of FSMA (CIS) and that has not been authorised or otherwise approved. As an unregulated scheme, it cannot be marketed in the United Kingdom to the general public, except in accordance with FSMA. This prospectus is only being distributed in the United Kingdom to, and is only directed at: </w:t>
      </w:r>
    </w:p>
    <w:p>
      <w:pPr>
        <w:pStyle w:val="ListHeading"/>
        <w:numPr>
          <w:ilvl w:val="0"/>
          <w:numId w:val="0"/>
        </w:numPr>
        <w:spacing w:before="0" w:after="0"/>
        <w:ind w:left="707" w:right="0" w:hanging="0"/>
        <w:rPr>
          <w:rFonts w:ascii="times" w:hAnsi="times"/>
          <w:sz w:val="20"/>
        </w:rPr>
      </w:pPr>
      <w:r>
        <w:rPr>
          <w:rFonts w:ascii="times" w:hAnsi="times"/>
          <w:sz w:val="20"/>
        </w:rPr>
        <w:t>(1)</w:t>
      </w:r>
    </w:p>
    <w:p>
      <w:pPr>
        <w:pStyle w:val="ListContents"/>
        <w:numPr>
          <w:ilvl w:val="0"/>
          <w:numId w:val="0"/>
        </w:numPr>
        <w:spacing w:before="0" w:after="283"/>
        <w:ind w:left="1274" w:right="0" w:hanging="0"/>
        <w:rPr>
          <w:rFonts w:ascii="times" w:hAnsi="times"/>
          <w:sz w:val="20"/>
        </w:rPr>
      </w:pPr>
      <w:r>
        <w:rPr>
          <w:rFonts w:ascii="times" w:hAnsi="times"/>
          <w:sz w:val="20"/>
        </w:rPr>
        <w:t xml:space="preserve">if our partnership is a CIS and is marketed by a person who is an authorised person under FSMA, (a) investment professionals falling within Article 14(5) of the Financial Services and Markets Act 2000 (Promotion of Collective Investment Schemes) (Exemptions) Order 2001, as amended (the CIS Promotion Order) or (b) high net worth companies and other persons falling within Article 22(2)(a) to (d) of the CIS Promotion Order; or </w:t>
      </w:r>
    </w:p>
    <w:p>
      <w:pPr>
        <w:pStyle w:val="ListHeading"/>
        <w:numPr>
          <w:ilvl w:val="0"/>
          <w:numId w:val="0"/>
        </w:numPr>
        <w:spacing w:before="0" w:after="0"/>
        <w:ind w:left="707" w:right="0" w:hanging="0"/>
        <w:rPr>
          <w:rFonts w:ascii="times" w:hAnsi="times"/>
          <w:sz w:val="20"/>
        </w:rPr>
      </w:pPr>
      <w:r>
        <w:rPr>
          <w:rFonts w:ascii="times" w:hAnsi="times"/>
          <w:sz w:val="20"/>
        </w:rPr>
        <w:t>(2)</w:t>
      </w:r>
    </w:p>
    <w:p>
      <w:pPr>
        <w:pStyle w:val="ListContents"/>
        <w:numPr>
          <w:ilvl w:val="0"/>
          <w:numId w:val="0"/>
        </w:numPr>
        <w:spacing w:before="0" w:after="283"/>
        <w:ind w:left="1274" w:right="0" w:hanging="0"/>
        <w:rPr>
          <w:rFonts w:ascii="times" w:hAnsi="times"/>
          <w:sz w:val="20"/>
        </w:rPr>
      </w:pPr>
      <w:r>
        <w:rPr>
          <w:rFonts w:ascii="times" w:hAnsi="times"/>
          <w:sz w:val="20"/>
        </w:rPr>
        <w:t xml:space="preserve">otherwise, if marketed by a person who is not an authorised person under FSMA, (a) persons who fall within Article 19(5) of the Financial Services and Markets Act 2000 (Financial Promotion) Order 2005, as amended (the Financial Promotion Order) or (b) Article 49(2)(a) to (d) of the Financial Promotion Order; and </w:t>
      </w:r>
    </w:p>
    <w:p>
      <w:pPr>
        <w:pStyle w:val="ListHeading"/>
        <w:numPr>
          <w:ilvl w:val="0"/>
          <w:numId w:val="0"/>
        </w:numPr>
        <w:spacing w:before="0" w:after="0"/>
        <w:ind w:left="707" w:right="0" w:hanging="0"/>
        <w:rPr>
          <w:rFonts w:ascii="times" w:hAnsi="times"/>
          <w:sz w:val="20"/>
        </w:rPr>
      </w:pPr>
      <w:r>
        <w:rPr>
          <w:rFonts w:ascii="times" w:hAnsi="times"/>
          <w:sz w:val="20"/>
        </w:rPr>
        <w:t>(3)</w:t>
      </w:r>
    </w:p>
    <w:p>
      <w:pPr>
        <w:pStyle w:val="ListContents"/>
        <w:numPr>
          <w:ilvl w:val="0"/>
          <w:numId w:val="0"/>
        </w:numPr>
        <w:spacing w:before="0" w:after="283"/>
        <w:ind w:left="1274" w:right="0" w:hanging="0"/>
        <w:rPr>
          <w:rFonts w:ascii="times" w:hAnsi="times"/>
          <w:sz w:val="20"/>
        </w:rPr>
      </w:pPr>
      <w:r>
        <w:rPr>
          <w:rFonts w:ascii="times" w:hAnsi="times"/>
          <w:sz w:val="20"/>
        </w:rPr>
        <w:t xml:space="preserve">in both cases (1) and (2) to any other person to whom it may otherwise lawfully be made (all such persons together being referred to as "relevant persons"). </w:t>
      </w:r>
    </w:p>
    <w:p>
      <w:pPr>
        <w:pStyle w:val="TextBody"/>
        <w:rPr/>
      </w:pPr>
      <w:r>
        <w:rPr/>
        <w:t>        </w:t>
      </w:r>
      <w:r>
        <w:rPr>
          <w:rFonts w:ascii="times" w:hAnsi="times"/>
          <w:sz w:val="20"/>
        </w:rPr>
        <w:t xml:space="preserve">Our partnership's shares are only available to, and any invitation, offer or agreement to subscribe, purchase or otherwise acquire such shares will be engaged in only with, relevant persons. Any person who is not a relevant person should not act or rely on this document or any of its contents. </w:t>
      </w:r>
    </w:p>
    <w:p>
      <w:pPr>
        <w:pStyle w:val="TextBody"/>
        <w:rPr/>
      </w:pPr>
      <w:r>
        <w:rPr/>
        <w:t>        </w:t>
      </w:r>
      <w:r>
        <w:rPr>
          <w:rFonts w:ascii="times" w:hAnsi="times"/>
          <w:sz w:val="20"/>
        </w:rPr>
        <w:t xml:space="preserve">An invitation or inducement to engage in investment activity (within the meaning of Section 21 of FSMA) in connection with the issue or sale of any shares which are the subject of the offering contemplated by this prospectus will only be communicated or caused to be communicated in circumstances in which Section 21(1) of FSMA does not apply to our partnership. </w:t>
      </w:r>
    </w:p>
    <w:p>
      <w:pPr>
        <w:pStyle w:val="TextBody"/>
        <w:numPr>
          <w:ilvl w:val="0"/>
          <w:numId w:val="0"/>
        </w:numPr>
        <w:ind w:left="707" w:hanging="0"/>
        <w:rPr>
          <w:rFonts w:ascii="times" w:hAnsi="times"/>
          <w:i/>
          <w:sz w:val="20"/>
        </w:rPr>
      </w:pPr>
      <w:r>
        <w:rPr>
          <w:rFonts w:ascii="times" w:hAnsi="times"/>
          <w:i/>
          <w:sz w:val="20"/>
        </w:rPr>
        <w:t xml:space="preserve">Notice to Prospective Investors in Switzerland </w:t>
      </w:r>
    </w:p>
    <w:p>
      <w:pPr>
        <w:pStyle w:val="TextBody"/>
        <w:rPr/>
      </w:pPr>
      <w:r>
        <w:rPr/>
        <w:t>        </w:t>
      </w:r>
      <w:r>
        <w:rPr>
          <w:rFonts w:ascii="times" w:hAnsi="times"/>
          <w:sz w:val="20"/>
        </w:rPr>
        <w:t xml:space="preserve">This prospectus is being communicated in Switzerland to a small number of selected investors only. Each copy of this prospectus is addressed to a specifically named recipient and may not be copied, reproduced, distributed or passed on to third parties. Our shares are not being offered to the public in Switzerland, and neither this prospectus, nor any other offering materials relating to our shares may be distributed in connection with any such public offering. We have not been registered with the Swiss Financial Market Supervisory Authority FINMA as a foreign collective investment scheme pursuant to Article 120 of the Collective Investment Schemes Act of June 23, 2006 (CISA). Accordingly, our shares may not be offered to the public in or from Switzerland, and neither this prospectus, nor any other offering materials relating to our shares may be made available through a public offering in or from Switzerland. Our shares may only be offered and this prospectus may only be distributed in or from Switzerland by way of private placement exclusively to qualified investors (as this term is defined in the CISA and its implementing ordinance). </w:t>
      </w:r>
    </w:p>
    <w:p>
      <w:pPr>
        <w:pStyle w:val="TextBody"/>
        <w:jc w:val="center"/>
        <w:rPr>
          <w:rFonts w:ascii="times" w:hAnsi="times"/>
          <w:sz w:val="20"/>
        </w:rPr>
      </w:pPr>
      <w:r>
        <w:rPr>
          <w:rFonts w:ascii="times" w:hAnsi="times"/>
          <w:sz w:val="20"/>
        </w:rPr>
        <w:t>42</w:t>
      </w:r>
    </w:p>
    <w:p>
      <w:pPr>
        <w:pStyle w:val="HorizontalLine"/>
        <w:pBdr>
          <w:bottom w:val="single" w:sz="20" w:space="0" w:color="808080"/>
        </w:pBdr>
        <w:rPr/>
      </w:pPr>
      <w:r>
        <w:rPr/>
      </w:r>
      <w:r>
        <w:br w:type="page"/>
      </w:r>
    </w:p>
    <w:p>
      <w:pPr>
        <w:pStyle w:val="TextBody"/>
        <w:rPr/>
      </w:pPr>
      <w:hyperlink w:anchor="bg76101a_main_toc">
        <w:bookmarkStart w:id="89" w:name="page_di76101_1_43"/>
        <w:bookmarkEnd w:id="89"/>
        <w:r>
          <w:rPr>
            <w:rStyle w:val="InternetLink"/>
            <w:rFonts w:ascii="times" w:hAnsi="times"/>
            <w:sz w:val="20"/>
          </w:rPr>
          <w:t>Table of Contents</w:t>
        </w:r>
      </w:hyperlink>
    </w:p>
    <w:p>
      <w:pPr>
        <w:pStyle w:val="TextBody"/>
        <w:numPr>
          <w:ilvl w:val="0"/>
          <w:numId w:val="0"/>
        </w:numPr>
        <w:ind w:left="707" w:hanging="0"/>
        <w:rPr>
          <w:rFonts w:ascii="times" w:hAnsi="times"/>
          <w:i/>
          <w:sz w:val="20"/>
        </w:rPr>
      </w:pPr>
      <w:r>
        <w:rPr>
          <w:rFonts w:ascii="times" w:hAnsi="times"/>
          <w:i/>
          <w:sz w:val="20"/>
        </w:rPr>
        <w:t xml:space="preserve">Notice to Prospective Investors in Germany </w:t>
      </w:r>
    </w:p>
    <w:p>
      <w:pPr>
        <w:pStyle w:val="TextBody"/>
        <w:rPr/>
      </w:pPr>
      <w:r>
        <w:rPr/>
        <w:t>        </w:t>
      </w:r>
      <w:r>
        <w:rPr>
          <w:rFonts w:ascii="times" w:hAnsi="times"/>
          <w:sz w:val="20"/>
        </w:rPr>
        <w:t>This document has not been prepared in accordance with the requirements for a securities or sales prospectus under the German Securities Prospectus Act (</w:t>
      </w:r>
      <w:r>
        <w:rPr>
          <w:rFonts w:ascii="times" w:hAnsi="times"/>
          <w:i/>
          <w:sz w:val="20"/>
        </w:rPr>
        <w:t>Wertpapierprospektgesetz</w:t>
      </w:r>
      <w:r>
        <w:rPr>
          <w:rFonts w:ascii="times" w:hAnsi="times"/>
          <w:sz w:val="20"/>
        </w:rPr>
        <w:t>), the German Sales Prospectus Act (</w:t>
      </w:r>
      <w:r>
        <w:rPr>
          <w:rFonts w:ascii="times" w:hAnsi="times"/>
          <w:i/>
          <w:sz w:val="20"/>
        </w:rPr>
        <w:t>Verkaufsprospektgesetz</w:t>
      </w:r>
      <w:r>
        <w:rPr>
          <w:rFonts w:ascii="times" w:hAnsi="times"/>
          <w:sz w:val="20"/>
        </w:rPr>
        <w:t>), or the German Investment Act (Investmentgesetz). Neither the German Federal Financial Services Supervisory Authority (</w:t>
      </w:r>
      <w:r>
        <w:rPr>
          <w:rFonts w:ascii="times" w:hAnsi="times"/>
          <w:i/>
          <w:sz w:val="20"/>
        </w:rPr>
        <w:t>Bundesanstalt für Finanzdienstleistungsaufsicht</w:t>
      </w:r>
      <w:r>
        <w:rPr>
          <w:rFonts w:ascii="times" w:hAnsi="times"/>
          <w:sz w:val="20"/>
        </w:rPr>
        <w:t xml:space="preserve">BaFin) nor any other German authority has been notified of the intention to distribute our shares in Germany. Consequently, our shares may not be distributed in Germany by way of public offering, public advertisement or in any similar manner and this document and any other document relating to the offering, as well as information or statements contained therein, may not be supplied to the public in Germany or used in connection with any offer for subscription of our shares to the public in Germany or any other means of public marketing. Our shares are being offered and sold in Germany only to qualified investors which are referred to in Section 3, paragraph 2 no. 1, in connection with Section 2, no. 6, of the German Securities Prospectus Act, Section 8f paragraph 2 no. 4 of the German Sales Prospectus Act, and in Section 2 paragraph 11 sentence 2 no. 1 of the German Investment Act. This document is strictly for use of the person who has received it. It may not be forwarded to other persons or published in Germany. </w:t>
      </w:r>
    </w:p>
    <w:p>
      <w:pPr>
        <w:pStyle w:val="TextBody"/>
        <w:rPr/>
      </w:pPr>
      <w:r>
        <w:rPr/>
        <w:t>        </w:t>
      </w:r>
      <w:r>
        <w:rPr>
          <w:rFonts w:ascii="times" w:hAnsi="times"/>
          <w:sz w:val="20"/>
        </w:rPr>
        <w:t xml:space="preserve">The offering does not constitute an offer to sell or the solicitation of an offer to buy our shares in any circumstances in which such offer or solicitation is unlawful. </w:t>
      </w:r>
    </w:p>
    <w:p>
      <w:pPr>
        <w:pStyle w:val="TextBody"/>
        <w:numPr>
          <w:ilvl w:val="0"/>
          <w:numId w:val="0"/>
        </w:numPr>
        <w:ind w:left="707" w:hanging="0"/>
        <w:rPr>
          <w:rFonts w:ascii="times" w:hAnsi="times"/>
          <w:i/>
          <w:sz w:val="20"/>
        </w:rPr>
      </w:pPr>
      <w:r>
        <w:rPr>
          <w:rFonts w:ascii="times" w:hAnsi="times"/>
          <w:i/>
          <w:sz w:val="20"/>
        </w:rPr>
        <w:t xml:space="preserve">Notice to Prospective Investors in the Netherlands </w:t>
      </w:r>
    </w:p>
    <w:p>
      <w:pPr>
        <w:pStyle w:val="TextBody"/>
        <w:rPr/>
      </w:pPr>
      <w:r>
        <w:rPr/>
        <w:t>        </w:t>
      </w:r>
      <w:r>
        <w:rPr>
          <w:rFonts w:ascii="times" w:hAnsi="times"/>
          <w:sz w:val="20"/>
        </w:rPr>
        <w:t>Our shares may not be offered or sold, directly or indirectly, in the Netherlands, other than to qualified investors (</w:t>
      </w:r>
      <w:r>
        <w:rPr>
          <w:rFonts w:ascii="times" w:hAnsi="times"/>
          <w:i/>
          <w:sz w:val="20"/>
        </w:rPr>
        <w:t>gekwalificeerde beleggers</w:t>
      </w:r>
      <w:r>
        <w:rPr>
          <w:rFonts w:ascii="times" w:hAnsi="times"/>
          <w:sz w:val="20"/>
        </w:rPr>
        <w:t>) within the meaning of Article 1:1 of the Dutch Financial Supervision Act (</w:t>
      </w:r>
      <w:r>
        <w:rPr>
          <w:rFonts w:ascii="times" w:hAnsi="times"/>
          <w:i/>
          <w:sz w:val="20"/>
        </w:rPr>
        <w:t>Wet op het financieel toezicht</w:t>
      </w:r>
      <w:r>
        <w:rPr>
          <w:rFonts w:ascii="times" w:hAnsi="times"/>
          <w:sz w:val="20"/>
        </w:rPr>
        <w:t xml:space="preserve">). </w:t>
      </w:r>
    </w:p>
    <w:p>
      <w:pPr>
        <w:pStyle w:val="TextBody"/>
        <w:numPr>
          <w:ilvl w:val="0"/>
          <w:numId w:val="0"/>
        </w:numPr>
        <w:ind w:left="707" w:hanging="0"/>
        <w:rPr>
          <w:rFonts w:ascii="times" w:hAnsi="times"/>
          <w:i/>
          <w:sz w:val="20"/>
        </w:rPr>
      </w:pPr>
      <w:r>
        <w:rPr>
          <w:rFonts w:ascii="times" w:hAnsi="times"/>
          <w:i/>
          <w:sz w:val="20"/>
        </w:rPr>
        <w:t xml:space="preserve">Notice to Prospective Investors in Australia </w:t>
      </w:r>
    </w:p>
    <w:p>
      <w:pPr>
        <w:pStyle w:val="TextBody"/>
        <w:rPr/>
      </w:pPr>
      <w:r>
        <w:rPr/>
        <w:t>        </w:t>
      </w:r>
      <w:r>
        <w:rPr>
          <w:rFonts w:ascii="times" w:hAnsi="times"/>
          <w:sz w:val="20"/>
        </w:rPr>
        <w:t xml:space="preserve">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rPr/>
      </w:pPr>
      <w:r>
        <w:rPr/>
        <w:t>        </w:t>
      </w:r>
      <w:r>
        <w:rPr>
          <w:rFonts w:ascii="times" w:hAnsi="times"/>
          <w:sz w:val="20"/>
        </w:rPr>
        <w:t xml:space="preserve">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 </w:t>
      </w:r>
    </w:p>
    <w:p>
      <w:pPr>
        <w:pStyle w:val="TextBody"/>
        <w:rPr/>
      </w:pPr>
      <w:r>
        <w:rPr/>
        <w:t>        </w:t>
      </w:r>
      <w:r>
        <w:rPr>
          <w:rFonts w:ascii="times" w:hAnsi="times"/>
          <w:sz w:val="20"/>
        </w:rPr>
        <w:t xml:space="preserve">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 </w:t>
      </w:r>
    </w:p>
    <w:p>
      <w:pPr>
        <w:pStyle w:val="TextBody"/>
        <w:rPr/>
      </w:pPr>
      <w:r>
        <w:rPr/>
        <w:t>        </w:t>
      </w:r>
      <w:r>
        <w:rPr>
          <w:rFonts w:ascii="times" w:hAnsi="times"/>
          <w:sz w:val="20"/>
        </w:rPr>
        <w:t xml:space="preserve">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 </w:t>
      </w:r>
    </w:p>
    <w:p>
      <w:pPr>
        <w:pStyle w:val="TextBody"/>
        <w:jc w:val="center"/>
        <w:rPr>
          <w:rFonts w:ascii="times" w:hAnsi="times"/>
          <w:sz w:val="20"/>
        </w:rPr>
      </w:pPr>
      <w:r>
        <w:rPr>
          <w:rFonts w:ascii="times" w:hAnsi="times"/>
          <w:sz w:val="20"/>
        </w:rPr>
        <w:t>43</w:t>
      </w:r>
    </w:p>
    <w:p>
      <w:pPr>
        <w:pStyle w:val="HorizontalLine"/>
        <w:pBdr>
          <w:bottom w:val="single" w:sz="20" w:space="0" w:color="808080"/>
        </w:pBdr>
        <w:rPr/>
      </w:pPr>
      <w:r>
        <w:rPr/>
      </w:r>
      <w:r>
        <w:br w:type="page"/>
      </w:r>
    </w:p>
    <w:p>
      <w:pPr>
        <w:pStyle w:val="TextBody"/>
        <w:rPr/>
      </w:pPr>
      <w:hyperlink w:anchor="bg76101a_main_toc">
        <w:bookmarkStart w:id="90" w:name="page_di76101_1_44"/>
        <w:bookmarkEnd w:id="90"/>
        <w:r>
          <w:rPr>
            <w:rStyle w:val="InternetLink"/>
            <w:rFonts w:ascii="times" w:hAnsi="times"/>
            <w:sz w:val="20"/>
          </w:rPr>
          <w:t>Table of Contents</w:t>
        </w:r>
      </w:hyperlink>
    </w:p>
    <w:p>
      <w:pPr>
        <w:pStyle w:val="TextBody"/>
        <w:numPr>
          <w:ilvl w:val="0"/>
          <w:numId w:val="0"/>
        </w:numPr>
        <w:ind w:left="707" w:hanging="0"/>
        <w:rPr>
          <w:rFonts w:ascii="times" w:hAnsi="times"/>
          <w:i/>
          <w:sz w:val="20"/>
        </w:rPr>
      </w:pPr>
      <w:r>
        <w:rPr>
          <w:rFonts w:ascii="times" w:hAnsi="times"/>
          <w:i/>
          <w:sz w:val="20"/>
        </w:rPr>
        <w:t xml:space="preserve">Notice to Prospective Investors in Hong Kong </w:t>
      </w:r>
    </w:p>
    <w:p>
      <w:pPr>
        <w:pStyle w:val="TextBody"/>
        <w:rPr/>
      </w:pPr>
      <w:r>
        <w:rPr/>
        <w:t>        </w:t>
      </w:r>
      <w:r>
        <w:rPr>
          <w:rFonts w:ascii="times" w:hAnsi="times"/>
          <w:sz w:val="20"/>
        </w:rPr>
        <w:t xml:space="preserve">The shares have not been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 </w:t>
      </w:r>
    </w:p>
    <w:p>
      <w:pPr>
        <w:pStyle w:val="TextBody"/>
        <w:jc w:val="center"/>
        <w:rPr>
          <w:rFonts w:ascii="times" w:hAnsi="times"/>
          <w:sz w:val="20"/>
        </w:rPr>
      </w:pPr>
      <w:r>
        <w:rPr>
          <w:rFonts w:ascii="times" w:hAnsi="times"/>
          <w:sz w:val="20"/>
        </w:rPr>
        <w:t>44</w:t>
      </w:r>
    </w:p>
    <w:p>
      <w:pPr>
        <w:pStyle w:val="HorizontalLine"/>
        <w:pBdr>
          <w:bottom w:val="single" w:sz="20" w:space="0" w:color="808080"/>
        </w:pBdr>
        <w:rPr/>
      </w:pPr>
      <w:r>
        <w:rPr/>
      </w:r>
      <w:r>
        <w:br w:type="page"/>
      </w:r>
    </w:p>
    <w:p>
      <w:pPr>
        <w:pStyle w:val="TextBody"/>
        <w:rPr/>
      </w:pPr>
      <w:hyperlink w:anchor="bg76101a_main_toc">
        <w:bookmarkStart w:id="91" w:name="page_dk76101_1_45"/>
        <w:bookmarkEnd w:id="91"/>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92" w:name="toc_dk76101_1"/>
      <w:bookmarkStart w:id="93" w:name="dk76101_legal_matters"/>
      <w:bookmarkEnd w:id="92"/>
      <w:bookmarkEnd w:id="93"/>
      <w:r>
        <w:rPr>
          <w:rFonts w:ascii="times" w:hAnsi="times"/>
          <w:sz w:val="20"/>
        </w:rPr>
        <w:br/>
      </w:r>
      <w:r>
        <w:rPr>
          <w:rFonts w:ascii="times" w:hAnsi="times"/>
          <w:b/>
          <w:sz w:val="20"/>
        </w:rPr>
        <w:t xml:space="preserve">LEGAL MATTERS </w:t>
      </w:r>
    </w:p>
    <w:p>
      <w:pPr>
        <w:pStyle w:val="TextBody"/>
        <w:rPr/>
      </w:pPr>
      <w:r>
        <w:rPr/>
        <w:t>        </w:t>
      </w:r>
      <w:r>
        <w:rPr>
          <w:rFonts w:ascii="times" w:hAnsi="times"/>
          <w:sz w:val="20"/>
        </w:rPr>
        <w:t xml:space="preserve">The validity of the Class A shares will be passed upon for us by Vinson &amp; Elkins L.L.P., Houston, Texas. Certain legal matters in connection with the Class A shares offered hereby will be passed upon for the underwriters by Baker Botts L.L.P., Houston, Texas. Certain legal matters in connection with the Class A shares offered hereby will be passed upon for the selling shareholder by Kirkland &amp; Ellis LLP, New York, New York. </w:t>
      </w:r>
    </w:p>
    <w:p>
      <w:pPr>
        <w:pStyle w:val="TextBody"/>
        <w:jc w:val="center"/>
        <w:rPr>
          <w:rFonts w:ascii="times" w:hAnsi="times"/>
        </w:rPr>
      </w:pPr>
      <w:bookmarkStart w:id="94" w:name="toc_dk76101_2"/>
      <w:bookmarkStart w:id="95" w:name="dk76101_experts"/>
      <w:bookmarkEnd w:id="94"/>
      <w:bookmarkEnd w:id="95"/>
      <w:r>
        <w:rPr>
          <w:rFonts w:ascii="times" w:hAnsi="times"/>
          <w:sz w:val="20"/>
        </w:rPr>
        <w:br/>
      </w:r>
      <w:r>
        <w:rPr>
          <w:rFonts w:ascii="times" w:hAnsi="times"/>
          <w:b/>
          <w:sz w:val="20"/>
        </w:rPr>
        <w:t xml:space="preserve">EXPERTS </w:t>
      </w:r>
    </w:p>
    <w:p>
      <w:pPr>
        <w:pStyle w:val="TextBody"/>
        <w:rPr/>
      </w:pPr>
      <w:r>
        <w:rPr/>
        <w:t>        </w:t>
      </w:r>
      <w:r>
        <w:rPr>
          <w:rFonts w:ascii="times" w:hAnsi="times"/>
          <w:sz w:val="20"/>
        </w:rPr>
        <w:t xml:space="preserve">The financial statements incorporated in this prospectus by reference to the Plains GP Holdings, L.P. Annual Report on Form 10-K for the year ended December 31, 2013 have been so incorporated in reliance on the report of PricewaterhouseCoopers LLP, an independent registered public accounting firm, given on the authority of said firm as experts in accounting and auditing. </w:t>
      </w:r>
    </w:p>
    <w:p>
      <w:pPr>
        <w:pStyle w:val="TextBody"/>
        <w:jc w:val="center"/>
        <w:rPr>
          <w:rFonts w:ascii="times" w:hAnsi="times"/>
          <w:sz w:val="20"/>
        </w:rPr>
      </w:pPr>
      <w:r>
        <w:rPr>
          <w:rFonts w:ascii="times" w:hAnsi="times"/>
          <w:sz w:val="20"/>
        </w:rPr>
        <w:t>45</w:t>
      </w:r>
    </w:p>
    <w:p>
      <w:pPr>
        <w:pStyle w:val="HorizontalLine"/>
        <w:pBdr>
          <w:bottom w:val="single" w:sz="20" w:space="0" w:color="808080"/>
        </w:pBdr>
        <w:rPr/>
      </w:pPr>
      <w:r>
        <w:rPr/>
      </w:r>
      <w:r>
        <w:br w:type="page"/>
      </w:r>
    </w:p>
    <w:p>
      <w:pPr>
        <w:pStyle w:val="TextBody"/>
        <w:rPr/>
      </w:pPr>
      <w:hyperlink w:anchor="bg76101a_main_toc">
        <w:bookmarkStart w:id="96" w:name="page_ha76101_1_1"/>
        <w:bookmarkEnd w:id="96"/>
        <w:r>
          <w:rPr>
            <w:rStyle w:val="InternetLink"/>
            <w:rFonts w:ascii="times" w:hAnsi="times"/>
            <w:sz w:val="20"/>
          </w:rPr>
          <w:t>Table of Contents</w:t>
        </w:r>
      </w:hyperlink>
      <w:r>
        <w:rPr>
          <w:rFonts w:ascii="times" w:hAnsi="times"/>
          <w:sz w:val="20"/>
        </w:rPr>
        <w:t xml:space="preserve"> </w:t>
      </w:r>
    </w:p>
    <w:p>
      <w:pPr>
        <w:pStyle w:val="TextBody"/>
        <w:jc w:val="right"/>
        <w:rPr>
          <w:rFonts w:ascii="times" w:hAnsi="times"/>
        </w:rPr>
      </w:pPr>
      <w:bookmarkStart w:id="97" w:name="toc_ha76101_1"/>
      <w:bookmarkStart w:id="98" w:name="ha76101_appendix_a"/>
      <w:bookmarkEnd w:id="97"/>
      <w:bookmarkEnd w:id="98"/>
      <w:r>
        <w:rPr>
          <w:rFonts w:ascii="times" w:hAnsi="times"/>
          <w:sz w:val="20"/>
        </w:rPr>
        <w:br/>
      </w:r>
      <w:r>
        <w:rPr>
          <w:rFonts w:ascii="times" w:hAnsi="times"/>
          <w:b/>
          <w:sz w:val="20"/>
        </w:rPr>
        <w:t xml:space="preserve">APPENDIX A </w:t>
      </w:r>
    </w:p>
    <w:p>
      <w:pPr>
        <w:pStyle w:val="TextBody"/>
        <w:jc w:val="center"/>
        <w:rPr>
          <w:rFonts w:ascii="times" w:hAnsi="times"/>
          <w:b/>
          <w:sz w:val="20"/>
        </w:rPr>
      </w:pPr>
      <w:bookmarkStart w:id="99" w:name="toc_ha76101_2"/>
      <w:bookmarkStart w:id="100" w:name="ha76101_glossary_of_selected_terms"/>
      <w:bookmarkEnd w:id="99"/>
      <w:bookmarkEnd w:id="100"/>
      <w:r>
        <w:rPr>
          <w:rFonts w:ascii="times" w:hAnsi="times"/>
          <w:b/>
          <w:sz w:val="20"/>
        </w:rPr>
        <w:t xml:space="preserve">GLOSSARY OF SELECTED TERMS </w:t>
      </w:r>
    </w:p>
    <w:p>
      <w:pPr>
        <w:pStyle w:val="TextBody"/>
        <w:rPr/>
      </w:pPr>
      <w:r>
        <w:rPr/>
        <w:t>        </w:t>
      </w:r>
      <w:r>
        <w:rPr>
          <w:rFonts w:ascii="times" w:hAnsi="times"/>
          <w:b/>
          <w:i/>
          <w:sz w:val="20"/>
        </w:rPr>
        <w:t>AAP:</w:t>
      </w:r>
      <w:r>
        <w:rPr>
          <w:rFonts w:ascii="times" w:hAnsi="times"/>
        </w:rPr>
        <w:t>    </w:t>
      </w:r>
      <w:r>
        <w:rPr>
          <w:rFonts w:ascii="times" w:hAnsi="times"/>
          <w:sz w:val="20"/>
        </w:rPr>
        <w:t xml:space="preserve">Plains AAP, L.P. </w:t>
      </w:r>
    </w:p>
    <w:p>
      <w:pPr>
        <w:pStyle w:val="TextBody"/>
        <w:rPr/>
      </w:pPr>
      <w:r>
        <w:rPr/>
        <w:t>        </w:t>
      </w:r>
      <w:r>
        <w:rPr>
          <w:rFonts w:ascii="times" w:hAnsi="times"/>
          <w:b/>
          <w:i/>
          <w:sz w:val="20"/>
        </w:rPr>
        <w:t>AAP management units:</w:t>
      </w:r>
      <w:r>
        <w:rPr>
          <w:rFonts w:ascii="times" w:hAnsi="times"/>
        </w:rPr>
        <w:t>    </w:t>
      </w:r>
      <w:r>
        <w:rPr>
          <w:rFonts w:ascii="times" w:hAnsi="times"/>
          <w:sz w:val="20"/>
        </w:rPr>
        <w:t xml:space="preserve">Class B Units (representing profits interests) in AAP held by members of PAA management. </w:t>
      </w:r>
    </w:p>
    <w:p>
      <w:pPr>
        <w:pStyle w:val="TextBody"/>
        <w:rPr/>
      </w:pPr>
      <w:r>
        <w:rPr/>
        <w:t>        </w:t>
      </w:r>
      <w:r>
        <w:rPr>
          <w:rFonts w:ascii="times" w:hAnsi="times"/>
          <w:b/>
          <w:i/>
          <w:sz w:val="20"/>
        </w:rPr>
        <w:t>AAP units:</w:t>
      </w:r>
      <w:r>
        <w:rPr>
          <w:rFonts w:ascii="times" w:hAnsi="times"/>
        </w:rPr>
        <w:t>    </w:t>
      </w:r>
      <w:r>
        <w:rPr>
          <w:rFonts w:ascii="times" w:hAnsi="times"/>
          <w:sz w:val="20"/>
        </w:rPr>
        <w:t xml:space="preserve">Class A Units of AAP. </w:t>
      </w:r>
    </w:p>
    <w:p>
      <w:pPr>
        <w:pStyle w:val="TextBody"/>
        <w:rPr/>
      </w:pPr>
      <w:r>
        <w:rPr/>
        <w:t>        </w:t>
      </w:r>
      <w:r>
        <w:rPr>
          <w:rFonts w:ascii="times" w:hAnsi="times"/>
          <w:b/>
          <w:i/>
          <w:sz w:val="20"/>
        </w:rPr>
        <w:t>Barrel:</w:t>
      </w:r>
      <w:r>
        <w:rPr>
          <w:rFonts w:ascii="times" w:hAnsi="times"/>
        </w:rPr>
        <w:t>    </w:t>
      </w:r>
      <w:r>
        <w:rPr>
          <w:rFonts w:ascii="times" w:hAnsi="times"/>
          <w:sz w:val="20"/>
        </w:rPr>
        <w:t xml:space="preserve">One barrel of crude oil equals 42 U.S. gallons. </w:t>
      </w:r>
    </w:p>
    <w:p>
      <w:pPr>
        <w:pStyle w:val="TextBody"/>
        <w:rPr/>
      </w:pPr>
      <w:r>
        <w:rPr/>
        <w:t>        </w:t>
      </w:r>
      <w:r>
        <w:rPr>
          <w:rFonts w:ascii="times" w:hAnsi="times"/>
          <w:b/>
          <w:i/>
          <w:sz w:val="20"/>
        </w:rPr>
        <w:t>Bcf:</w:t>
      </w:r>
      <w:r>
        <w:rPr>
          <w:rFonts w:ascii="times" w:hAnsi="times"/>
        </w:rPr>
        <w:t>    </w:t>
      </w:r>
      <w:r>
        <w:rPr>
          <w:rFonts w:ascii="times" w:hAnsi="times"/>
          <w:sz w:val="20"/>
        </w:rPr>
        <w:t xml:space="preserve">One billion cubic feet of natural gas. </w:t>
      </w:r>
    </w:p>
    <w:p>
      <w:pPr>
        <w:pStyle w:val="TextBody"/>
        <w:rPr/>
      </w:pPr>
      <w:r>
        <w:rPr/>
        <w:t>        </w:t>
      </w:r>
      <w:r>
        <w:rPr>
          <w:rFonts w:ascii="times" w:hAnsi="times"/>
          <w:b/>
          <w:i/>
          <w:sz w:val="20"/>
        </w:rPr>
        <w:t>Condensate:</w:t>
      </w:r>
      <w:r>
        <w:rPr>
          <w:rFonts w:ascii="times" w:hAnsi="times"/>
        </w:rPr>
        <w:t>    </w:t>
      </w:r>
      <w:r>
        <w:rPr>
          <w:rFonts w:ascii="times" w:hAnsi="times"/>
          <w:sz w:val="20"/>
        </w:rPr>
        <w:t xml:space="preserve">A natural gas liquid with a low vapor pressure, mainly composed of propane, butane, pentane and heavier hydrocarbon fractions. </w:t>
      </w:r>
    </w:p>
    <w:p>
      <w:pPr>
        <w:pStyle w:val="TextBody"/>
        <w:rPr/>
      </w:pPr>
      <w:r>
        <w:rPr/>
        <w:t>        </w:t>
      </w:r>
      <w:r>
        <w:rPr>
          <w:rFonts w:ascii="times" w:hAnsi="times"/>
          <w:b/>
          <w:i/>
          <w:sz w:val="20"/>
        </w:rPr>
        <w:t>Contango market:</w:t>
      </w:r>
      <w:r>
        <w:rPr>
          <w:rFonts w:ascii="times" w:hAnsi="times"/>
        </w:rPr>
        <w:t>    </w:t>
      </w:r>
      <w:r>
        <w:rPr>
          <w:rFonts w:ascii="times" w:hAnsi="times"/>
          <w:sz w:val="20"/>
        </w:rPr>
        <w:t xml:space="preserve">The price of crude oil for future deliveries is higher than current prices. </w:t>
      </w:r>
    </w:p>
    <w:p>
      <w:pPr>
        <w:pStyle w:val="TextBody"/>
        <w:rPr/>
      </w:pPr>
      <w:r>
        <w:rPr/>
        <w:t>        </w:t>
      </w:r>
      <w:r>
        <w:rPr>
          <w:rFonts w:ascii="times" w:hAnsi="times"/>
          <w:b/>
          <w:i/>
          <w:sz w:val="20"/>
        </w:rPr>
        <w:t>Fractionation:</w:t>
      </w:r>
      <w:r>
        <w:rPr>
          <w:rFonts w:ascii="times" w:hAnsi="times"/>
        </w:rPr>
        <w:t>    </w:t>
      </w:r>
      <w:r>
        <w:rPr>
          <w:rFonts w:ascii="times" w:hAnsi="times"/>
          <w:sz w:val="20"/>
        </w:rPr>
        <w:t xml:space="preserve">The process by which a mixed stream of natural gas liquids is separated into its constituent products. </w:t>
      </w:r>
    </w:p>
    <w:p>
      <w:pPr>
        <w:pStyle w:val="TextBody"/>
        <w:rPr/>
      </w:pPr>
      <w:r>
        <w:rPr/>
        <w:t>        </w:t>
      </w:r>
      <w:r>
        <w:rPr>
          <w:rFonts w:ascii="times" w:hAnsi="times"/>
          <w:b/>
          <w:i/>
          <w:sz w:val="20"/>
        </w:rPr>
        <w:t>General partner:</w:t>
      </w:r>
      <w:r>
        <w:rPr>
          <w:rFonts w:ascii="times" w:hAnsi="times"/>
        </w:rPr>
        <w:t>    </w:t>
      </w:r>
      <w:r>
        <w:rPr>
          <w:rFonts w:ascii="times" w:hAnsi="times"/>
          <w:sz w:val="20"/>
        </w:rPr>
        <w:t xml:space="preserve">PAA GP Holdings LLC. </w:t>
      </w:r>
    </w:p>
    <w:p>
      <w:pPr>
        <w:pStyle w:val="TextBody"/>
        <w:rPr/>
      </w:pPr>
      <w:r>
        <w:rPr/>
        <w:t>        </w:t>
      </w:r>
      <w:r>
        <w:rPr>
          <w:rFonts w:ascii="times" w:hAnsi="times"/>
          <w:b/>
          <w:i/>
          <w:sz w:val="20"/>
        </w:rPr>
        <w:t>GP LLC:</w:t>
      </w:r>
      <w:r>
        <w:rPr>
          <w:rFonts w:ascii="times" w:hAnsi="times"/>
        </w:rPr>
        <w:t>    </w:t>
      </w:r>
      <w:r>
        <w:rPr>
          <w:rFonts w:ascii="times" w:hAnsi="times"/>
          <w:sz w:val="20"/>
        </w:rPr>
        <w:t xml:space="preserve">Plains All American GP LLC, the general partner of AAP. </w:t>
      </w:r>
    </w:p>
    <w:p>
      <w:pPr>
        <w:pStyle w:val="TextBody"/>
        <w:rPr/>
      </w:pPr>
      <w:r>
        <w:rPr/>
        <w:t>        </w:t>
      </w:r>
      <w:r>
        <w:rPr>
          <w:rFonts w:ascii="times" w:hAnsi="times"/>
          <w:b/>
          <w:i/>
          <w:sz w:val="20"/>
        </w:rPr>
        <w:t>Hydrocarbon:</w:t>
      </w:r>
      <w:r>
        <w:rPr>
          <w:rFonts w:ascii="times" w:hAnsi="times"/>
        </w:rPr>
        <w:t>    </w:t>
      </w:r>
      <w:r>
        <w:rPr>
          <w:rFonts w:ascii="times" w:hAnsi="times"/>
          <w:sz w:val="20"/>
        </w:rPr>
        <w:t xml:space="preserve">An organic compound containing only carbon and hydrogen. </w:t>
      </w:r>
    </w:p>
    <w:p>
      <w:pPr>
        <w:pStyle w:val="TextBody"/>
        <w:rPr/>
      </w:pPr>
      <w:r>
        <w:rPr/>
        <w:t>        </w:t>
      </w:r>
      <w:r>
        <w:rPr>
          <w:rFonts w:ascii="times" w:hAnsi="times"/>
          <w:b/>
          <w:i/>
          <w:sz w:val="20"/>
        </w:rPr>
        <w:t>IPO:</w:t>
      </w:r>
      <w:r>
        <w:rPr>
          <w:rFonts w:ascii="times" w:hAnsi="times"/>
        </w:rPr>
        <w:t>    </w:t>
      </w:r>
      <w:r>
        <w:rPr>
          <w:rFonts w:ascii="times" w:hAnsi="times"/>
          <w:sz w:val="20"/>
        </w:rPr>
        <w:t xml:space="preserve">Initial public offering. </w:t>
      </w:r>
    </w:p>
    <w:p>
      <w:pPr>
        <w:pStyle w:val="TextBody"/>
        <w:rPr/>
      </w:pPr>
      <w:r>
        <w:rPr/>
        <w:t>        </w:t>
      </w:r>
      <w:r>
        <w:rPr>
          <w:rFonts w:ascii="times" w:hAnsi="times"/>
          <w:b/>
          <w:i/>
          <w:sz w:val="20"/>
        </w:rPr>
        <w:t>Legacy Owners:</w:t>
      </w:r>
      <w:r>
        <w:rPr>
          <w:rFonts w:ascii="times" w:hAnsi="times"/>
        </w:rPr>
        <w:t>    </w:t>
      </w:r>
      <w:r>
        <w:rPr>
          <w:rFonts w:ascii="times" w:hAnsi="times"/>
          <w:sz w:val="20"/>
        </w:rPr>
        <w:t xml:space="preserve">The owners of AAP immediately prior to our IPO, including the selling shareholder. </w:t>
      </w:r>
    </w:p>
    <w:p>
      <w:pPr>
        <w:pStyle w:val="TextBody"/>
        <w:rPr/>
      </w:pPr>
      <w:r>
        <w:rPr/>
        <w:t>        </w:t>
      </w:r>
      <w:r>
        <w:rPr>
          <w:rFonts w:ascii="times" w:hAnsi="times"/>
          <w:b/>
          <w:i/>
          <w:sz w:val="20"/>
        </w:rPr>
        <w:t>Midstream:</w:t>
      </w:r>
      <w:r>
        <w:rPr>
          <w:rFonts w:ascii="times" w:hAnsi="times"/>
        </w:rPr>
        <w:t>    </w:t>
      </w:r>
      <w:r>
        <w:rPr>
          <w:rFonts w:ascii="times" w:hAnsi="times"/>
          <w:sz w:val="20"/>
        </w:rPr>
        <w:t xml:space="preserve">The industry term for the parts of the energy industry in between the production of oil and gas (upstream) and the distribution of refined and finished products (downstream). </w:t>
      </w:r>
    </w:p>
    <w:p>
      <w:pPr>
        <w:pStyle w:val="TextBody"/>
        <w:rPr/>
      </w:pPr>
      <w:r>
        <w:rPr/>
        <w:t>        </w:t>
      </w:r>
      <w:r>
        <w:rPr>
          <w:rFonts w:ascii="times" w:hAnsi="times"/>
          <w:b/>
          <w:i/>
          <w:sz w:val="20"/>
        </w:rPr>
        <w:t>Natural gas:</w:t>
      </w:r>
      <w:r>
        <w:rPr>
          <w:rFonts w:ascii="times" w:hAnsi="times"/>
        </w:rPr>
        <w:t>    </w:t>
      </w:r>
      <w:r>
        <w:rPr>
          <w:rFonts w:ascii="times" w:hAnsi="times"/>
          <w:sz w:val="20"/>
        </w:rPr>
        <w:t xml:space="preserve">Hydrocarbon gas found in the earth, composed of methane, ethane, butane, propane and other gases. </w:t>
      </w:r>
    </w:p>
    <w:p>
      <w:pPr>
        <w:pStyle w:val="TextBody"/>
        <w:rPr/>
      </w:pPr>
      <w:r>
        <w:rPr/>
        <w:t>        </w:t>
      </w:r>
      <w:r>
        <w:rPr>
          <w:rFonts w:ascii="times" w:hAnsi="times"/>
          <w:b/>
          <w:i/>
          <w:sz w:val="20"/>
        </w:rPr>
        <w:t>NGL:</w:t>
      </w:r>
      <w:r>
        <w:rPr>
          <w:rFonts w:ascii="times" w:hAnsi="times"/>
        </w:rPr>
        <w:t>    </w:t>
      </w:r>
      <w:r>
        <w:rPr>
          <w:rFonts w:ascii="times" w:hAnsi="times"/>
          <w:sz w:val="20"/>
        </w:rPr>
        <w:t xml:space="preserve">Natural gas liquids including ethane, natural gasoline products, propane and butane. </w:t>
      </w:r>
    </w:p>
    <w:p>
      <w:pPr>
        <w:pStyle w:val="TextBody"/>
        <w:rPr/>
      </w:pPr>
      <w:r>
        <w:rPr/>
        <w:t>        </w:t>
      </w:r>
      <w:r>
        <w:rPr>
          <w:rFonts w:ascii="times" w:hAnsi="times"/>
          <w:b/>
          <w:i/>
          <w:sz w:val="20"/>
        </w:rPr>
        <w:t>NYSE:</w:t>
      </w:r>
      <w:r>
        <w:rPr>
          <w:rFonts w:ascii="times" w:hAnsi="times"/>
        </w:rPr>
        <w:t>    </w:t>
      </w:r>
      <w:r>
        <w:rPr>
          <w:rFonts w:ascii="times" w:hAnsi="times"/>
          <w:sz w:val="20"/>
        </w:rPr>
        <w:t xml:space="preserve">New York Stock Exchange. </w:t>
      </w:r>
    </w:p>
    <w:p>
      <w:pPr>
        <w:pStyle w:val="TextBody"/>
        <w:rPr/>
      </w:pPr>
      <w:r>
        <w:rPr/>
        <w:t>        </w:t>
      </w:r>
      <w:r>
        <w:rPr>
          <w:rFonts w:ascii="times" w:hAnsi="times"/>
          <w:b/>
          <w:i/>
          <w:sz w:val="20"/>
        </w:rPr>
        <w:t>PAA:</w:t>
      </w:r>
      <w:r>
        <w:rPr>
          <w:rFonts w:ascii="times" w:hAnsi="times"/>
        </w:rPr>
        <w:t>    </w:t>
      </w:r>
      <w:r>
        <w:rPr>
          <w:rFonts w:ascii="times" w:hAnsi="times"/>
          <w:sz w:val="20"/>
        </w:rPr>
        <w:t xml:space="preserve">Plains All American Pipeline, L.P. and its operating subsidiaries collectively, or Plains All American Pipeline,  L.P., individually, as the context may require. </w:t>
      </w:r>
    </w:p>
    <w:p>
      <w:pPr>
        <w:pStyle w:val="TextBody"/>
        <w:rPr/>
      </w:pPr>
      <w:r>
        <w:rPr/>
        <w:t>        </w:t>
      </w:r>
      <w:r>
        <w:rPr>
          <w:rFonts w:ascii="times" w:hAnsi="times"/>
          <w:b/>
          <w:i/>
          <w:sz w:val="20"/>
        </w:rPr>
        <w:t>Partnership agreement:</w:t>
      </w:r>
      <w:r>
        <w:rPr>
          <w:rFonts w:ascii="times" w:hAnsi="times"/>
        </w:rPr>
        <w:t>    </w:t>
      </w:r>
      <w:r>
        <w:rPr>
          <w:rFonts w:ascii="times" w:hAnsi="times"/>
          <w:sz w:val="20"/>
        </w:rPr>
        <w:t xml:space="preserve">The Amended and Restated Agreement of Limited Partnership of Plains GP Holdings, L.P., adopted in connection with our IPO. </w:t>
      </w:r>
    </w:p>
    <w:p>
      <w:pPr>
        <w:pStyle w:val="TextBody"/>
        <w:rPr/>
      </w:pPr>
      <w:r>
        <w:rPr/>
        <w:t>        </w:t>
      </w:r>
      <w:r>
        <w:rPr>
          <w:rFonts w:ascii="times" w:hAnsi="times"/>
          <w:b/>
          <w:i/>
          <w:sz w:val="20"/>
        </w:rPr>
        <w:t>Registration Rights Agreement:</w:t>
      </w:r>
      <w:r>
        <w:rPr>
          <w:rFonts w:ascii="times" w:hAnsi="times"/>
        </w:rPr>
        <w:t>    </w:t>
      </w:r>
      <w:r>
        <w:rPr>
          <w:rFonts w:ascii="times" w:hAnsi="times"/>
          <w:sz w:val="20"/>
        </w:rPr>
        <w:t xml:space="preserve">The Shareholder and Registration Rights Agreement, adopted in connection with our IPO. </w:t>
      </w:r>
    </w:p>
    <w:p>
      <w:pPr>
        <w:pStyle w:val="TextBody"/>
        <w:rPr/>
      </w:pPr>
      <w:r>
        <w:rPr/>
        <w:t>        </w:t>
      </w:r>
      <w:r>
        <w:rPr>
          <w:rFonts w:ascii="times" w:hAnsi="times"/>
          <w:b/>
          <w:i/>
          <w:sz w:val="20"/>
        </w:rPr>
        <w:t>SEC:</w:t>
      </w:r>
      <w:r>
        <w:rPr>
          <w:rFonts w:ascii="times" w:hAnsi="times"/>
        </w:rPr>
        <w:t>    </w:t>
      </w:r>
      <w:r>
        <w:rPr>
          <w:rFonts w:ascii="times" w:hAnsi="times"/>
          <w:sz w:val="20"/>
        </w:rPr>
        <w:t xml:space="preserve">Securities and Exchange Commission. </w:t>
      </w:r>
    </w:p>
    <w:p>
      <w:pPr>
        <w:pStyle w:val="TextBody"/>
        <w:rPr/>
      </w:pPr>
      <w:r>
        <w:rPr/>
        <w:t>        </w:t>
      </w:r>
      <w:r>
        <w:rPr>
          <w:rFonts w:ascii="times" w:hAnsi="times"/>
          <w:b/>
          <w:i/>
          <w:sz w:val="20"/>
        </w:rPr>
        <w:t>Shares:</w:t>
      </w:r>
      <w:r>
        <w:rPr>
          <w:rFonts w:ascii="times" w:hAnsi="times"/>
        </w:rPr>
        <w:t>    </w:t>
      </w:r>
      <w:r>
        <w:rPr>
          <w:rFonts w:ascii="times" w:hAnsi="times"/>
          <w:sz w:val="20"/>
        </w:rPr>
        <w:t xml:space="preserve">Class A shares and Class B shares representing limited partner interests in us following this offering. </w:t>
      </w:r>
    </w:p>
    <w:p>
      <w:pPr>
        <w:pStyle w:val="TextBody"/>
        <w:rPr/>
      </w:pPr>
      <w:r>
        <w:rPr/>
        <w:t>        </w:t>
      </w:r>
      <w:r>
        <w:rPr>
          <w:rFonts w:ascii="times" w:hAnsi="times"/>
          <w:b/>
          <w:i/>
          <w:sz w:val="20"/>
        </w:rPr>
        <w:t>Shareholders:</w:t>
      </w:r>
      <w:r>
        <w:rPr>
          <w:rFonts w:ascii="times" w:hAnsi="times"/>
        </w:rPr>
        <w:t>    </w:t>
      </w:r>
      <w:r>
        <w:rPr>
          <w:rFonts w:ascii="times" w:hAnsi="times"/>
          <w:sz w:val="20"/>
        </w:rPr>
        <w:t xml:space="preserve">The persons holding shares. </w:t>
      </w:r>
    </w:p>
    <w:p>
      <w:pPr>
        <w:pStyle w:val="TextBody"/>
        <w:jc w:val="center"/>
        <w:rPr>
          <w:rFonts w:ascii="times" w:hAnsi="times"/>
          <w:sz w:val="20"/>
        </w:rPr>
      </w:pPr>
      <w:r>
        <w:rPr>
          <w:rFonts w:ascii="times" w:hAnsi="times"/>
          <w:sz w:val="20"/>
        </w:rPr>
        <w:t>A-1</w:t>
      </w:r>
    </w:p>
    <w:p>
      <w:pPr>
        <w:pStyle w:val="HorizontalLine"/>
        <w:pBdr>
          <w:bottom w:val="single" w:sz="20" w:space="0" w:color="808080"/>
        </w:pBdr>
        <w:rPr/>
      </w:pPr>
      <w:r>
        <w:rPr/>
      </w:r>
      <w:r>
        <w:br w:type="page"/>
      </w:r>
    </w:p>
    <w:p>
      <w:pPr>
        <w:pStyle w:val="TextBody"/>
        <w:rPr/>
      </w:pPr>
      <w:hyperlink w:anchor="bg76101a_main_toc">
        <w:bookmarkStart w:id="101" w:name="page_ha76101_1_2"/>
        <w:bookmarkEnd w:id="101"/>
        <w:r>
          <w:rPr>
            <w:rStyle w:val="InternetLink"/>
            <w:rFonts w:ascii="times" w:hAnsi="times"/>
            <w:sz w:val="20"/>
          </w:rPr>
          <w:t>Table of Contents</w:t>
        </w:r>
      </w:hyperlink>
    </w:p>
    <w:p>
      <w:pPr>
        <w:pStyle w:val="TextBody"/>
        <w:rPr/>
      </w:pPr>
      <w:r>
        <w:rPr/>
        <w:t>        </w:t>
      </w:r>
      <w:r>
        <w:rPr>
          <w:rFonts w:ascii="times" w:hAnsi="times"/>
          <w:b/>
          <w:i/>
          <w:sz w:val="20"/>
        </w:rPr>
        <w:t>Terminalling:</w:t>
      </w:r>
      <w:r>
        <w:rPr>
          <w:rFonts w:ascii="times" w:hAnsi="times"/>
        </w:rPr>
        <w:t>    </w:t>
      </w:r>
      <w:r>
        <w:rPr>
          <w:rFonts w:ascii="times" w:hAnsi="times"/>
          <w:sz w:val="20"/>
        </w:rPr>
        <w:t xml:space="preserve">The receipt of crude oil from one connecting pipeline and redelivery of the crude oil to another connecting carrier in volumes that allow the refinery to receive its crude oil on a ratable basis throughout a delivery period. </w:t>
      </w:r>
    </w:p>
    <w:p>
      <w:pPr>
        <w:pStyle w:val="TextBody"/>
        <w:rPr/>
      </w:pPr>
      <w:r>
        <w:rPr/>
        <w:t>        </w:t>
      </w:r>
      <w:r>
        <w:rPr>
          <w:rFonts w:ascii="times" w:hAnsi="times"/>
          <w:b/>
          <w:i/>
          <w:sz w:val="20"/>
        </w:rPr>
        <w:t>Throughput:</w:t>
      </w:r>
      <w:r>
        <w:rPr>
          <w:rFonts w:ascii="times" w:hAnsi="times"/>
        </w:rPr>
        <w:t>    </w:t>
      </w:r>
      <w:r>
        <w:rPr>
          <w:rFonts w:ascii="times" w:hAnsi="times"/>
          <w:sz w:val="20"/>
        </w:rPr>
        <w:t xml:space="preserve">The volume of product transported or passing through a pipeline, plant, terminal or other facility. </w:t>
      </w:r>
    </w:p>
    <w:p>
      <w:pPr>
        <w:pStyle w:val="TextBody"/>
        <w:rPr/>
      </w:pPr>
      <w:r>
        <w:rPr/>
        <w:t>        </w:t>
      </w:r>
      <w:r>
        <w:rPr>
          <w:rFonts w:ascii="times" w:hAnsi="times"/>
          <w:b/>
          <w:i/>
          <w:sz w:val="20"/>
        </w:rPr>
        <w:t>Trigger date:</w:t>
      </w:r>
      <w:r>
        <w:rPr>
          <w:rFonts w:ascii="times" w:hAnsi="times"/>
        </w:rPr>
        <w:t>    </w:t>
      </w:r>
      <w:r>
        <w:rPr>
          <w:rFonts w:ascii="times" w:hAnsi="times"/>
          <w:sz w:val="20"/>
        </w:rPr>
        <w:t xml:space="preserve">The date that the overall direct and indirect economic interest of the Legacy Owners and their permitted transferees in AAP falls below 40%. The 40% threshold will be calculated on a fully diluted basis that takes into account any Class A shares owned by the Legacy Owners and their affiliates and permitted transferees, assumes the exchange of all AAP management units for AAP units based on the applicable conversion factor and attributes the ownership of such AAP units to the Legacy Owners. </w:t>
      </w:r>
    </w:p>
    <w:p>
      <w:pPr>
        <w:pStyle w:val="TextBody"/>
        <w:rPr/>
      </w:pPr>
      <w:r>
        <w:rPr/>
        <w:t>        </w:t>
      </w:r>
      <w:r>
        <w:rPr>
          <w:rFonts w:ascii="times" w:hAnsi="times"/>
          <w:b/>
          <w:i/>
          <w:sz w:val="20"/>
        </w:rPr>
        <w:t>Wellhead:</w:t>
      </w:r>
      <w:r>
        <w:rPr>
          <w:rFonts w:ascii="times" w:hAnsi="times"/>
        </w:rPr>
        <w:t>    </w:t>
      </w:r>
      <w:r>
        <w:rPr>
          <w:rFonts w:ascii="times" w:hAnsi="times"/>
          <w:sz w:val="20"/>
        </w:rPr>
        <w:t xml:space="preserve">The equipment at the surface of a well-used to control the pressure; the point at which the hydrocarbons and water exit the ground. </w:t>
      </w:r>
    </w:p>
    <w:p>
      <w:pPr>
        <w:pStyle w:val="TextBody"/>
        <w:jc w:val="center"/>
        <w:rPr>
          <w:rFonts w:ascii="times" w:hAnsi="times"/>
          <w:sz w:val="20"/>
        </w:rPr>
      </w:pPr>
      <w:r>
        <w:rPr>
          <w:rFonts w:ascii="times" w:hAnsi="times"/>
          <w:sz w:val="20"/>
        </w:rPr>
        <w:t>A-2</w:t>
      </w:r>
    </w:p>
    <w:p>
      <w:pPr>
        <w:pStyle w:val="HorizontalLine"/>
        <w:pBdr>
          <w:bottom w:val="single" w:sz="20" w:space="0" w:color="808080"/>
        </w:pBdr>
        <w:rPr/>
      </w:pPr>
      <w:r>
        <w:rPr/>
      </w:r>
      <w:r>
        <w:br w:type="page"/>
      </w:r>
    </w:p>
    <w:p>
      <w:pPr>
        <w:pStyle w:val="TextBody"/>
        <w:rPr/>
      </w:pPr>
      <w:hyperlink w:anchor="bg76101a_main_toc">
        <w:r>
          <w:rPr>
            <w:rStyle w:val="InternetLink"/>
            <w:rFonts w:ascii="times" w:hAnsi="times"/>
            <w:sz w:val="20"/>
          </w:rPr>
          <w:t>Table of Contents</w:t>
        </w:r>
      </w:hyperlink>
      <w:r>
        <w:rPr>
          <w:rFonts w:ascii="times" w:hAnsi="times"/>
          <w:sz w:val="20"/>
        </w:rPr>
        <w:t xml:space="preserve"> </w:t>
      </w:r>
    </w:p>
    <w:p>
      <w:pPr>
        <w:pStyle w:val="TextBody"/>
        <w:rPr>
          <w:sz w:val="20"/>
        </w:rPr>
      </w:pPr>
      <w:r>
        <w:rPr>
          <w:sz w:val="20"/>
        </w:rPr>
      </w:r>
    </w:p>
    <w:p>
      <w:pPr>
        <w:pStyle w:val="TextBody"/>
        <w:jc w:val="center"/>
        <w:rPr/>
      </w:pPr>
      <w:r>
        <w:rPr/>
        <w:drawing>
          <wp:inline distT="0" distB="0" distL="0" distR="0">
            <wp:extent cx="3124200" cy="6858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124200" cy="685800"/>
                    </a:xfrm>
                    <a:prstGeom prst="rect">
                      <a:avLst/>
                    </a:prstGeom>
                  </pic:spPr>
                </pic:pic>
              </a:graphicData>
            </a:graphic>
          </wp:inline>
        </w:drawing>
      </w:r>
      <w:r>
        <w:rPr/>
        <w:t xml:space="preserve"> </w:t>
      </w:r>
    </w:p>
    <w:p>
      <w:pPr>
        <w:pStyle w:val="TextBody"/>
        <w:jc w:val="center"/>
        <w:rPr>
          <w:rFonts w:ascii="times" w:hAnsi="times"/>
          <w:b/>
          <w:sz w:val="28"/>
        </w:rPr>
      </w:pPr>
      <w:r>
        <w:rPr>
          <w:rFonts w:ascii="times" w:hAnsi="times"/>
          <w:b/>
          <w:sz w:val="28"/>
        </w:rPr>
        <w:t xml:space="preserve">55,000,000 Class A Shares </w:t>
      </w:r>
    </w:p>
    <w:p>
      <w:pPr>
        <w:pStyle w:val="HorizontalLine"/>
        <w:pBdr>
          <w:bottom w:val="single" w:sz="6" w:space="0" w:color="000000"/>
        </w:pBdr>
        <w:ind w:left="3776" w:right="3776" w:hanging="0"/>
        <w:rPr/>
      </w:pPr>
      <w:r>
        <w:rPr/>
      </w:r>
    </w:p>
    <w:p>
      <w:pPr>
        <w:pStyle w:val="TextBody"/>
        <w:rPr>
          <w:b/>
          <w:sz w:val="28"/>
        </w:rPr>
      </w:pPr>
      <w:r>
        <w:rPr>
          <w:b/>
          <w:sz w:val="28"/>
        </w:rPr>
      </w:r>
    </w:p>
    <w:p>
      <w:pPr>
        <w:pStyle w:val="TextBody"/>
        <w:jc w:val="center"/>
        <w:rPr>
          <w:rFonts w:ascii="times" w:hAnsi="times"/>
          <w:b/>
          <w:sz w:val="24"/>
        </w:rPr>
      </w:pPr>
      <w:r>
        <w:rPr>
          <w:rFonts w:ascii="times" w:hAnsi="times"/>
          <w:b/>
          <w:sz w:val="24"/>
        </w:rPr>
        <w:t xml:space="preserve">Prospectus </w:t>
      </w:r>
    </w:p>
    <w:p>
      <w:pPr>
        <w:pStyle w:val="TextBody"/>
        <w:jc w:val="center"/>
        <w:rPr/>
      </w:pPr>
      <w:r>
        <w:rPr/>
        <w:t>                        </w:t>
      </w:r>
      <w:r>
        <w:rPr>
          <w:rFonts w:ascii="times" w:hAnsi="times"/>
          <w:b/>
          <w:sz w:val="20"/>
        </w:rPr>
        <w:t xml:space="preserve">, 2014 </w:t>
      </w:r>
    </w:p>
    <w:p>
      <w:pPr>
        <w:pStyle w:val="HorizontalLine"/>
        <w:pBdr>
          <w:bottom w:val="single" w:sz="6" w:space="0" w:color="000000"/>
        </w:pBdr>
        <w:ind w:left="3776" w:right="3776" w:hanging="0"/>
        <w:rPr/>
      </w:pPr>
      <w:r>
        <w:rPr/>
      </w:r>
    </w:p>
    <w:p>
      <w:pPr>
        <w:pStyle w:val="TextBody"/>
        <w:rPr>
          <w:b/>
          <w:sz w:val="20"/>
        </w:rPr>
      </w:pPr>
      <w:r>
        <w:rPr>
          <w:b/>
          <w:sz w:val="20"/>
        </w:rPr>
      </w:r>
    </w:p>
    <w:p>
      <w:pPr>
        <w:pStyle w:val="TextBody"/>
        <w:jc w:val="center"/>
        <w:rPr>
          <w:rFonts w:ascii="times" w:hAnsi="times"/>
          <w:b/>
          <w:sz w:val="36"/>
        </w:rPr>
      </w:pPr>
      <w:r>
        <w:rPr>
          <w:rFonts w:ascii="times" w:hAnsi="times"/>
          <w:b/>
          <w:sz w:val="36"/>
        </w:rPr>
        <w:t xml:space="preserve">J.P. Morgan </w:t>
      </w:r>
    </w:p>
    <w:p>
      <w:pPr>
        <w:pStyle w:val="TextBody"/>
        <w:jc w:val="center"/>
        <w:rPr>
          <w:rFonts w:ascii="times" w:hAnsi="times"/>
          <w:b/>
          <w:sz w:val="36"/>
        </w:rPr>
      </w:pPr>
      <w:r>
        <w:rPr>
          <w:rFonts w:ascii="times" w:hAnsi="times"/>
          <w:b/>
          <w:sz w:val="36"/>
        </w:rPr>
        <w:t xml:space="preserve">Citigroup </w:t>
      </w:r>
    </w:p>
    <w:p>
      <w:pPr>
        <w:pStyle w:val="TextBody"/>
        <w:spacing w:lineRule="atLeast" w:line="141"/>
        <w:ind w:left="360" w:right="0" w:hanging="0"/>
        <w:rPr/>
      </w:pPr>
      <w:r>
        <w:rPr/>
        <w:t xml:space="preserve">    </w:t>
      </w:r>
    </w:p>
    <w:p>
      <w:pPr>
        <w:pStyle w:val="HorizontalLine"/>
        <w:pBdr>
          <w:bottom w:val="single" w:sz="20" w:space="0" w:color="808080"/>
        </w:pBdr>
        <w:rPr/>
      </w:pPr>
      <w:r>
        <w:rPr/>
      </w:r>
      <w:r>
        <w:br w:type="page"/>
      </w:r>
    </w:p>
    <w:p>
      <w:pPr>
        <w:pStyle w:val="TextBody"/>
        <w:rPr/>
      </w:pPr>
      <w:hyperlink w:anchor="bg76101a_main_toc">
        <w:bookmarkStart w:id="102" w:name="page_ja76101_1_1"/>
        <w:bookmarkEnd w:id="102"/>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03" w:name="toc_ja76101_1"/>
      <w:bookmarkStart w:id="104" w:name="ja76101_part_ii_information_not_required"/>
      <w:bookmarkEnd w:id="103"/>
      <w:bookmarkEnd w:id="104"/>
      <w:r>
        <w:rPr>
          <w:rFonts w:ascii="times" w:hAnsi="times"/>
          <w:sz w:val="20"/>
        </w:rPr>
        <w:br/>
      </w:r>
      <w:r>
        <w:rPr>
          <w:rFonts w:ascii="times" w:hAnsi="times"/>
          <w:b/>
          <w:sz w:val="20"/>
        </w:rPr>
        <w:t xml:space="preserve">PART II </w:t>
        <w:br/>
        <w:br/>
        <w:t xml:space="preserve">INFORMATION NOT REQUIRED IN PROSPECTUS </w:t>
      </w:r>
    </w:p>
    <w:p>
      <w:pPr>
        <w:pStyle w:val="TextBody"/>
        <w:rPr>
          <w:rFonts w:ascii="times" w:hAnsi="times"/>
          <w:b/>
          <w:sz w:val="20"/>
        </w:rPr>
      </w:pPr>
      <w:bookmarkStart w:id="105" w:name="toc_ja76101_2"/>
      <w:bookmarkStart w:id="106" w:name="ja76101_item_14._other_expense__ja701989"/>
      <w:bookmarkEnd w:id="105"/>
      <w:bookmarkEnd w:id="106"/>
      <w:r>
        <w:rPr>
          <w:rFonts w:ascii="times" w:hAnsi="times"/>
          <w:b/>
          <w:sz w:val="20"/>
        </w:rPr>
        <w:t xml:space="preserve">Item 14.    Other Expenses of Issuance and Distribution. </w:t>
      </w:r>
    </w:p>
    <w:p>
      <w:pPr>
        <w:pStyle w:val="TextBody"/>
        <w:rPr/>
      </w:pPr>
      <w:r>
        <w:rPr/>
        <w:t>        </w:t>
      </w:r>
      <w:r>
        <w:rPr>
          <w:rFonts w:ascii="times" w:hAnsi="times"/>
          <w:sz w:val="20"/>
        </w:rPr>
        <w:t xml:space="preserve">Set forth below are the expenses (other than underwriting discounts and commissions) expected to be incurred in connection with the issuance and distribution of the Class A shares registered hereby. With the exception of the SEC registration fee and FINRA filing fee, the amounts set forth below are estimates. We will cause AAP to pay all expenses (other than underwriting discounts and commissions) incurred by the selling shareholder in connection with this offering. </w:t>
      </w:r>
    </w:p>
    <w:tbl>
      <w:tblPr>
        <w:tblW w:w="5000" w:type="pct"/>
        <w:jc w:val="center"/>
        <w:tblInd w:w="0" w:type="dxa"/>
        <w:tblCellMar>
          <w:top w:w="0" w:type="dxa"/>
          <w:left w:w="0" w:type="dxa"/>
          <w:bottom w:w="0" w:type="dxa"/>
          <w:right w:w="0" w:type="dxa"/>
        </w:tblCellMar>
      </w:tblPr>
      <w:tblGrid>
        <w:gridCol w:w="6771"/>
        <w:gridCol w:w="494"/>
        <w:gridCol w:w="344"/>
        <w:gridCol w:w="2101"/>
        <w:gridCol w:w="495"/>
      </w:tblGrid>
      <w:tr>
        <w:trPr/>
        <w:tc>
          <w:tcPr>
            <w:tcW w:w="6771"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2101"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r>
      <w:tr>
        <w:trPr/>
        <w:tc>
          <w:tcPr>
            <w:tcW w:w="677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SEC registration fee</w:t>
            </w:r>
          </w:p>
        </w:tc>
        <w:tc>
          <w:tcPr>
            <w:tcW w:w="49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0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95" w:type="dxa"/>
            <w:tcBorders/>
            <w:shd w:fill="CCEEFF" w:val="clear"/>
            <w:vAlign w:val="bottom"/>
          </w:tcPr>
          <w:p>
            <w:pPr>
              <w:pStyle w:val="TableContents"/>
              <w:spacing w:before="0" w:after="283"/>
              <w:rPr/>
            </w:pPr>
            <w:r>
              <w:rPr/>
              <w:t> </w:t>
            </w:r>
          </w:p>
        </w:tc>
      </w:tr>
      <w:tr>
        <w:trPr/>
        <w:tc>
          <w:tcPr>
            <w:tcW w:w="677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FINRA filing fee</w:t>
            </w:r>
          </w:p>
        </w:tc>
        <w:tc>
          <w:tcPr>
            <w:tcW w:w="494"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rPr/>
            </w:pPr>
            <w:r>
              <w:rPr/>
              <w:t> </w:t>
            </w:r>
          </w:p>
        </w:tc>
        <w:tc>
          <w:tcPr>
            <w:tcW w:w="2101" w:type="dxa"/>
            <w:tcBorders/>
            <w:shd w:fill="FFFFFF" w:val="clear"/>
            <w:vAlign w:val="bottom"/>
          </w:tcPr>
          <w:p>
            <w:pPr>
              <w:pStyle w:val="TableContents"/>
              <w:spacing w:before="0" w:after="283"/>
              <w:jc w:val="right"/>
              <w:rPr>
                <w:rFonts w:ascii="times" w:hAnsi="times"/>
                <w:sz w:val="20"/>
              </w:rPr>
            </w:pPr>
            <w:r>
              <w:rPr>
                <w:rFonts w:ascii="times" w:hAnsi="times"/>
                <w:sz w:val="20"/>
              </w:rPr>
              <w:t>225,500</w:t>
            </w:r>
          </w:p>
        </w:tc>
        <w:tc>
          <w:tcPr>
            <w:tcW w:w="495" w:type="dxa"/>
            <w:tcBorders/>
            <w:shd w:fill="FFFFFF" w:val="clear"/>
            <w:vAlign w:val="bottom"/>
          </w:tcPr>
          <w:p>
            <w:pPr>
              <w:pStyle w:val="TableContents"/>
              <w:spacing w:before="0" w:after="283"/>
              <w:rPr/>
            </w:pPr>
            <w:r>
              <w:rPr/>
              <w:t> </w:t>
            </w:r>
          </w:p>
        </w:tc>
      </w:tr>
      <w:tr>
        <w:trPr/>
        <w:tc>
          <w:tcPr>
            <w:tcW w:w="677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Legal fees and expenses</w:t>
            </w:r>
          </w:p>
        </w:tc>
        <w:tc>
          <w:tcPr>
            <w:tcW w:w="49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01" w:type="dxa"/>
            <w:tcBorders/>
            <w:shd w:fill="CCEEFF" w:val="clear"/>
            <w:vAlign w:val="bottom"/>
          </w:tcPr>
          <w:p>
            <w:pPr>
              <w:pStyle w:val="TableContents"/>
              <w:spacing w:before="0" w:after="283"/>
              <w:jc w:val="right"/>
              <w:rPr>
                <w:rFonts w:ascii="times" w:hAnsi="times"/>
                <w:sz w:val="20"/>
              </w:rPr>
            </w:pPr>
            <w:r>
              <w:rPr>
                <w:rFonts w:ascii="times" w:hAnsi="times"/>
                <w:sz w:val="20"/>
              </w:rPr>
              <w:t>125,000</w:t>
            </w:r>
          </w:p>
        </w:tc>
        <w:tc>
          <w:tcPr>
            <w:tcW w:w="495" w:type="dxa"/>
            <w:tcBorders/>
            <w:shd w:fill="CCEEFF" w:val="clear"/>
            <w:vAlign w:val="bottom"/>
          </w:tcPr>
          <w:p>
            <w:pPr>
              <w:pStyle w:val="TableContents"/>
              <w:spacing w:before="0" w:after="283"/>
              <w:rPr/>
            </w:pPr>
            <w:r>
              <w:rPr/>
              <w:t> </w:t>
            </w:r>
          </w:p>
        </w:tc>
      </w:tr>
      <w:tr>
        <w:trPr/>
        <w:tc>
          <w:tcPr>
            <w:tcW w:w="677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Accounting fees and expenses</w:t>
            </w:r>
          </w:p>
        </w:tc>
        <w:tc>
          <w:tcPr>
            <w:tcW w:w="494"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rPr/>
            </w:pPr>
            <w:r>
              <w:rPr/>
              <w:t> </w:t>
            </w:r>
          </w:p>
        </w:tc>
        <w:tc>
          <w:tcPr>
            <w:tcW w:w="2101" w:type="dxa"/>
            <w:tcBorders/>
            <w:shd w:fill="FFFFFF" w:val="clear"/>
            <w:vAlign w:val="bottom"/>
          </w:tcPr>
          <w:p>
            <w:pPr>
              <w:pStyle w:val="TableContents"/>
              <w:spacing w:before="0" w:after="283"/>
              <w:jc w:val="right"/>
              <w:rPr>
                <w:rFonts w:ascii="times" w:hAnsi="times"/>
                <w:sz w:val="20"/>
              </w:rPr>
            </w:pPr>
            <w:r>
              <w:rPr>
                <w:rFonts w:ascii="times" w:hAnsi="times"/>
                <w:sz w:val="20"/>
              </w:rPr>
              <w:t>55,000</w:t>
            </w:r>
          </w:p>
        </w:tc>
        <w:tc>
          <w:tcPr>
            <w:tcW w:w="495" w:type="dxa"/>
            <w:tcBorders/>
            <w:shd w:fill="FFFFFF" w:val="clear"/>
            <w:vAlign w:val="bottom"/>
          </w:tcPr>
          <w:p>
            <w:pPr>
              <w:pStyle w:val="TableContents"/>
              <w:spacing w:before="0" w:after="283"/>
              <w:rPr/>
            </w:pPr>
            <w:r>
              <w:rPr/>
              <w:t> </w:t>
            </w:r>
          </w:p>
        </w:tc>
      </w:tr>
      <w:tr>
        <w:trPr/>
        <w:tc>
          <w:tcPr>
            <w:tcW w:w="677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Printing expenses</w:t>
            </w:r>
          </w:p>
        </w:tc>
        <w:tc>
          <w:tcPr>
            <w:tcW w:w="49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pPr>
            <w:r>
              <w:rPr/>
              <w:t> </w:t>
            </w:r>
          </w:p>
        </w:tc>
        <w:tc>
          <w:tcPr>
            <w:tcW w:w="2101" w:type="dxa"/>
            <w:tcBorders/>
            <w:shd w:fill="CCEEFF" w:val="clear"/>
            <w:vAlign w:val="bottom"/>
          </w:tcPr>
          <w:p>
            <w:pPr>
              <w:pStyle w:val="TableContents"/>
              <w:spacing w:before="0" w:after="283"/>
              <w:jc w:val="right"/>
              <w:rPr>
                <w:rFonts w:ascii="times" w:hAnsi="times"/>
                <w:sz w:val="20"/>
              </w:rPr>
            </w:pPr>
            <w:r>
              <w:rPr>
                <w:rFonts w:ascii="times" w:hAnsi="times"/>
                <w:sz w:val="20"/>
              </w:rPr>
              <w:t>30,000</w:t>
            </w:r>
          </w:p>
        </w:tc>
        <w:tc>
          <w:tcPr>
            <w:tcW w:w="495" w:type="dxa"/>
            <w:tcBorders/>
            <w:shd w:fill="CCEEFF" w:val="clear"/>
            <w:vAlign w:val="bottom"/>
          </w:tcPr>
          <w:p>
            <w:pPr>
              <w:pStyle w:val="TableContents"/>
              <w:spacing w:before="0" w:after="283"/>
              <w:rPr/>
            </w:pPr>
            <w:r>
              <w:rPr/>
              <w:t> </w:t>
            </w:r>
          </w:p>
        </w:tc>
      </w:tr>
      <w:tr>
        <w:trPr/>
        <w:tc>
          <w:tcPr>
            <w:tcW w:w="6771" w:type="dxa"/>
            <w:tcBorders/>
            <w:shd w:fill="FFFFFF" w:val="clear"/>
            <w:vAlign w:val="bottom"/>
          </w:tcPr>
          <w:p>
            <w:pPr>
              <w:pStyle w:val="TableContents"/>
              <w:spacing w:before="0" w:after="283"/>
              <w:ind w:left="200" w:right="0" w:hanging="200"/>
              <w:rPr>
                <w:rFonts w:ascii="times" w:hAnsi="times"/>
                <w:sz w:val="20"/>
              </w:rPr>
            </w:pPr>
            <w:r>
              <w:rPr>
                <w:rFonts w:ascii="times" w:hAnsi="times"/>
                <w:sz w:val="20"/>
              </w:rPr>
              <w:t>Miscellaneous</w:t>
            </w:r>
          </w:p>
        </w:tc>
        <w:tc>
          <w:tcPr>
            <w:tcW w:w="494"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rPr/>
            </w:pPr>
            <w:r>
              <w:rPr/>
              <w:t> </w:t>
            </w:r>
          </w:p>
        </w:tc>
        <w:tc>
          <w:tcPr>
            <w:tcW w:w="2101" w:type="dxa"/>
            <w:tcBorders/>
            <w:shd w:fill="FFFFFF" w:val="clear"/>
            <w:vAlign w:val="bottom"/>
          </w:tcPr>
          <w:p>
            <w:pPr>
              <w:pStyle w:val="TableContents"/>
              <w:spacing w:before="0" w:after="283"/>
              <w:jc w:val="right"/>
              <w:rPr>
                <w:rFonts w:ascii="times" w:hAnsi="times"/>
                <w:sz w:val="20"/>
              </w:rPr>
            </w:pPr>
            <w:r>
              <w:rPr>
                <w:rFonts w:ascii="times" w:hAnsi="times"/>
                <w:sz w:val="20"/>
              </w:rPr>
              <w:t>25,000</w:t>
            </w:r>
          </w:p>
        </w:tc>
        <w:tc>
          <w:tcPr>
            <w:tcW w:w="495" w:type="dxa"/>
            <w:tcBorders/>
            <w:shd w:fill="FFFFFF" w:val="clear"/>
            <w:vAlign w:val="bottom"/>
          </w:tcPr>
          <w:p>
            <w:pPr>
              <w:pStyle w:val="TableContents"/>
              <w:spacing w:before="0" w:after="283"/>
              <w:rPr/>
            </w:pPr>
            <w:r>
              <w:rPr/>
              <w:t> </w:t>
            </w:r>
          </w:p>
        </w:tc>
      </w:tr>
      <w:tr>
        <w:trPr/>
        <w:tc>
          <w:tcPr>
            <w:tcW w:w="6771"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rPr/>
            </w:pPr>
            <w:r>
              <w:rPr/>
              <w:t> </w:t>
            </w:r>
          </w:p>
        </w:tc>
        <w:tc>
          <w:tcPr>
            <w:tcW w:w="2445"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495" w:type="dxa"/>
            <w:tcBorders/>
            <w:shd w:fill="FFFFFF" w:val="clear"/>
            <w:vAlign w:val="bottom"/>
          </w:tcPr>
          <w:p>
            <w:pPr>
              <w:pStyle w:val="TableContents"/>
              <w:spacing w:before="0" w:after="283"/>
              <w:rPr/>
            </w:pPr>
            <w:r>
              <w:rPr/>
              <w:t> </w:t>
            </w:r>
          </w:p>
        </w:tc>
      </w:tr>
      <w:tr>
        <w:trPr/>
        <w:tc>
          <w:tcPr>
            <w:tcW w:w="6771" w:type="dxa"/>
            <w:tcBorders/>
            <w:shd w:fill="FFFFFF" w:val="clear"/>
            <w:vAlign w:val="bottom"/>
          </w:tcPr>
          <w:p>
            <w:pPr>
              <w:pStyle w:val="TableContents"/>
              <w:spacing w:lineRule="atLeast" w:line="141" w:before="0" w:after="283"/>
              <w:rPr/>
            </w:pPr>
            <w:r>
              <w:rPr/>
              <w:t>​</w:t>
            </w:r>
          </w:p>
        </w:tc>
        <w:tc>
          <w:tcPr>
            <w:tcW w:w="494" w:type="dxa"/>
            <w:tcBorders/>
            <w:shd w:fill="FFFFFF" w:val="clear"/>
            <w:vAlign w:val="bottom"/>
          </w:tcPr>
          <w:p>
            <w:pPr>
              <w:pStyle w:val="TableContents"/>
              <w:spacing w:lineRule="atLeast" w:line="141" w:before="0" w:after="283"/>
              <w:rPr/>
            </w:pPr>
            <w:r>
              <w:rPr/>
              <w:t>​</w:t>
            </w:r>
          </w:p>
        </w:tc>
        <w:tc>
          <w:tcPr>
            <w:tcW w:w="344" w:type="dxa"/>
            <w:tcBorders/>
            <w:shd w:fill="FFFFFF" w:val="clear"/>
            <w:vAlign w:val="bottom"/>
          </w:tcPr>
          <w:p>
            <w:pPr>
              <w:pStyle w:val="TableContents"/>
              <w:spacing w:lineRule="atLeast" w:line="141" w:before="0" w:after="283"/>
              <w:rPr/>
            </w:pPr>
            <w:r>
              <w:rPr/>
              <w:t>​</w:t>
            </w:r>
          </w:p>
        </w:tc>
        <w:tc>
          <w:tcPr>
            <w:tcW w:w="2101" w:type="dxa"/>
            <w:tcBorders/>
            <w:shd w:fill="FFFFFF" w:val="clear"/>
            <w:vAlign w:val="bottom"/>
          </w:tcPr>
          <w:p>
            <w:pPr>
              <w:pStyle w:val="TableContents"/>
              <w:spacing w:lineRule="atLeast" w:line="141" w:before="0" w:after="283"/>
              <w:jc w:val="right"/>
              <w:rPr/>
            </w:pPr>
            <w:r>
              <w:rPr/>
              <w:t>​</w:t>
            </w:r>
          </w:p>
        </w:tc>
        <w:tc>
          <w:tcPr>
            <w:tcW w:w="495" w:type="dxa"/>
            <w:tcBorders/>
            <w:shd w:fill="FFFFFF" w:val="clear"/>
            <w:vAlign w:val="bottom"/>
          </w:tcPr>
          <w:p>
            <w:pPr>
              <w:pStyle w:val="TableContents"/>
              <w:spacing w:lineRule="atLeast" w:line="141" w:before="0" w:after="283"/>
              <w:rPr/>
            </w:pPr>
            <w:r>
              <w:rPr/>
              <w:t xml:space="preserve">​ </w:t>
            </w:r>
          </w:p>
        </w:tc>
      </w:tr>
      <w:tr>
        <w:trPr/>
        <w:tc>
          <w:tcPr>
            <w:tcW w:w="6771" w:type="dxa"/>
            <w:tcBorders/>
            <w:shd w:fill="CCEEFF" w:val="clear"/>
            <w:vAlign w:val="bottom"/>
          </w:tcPr>
          <w:p>
            <w:pPr>
              <w:pStyle w:val="TableContents"/>
              <w:spacing w:before="0" w:after="283"/>
              <w:ind w:left="200" w:right="0" w:hanging="200"/>
              <w:rPr>
                <w:rFonts w:ascii="times" w:hAnsi="times"/>
                <w:sz w:val="20"/>
              </w:rPr>
            </w:pPr>
            <w:r>
              <w:rPr>
                <w:rFonts w:ascii="times" w:hAnsi="times"/>
                <w:sz w:val="20"/>
              </w:rPr>
              <w:t>Total</w:t>
            </w:r>
          </w:p>
        </w:tc>
        <w:tc>
          <w:tcPr>
            <w:tcW w:w="494"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rPr>
                <w:rFonts w:ascii="times" w:hAnsi="times"/>
                <w:sz w:val="20"/>
              </w:rPr>
            </w:pPr>
            <w:r>
              <w:rPr>
                <w:rFonts w:ascii="times" w:hAnsi="times"/>
                <w:sz w:val="20"/>
              </w:rPr>
              <w:t>$</w:t>
            </w:r>
          </w:p>
        </w:tc>
        <w:tc>
          <w:tcPr>
            <w:tcW w:w="2101" w:type="dxa"/>
            <w:tcBorders/>
            <w:shd w:fill="CCEEFF" w:val="clear"/>
            <w:vAlign w:val="bottom"/>
          </w:tcPr>
          <w:p>
            <w:pPr>
              <w:pStyle w:val="TableContents"/>
              <w:spacing w:before="0" w:after="283"/>
              <w:jc w:val="right"/>
              <w:rPr>
                <w:rFonts w:ascii="times" w:hAnsi="times"/>
                <w:sz w:val="20"/>
              </w:rPr>
            </w:pPr>
            <w:r>
              <w:rPr>
                <w:rFonts w:ascii="times" w:hAnsi="times"/>
                <w:sz w:val="20"/>
              </w:rPr>
              <w:t>*</w:t>
            </w:r>
          </w:p>
        </w:tc>
        <w:tc>
          <w:tcPr>
            <w:tcW w:w="495" w:type="dxa"/>
            <w:tcBorders/>
            <w:shd w:fill="CCEEFF" w:val="clear"/>
            <w:vAlign w:val="bottom"/>
          </w:tcPr>
          <w:p>
            <w:pPr>
              <w:pStyle w:val="TableContents"/>
              <w:spacing w:before="0" w:after="283"/>
              <w:rPr/>
            </w:pPr>
            <w:r>
              <w:rPr/>
              <w:t> </w:t>
            </w:r>
          </w:p>
        </w:tc>
      </w:tr>
      <w:tr>
        <w:trPr/>
        <w:tc>
          <w:tcPr>
            <w:tcW w:w="6771"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rPr/>
            </w:pPr>
            <w:r>
              <w:rPr/>
              <w:t> </w:t>
            </w:r>
          </w:p>
        </w:tc>
        <w:tc>
          <w:tcPr>
            <w:tcW w:w="2445"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495" w:type="dxa"/>
            <w:tcBorders/>
            <w:shd w:fill="FFFFFF" w:val="clear"/>
            <w:vAlign w:val="bottom"/>
          </w:tcPr>
          <w:p>
            <w:pPr>
              <w:pStyle w:val="TableContents"/>
              <w:spacing w:before="0" w:after="283"/>
              <w:rPr/>
            </w:pPr>
            <w:r>
              <w:rPr/>
              <w:t> </w:t>
            </w:r>
          </w:p>
        </w:tc>
      </w:tr>
      <w:tr>
        <w:trPr/>
        <w:tc>
          <w:tcPr>
            <w:tcW w:w="6771" w:type="dxa"/>
            <w:tcBorders/>
            <w:shd w:fill="FFFFFF" w:val="clear"/>
            <w:vAlign w:val="bottom"/>
          </w:tcPr>
          <w:p>
            <w:pPr>
              <w:pStyle w:val="TableContents"/>
              <w:spacing w:lineRule="atLeast" w:line="141" w:before="0" w:after="283"/>
              <w:rPr/>
            </w:pPr>
            <w:r>
              <w:rPr/>
              <w:t>​</w:t>
            </w:r>
          </w:p>
        </w:tc>
        <w:tc>
          <w:tcPr>
            <w:tcW w:w="494" w:type="dxa"/>
            <w:tcBorders/>
            <w:shd w:fill="FFFFFF" w:val="clear"/>
            <w:vAlign w:val="bottom"/>
          </w:tcPr>
          <w:p>
            <w:pPr>
              <w:pStyle w:val="TableContents"/>
              <w:spacing w:lineRule="atLeast" w:line="141" w:before="0" w:after="283"/>
              <w:rPr/>
            </w:pPr>
            <w:r>
              <w:rPr/>
              <w:t>​</w:t>
            </w:r>
          </w:p>
        </w:tc>
        <w:tc>
          <w:tcPr>
            <w:tcW w:w="344" w:type="dxa"/>
            <w:tcBorders/>
            <w:shd w:fill="FFFFFF" w:val="clear"/>
            <w:vAlign w:val="bottom"/>
          </w:tcPr>
          <w:p>
            <w:pPr>
              <w:pStyle w:val="TableContents"/>
              <w:spacing w:lineRule="atLeast" w:line="141" w:before="0" w:after="283"/>
              <w:rPr/>
            </w:pPr>
            <w:r>
              <w:rPr/>
              <w:t>​</w:t>
            </w:r>
          </w:p>
        </w:tc>
        <w:tc>
          <w:tcPr>
            <w:tcW w:w="2101" w:type="dxa"/>
            <w:tcBorders/>
            <w:shd w:fill="FFFFFF" w:val="clear"/>
            <w:vAlign w:val="bottom"/>
          </w:tcPr>
          <w:p>
            <w:pPr>
              <w:pStyle w:val="TableContents"/>
              <w:spacing w:lineRule="atLeast" w:line="141" w:before="0" w:after="283"/>
              <w:jc w:val="right"/>
              <w:rPr/>
            </w:pPr>
            <w:r>
              <w:rPr/>
              <w:t>​</w:t>
            </w:r>
          </w:p>
        </w:tc>
        <w:tc>
          <w:tcPr>
            <w:tcW w:w="495" w:type="dxa"/>
            <w:tcBorders/>
            <w:shd w:fill="FFFFFF" w:val="clear"/>
            <w:vAlign w:val="bottom"/>
          </w:tcPr>
          <w:p>
            <w:pPr>
              <w:pStyle w:val="TableContents"/>
              <w:spacing w:lineRule="atLeast" w:line="141" w:before="0" w:after="283"/>
              <w:rPr/>
            </w:pPr>
            <w:r>
              <w:rPr/>
              <w:t xml:space="preserve">​ </w:t>
            </w:r>
          </w:p>
        </w:tc>
      </w:tr>
      <w:tr>
        <w:trPr/>
        <w:tc>
          <w:tcPr>
            <w:tcW w:w="6771" w:type="dxa"/>
            <w:tcBorders/>
            <w:shd w:fill="FFFFFF" w:val="clear"/>
            <w:vAlign w:val="bottom"/>
          </w:tcPr>
          <w:p>
            <w:pPr>
              <w:pStyle w:val="TableContents"/>
              <w:spacing w:lineRule="atLeast" w:line="141" w:before="0" w:after="283"/>
              <w:rPr/>
            </w:pPr>
            <w:r>
              <w:rPr/>
              <w:t>​</w:t>
            </w:r>
          </w:p>
        </w:tc>
        <w:tc>
          <w:tcPr>
            <w:tcW w:w="494" w:type="dxa"/>
            <w:tcBorders/>
            <w:shd w:fill="FFFFFF" w:val="clear"/>
            <w:vAlign w:val="bottom"/>
          </w:tcPr>
          <w:p>
            <w:pPr>
              <w:pStyle w:val="TableContents"/>
              <w:spacing w:lineRule="atLeast" w:line="141" w:before="0" w:after="283"/>
              <w:rPr/>
            </w:pPr>
            <w:r>
              <w:rPr/>
              <w:t>​</w:t>
            </w:r>
          </w:p>
        </w:tc>
        <w:tc>
          <w:tcPr>
            <w:tcW w:w="344" w:type="dxa"/>
            <w:tcBorders/>
            <w:shd w:fill="FFFFFF" w:val="clear"/>
            <w:vAlign w:val="bottom"/>
          </w:tcPr>
          <w:p>
            <w:pPr>
              <w:pStyle w:val="TableContents"/>
              <w:spacing w:lineRule="atLeast" w:line="141" w:before="0" w:after="283"/>
              <w:rPr/>
            </w:pPr>
            <w:r>
              <w:rPr/>
              <w:t>​</w:t>
            </w:r>
          </w:p>
        </w:tc>
        <w:tc>
          <w:tcPr>
            <w:tcW w:w="2101" w:type="dxa"/>
            <w:tcBorders/>
            <w:shd w:fill="FFFFFF" w:val="clear"/>
            <w:vAlign w:val="bottom"/>
          </w:tcPr>
          <w:p>
            <w:pPr>
              <w:pStyle w:val="TableContents"/>
              <w:spacing w:lineRule="atLeast" w:line="141" w:before="0" w:after="283"/>
              <w:jc w:val="right"/>
              <w:rPr/>
            </w:pPr>
            <w:r>
              <w:rPr/>
              <w:t>​</w:t>
            </w:r>
          </w:p>
        </w:tc>
        <w:tc>
          <w:tcPr>
            <w:tcW w:w="495" w:type="dxa"/>
            <w:tcBorders/>
            <w:shd w:fill="FFFFFF" w:val="clear"/>
            <w:vAlign w:val="bottom"/>
          </w:tcPr>
          <w:p>
            <w:pPr>
              <w:pStyle w:val="TableContents"/>
              <w:spacing w:lineRule="atLeast" w:line="141" w:before="0" w:after="283"/>
              <w:rPr/>
            </w:pPr>
            <w:r>
              <w:rPr/>
              <w:t xml:space="preserve">​ </w:t>
            </w:r>
          </w:p>
        </w:tc>
      </w:tr>
      <w:tr>
        <w:trPr/>
        <w:tc>
          <w:tcPr>
            <w:tcW w:w="6771" w:type="dxa"/>
            <w:tcBorders/>
            <w:shd w:fill="FFFFFF" w:val="clear"/>
            <w:vAlign w:val="bottom"/>
          </w:tcPr>
          <w:p>
            <w:pPr>
              <w:pStyle w:val="TableContents"/>
              <w:spacing w:before="0" w:after="283"/>
              <w:rPr/>
            </w:pPr>
            <w:r>
              <w:rPr/>
              <w:t> </w:t>
            </w:r>
          </w:p>
        </w:tc>
        <w:tc>
          <w:tcPr>
            <w:tcW w:w="494" w:type="dxa"/>
            <w:tcBorders/>
            <w:shd w:fill="FFFFFF" w:val="clear"/>
            <w:vAlign w:val="bottom"/>
          </w:tcPr>
          <w:p>
            <w:pPr>
              <w:pStyle w:val="TableContents"/>
              <w:spacing w:before="0" w:after="283"/>
              <w:rPr/>
            </w:pPr>
            <w:r>
              <w:rPr/>
              <w:t> </w:t>
            </w:r>
          </w:p>
        </w:tc>
        <w:tc>
          <w:tcPr>
            <w:tcW w:w="2445" w:type="dxa"/>
            <w:gridSpan w:val="2"/>
            <w:tcBorders>
              <w:bottom w:val="single" w:sz="8" w:space="0" w:color="000000"/>
            </w:tcBorders>
            <w:shd w:fill="FFFFFF" w:val="clear"/>
            <w:tcMar>
              <w:bottom w:w="28" w:type="dxa"/>
            </w:tcMar>
            <w:vAlign w:val="bottom"/>
          </w:tcPr>
          <w:p>
            <w:pPr>
              <w:pStyle w:val="TableContents"/>
              <w:spacing w:before="0" w:after="283"/>
              <w:jc w:val="right"/>
              <w:rPr/>
            </w:pPr>
            <w:r>
              <w:rPr/>
              <w:t> </w:t>
            </w:r>
          </w:p>
        </w:tc>
        <w:tc>
          <w:tcPr>
            <w:tcW w:w="495" w:type="dxa"/>
            <w:tcBorders/>
            <w:shd w:fill="FFFFFF" w:val="clear"/>
            <w:vAlign w:val="bottom"/>
          </w:tcPr>
          <w:p>
            <w:pPr>
              <w:pStyle w:val="TableContents"/>
              <w:spacing w:before="0" w:after="283"/>
              <w:rPr/>
            </w:pPr>
            <w:r>
              <w:rPr/>
              <w:t> </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These fees are calculated based on the amount of securities offered and accordingly cannot be estimated at this time. </w:t>
      </w:r>
    </w:p>
    <w:p>
      <w:pPr>
        <w:pStyle w:val="TextBody"/>
        <w:rPr>
          <w:rFonts w:ascii="times" w:hAnsi="times"/>
          <w:b/>
          <w:sz w:val="20"/>
        </w:rPr>
      </w:pPr>
      <w:bookmarkStart w:id="107" w:name="toc_ja76101_3"/>
      <w:bookmarkStart w:id="108" w:name="ja76101_item_15._indemnification_of_dire"/>
      <w:bookmarkEnd w:id="107"/>
      <w:bookmarkEnd w:id="108"/>
      <w:r>
        <w:rPr>
          <w:rFonts w:ascii="times" w:hAnsi="times"/>
          <w:b/>
          <w:sz w:val="20"/>
        </w:rPr>
        <w:t xml:space="preserve">Item 15.    Indemnification of Directors and Officers. </w:t>
      </w:r>
    </w:p>
    <w:p>
      <w:pPr>
        <w:pStyle w:val="TextBody"/>
        <w:rPr/>
      </w:pPr>
      <w:r>
        <w:rPr/>
        <w:t>        </w:t>
      </w:r>
      <w:r>
        <w:rPr>
          <w:rFonts w:ascii="times" w:hAnsi="times"/>
          <w:sz w:val="20"/>
        </w:rPr>
        <w:t>Section 17-108 of the Delaware Revised Uniform Limited Partnership Act empowers a Delaware limited partnership to indemnify and hold harmless any partner or other persons from and against all claims and demands whatsoever. Under Plains GP Holdings, L.P.'s partnership agreement and subject to specified limitations expressly in its partnership agreement, Plains GP Holdings, L.P. shall indemnify to the fullest extent permitted by Delaware law:</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its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departing general partner;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the Legacy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Qualifying Interest Holders (as defined in the partnership agreement);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an affiliate of its general partner, any departing general partner, the Legacy Owners or any Qualifying Interest Holder;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a managing member, manager, general partner, director, officer, fiduciary, agent or trustee of its general partner or any departing general partner or any affiliate of its general partner, any departing general partner or the Legacy Owners;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 </w:t>
      </w:r>
    </w:p>
    <w:p>
      <w:pPr>
        <w:pStyle w:val="ListHeading"/>
        <w:numPr>
          <w:ilvl w:val="0"/>
          <w:numId w:val="0"/>
        </w:numPr>
        <w:spacing w:before="0" w:after="0"/>
        <w:ind w:left="707" w:right="0" w:hanging="0"/>
        <w:rPr>
          <w:rFonts w:ascii="times" w:hAnsi="times"/>
          <w:sz w:val="20"/>
        </w:rPr>
      </w:pPr>
      <w:r>
        <w:rPr>
          <w:rFonts w:ascii="times" w:hAnsi="times"/>
          <w:sz w:val="20"/>
        </w:rPr>
        <w:t></w:t>
      </w:r>
    </w:p>
    <w:p>
      <w:pPr>
        <w:pStyle w:val="ListContents"/>
        <w:numPr>
          <w:ilvl w:val="0"/>
          <w:numId w:val="0"/>
        </w:numPr>
        <w:spacing w:before="0" w:after="283"/>
        <w:ind w:left="1274" w:right="0" w:hanging="0"/>
        <w:rPr>
          <w:rFonts w:ascii="times" w:hAnsi="times"/>
          <w:sz w:val="20"/>
        </w:rPr>
      </w:pPr>
      <w:r>
        <w:rPr>
          <w:rFonts w:ascii="times" w:hAnsi="times"/>
          <w:sz w:val="20"/>
        </w:rPr>
        <w:t xml:space="preserve">any person designated by its general partner </w:t>
      </w:r>
    </w:p>
    <w:p>
      <w:pPr>
        <w:pStyle w:val="TextBody"/>
        <w:rPr>
          <w:rFonts w:ascii="times" w:hAnsi="times"/>
          <w:sz w:val="20"/>
        </w:rPr>
      </w:pPr>
      <w:r>
        <w:rPr>
          <w:rFonts w:ascii="times" w:hAnsi="times"/>
          <w:sz w:val="20"/>
        </w:rPr>
        <w:t xml:space="preserve">from and against all losses, claims, damages or similar events arising by reason of such person's above mentioned position with respect to Plains GP Holdings, L.P. Provided, that such person shall not be indemnified and held harmless if there has been a final and non-appealable judgment entered by a court determining that such person acted in bad faith or engaged in fraud, willful misconduct or acted </w:t>
      </w:r>
    </w:p>
    <w:p>
      <w:pPr>
        <w:pStyle w:val="TextBody"/>
        <w:jc w:val="center"/>
        <w:rPr>
          <w:rFonts w:ascii="times" w:hAnsi="times"/>
          <w:sz w:val="20"/>
        </w:rPr>
      </w:pPr>
      <w:r>
        <w:rPr>
          <w:rFonts w:ascii="times" w:hAnsi="times"/>
          <w:sz w:val="20"/>
        </w:rPr>
        <w:t>II-1</w:t>
      </w:r>
    </w:p>
    <w:p>
      <w:pPr>
        <w:pStyle w:val="HorizontalLine"/>
        <w:pBdr>
          <w:bottom w:val="single" w:sz="20" w:space="0" w:color="808080"/>
        </w:pBdr>
        <w:rPr/>
      </w:pPr>
      <w:r>
        <w:rPr/>
      </w:r>
      <w:r>
        <w:br w:type="page"/>
      </w:r>
    </w:p>
    <w:p>
      <w:pPr>
        <w:pStyle w:val="TextBody"/>
        <w:rPr/>
      </w:pPr>
      <w:hyperlink w:anchor="bg76101a_main_toc">
        <w:bookmarkStart w:id="109" w:name="page_ja76101_1_2"/>
        <w:bookmarkEnd w:id="109"/>
        <w:r>
          <w:rPr>
            <w:rStyle w:val="InternetLink"/>
            <w:rFonts w:ascii="times" w:hAnsi="times"/>
            <w:sz w:val="20"/>
          </w:rPr>
          <w:t>Table of Contents</w:t>
        </w:r>
      </w:hyperlink>
    </w:p>
    <w:p>
      <w:pPr>
        <w:pStyle w:val="TextBody"/>
        <w:rPr>
          <w:rFonts w:ascii="times" w:hAnsi="times"/>
          <w:sz w:val="20"/>
        </w:rPr>
      </w:pPr>
      <w:r>
        <w:rPr>
          <w:rFonts w:ascii="times" w:hAnsi="times"/>
          <w:sz w:val="20"/>
        </w:rPr>
        <w:t xml:space="preserve">with the knowledge that his or her conduct was unlawful. Any indemnification under Plains GP Holdings, L.P.'s partnership agreement will only be out of its assets. Plains GP Holdings, L.P. is authorized to purchase insurance against liabilities asserted against and expenses incurred by persons from Plains GP Holdings, L.P.'s activities, regardless of whether Plains GP Holdings, L.P. would have the power to indemnify the person against liabilities under Plains GP Holdings, L.P.'s partnership agreement. </w:t>
      </w:r>
    </w:p>
    <w:p>
      <w:pPr>
        <w:pStyle w:val="TextBody"/>
        <w:rPr>
          <w:rFonts w:ascii="times" w:hAnsi="times"/>
          <w:b/>
          <w:sz w:val="20"/>
        </w:rPr>
      </w:pPr>
      <w:bookmarkStart w:id="110" w:name="toc_ja76101_4"/>
      <w:bookmarkStart w:id="111" w:name="ja76101_item_16._exhibits."/>
      <w:bookmarkEnd w:id="110"/>
      <w:bookmarkEnd w:id="111"/>
      <w:r>
        <w:rPr>
          <w:rFonts w:ascii="times" w:hAnsi="times"/>
          <w:b/>
          <w:sz w:val="20"/>
        </w:rPr>
        <w:t xml:space="preserve">Item 16.    Exhibits. </w:t>
      </w:r>
    </w:p>
    <w:p>
      <w:pPr>
        <w:pStyle w:val="TextBody"/>
        <w:rPr/>
      </w:pPr>
      <w:r>
        <w:rPr/>
        <w:t>        </w:t>
      </w:r>
      <w:r>
        <w:rPr>
          <w:rFonts w:ascii="times" w:hAnsi="times"/>
          <w:sz w:val="20"/>
        </w:rPr>
        <w:t xml:space="preserve">See the Exhibit Index on the page immediately preceding the exhibits for a list of exhibits filed as part of this registration statement on Form S-3, which Exhibit Index is incorporated herein by reference. </w:t>
      </w:r>
    </w:p>
    <w:p>
      <w:pPr>
        <w:pStyle w:val="TextBody"/>
        <w:rPr>
          <w:rFonts w:ascii="times" w:hAnsi="times"/>
          <w:b/>
          <w:sz w:val="20"/>
        </w:rPr>
      </w:pPr>
      <w:bookmarkStart w:id="112" w:name="toc_ja76101_5"/>
      <w:bookmarkStart w:id="113" w:name="ja76101_item_17._undertakings."/>
      <w:bookmarkEnd w:id="112"/>
      <w:bookmarkEnd w:id="113"/>
      <w:r>
        <w:rPr>
          <w:rFonts w:ascii="times" w:hAnsi="times"/>
          <w:b/>
          <w:sz w:val="20"/>
        </w:rPr>
        <w:t xml:space="preserve">Item 17.    Undertakings. </w:t>
      </w:r>
    </w:p>
    <w:p>
      <w:pPr>
        <w:pStyle w:val="ListHeading"/>
        <w:spacing w:before="0" w:after="0"/>
        <w:rPr>
          <w:rFonts w:ascii="times" w:hAnsi="times"/>
          <w:sz w:val="20"/>
        </w:rPr>
      </w:pPr>
      <w:r>
        <w:rPr>
          <w:rFonts w:ascii="times" w:hAnsi="times"/>
          <w:sz w:val="20"/>
        </w:rPr>
        <w:t>(1)</w:t>
      </w:r>
    </w:p>
    <w:p>
      <w:pPr>
        <w:pStyle w:val="ListContents"/>
        <w:spacing w:before="0" w:after="283"/>
        <w:rPr>
          <w:rFonts w:ascii="times" w:hAnsi="times"/>
          <w:sz w:val="20"/>
        </w:rPr>
      </w:pPr>
      <w:r>
        <w:rPr>
          <w:rFonts w:ascii="times" w:hAnsi="times"/>
          <w:sz w:val="20"/>
        </w:rPr>
        <w:t xml:space="preserve">The undersigned registrant hereby undertakes: </w:t>
      </w:r>
    </w:p>
    <w:p>
      <w:pPr>
        <w:pStyle w:val="ListHeading"/>
        <w:spacing w:before="0" w:after="0"/>
        <w:ind w:left="567" w:right="0" w:hanging="0"/>
        <w:rPr>
          <w:rFonts w:ascii="times" w:hAnsi="times"/>
          <w:sz w:val="20"/>
        </w:rPr>
      </w:pPr>
      <w:r>
        <w:rPr>
          <w:rFonts w:ascii="times" w:hAnsi="times"/>
          <w:sz w:val="20"/>
        </w:rPr>
        <w:t>(a)</w:t>
      </w:r>
    </w:p>
    <w:p>
      <w:pPr>
        <w:pStyle w:val="ListContents"/>
        <w:spacing w:before="0" w:after="283"/>
        <w:ind w:left="1134" w:right="0" w:hanging="0"/>
        <w:rPr>
          <w:rFonts w:ascii="times" w:hAnsi="times"/>
          <w:sz w:val="20"/>
        </w:rPr>
      </w:pPr>
      <w:r>
        <w:rPr>
          <w:rFonts w:ascii="times" w:hAnsi="times"/>
          <w:sz w:val="20"/>
        </w:rPr>
        <w:t xml:space="preserve">To file, during any period in which offers or sales are being made, a post-effective amendment to this registration statement: </w:t>
      </w:r>
    </w:p>
    <w:p>
      <w:pPr>
        <w:pStyle w:val="ListHeading"/>
        <w:spacing w:before="0" w:after="0"/>
        <w:ind w:left="1134" w:right="0" w:hanging="0"/>
        <w:rPr>
          <w:rFonts w:ascii="times" w:hAnsi="times"/>
          <w:sz w:val="20"/>
        </w:rPr>
      </w:pPr>
      <w:r>
        <w:rPr>
          <w:rFonts w:ascii="times" w:hAnsi="times"/>
          <w:sz w:val="20"/>
        </w:rPr>
        <w:t>(i)</w:t>
      </w:r>
    </w:p>
    <w:p>
      <w:pPr>
        <w:pStyle w:val="ListContents"/>
        <w:spacing w:before="0" w:after="283"/>
        <w:ind w:left="1701" w:right="0" w:hanging="0"/>
        <w:rPr>
          <w:rFonts w:ascii="times" w:hAnsi="times"/>
          <w:sz w:val="20"/>
        </w:rPr>
      </w:pPr>
      <w:r>
        <w:rPr>
          <w:rFonts w:ascii="times" w:hAnsi="times"/>
          <w:sz w:val="20"/>
        </w:rPr>
        <w:t xml:space="preserve">To include any prospectus required by Section 10(a)(3) of the Securities Act; </w:t>
      </w:r>
    </w:p>
    <w:p>
      <w:pPr>
        <w:pStyle w:val="ListHeading"/>
        <w:spacing w:before="0" w:after="0"/>
        <w:ind w:left="1134" w:right="0" w:hanging="0"/>
        <w:rPr>
          <w:rFonts w:ascii="times" w:hAnsi="times"/>
          <w:sz w:val="20"/>
        </w:rPr>
      </w:pPr>
      <w:r>
        <w:rPr>
          <w:rFonts w:ascii="times" w:hAnsi="times"/>
          <w:sz w:val="20"/>
        </w:rPr>
        <w:t>(ii)</w:t>
      </w:r>
    </w:p>
    <w:p>
      <w:pPr>
        <w:pStyle w:val="ListContents"/>
        <w:spacing w:before="0" w:after="283"/>
        <w:ind w:left="1701" w:right="0" w:hanging="0"/>
        <w:rPr>
          <w:rFonts w:ascii="times" w:hAnsi="times"/>
          <w:sz w:val="20"/>
        </w:rPr>
      </w:pPr>
      <w:r>
        <w:rPr>
          <w:rFonts w:ascii="times" w:hAnsi="times"/>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ListHeading"/>
        <w:spacing w:before="0" w:after="0"/>
        <w:ind w:left="1134" w:right="0" w:hanging="0"/>
        <w:rPr>
          <w:rFonts w:ascii="times" w:hAnsi="times"/>
          <w:sz w:val="20"/>
        </w:rPr>
      </w:pPr>
      <w:r>
        <w:rPr>
          <w:rFonts w:ascii="times" w:hAnsi="times"/>
          <w:sz w:val="20"/>
        </w:rPr>
        <w:t>(iii)</w:t>
      </w:r>
    </w:p>
    <w:p>
      <w:pPr>
        <w:pStyle w:val="ListContents"/>
        <w:spacing w:before="0" w:after="283"/>
        <w:ind w:left="1701" w:right="0" w:hanging="0"/>
        <w:rPr>
          <w:rFonts w:ascii="times" w:hAnsi="times"/>
          <w:sz w:val="20"/>
        </w:rPr>
      </w:pPr>
      <w:r>
        <w:rPr>
          <w:rFonts w:ascii="times" w:hAnsi="times"/>
          <w:sz w:val="20"/>
        </w:rPr>
        <w:t xml:space="preserve">To include any material information with respect to the plan of distribution not previously disclosed in the registration statement or any material change to such information in the registration statement; </w:t>
      </w:r>
    </w:p>
    <w:p>
      <w:pPr>
        <w:pStyle w:val="TextBody"/>
        <w:numPr>
          <w:ilvl w:val="0"/>
          <w:numId w:val="0"/>
        </w:numPr>
        <w:ind w:left="707" w:hanging="0"/>
        <w:rPr>
          <w:rFonts w:ascii="times" w:hAnsi="times"/>
        </w:rPr>
      </w:pPr>
      <w:r>
        <w:rPr>
          <w:rFonts w:ascii="times" w:hAnsi="times"/>
          <w:i/>
          <w:sz w:val="20"/>
        </w:rPr>
        <w:t>provided, however</w:t>
      </w:r>
      <w:r>
        <w:rPr>
          <w:rFonts w:ascii="times" w:hAnsi="times"/>
          <w:sz w:val="20"/>
        </w:rPr>
        <w:t xml:space="preserve">, that paragraphs (i), (ii) and (iii) above do not apply if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ListHeading"/>
        <w:numPr>
          <w:ilvl w:val="0"/>
          <w:numId w:val="0"/>
        </w:numPr>
        <w:spacing w:before="0" w:after="0"/>
        <w:ind w:left="707" w:right="0" w:hanging="0"/>
        <w:rPr>
          <w:rFonts w:ascii="times" w:hAnsi="times"/>
          <w:sz w:val="20"/>
        </w:rPr>
      </w:pPr>
      <w:r>
        <w:rPr>
          <w:rFonts w:ascii="times" w:hAnsi="times"/>
          <w:sz w:val="20"/>
        </w:rPr>
        <w:t>(b)</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ListHeading"/>
        <w:numPr>
          <w:ilvl w:val="0"/>
          <w:numId w:val="0"/>
        </w:numPr>
        <w:spacing w:before="0" w:after="0"/>
        <w:ind w:left="707" w:right="0" w:hanging="0"/>
        <w:rPr>
          <w:rFonts w:ascii="times" w:hAnsi="times"/>
          <w:sz w:val="20"/>
        </w:rPr>
      </w:pPr>
      <w:r>
        <w:rPr>
          <w:rFonts w:ascii="times" w:hAnsi="times"/>
          <w:sz w:val="20"/>
        </w:rPr>
        <w:t>(c)</w:t>
      </w:r>
    </w:p>
    <w:p>
      <w:pPr>
        <w:pStyle w:val="ListContents"/>
        <w:numPr>
          <w:ilvl w:val="0"/>
          <w:numId w:val="0"/>
        </w:numPr>
        <w:spacing w:before="0" w:after="283"/>
        <w:ind w:left="1274" w:right="0" w:hanging="0"/>
        <w:rPr>
          <w:rFonts w:ascii="times" w:hAnsi="times"/>
          <w:sz w:val="20"/>
        </w:rPr>
      </w:pPr>
      <w:r>
        <w:rPr>
          <w:rFonts w:ascii="times" w:hAnsi="times"/>
          <w:sz w:val="20"/>
        </w:rPr>
        <w:t xml:space="preserve">To remove from registration by means of a post-effective amendment any of the securities being registered which remain unsold at the termination of the offering. </w:t>
      </w:r>
    </w:p>
    <w:p>
      <w:pPr>
        <w:pStyle w:val="TextBody"/>
        <w:jc w:val="center"/>
        <w:rPr>
          <w:rFonts w:ascii="times" w:hAnsi="times"/>
          <w:sz w:val="20"/>
        </w:rPr>
      </w:pPr>
      <w:r>
        <w:rPr>
          <w:rFonts w:ascii="times" w:hAnsi="times"/>
          <w:sz w:val="20"/>
        </w:rPr>
        <w:t>II-2</w:t>
      </w:r>
    </w:p>
    <w:p>
      <w:pPr>
        <w:pStyle w:val="HorizontalLine"/>
        <w:pBdr>
          <w:bottom w:val="single" w:sz="20" w:space="0" w:color="808080"/>
        </w:pBdr>
        <w:rPr/>
      </w:pPr>
      <w:r>
        <w:rPr/>
      </w:r>
      <w:r>
        <w:br w:type="page"/>
      </w:r>
    </w:p>
    <w:p>
      <w:pPr>
        <w:pStyle w:val="TextBody"/>
        <w:rPr/>
      </w:pPr>
      <w:hyperlink w:anchor="bg76101a_main_toc">
        <w:bookmarkStart w:id="114" w:name="page_ja76101_1_3"/>
        <w:bookmarkEnd w:id="114"/>
        <w:r>
          <w:rPr>
            <w:rStyle w:val="InternetLink"/>
            <w:rFonts w:ascii="times" w:hAnsi="times"/>
            <w:sz w:val="20"/>
          </w:rPr>
          <w:t>Table of Contents</w:t>
        </w:r>
      </w:hyperlink>
    </w:p>
    <w:p>
      <w:pPr>
        <w:pStyle w:val="ListHeading"/>
        <w:numPr>
          <w:ilvl w:val="0"/>
          <w:numId w:val="0"/>
        </w:numPr>
        <w:spacing w:before="0" w:after="0"/>
        <w:ind w:left="707" w:right="0" w:hanging="0"/>
        <w:rPr>
          <w:rFonts w:ascii="times" w:hAnsi="times"/>
          <w:sz w:val="20"/>
        </w:rPr>
      </w:pPr>
      <w:r>
        <w:rPr>
          <w:rFonts w:ascii="times" w:hAnsi="times"/>
          <w:sz w:val="20"/>
        </w:rPr>
        <w:t>(d)</w:t>
      </w:r>
    </w:p>
    <w:p>
      <w:pPr>
        <w:pStyle w:val="ListContents"/>
        <w:numPr>
          <w:ilvl w:val="0"/>
          <w:numId w:val="0"/>
        </w:numPr>
        <w:spacing w:before="0" w:after="283"/>
        <w:ind w:left="1274" w:right="0" w:hanging="0"/>
        <w:rPr>
          <w:rFonts w:ascii="times" w:hAnsi="times"/>
          <w:sz w:val="20"/>
        </w:rPr>
      </w:pPr>
      <w:r>
        <w:rPr>
          <w:rFonts w:ascii="times" w:hAnsi="times"/>
          <w:sz w:val="20"/>
        </w:rPr>
        <w:t xml:space="preserve">That, for the purpose of determining liability under the Securities Act to any purchaser: </w:t>
      </w:r>
    </w:p>
    <w:p>
      <w:pPr>
        <w:pStyle w:val="ListHeading"/>
        <w:numPr>
          <w:ilvl w:val="0"/>
          <w:numId w:val="0"/>
        </w:numPr>
        <w:spacing w:before="0" w:after="0"/>
        <w:ind w:left="1274" w:right="0" w:hanging="0"/>
        <w:rPr>
          <w:rFonts w:ascii="times" w:hAnsi="times"/>
          <w:sz w:val="20"/>
        </w:rPr>
      </w:pPr>
      <w:r>
        <w:rPr>
          <w:rFonts w:ascii="times" w:hAnsi="times"/>
          <w:sz w:val="20"/>
        </w:rPr>
        <w:t>(i)</w:t>
      </w:r>
    </w:p>
    <w:p>
      <w:pPr>
        <w:pStyle w:val="ListContents"/>
        <w:numPr>
          <w:ilvl w:val="0"/>
          <w:numId w:val="0"/>
        </w:numPr>
        <w:spacing w:before="0" w:after="283"/>
        <w:ind w:left="1841" w:right="0" w:hanging="0"/>
        <w:rPr>
          <w:rFonts w:ascii="times" w:hAnsi="times"/>
          <w:sz w:val="20"/>
        </w:rPr>
      </w:pPr>
      <w:r>
        <w:rPr>
          <w:rFonts w:ascii="times" w:hAnsi="times"/>
          <w:sz w:val="20"/>
        </w:rPr>
        <w:t xml:space="preserve">Each prospectus filed by the registrant pursuant to Rule 424(b)(3) shall be deemed to be part of the registration statement as of the date the filed prospectus was deemed part of and included in the registration statement; and </w:t>
      </w:r>
    </w:p>
    <w:p>
      <w:pPr>
        <w:pStyle w:val="ListHeading"/>
        <w:numPr>
          <w:ilvl w:val="0"/>
          <w:numId w:val="0"/>
        </w:numPr>
        <w:spacing w:before="0" w:after="0"/>
        <w:ind w:left="1274" w:right="0" w:hanging="0"/>
        <w:rPr>
          <w:rFonts w:ascii="times" w:hAnsi="times"/>
          <w:sz w:val="20"/>
        </w:rPr>
      </w:pPr>
      <w:r>
        <w:rPr>
          <w:rFonts w:ascii="times" w:hAnsi="times"/>
          <w:sz w:val="20"/>
        </w:rPr>
        <w:t>(ii)</w:t>
      </w:r>
    </w:p>
    <w:p>
      <w:pPr>
        <w:pStyle w:val="ListContents"/>
        <w:numPr>
          <w:ilvl w:val="0"/>
          <w:numId w:val="0"/>
        </w:numPr>
        <w:spacing w:before="0" w:after="283"/>
        <w:ind w:left="1841" w:right="0" w:hanging="0"/>
        <w:rPr>
          <w:rFonts w:ascii="times" w:hAnsi="times"/>
          <w:sz w:val="20"/>
        </w:rPr>
      </w:pPr>
      <w:r>
        <w:rPr>
          <w:rFonts w:ascii="times" w:hAnsi="times"/>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ListHeading"/>
        <w:spacing w:before="0" w:after="0"/>
        <w:rPr>
          <w:rFonts w:ascii="times" w:hAnsi="times"/>
          <w:sz w:val="20"/>
        </w:rPr>
      </w:pPr>
      <w:r>
        <w:rPr>
          <w:rFonts w:ascii="times" w:hAnsi="times"/>
          <w:sz w:val="20"/>
        </w:rPr>
        <w:t>(2)</w:t>
      </w:r>
    </w:p>
    <w:p>
      <w:pPr>
        <w:pStyle w:val="ListContents"/>
        <w:spacing w:before="0" w:after="283"/>
        <w:rPr>
          <w:rFonts w:ascii="times" w:hAnsi="times"/>
          <w:sz w:val="20"/>
        </w:rPr>
      </w:pPr>
      <w:r>
        <w:rPr>
          <w:rFonts w:ascii="times" w:hAnsi="times"/>
          <w:sz w:val="20"/>
        </w:rPr>
        <w:t xml:space="preserve">The undersigned registrant hereby undertakes that, for purposes of determining any liability under the Securities Act, each filing of the registrant's annual report pursuant to section 13(a) or section 15(d) of the Securities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ListHeading"/>
        <w:spacing w:before="0" w:after="0"/>
        <w:rPr>
          <w:rFonts w:ascii="times" w:hAnsi="times"/>
          <w:sz w:val="20"/>
        </w:rPr>
      </w:pPr>
      <w:r>
        <w:rPr>
          <w:rFonts w:ascii="times" w:hAnsi="times"/>
          <w:sz w:val="20"/>
        </w:rPr>
        <w:t>(3)</w:t>
      </w:r>
    </w:p>
    <w:p>
      <w:pPr>
        <w:pStyle w:val="ListContents"/>
        <w:spacing w:before="0" w:after="283"/>
        <w:rPr>
          <w:rFonts w:ascii="times" w:hAnsi="times"/>
          <w:sz w:val="20"/>
        </w:rPr>
      </w:pPr>
      <w:r>
        <w:rPr>
          <w:rFonts w:ascii="times" w:hAnsi="times"/>
          <w:sz w:val="20"/>
        </w:rPr>
        <w:t xml:space="preserve">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jc w:val="center"/>
        <w:rPr>
          <w:rFonts w:ascii="times" w:hAnsi="times"/>
          <w:sz w:val="20"/>
        </w:rPr>
      </w:pPr>
      <w:r>
        <w:rPr>
          <w:rFonts w:ascii="times" w:hAnsi="times"/>
          <w:sz w:val="20"/>
        </w:rPr>
        <w:t>II-3</w:t>
      </w:r>
    </w:p>
    <w:p>
      <w:pPr>
        <w:pStyle w:val="HorizontalLine"/>
        <w:pBdr>
          <w:bottom w:val="single" w:sz="20" w:space="0" w:color="808080"/>
        </w:pBdr>
        <w:rPr/>
      </w:pPr>
      <w:r>
        <w:rPr/>
      </w:r>
      <w:r>
        <w:br w:type="page"/>
      </w:r>
    </w:p>
    <w:p>
      <w:pPr>
        <w:pStyle w:val="TextBody"/>
        <w:rPr/>
      </w:pPr>
      <w:hyperlink w:anchor="bg761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15" w:name="toc_jc76101_1"/>
      <w:bookmarkStart w:id="116" w:name="jc76101_signatures"/>
      <w:bookmarkEnd w:id="115"/>
      <w:bookmarkEnd w:id="116"/>
      <w:r>
        <w:rPr>
          <w:rFonts w:ascii="times" w:hAnsi="times"/>
          <w:sz w:val="20"/>
        </w:rPr>
        <w:br/>
      </w:r>
      <w:r>
        <w:rPr>
          <w:rFonts w:ascii="times" w:hAnsi="times"/>
          <w:b/>
          <w:sz w:val="20"/>
        </w:rPr>
        <w:t xml:space="preserve">SIGNATURES </w:t>
      </w:r>
    </w:p>
    <w:p>
      <w:pPr>
        <w:pStyle w:val="TextBody"/>
        <w:rPr/>
      </w:pPr>
      <w:r>
        <w:rPr/>
        <w:t>        </w:t>
      </w:r>
      <w:r>
        <w:rPr>
          <w:rFonts w:ascii="times" w:hAnsi="times"/>
          <w:sz w:val="20"/>
        </w:rPr>
        <w:t xml:space="preserve">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November 6, 2014. </w:t>
      </w:r>
    </w:p>
    <w:tbl>
      <w:tblPr>
        <w:tblW w:w="5000" w:type="pct"/>
        <w:jc w:val="center"/>
        <w:tblInd w:w="0" w:type="dxa"/>
        <w:tblCellMar>
          <w:top w:w="0" w:type="dxa"/>
          <w:left w:w="0" w:type="dxa"/>
          <w:bottom w:w="0" w:type="dxa"/>
          <w:right w:w="0" w:type="dxa"/>
        </w:tblCellMar>
      </w:tblPr>
      <w:tblGrid>
        <w:gridCol w:w="5076"/>
        <w:gridCol w:w="60"/>
        <w:gridCol w:w="260"/>
        <w:gridCol w:w="45"/>
        <w:gridCol w:w="4764"/>
      </w:tblGrid>
      <w:tr>
        <w:trPr/>
        <w:tc>
          <w:tcPr>
            <w:tcW w:w="507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45" w:type="dxa"/>
            <w:tcBorders/>
            <w:shd w:fill="auto" w:val="clear"/>
            <w:vAlign w:val="center"/>
          </w:tcPr>
          <w:p>
            <w:pPr>
              <w:pStyle w:val="TableContents"/>
              <w:spacing w:before="0" w:after="283"/>
              <w:rPr>
                <w:sz w:val="4"/>
                <w:szCs w:val="4"/>
              </w:rPr>
            </w:pPr>
            <w:r>
              <w:rPr>
                <w:sz w:val="4"/>
                <w:szCs w:val="4"/>
              </w:rPr>
            </w:r>
          </w:p>
        </w:tc>
        <w:tc>
          <w:tcPr>
            <w:tcW w:w="4764" w:type="dxa"/>
            <w:tcBorders/>
            <w:shd w:fill="auto" w:val="clear"/>
            <w:vAlign w:val="center"/>
          </w:tcPr>
          <w:p>
            <w:pPr>
              <w:pStyle w:val="TableContents"/>
              <w:spacing w:before="0" w:after="283"/>
              <w:rPr>
                <w:sz w:val="4"/>
                <w:szCs w:val="4"/>
              </w:rPr>
            </w:pPr>
            <w:r>
              <w:rPr>
                <w:sz w:val="4"/>
                <w:szCs w:val="4"/>
              </w:rPr>
            </w:r>
          </w:p>
        </w:tc>
      </w:tr>
      <w:tr>
        <w:trPr/>
        <w:tc>
          <w:tcPr>
            <w:tcW w:w="5076" w:type="dxa"/>
            <w:tcBorders/>
            <w:shd w:fill="auto" w:val="clear"/>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5069" w:type="dxa"/>
            <w:gridSpan w:val="3"/>
            <w:tcBorders/>
            <w:shd w:fill="auto" w:val="clear"/>
          </w:tcPr>
          <w:p>
            <w:pPr>
              <w:pStyle w:val="TableContents"/>
              <w:spacing w:before="0" w:after="283"/>
              <w:rPr>
                <w:rFonts w:ascii="times" w:hAnsi="times"/>
                <w:b/>
                <w:sz w:val="20"/>
              </w:rPr>
            </w:pPr>
            <w:r>
              <w:rPr>
                <w:rFonts w:ascii="times" w:hAnsi="times"/>
                <w:b/>
                <w:sz w:val="20"/>
              </w:rPr>
              <w:t>PLAINS GP HOLDINGS, L.P.</w:t>
            </w:r>
          </w:p>
        </w:tc>
      </w:tr>
      <w:tr>
        <w:trPr/>
        <w:tc>
          <w:tcPr>
            <w:tcW w:w="5076"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45" w:type="dxa"/>
            <w:tcBorders/>
            <w:shd w:fill="auto" w:val="clear"/>
          </w:tcPr>
          <w:p>
            <w:pPr>
              <w:pStyle w:val="TableContents"/>
              <w:spacing w:before="0" w:after="283"/>
              <w:rPr>
                <w:rFonts w:ascii="times" w:hAnsi="times"/>
                <w:sz w:val="20"/>
              </w:rPr>
            </w:pPr>
            <w:r>
              <w:rPr>
                <w:rFonts w:ascii="times" w:hAnsi="times"/>
                <w:sz w:val="20"/>
              </w:rPr>
              <w:br/>
              <w:t> </w:t>
            </w:r>
          </w:p>
        </w:tc>
        <w:tc>
          <w:tcPr>
            <w:tcW w:w="4764" w:type="dxa"/>
            <w:tcBorders/>
            <w:shd w:fill="auto" w:val="clear"/>
            <w:vAlign w:val="bottom"/>
          </w:tcPr>
          <w:p>
            <w:pPr>
              <w:pStyle w:val="TableContents"/>
              <w:spacing w:before="0" w:after="283"/>
              <w:rPr>
                <w:rFonts w:ascii="times" w:hAnsi="times"/>
              </w:rPr>
            </w:pPr>
            <w:r>
              <w:rPr>
                <w:rFonts w:ascii="times" w:hAnsi="times"/>
              </w:rPr>
              <w:br/>
            </w:r>
            <w:r>
              <w:rPr>
                <w:rFonts w:ascii="times" w:hAnsi="times"/>
                <w:sz w:val="20"/>
              </w:rPr>
              <w:t xml:space="preserve">PAA GP HOLDINGS LLC, </w:t>
            </w:r>
            <w:r>
              <w:rPr>
                <w:rFonts w:ascii="times" w:hAnsi="times"/>
                <w:i/>
                <w:sz w:val="20"/>
              </w:rPr>
              <w:t>its general partner</w:t>
            </w:r>
          </w:p>
        </w:tc>
      </w:tr>
      <w:tr>
        <w:trPr/>
        <w:tc>
          <w:tcPr>
            <w:tcW w:w="5076"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260" w:type="dxa"/>
            <w:tcBorders/>
            <w:shd w:fill="auto" w:val="clear"/>
          </w:tcPr>
          <w:p>
            <w:pPr>
              <w:pStyle w:val="TableContents"/>
              <w:spacing w:before="0" w:after="283"/>
              <w:rPr>
                <w:rFonts w:ascii="times" w:hAnsi="times"/>
              </w:rPr>
            </w:pPr>
            <w:r>
              <w:rPr>
                <w:rFonts w:ascii="times" w:hAnsi="times"/>
              </w:rPr>
              <w:br/>
            </w:r>
            <w:r>
              <w:rPr>
                <w:rFonts w:ascii="times" w:hAnsi="times"/>
                <w:sz w:val="20"/>
              </w:rPr>
              <w:t>By:</w:t>
            </w:r>
          </w:p>
        </w:tc>
        <w:tc>
          <w:tcPr>
            <w:tcW w:w="45" w:type="dxa"/>
            <w:tcBorders/>
            <w:shd w:fill="auto" w:val="clear"/>
          </w:tcPr>
          <w:p>
            <w:pPr>
              <w:pStyle w:val="TableContents"/>
              <w:spacing w:before="0" w:after="283"/>
              <w:rPr>
                <w:rFonts w:ascii="times" w:hAnsi="times"/>
                <w:sz w:val="20"/>
              </w:rPr>
            </w:pPr>
            <w:r>
              <w:rPr>
                <w:rFonts w:ascii="times" w:hAnsi="times"/>
                <w:sz w:val="20"/>
              </w:rPr>
              <w:br/>
              <w:t> </w:t>
            </w:r>
          </w:p>
        </w:tc>
        <w:tc>
          <w:tcPr>
            <w:tcW w:w="4764" w:type="dxa"/>
            <w:tcBorders/>
            <w:shd w:fill="auto" w:val="clear"/>
            <w:vAlign w:val="bottom"/>
          </w:tcPr>
          <w:p>
            <w:pPr>
              <w:pStyle w:val="TableContents"/>
              <w:spacing w:before="0" w:after="0"/>
              <w:rPr>
                <w:rFonts w:ascii="times" w:hAnsi="times"/>
              </w:rPr>
            </w:pPr>
            <w:r>
              <w:rPr>
                <w:rFonts w:ascii="times" w:hAnsi="times"/>
              </w:rPr>
              <w:br/>
            </w:r>
            <w:r>
              <w:rPr>
                <w:rFonts w:ascii="times" w:hAnsi="times"/>
                <w:sz w:val="20"/>
              </w:rPr>
              <w:t>/s/ GREG L. ARMSTRONG</w:t>
            </w:r>
          </w:p>
          <w:p>
            <w:pPr>
              <w:pStyle w:val="HorizontalLine"/>
              <w:pBdr>
                <w:bottom w:val="single" w:sz="6" w:space="0" w:color="000000"/>
              </w:pBdr>
              <w:rPr/>
            </w:pPr>
            <w:r>
              <w:rPr/>
            </w:r>
          </w:p>
          <w:p>
            <w:pPr>
              <w:pStyle w:val="TableContents"/>
              <w:spacing w:before="0" w:after="283"/>
              <w:rPr>
                <w:rFonts w:ascii="times" w:hAnsi="times"/>
              </w:rPr>
            </w:pPr>
            <w:r>
              <w:rPr>
                <w:rFonts w:ascii="times" w:hAnsi="times"/>
                <w:sz w:val="20"/>
              </w:rPr>
              <w:t>Greg L. Armstrong</w:t>
              <w:br/>
            </w:r>
            <w:r>
              <w:rPr>
                <w:rFonts w:ascii="times" w:hAnsi="times"/>
                <w:i/>
                <w:sz w:val="20"/>
              </w:rPr>
              <w:t>Chairman of the Board and Chief Executive Officer</w:t>
            </w:r>
          </w:p>
        </w:tc>
      </w:tr>
    </w:tbl>
    <w:p>
      <w:pPr>
        <w:pStyle w:val="TextBody"/>
        <w:jc w:val="center"/>
        <w:rPr>
          <w:rFonts w:ascii="times" w:hAnsi="times"/>
        </w:rPr>
      </w:pPr>
      <w:bookmarkStart w:id="117" w:name="toc_jc76101_2"/>
      <w:bookmarkStart w:id="118" w:name="jc76101_power_of_attorney"/>
      <w:bookmarkEnd w:id="117"/>
      <w:bookmarkEnd w:id="118"/>
      <w:r>
        <w:rPr>
          <w:rFonts w:ascii="times" w:hAnsi="times"/>
          <w:sz w:val="20"/>
        </w:rPr>
        <w:br/>
      </w:r>
      <w:r>
        <w:rPr>
          <w:rFonts w:ascii="times" w:hAnsi="times"/>
          <w:b/>
          <w:sz w:val="20"/>
        </w:rPr>
        <w:t xml:space="preserve">POWER OF ATTORNEY </w:t>
      </w:r>
    </w:p>
    <w:p>
      <w:pPr>
        <w:pStyle w:val="TextBody"/>
        <w:rPr/>
      </w:pPr>
      <w:r>
        <w:rPr/>
        <w:t>        </w:t>
      </w:r>
      <w:r>
        <w:rPr>
          <w:rFonts w:ascii="times" w:hAnsi="times"/>
          <w:sz w:val="20"/>
        </w:rPr>
        <w:t xml:space="preserve">All those persons whose signatures appear below do hereby constitute and appoint Al Swanson and Richard McGee, and each of them, our true and lawful attorney-in-fact and agent, to do any and all acts and things in our names and on our behalf in our capacities as directors and officers and to execute any and all instruments for us and in our name in the capacities indicated below, which said attorney and agent may deem necessary or advisable to enable said registrant to comply with the Securities Act of 1933 and any rules, regulations and requirements of the Securities and Exchange Commission, in connection with the registration statements, or any registration statement for this offering that is to be effective upon filing pursuant to Rule 462 under the Securities Act of 1933, including specifically, but without limitation, power and authority to sign for us or any of us in our names in the capacities indicated below, any and all amendments (including post-effective amendments) hereof; and we do hereby ratify and confirm all that said attorneys and agents shall do or cause to be done by virtue thereof. </w:t>
      </w:r>
    </w:p>
    <w:p>
      <w:pPr>
        <w:pStyle w:val="TextBody"/>
        <w:rPr/>
      </w:pPr>
      <w:r>
        <w:rPr/>
        <w:t>        </w:t>
      </w:r>
      <w:r>
        <w:rPr>
          <w:rFonts w:ascii="times" w:hAnsi="times"/>
          <w:sz w:val="20"/>
        </w:rPr>
        <w:t xml:space="preserve">Pursuant to the requirements of the Securities Act of 1933, this Registration Statement has been signed below by the following persons in the capacities and on the dates indicated. </w:t>
      </w:r>
    </w:p>
    <w:tbl>
      <w:tblPr>
        <w:tblW w:w="5000" w:type="pct"/>
        <w:jc w:val="center"/>
        <w:tblInd w:w="0" w:type="dxa"/>
        <w:tblCellMar>
          <w:top w:w="0" w:type="dxa"/>
          <w:left w:w="0" w:type="dxa"/>
          <w:bottom w:w="0" w:type="dxa"/>
          <w:right w:w="0" w:type="dxa"/>
        </w:tblCellMar>
      </w:tblPr>
      <w:tblGrid>
        <w:gridCol w:w="4514"/>
        <w:gridCol w:w="60"/>
        <w:gridCol w:w="4515"/>
        <w:gridCol w:w="60"/>
        <w:gridCol w:w="1056"/>
      </w:tblGrid>
      <w:tr>
        <w:trPr/>
        <w:tc>
          <w:tcPr>
            <w:tcW w:w="45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r>
      <w:tr>
        <w:trPr/>
        <w:tc>
          <w:tcPr>
            <w:tcW w:w="4514"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Signature </w:t>
            </w:r>
          </w:p>
        </w:tc>
        <w:tc>
          <w:tcPr>
            <w:tcW w:w="60" w:type="dxa"/>
            <w:tcBorders/>
            <w:shd w:fill="auto" w:val="clear"/>
            <w:vAlign w:val="bottom"/>
          </w:tcPr>
          <w:p>
            <w:pPr>
              <w:pStyle w:val="TableHeading"/>
              <w:suppressLineNumbers/>
              <w:spacing w:before="0" w:after="283"/>
              <w:jc w:val="center"/>
              <w:rPr/>
            </w:pPr>
            <w:r>
              <w:rPr/>
              <w:t> </w:t>
            </w:r>
          </w:p>
        </w:tc>
        <w:tc>
          <w:tcPr>
            <w:tcW w:w="4515"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Title </w:t>
            </w:r>
          </w:p>
        </w:tc>
        <w:tc>
          <w:tcPr>
            <w:tcW w:w="60" w:type="dxa"/>
            <w:tcBorders/>
            <w:shd w:fill="auto" w:val="clear"/>
            <w:vAlign w:val="bottom"/>
          </w:tcPr>
          <w:p>
            <w:pPr>
              <w:pStyle w:val="TableHeading"/>
              <w:suppressLineNumbers/>
              <w:spacing w:before="0" w:after="283"/>
              <w:jc w:val="center"/>
              <w:rPr/>
            </w:pPr>
            <w:r>
              <w:rPr/>
              <w:t> </w:t>
            </w:r>
          </w:p>
        </w:tc>
        <w:tc>
          <w:tcPr>
            <w:tcW w:w="1056"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Date </w:t>
            </w:r>
          </w:p>
        </w:tc>
      </w:tr>
      <w:tr>
        <w:trPr/>
        <w:tc>
          <w:tcPr>
            <w:tcW w:w="4514" w:type="dxa"/>
            <w:tcBorders/>
            <w:shd w:fill="auto" w:val="clear"/>
          </w:tcPr>
          <w:p>
            <w:pPr>
              <w:pStyle w:val="TableContents"/>
              <w:spacing w:before="0" w:after="283"/>
              <w:jc w:val="center"/>
              <w:rPr>
                <w:rFonts w:ascii="times" w:hAnsi="times"/>
              </w:rPr>
            </w:pPr>
            <w:r>
              <w:rPr>
                <w:rFonts w:ascii="times" w:hAnsi="times"/>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sz w:val="20"/>
              </w:rPr>
            </w:pPr>
            <w:r>
              <w:rPr>
                <w:rFonts w:ascii="times" w:hAnsi="times"/>
                <w:sz w:val="20"/>
              </w:rPr>
              <w:br/>
              <w:t> </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rPr>
                <w:rFonts w:ascii="times" w:hAnsi="times"/>
                <w:sz w:val="20"/>
              </w:rPr>
            </w:pPr>
            <w:r>
              <w:rPr>
                <w:rFonts w:ascii="times" w:hAnsi="times"/>
                <w:sz w:val="20"/>
              </w:rPr>
              <w:br/>
              <w:t> </w:t>
            </w:r>
          </w:p>
        </w:tc>
      </w:tr>
      <w:tr>
        <w:trPr/>
        <w:tc>
          <w:tcPr>
            <w:tcW w:w="4514" w:type="dxa"/>
            <w:tcBorders/>
            <w:shd w:fill="auto" w:val="clear"/>
          </w:tcPr>
          <w:p>
            <w:pPr>
              <w:pStyle w:val="TableContents"/>
              <w:spacing w:before="0" w:after="0"/>
              <w:jc w:val="center"/>
              <w:rPr>
                <w:rFonts w:ascii="times" w:hAnsi="times"/>
              </w:rPr>
            </w:pPr>
            <w:r>
              <w:rPr>
                <w:rFonts w:ascii="times" w:hAnsi="times"/>
              </w:rPr>
              <w:t>/s/ GREG L. ARMSTRONG</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Greg L. Armstrong</w:t>
            </w:r>
          </w:p>
        </w:tc>
        <w:tc>
          <w:tcPr>
            <w:tcW w:w="60" w:type="dxa"/>
            <w:tcBorders/>
            <w:shd w:fill="auto" w:val="clear"/>
          </w:tcPr>
          <w:p>
            <w:pPr>
              <w:pStyle w:val="TableContents"/>
              <w:spacing w:before="0" w:after="283"/>
              <w:rPr/>
            </w:pPr>
            <w:r>
              <w:rPr/>
              <w:t> </w:t>
            </w:r>
          </w:p>
        </w:tc>
        <w:tc>
          <w:tcPr>
            <w:tcW w:w="4515" w:type="dxa"/>
            <w:tcBorders/>
            <w:shd w:fill="auto" w:val="clear"/>
          </w:tcPr>
          <w:p>
            <w:pPr>
              <w:pStyle w:val="TableContents"/>
              <w:spacing w:before="0" w:after="283"/>
              <w:rPr>
                <w:rFonts w:ascii="times" w:hAnsi="times"/>
                <w:sz w:val="20"/>
              </w:rPr>
            </w:pPr>
            <w:r>
              <w:rPr>
                <w:rFonts w:ascii="times" w:hAnsi="times"/>
                <w:sz w:val="20"/>
              </w:rPr>
              <w:t>Chairman of the Board and Chief Executive Officer of PAA GP Holdings LLC (Principal Executive Officer)</w:t>
            </w:r>
          </w:p>
        </w:tc>
        <w:tc>
          <w:tcPr>
            <w:tcW w:w="60" w:type="dxa"/>
            <w:tcBorders/>
            <w:shd w:fill="auto" w:val="clear"/>
          </w:tcPr>
          <w:p>
            <w:pPr>
              <w:pStyle w:val="TableContents"/>
              <w:spacing w:before="0" w:after="283"/>
              <w:rPr/>
            </w:pPr>
            <w:r>
              <w:rPr/>
              <w:t> </w:t>
            </w:r>
          </w:p>
        </w:tc>
        <w:tc>
          <w:tcPr>
            <w:tcW w:w="1056" w:type="dxa"/>
            <w:tcBorders/>
            <w:shd w:fill="auto" w:val="clear"/>
          </w:tcPr>
          <w:p>
            <w:pPr>
              <w:pStyle w:val="TableContents"/>
              <w:spacing w:before="0" w:after="283"/>
              <w:jc w:val="center"/>
              <w:rPr>
                <w:rFonts w:ascii="times" w:hAnsi="times"/>
                <w:sz w:val="20"/>
              </w:rPr>
            </w:pPr>
            <w:r>
              <w:rPr>
                <w:rFonts w:ascii="times" w:hAnsi="times"/>
                <w:sz w:val="20"/>
              </w:rPr>
              <w:t>November 6, 2014</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HARRY N. PEFANIS</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Harry N. Pefanis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President and Chief Operating Officer of PAA GP Holdings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6, 2014</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AL SWANSON</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Al Swanson</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Executive Vice President and Chief Financial Officer of PAA GP Holdings LLC (Principal Financial Officer)</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6, 2014</w:t>
            </w:r>
          </w:p>
        </w:tc>
      </w:tr>
    </w:tbl>
    <w:p>
      <w:pPr>
        <w:pStyle w:val="HorizontalLine"/>
        <w:pBdr>
          <w:bottom w:val="single" w:sz="20" w:space="0" w:color="808080"/>
        </w:pBdr>
        <w:rPr/>
      </w:pPr>
      <w:r>
        <w:rPr/>
      </w:r>
      <w:r>
        <w:br w:type="page"/>
      </w:r>
    </w:p>
    <w:p>
      <w:pPr>
        <w:pStyle w:val="TextBody"/>
        <w:rPr/>
      </w:pPr>
      <w:hyperlink w:anchor="bg76101a_main_toc">
        <w:r>
          <w:rPr>
            <w:rStyle w:val="InternetLink"/>
            <w:rFonts w:ascii="times" w:hAnsi="times"/>
            <w:sz w:val="20"/>
          </w:rPr>
          <w:t>Table of Contents</w:t>
        </w:r>
      </w:hyperlink>
    </w:p>
    <w:tbl>
      <w:tblPr>
        <w:tblW w:w="5000" w:type="pct"/>
        <w:jc w:val="center"/>
        <w:tblInd w:w="0" w:type="dxa"/>
        <w:tblCellMar>
          <w:top w:w="0" w:type="dxa"/>
          <w:left w:w="0" w:type="dxa"/>
          <w:bottom w:w="0" w:type="dxa"/>
          <w:right w:w="0" w:type="dxa"/>
        </w:tblCellMar>
      </w:tblPr>
      <w:tblGrid>
        <w:gridCol w:w="4514"/>
        <w:gridCol w:w="60"/>
        <w:gridCol w:w="4515"/>
        <w:gridCol w:w="60"/>
        <w:gridCol w:w="1056"/>
      </w:tblGrid>
      <w:tr>
        <w:trPr/>
        <w:tc>
          <w:tcPr>
            <w:tcW w:w="451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5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56" w:type="dxa"/>
            <w:tcBorders/>
            <w:shd w:fill="auto" w:val="clear"/>
            <w:vAlign w:val="center"/>
          </w:tcPr>
          <w:p>
            <w:pPr>
              <w:pStyle w:val="TableContents"/>
              <w:spacing w:before="0" w:after="283"/>
              <w:rPr>
                <w:sz w:val="4"/>
                <w:szCs w:val="4"/>
              </w:rPr>
            </w:pPr>
            <w:r>
              <w:rPr>
                <w:sz w:val="4"/>
                <w:szCs w:val="4"/>
              </w:rPr>
            </w:r>
          </w:p>
        </w:tc>
      </w:tr>
      <w:tr>
        <w:trPr/>
        <w:tc>
          <w:tcPr>
            <w:tcW w:w="4514"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Signature </w:t>
            </w:r>
          </w:p>
        </w:tc>
        <w:tc>
          <w:tcPr>
            <w:tcW w:w="60" w:type="dxa"/>
            <w:tcBorders/>
            <w:shd w:fill="auto" w:val="clear"/>
            <w:vAlign w:val="bottom"/>
          </w:tcPr>
          <w:p>
            <w:pPr>
              <w:pStyle w:val="TableHeading"/>
              <w:suppressLineNumbers/>
              <w:spacing w:before="0" w:after="283"/>
              <w:jc w:val="center"/>
              <w:rPr/>
            </w:pPr>
            <w:r>
              <w:rPr/>
              <w:t> </w:t>
            </w:r>
          </w:p>
        </w:tc>
        <w:tc>
          <w:tcPr>
            <w:tcW w:w="4515"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Title </w:t>
            </w:r>
          </w:p>
        </w:tc>
        <w:tc>
          <w:tcPr>
            <w:tcW w:w="60" w:type="dxa"/>
            <w:tcBorders/>
            <w:shd w:fill="auto" w:val="clear"/>
            <w:vAlign w:val="bottom"/>
          </w:tcPr>
          <w:p>
            <w:pPr>
              <w:pStyle w:val="TableHeading"/>
              <w:suppressLineNumbers/>
              <w:spacing w:before="0" w:after="283"/>
              <w:jc w:val="center"/>
              <w:rPr/>
            </w:pPr>
            <w:r>
              <w:rPr/>
              <w:t> </w:t>
            </w:r>
          </w:p>
        </w:tc>
        <w:tc>
          <w:tcPr>
            <w:tcW w:w="1056" w:type="dxa"/>
            <w:tcBorders/>
            <w:shd w:fill="auto" w:val="clear"/>
            <w:vAlign w:val="bottom"/>
          </w:tcPr>
          <w:p>
            <w:pPr>
              <w:pStyle w:val="TableHeading"/>
              <w:spacing w:before="0" w:after="0"/>
              <w:jc w:val="center"/>
              <w:rPr>
                <w:rFonts w:ascii="times" w:hAnsi="times"/>
                <w:b/>
                <w:sz w:val="14"/>
                <w:bdr w:val="single" w:sz="8" w:space="1" w:color="000000"/>
              </w:rPr>
            </w:pPr>
            <w:r>
              <w:rPr>
                <w:rFonts w:ascii="times" w:hAnsi="times"/>
                <w:b/>
                <w:sz w:val="14"/>
                <w:bdr w:val="single" w:sz="8" w:space="1" w:color="000000"/>
              </w:rPr>
              <w:t xml:space="preserve">Date </w:t>
            </w:r>
          </w:p>
        </w:tc>
      </w:tr>
      <w:tr>
        <w:trPr/>
        <w:tc>
          <w:tcPr>
            <w:tcW w:w="4514" w:type="dxa"/>
            <w:tcBorders/>
            <w:shd w:fill="auto" w:val="clear"/>
            <w:vAlign w:val="bottom"/>
          </w:tcPr>
          <w:p>
            <w:pPr>
              <w:pStyle w:val="TableContents"/>
              <w:spacing w:before="0" w:after="283"/>
              <w:jc w:val="center"/>
              <w:rPr>
                <w:rFonts w:ascii="times" w:hAnsi="times"/>
              </w:rPr>
            </w:pPr>
            <w:r>
              <w:rPr>
                <w:rFonts w:ascii="times" w:hAnsi="times"/>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4515"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60" w:type="dxa"/>
            <w:tcBorders/>
            <w:shd w:fill="auto" w:val="clear"/>
            <w:vAlign w:val="bottom"/>
          </w:tcPr>
          <w:p>
            <w:pPr>
              <w:pStyle w:val="TableContents"/>
              <w:spacing w:before="0" w:after="283"/>
              <w:rPr>
                <w:rFonts w:ascii="times" w:hAnsi="times"/>
                <w:sz w:val="20"/>
              </w:rPr>
            </w:pPr>
            <w:r>
              <w:rPr>
                <w:rFonts w:ascii="times" w:hAnsi="times"/>
                <w:sz w:val="20"/>
              </w:rPr>
              <w:br/>
              <w:t> </w:t>
            </w:r>
          </w:p>
        </w:tc>
        <w:tc>
          <w:tcPr>
            <w:tcW w:w="1056" w:type="dxa"/>
            <w:tcBorders/>
            <w:shd w:fill="auto" w:val="clear"/>
            <w:vAlign w:val="bottom"/>
          </w:tcPr>
          <w:p>
            <w:pPr>
              <w:pStyle w:val="TableContents"/>
              <w:spacing w:before="0" w:after="283"/>
              <w:rPr>
                <w:rFonts w:ascii="times" w:hAnsi="times"/>
                <w:sz w:val="20"/>
              </w:rPr>
            </w:pPr>
            <w:r>
              <w:rPr>
                <w:rFonts w:ascii="times" w:hAnsi="times"/>
                <w:sz w:val="20"/>
              </w:rPr>
              <w:br/>
              <w:t> </w:t>
            </w:r>
          </w:p>
        </w:tc>
      </w:tr>
      <w:tr>
        <w:trPr/>
        <w:tc>
          <w:tcPr>
            <w:tcW w:w="4514" w:type="dxa"/>
            <w:tcBorders/>
            <w:shd w:fill="auto" w:val="clear"/>
          </w:tcPr>
          <w:p>
            <w:pPr>
              <w:pStyle w:val="TableContents"/>
              <w:spacing w:before="0" w:after="0"/>
              <w:jc w:val="center"/>
              <w:rPr>
                <w:rFonts w:ascii="times" w:hAnsi="times"/>
              </w:rPr>
            </w:pPr>
            <w:r>
              <w:rPr>
                <w:rFonts w:ascii="times" w:hAnsi="times"/>
              </w:rPr>
              <w:t>/s/ CHRIS HERBOLD</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Chris Herbold</w:t>
            </w:r>
          </w:p>
        </w:tc>
        <w:tc>
          <w:tcPr>
            <w:tcW w:w="60" w:type="dxa"/>
            <w:tcBorders/>
            <w:shd w:fill="auto" w:val="clear"/>
          </w:tcPr>
          <w:p>
            <w:pPr>
              <w:pStyle w:val="TableContents"/>
              <w:spacing w:before="0" w:after="283"/>
              <w:rPr/>
            </w:pPr>
            <w:r>
              <w:rPr/>
              <w:t> </w:t>
            </w:r>
          </w:p>
        </w:tc>
        <w:tc>
          <w:tcPr>
            <w:tcW w:w="4515" w:type="dxa"/>
            <w:tcBorders/>
            <w:shd w:fill="auto" w:val="clear"/>
          </w:tcPr>
          <w:p>
            <w:pPr>
              <w:pStyle w:val="TableContents"/>
              <w:spacing w:before="0" w:after="283"/>
              <w:rPr>
                <w:rFonts w:ascii="times" w:hAnsi="times"/>
                <w:sz w:val="20"/>
              </w:rPr>
            </w:pPr>
            <w:r>
              <w:rPr>
                <w:rFonts w:ascii="times" w:hAnsi="times"/>
                <w:sz w:val="20"/>
              </w:rPr>
              <w:t>Vice PresidentAccounting and Chief Accounting Officer of PAA GP Holdings LLC (Principal Accounting Officer)</w:t>
            </w:r>
          </w:p>
        </w:tc>
        <w:tc>
          <w:tcPr>
            <w:tcW w:w="60" w:type="dxa"/>
            <w:tcBorders/>
            <w:shd w:fill="auto" w:val="clear"/>
          </w:tcPr>
          <w:p>
            <w:pPr>
              <w:pStyle w:val="TableContents"/>
              <w:spacing w:before="0" w:after="283"/>
              <w:rPr/>
            </w:pPr>
            <w:r>
              <w:rPr/>
              <w:t> </w:t>
            </w:r>
          </w:p>
        </w:tc>
        <w:tc>
          <w:tcPr>
            <w:tcW w:w="1056" w:type="dxa"/>
            <w:tcBorders/>
            <w:shd w:fill="auto" w:val="clear"/>
          </w:tcPr>
          <w:p>
            <w:pPr>
              <w:pStyle w:val="TableContents"/>
              <w:spacing w:before="0" w:after="283"/>
              <w:jc w:val="center"/>
              <w:rPr>
                <w:rFonts w:ascii="times" w:hAnsi="times"/>
                <w:sz w:val="20"/>
              </w:rPr>
            </w:pPr>
            <w:r>
              <w:rPr>
                <w:rFonts w:ascii="times" w:hAnsi="times"/>
                <w:sz w:val="20"/>
              </w:rPr>
              <w:t>November 6, 2014</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VICTOR BURK</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Victor Burk</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 PAA GP Holdings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6, 2014</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EVERARDO GOYANES</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Everardo Goyanes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 PAA GP Holdings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6, 2014</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JOHN T. RAYMOND</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John T. Raymond</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 PAA GP Holdings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6, 2014</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BOBBY S. SHACKOULS</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Bobby S. Shackouls</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 PAA GP Holdings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6, 2014</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ROBERT V. SINNOTT</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Robert V. Sinnott</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 PAA GP Holdings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6, 2014</w:t>
            </w:r>
          </w:p>
        </w:tc>
      </w:tr>
      <w:tr>
        <w:trPr/>
        <w:tc>
          <w:tcPr>
            <w:tcW w:w="4514" w:type="dxa"/>
            <w:tcBorders/>
            <w:shd w:fill="auto" w:val="clear"/>
          </w:tcPr>
          <w:p>
            <w:pPr>
              <w:pStyle w:val="TableContents"/>
              <w:spacing w:before="0" w:after="0"/>
              <w:jc w:val="center"/>
              <w:rPr>
                <w:rFonts w:ascii="times" w:hAnsi="times"/>
              </w:rPr>
            </w:pPr>
            <w:r>
              <w:rPr>
                <w:rFonts w:ascii="times" w:hAnsi="times"/>
              </w:rPr>
              <w:br/>
            </w:r>
            <w:r>
              <w:rPr>
                <w:rFonts w:ascii="times" w:hAnsi="times"/>
                <w:sz w:val="20"/>
              </w:rPr>
              <w:t>/s/ VICKY SUTIL</w:t>
            </w:r>
          </w:p>
          <w:p>
            <w:pPr>
              <w:pStyle w:val="HorizontalLine"/>
              <w:pBdr>
                <w:bottom w:val="single" w:sz="6" w:space="0" w:color="000000"/>
              </w:pBdr>
              <w:jc w:val="center"/>
              <w:rPr/>
            </w:pPr>
            <w:r>
              <w:rPr/>
            </w:r>
          </w:p>
          <w:p>
            <w:pPr>
              <w:pStyle w:val="TableContents"/>
              <w:spacing w:before="0" w:after="283"/>
              <w:jc w:val="center"/>
              <w:rPr>
                <w:rFonts w:ascii="times" w:hAnsi="times"/>
                <w:sz w:val="20"/>
              </w:rPr>
            </w:pPr>
            <w:r>
              <w:rPr>
                <w:rFonts w:ascii="times" w:hAnsi="times"/>
                <w:sz w:val="20"/>
              </w:rPr>
              <w:t>Vicky Sutil</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4515" w:type="dxa"/>
            <w:tcBorders/>
            <w:shd w:fill="auto" w:val="clear"/>
          </w:tcPr>
          <w:p>
            <w:pPr>
              <w:pStyle w:val="TableContents"/>
              <w:spacing w:before="0" w:after="283"/>
              <w:rPr>
                <w:rFonts w:ascii="times" w:hAnsi="times"/>
              </w:rPr>
            </w:pPr>
            <w:r>
              <w:rPr>
                <w:rFonts w:ascii="times" w:hAnsi="times"/>
              </w:rPr>
              <w:br/>
            </w:r>
            <w:r>
              <w:rPr>
                <w:rFonts w:ascii="times" w:hAnsi="times"/>
                <w:sz w:val="20"/>
              </w:rPr>
              <w:t>Director of PAA GP Holdings LLC</w:t>
            </w:r>
          </w:p>
        </w:tc>
        <w:tc>
          <w:tcPr>
            <w:tcW w:w="60" w:type="dxa"/>
            <w:tcBorders/>
            <w:shd w:fill="auto" w:val="clear"/>
          </w:tcPr>
          <w:p>
            <w:pPr>
              <w:pStyle w:val="TableContents"/>
              <w:spacing w:before="0" w:after="283"/>
              <w:rPr>
                <w:rFonts w:ascii="times" w:hAnsi="times"/>
                <w:sz w:val="20"/>
              </w:rPr>
            </w:pPr>
            <w:r>
              <w:rPr>
                <w:rFonts w:ascii="times" w:hAnsi="times"/>
                <w:sz w:val="20"/>
              </w:rPr>
              <w:br/>
              <w:t> </w:t>
            </w:r>
          </w:p>
        </w:tc>
        <w:tc>
          <w:tcPr>
            <w:tcW w:w="1056" w:type="dxa"/>
            <w:tcBorders/>
            <w:shd w:fill="auto" w:val="clear"/>
          </w:tcPr>
          <w:p>
            <w:pPr>
              <w:pStyle w:val="TableContents"/>
              <w:spacing w:before="0" w:after="283"/>
              <w:jc w:val="center"/>
              <w:rPr>
                <w:rFonts w:ascii="times" w:hAnsi="times"/>
              </w:rPr>
            </w:pPr>
            <w:r>
              <w:rPr>
                <w:rFonts w:ascii="times" w:hAnsi="times"/>
              </w:rPr>
              <w:br/>
            </w:r>
            <w:r>
              <w:rPr>
                <w:rFonts w:ascii="times" w:hAnsi="times"/>
                <w:sz w:val="20"/>
              </w:rPr>
              <w:t>November 6, 2014</w:t>
            </w:r>
          </w:p>
        </w:tc>
      </w:tr>
    </w:tbl>
    <w:p>
      <w:pPr>
        <w:pStyle w:val="HorizontalLine"/>
        <w:pBdr>
          <w:bottom w:val="single" w:sz="20" w:space="0" w:color="808080"/>
        </w:pBdr>
        <w:rPr/>
      </w:pPr>
      <w:r>
        <w:rPr/>
      </w:r>
      <w:r>
        <w:br w:type="page"/>
      </w:r>
    </w:p>
    <w:p>
      <w:pPr>
        <w:pStyle w:val="TextBody"/>
        <w:rPr/>
      </w:pPr>
      <w:hyperlink w:anchor="bg76101a_main_toc">
        <w:r>
          <w:rPr>
            <w:rStyle w:val="InternetLink"/>
            <w:rFonts w:ascii="times" w:hAnsi="times"/>
            <w:sz w:val="20"/>
          </w:rPr>
          <w:t>Table of Contents</w:t>
        </w:r>
      </w:hyperlink>
      <w:r>
        <w:rPr>
          <w:rFonts w:ascii="times" w:hAnsi="times"/>
          <w:sz w:val="20"/>
        </w:rPr>
        <w:t xml:space="preserve"> </w:t>
      </w:r>
    </w:p>
    <w:p>
      <w:pPr>
        <w:pStyle w:val="TextBody"/>
        <w:jc w:val="center"/>
        <w:rPr>
          <w:rFonts w:ascii="times" w:hAnsi="times"/>
        </w:rPr>
      </w:pPr>
      <w:bookmarkStart w:id="119" w:name="toc_je76101_1"/>
      <w:bookmarkStart w:id="120" w:name="je76101_index_to_exhibits"/>
      <w:bookmarkEnd w:id="119"/>
      <w:bookmarkEnd w:id="120"/>
      <w:r>
        <w:rPr>
          <w:rFonts w:ascii="times" w:hAnsi="times"/>
          <w:sz w:val="20"/>
        </w:rPr>
        <w:br/>
      </w:r>
      <w:r>
        <w:rPr>
          <w:rFonts w:ascii="times" w:hAnsi="times"/>
          <w:b/>
          <w:sz w:val="20"/>
        </w:rPr>
        <w:t xml:space="preserve">INDEX TO EXHIBITS </w:t>
      </w:r>
    </w:p>
    <w:tbl>
      <w:tblPr>
        <w:tblW w:w="5000" w:type="pct"/>
        <w:jc w:val="center"/>
        <w:tblInd w:w="0" w:type="dxa"/>
        <w:tblCellMar>
          <w:top w:w="0" w:type="dxa"/>
          <w:left w:w="0" w:type="dxa"/>
          <w:bottom w:w="0" w:type="dxa"/>
          <w:right w:w="0" w:type="dxa"/>
        </w:tblCellMar>
      </w:tblPr>
      <w:tblGrid>
        <w:gridCol w:w="104"/>
        <w:gridCol w:w="461"/>
        <w:gridCol w:w="145"/>
        <w:gridCol w:w="76"/>
        <w:gridCol w:w="201"/>
        <w:gridCol w:w="104"/>
        <w:gridCol w:w="9114"/>
      </w:tblGrid>
      <w:tr>
        <w:trPr/>
        <w:tc>
          <w:tcPr>
            <w:tcW w:w="104"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9114" w:type="dxa"/>
            <w:tcBorders/>
            <w:shd w:fill="auto" w:val="clear"/>
            <w:vAlign w:val="center"/>
          </w:tcPr>
          <w:p>
            <w:pPr>
              <w:pStyle w:val="TableContents"/>
              <w:spacing w:before="0" w:after="283"/>
              <w:rPr>
                <w:sz w:val="4"/>
                <w:szCs w:val="4"/>
              </w:rPr>
            </w:pPr>
            <w:r>
              <w:rPr>
                <w:sz w:val="4"/>
                <w:szCs w:val="4"/>
              </w:rPr>
            </w:r>
          </w:p>
        </w:tc>
      </w:tr>
      <w:tr>
        <w:trPr/>
        <w:tc>
          <w:tcPr>
            <w:tcW w:w="565" w:type="dxa"/>
            <w:gridSpan w:val="2"/>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Exhibit</w:t>
              <w:br/>
              <w:t xml:space="preserve">Number </w:t>
            </w:r>
          </w:p>
        </w:tc>
        <w:tc>
          <w:tcPr>
            <w:tcW w:w="145" w:type="dxa"/>
            <w:tcBorders/>
            <w:shd w:fill="auto" w:val="clear"/>
            <w:vAlign w:val="bottom"/>
          </w:tcPr>
          <w:p>
            <w:pPr>
              <w:pStyle w:val="TableHeading"/>
              <w:suppressLineNumbers/>
              <w:spacing w:before="0" w:after="283"/>
              <w:jc w:val="center"/>
              <w:rPr/>
            </w:pPr>
            <w:r>
              <w:rPr/>
              <w:t> </w:t>
            </w:r>
          </w:p>
        </w:tc>
        <w:tc>
          <w:tcPr>
            <w:tcW w:w="277" w:type="dxa"/>
            <w:gridSpan w:val="2"/>
            <w:tcBorders/>
            <w:shd w:fill="auto" w:val="clear"/>
            <w:vAlign w:val="bottom"/>
          </w:tcPr>
          <w:p>
            <w:pPr>
              <w:pStyle w:val="TableHeading"/>
              <w:spacing w:before="0" w:after="283"/>
              <w:jc w:val="left"/>
              <w:rPr/>
            </w:pPr>
            <w:r>
              <w:rPr/>
              <w:t> </w:t>
            </w:r>
          </w:p>
        </w:tc>
        <w:tc>
          <w:tcPr>
            <w:tcW w:w="104" w:type="dxa"/>
            <w:tcBorders/>
            <w:shd w:fill="auto" w:val="clear"/>
            <w:vAlign w:val="bottom"/>
          </w:tcPr>
          <w:p>
            <w:pPr>
              <w:pStyle w:val="TableHeading"/>
              <w:suppressLineNumbers/>
              <w:spacing w:before="0" w:after="283"/>
              <w:jc w:val="center"/>
              <w:rPr/>
            </w:pPr>
            <w:r>
              <w:rPr/>
              <w:t> </w:t>
            </w:r>
          </w:p>
        </w:tc>
        <w:tc>
          <w:tcPr>
            <w:tcW w:w="9114" w:type="dxa"/>
            <w:tcBorders>
              <w:bottom w:val="single" w:sz="8" w:space="0" w:color="000000"/>
            </w:tcBorders>
            <w:shd w:fill="auto" w:val="clear"/>
            <w:tcMar>
              <w:bottom w:w="28" w:type="dxa"/>
            </w:tcMar>
            <w:vAlign w:val="bottom"/>
          </w:tcPr>
          <w:p>
            <w:pPr>
              <w:pStyle w:val="TableHeading"/>
              <w:spacing w:before="0" w:after="283"/>
              <w:jc w:val="center"/>
              <w:rPr>
                <w:rFonts w:ascii="times" w:hAnsi="times"/>
                <w:b/>
                <w:sz w:val="14"/>
              </w:rPr>
            </w:pPr>
            <w:r>
              <w:rPr>
                <w:rFonts w:ascii="times" w:hAnsi="times"/>
                <w:b/>
                <w:sz w:val="14"/>
              </w:rPr>
              <w:t xml:space="preserve">Description </w:t>
            </w:r>
          </w:p>
        </w:tc>
      </w:tr>
      <w:tr>
        <w:trPr/>
        <w:tc>
          <w:tcPr>
            <w:tcW w:w="104" w:type="dxa"/>
            <w:tcBorders/>
            <w:shd w:fill="auto" w:val="clear"/>
          </w:tcPr>
          <w:p>
            <w:pPr>
              <w:pStyle w:val="TableContents"/>
              <w:spacing w:before="0" w:after="283"/>
              <w:rPr/>
            </w:pPr>
            <w:r>
              <w:rPr/>
              <w:t> </w:t>
            </w:r>
          </w:p>
        </w:tc>
        <w:tc>
          <w:tcPr>
            <w:tcW w:w="461" w:type="dxa"/>
            <w:tcBorders/>
            <w:shd w:fill="auto" w:val="clear"/>
          </w:tcPr>
          <w:p>
            <w:pPr>
              <w:pStyle w:val="TableContents"/>
              <w:spacing w:before="0" w:after="283"/>
              <w:jc w:val="right"/>
              <w:rPr>
                <w:rFonts w:ascii="times" w:hAnsi="times"/>
                <w:sz w:val="20"/>
              </w:rPr>
            </w:pPr>
            <w:r>
              <w:rPr>
                <w:rFonts w:ascii="times" w:hAnsi="times"/>
                <w:sz w:val="20"/>
              </w:rPr>
              <w:t>1.1</w:t>
            </w:r>
          </w:p>
        </w:tc>
        <w:tc>
          <w:tcPr>
            <w:tcW w:w="145" w:type="dxa"/>
            <w:tcBorders/>
            <w:shd w:fill="auto" w:val="clear"/>
          </w:tcPr>
          <w:p>
            <w:pPr>
              <w:pStyle w:val="TableContents"/>
              <w:spacing w:before="0" w:after="283"/>
              <w:rPr>
                <w:rFonts w:ascii="times" w:hAnsi="times"/>
                <w:sz w:val="20"/>
              </w:rPr>
            </w:pPr>
            <w:r>
              <w:rPr>
                <w:rFonts w:ascii="times" w:hAnsi="times"/>
                <w:sz w:val="20"/>
              </w:rPr>
              <w:t>**</w:t>
            </w:r>
          </w:p>
        </w:tc>
        <w:tc>
          <w:tcPr>
            <w:tcW w:w="76" w:type="dxa"/>
            <w:tcBorders/>
            <w:shd w:fill="auto" w:val="clear"/>
          </w:tcPr>
          <w:p>
            <w:pPr>
              <w:pStyle w:val="TableContents"/>
              <w:spacing w:before="0" w:after="283"/>
              <w:rPr/>
            </w:pPr>
            <w:r>
              <w:rPr/>
              <w:t> </w:t>
            </w:r>
          </w:p>
        </w:tc>
        <w:tc>
          <w:tcPr>
            <w:tcW w:w="201" w:type="dxa"/>
            <w:tcBorders/>
            <w:shd w:fill="auto" w:val="clear"/>
          </w:tcPr>
          <w:p>
            <w:pPr>
              <w:pStyle w:val="TableContents"/>
              <w:spacing w:before="0" w:after="283"/>
              <w:jc w:val="right"/>
              <w:rPr>
                <w:rFonts w:ascii="times" w:hAnsi="times"/>
                <w:sz w:val="20"/>
              </w:rPr>
            </w:pPr>
            <w:r>
              <w:rPr>
                <w:rFonts w:ascii="times" w:hAnsi="times"/>
                <w:sz w:val="20"/>
              </w:rPr>
              <w:t></w:t>
            </w:r>
          </w:p>
        </w:tc>
        <w:tc>
          <w:tcPr>
            <w:tcW w:w="104" w:type="dxa"/>
            <w:tcBorders/>
            <w:shd w:fill="auto" w:val="clear"/>
          </w:tcPr>
          <w:p>
            <w:pPr>
              <w:pStyle w:val="TableContents"/>
              <w:spacing w:before="0" w:after="283"/>
              <w:rPr/>
            </w:pPr>
            <w:r>
              <w:rPr/>
              <w:t> </w:t>
            </w:r>
          </w:p>
        </w:tc>
        <w:tc>
          <w:tcPr>
            <w:tcW w:w="9114" w:type="dxa"/>
            <w:tcBorders/>
            <w:shd w:fill="auto" w:val="clear"/>
          </w:tcPr>
          <w:p>
            <w:pPr>
              <w:pStyle w:val="TableContents"/>
              <w:spacing w:before="0" w:after="283"/>
              <w:rPr>
                <w:rFonts w:ascii="times" w:hAnsi="times"/>
                <w:sz w:val="20"/>
              </w:rPr>
            </w:pPr>
            <w:r>
              <w:rPr>
                <w:rFonts w:ascii="times" w:hAnsi="times"/>
                <w:sz w:val="20"/>
              </w:rPr>
              <w:t>Form of Underwriting Agreement.</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6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3.1</w:t>
            </w:r>
          </w:p>
        </w:tc>
        <w:tc>
          <w:tcPr>
            <w:tcW w:w="145" w:type="dxa"/>
            <w:tcBorders/>
            <w:shd w:fill="auto" w:val="clear"/>
          </w:tcPr>
          <w:p>
            <w:pPr>
              <w:pStyle w:val="TableContents"/>
              <w:spacing w:before="0" w:after="283"/>
              <w:rPr>
                <w:rFonts w:ascii="times" w:hAnsi="times"/>
                <w:sz w:val="20"/>
              </w:rPr>
            </w:pPr>
            <w:r>
              <w:rPr>
                <w:rFonts w:ascii="times" w:hAnsi="times"/>
                <w:sz w:val="20"/>
              </w:rPr>
              <w:br/>
              <w:t> </w:t>
            </w:r>
          </w:p>
        </w:tc>
        <w:tc>
          <w:tcPr>
            <w:tcW w:w="76" w:type="dxa"/>
            <w:tcBorders/>
            <w:shd w:fill="auto" w:val="clear"/>
          </w:tcPr>
          <w:p>
            <w:pPr>
              <w:pStyle w:val="TableContents"/>
              <w:spacing w:before="0" w:after="283"/>
              <w:rPr>
                <w:rFonts w:ascii="times" w:hAnsi="times"/>
                <w:sz w:val="20"/>
              </w:rPr>
            </w:pPr>
            <w:r>
              <w:rPr>
                <w:rFonts w:ascii="times" w:hAnsi="times"/>
                <w:sz w:val="20"/>
              </w:rPr>
              <w:br/>
              <w:t> </w:t>
            </w:r>
          </w:p>
        </w:tc>
        <w:tc>
          <w:tcPr>
            <w:tcW w:w="20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w:t>
            </w:r>
          </w:p>
        </w:tc>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9114" w:type="dxa"/>
            <w:tcBorders/>
            <w:shd w:fill="auto" w:val="clear"/>
          </w:tcPr>
          <w:p>
            <w:pPr>
              <w:pStyle w:val="TableContents"/>
              <w:spacing w:before="0" w:after="283"/>
              <w:rPr>
                <w:rFonts w:ascii="times" w:hAnsi="times"/>
              </w:rPr>
            </w:pPr>
            <w:r>
              <w:rPr>
                <w:rFonts w:ascii="times" w:hAnsi="times"/>
              </w:rPr>
              <w:br/>
            </w:r>
            <w:r>
              <w:rPr>
                <w:rFonts w:ascii="times" w:hAnsi="times"/>
                <w:sz w:val="20"/>
              </w:rPr>
              <w:t>Amended and Restated Limited Partnership Agreement of Plains GP Holdings, L.P. (incorporated by reference to Exhibit 3.1 to the Current Report on Form 8-K filed October 25, 2013).</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6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3.2</w:t>
            </w:r>
          </w:p>
        </w:tc>
        <w:tc>
          <w:tcPr>
            <w:tcW w:w="145" w:type="dxa"/>
            <w:tcBorders/>
            <w:shd w:fill="auto" w:val="clear"/>
          </w:tcPr>
          <w:p>
            <w:pPr>
              <w:pStyle w:val="TableContents"/>
              <w:spacing w:before="0" w:after="283"/>
              <w:rPr>
                <w:rFonts w:ascii="times" w:hAnsi="times"/>
                <w:sz w:val="20"/>
              </w:rPr>
            </w:pPr>
            <w:r>
              <w:rPr>
                <w:rFonts w:ascii="times" w:hAnsi="times"/>
                <w:sz w:val="20"/>
              </w:rPr>
              <w:br/>
              <w:t> </w:t>
            </w:r>
          </w:p>
        </w:tc>
        <w:tc>
          <w:tcPr>
            <w:tcW w:w="76" w:type="dxa"/>
            <w:tcBorders/>
            <w:shd w:fill="auto" w:val="clear"/>
          </w:tcPr>
          <w:p>
            <w:pPr>
              <w:pStyle w:val="TableContents"/>
              <w:spacing w:before="0" w:after="283"/>
              <w:rPr>
                <w:rFonts w:ascii="times" w:hAnsi="times"/>
                <w:sz w:val="20"/>
              </w:rPr>
            </w:pPr>
            <w:r>
              <w:rPr>
                <w:rFonts w:ascii="times" w:hAnsi="times"/>
                <w:sz w:val="20"/>
              </w:rPr>
              <w:br/>
              <w:t> </w:t>
            </w:r>
          </w:p>
        </w:tc>
        <w:tc>
          <w:tcPr>
            <w:tcW w:w="20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w:t>
            </w:r>
          </w:p>
        </w:tc>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9114" w:type="dxa"/>
            <w:tcBorders/>
            <w:shd w:fill="auto" w:val="clear"/>
          </w:tcPr>
          <w:p>
            <w:pPr>
              <w:pStyle w:val="TableContents"/>
              <w:spacing w:before="0" w:after="283"/>
              <w:rPr>
                <w:rFonts w:ascii="times" w:hAnsi="times"/>
              </w:rPr>
            </w:pPr>
            <w:r>
              <w:rPr>
                <w:rFonts w:ascii="times" w:hAnsi="times"/>
              </w:rPr>
              <w:br/>
            </w:r>
            <w:r>
              <w:rPr>
                <w:rFonts w:ascii="times" w:hAnsi="times"/>
                <w:sz w:val="20"/>
              </w:rPr>
              <w:t>Amended and Restated Limited Liability Company Agreement of PAA GP Holdings LLC (incorporated by reference to Exhibit 3.2 to the Current Report on Form 8-K filed October 25, 2013).</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6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3.3</w:t>
            </w:r>
          </w:p>
        </w:tc>
        <w:tc>
          <w:tcPr>
            <w:tcW w:w="145" w:type="dxa"/>
            <w:tcBorders/>
            <w:shd w:fill="auto" w:val="clear"/>
          </w:tcPr>
          <w:p>
            <w:pPr>
              <w:pStyle w:val="TableContents"/>
              <w:spacing w:before="0" w:after="283"/>
              <w:rPr>
                <w:rFonts w:ascii="times" w:hAnsi="times"/>
                <w:sz w:val="20"/>
              </w:rPr>
            </w:pPr>
            <w:r>
              <w:rPr>
                <w:rFonts w:ascii="times" w:hAnsi="times"/>
                <w:sz w:val="20"/>
              </w:rPr>
              <w:br/>
              <w:t> </w:t>
            </w:r>
          </w:p>
        </w:tc>
        <w:tc>
          <w:tcPr>
            <w:tcW w:w="76" w:type="dxa"/>
            <w:tcBorders/>
            <w:shd w:fill="auto" w:val="clear"/>
          </w:tcPr>
          <w:p>
            <w:pPr>
              <w:pStyle w:val="TableContents"/>
              <w:spacing w:before="0" w:after="283"/>
              <w:rPr>
                <w:rFonts w:ascii="times" w:hAnsi="times"/>
                <w:sz w:val="20"/>
              </w:rPr>
            </w:pPr>
            <w:r>
              <w:rPr>
                <w:rFonts w:ascii="times" w:hAnsi="times"/>
                <w:sz w:val="20"/>
              </w:rPr>
              <w:br/>
              <w:t> </w:t>
            </w:r>
          </w:p>
        </w:tc>
        <w:tc>
          <w:tcPr>
            <w:tcW w:w="20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w:t>
            </w:r>
          </w:p>
        </w:tc>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9114" w:type="dxa"/>
            <w:tcBorders/>
            <w:shd w:fill="auto" w:val="clear"/>
          </w:tcPr>
          <w:p>
            <w:pPr>
              <w:pStyle w:val="TableContents"/>
              <w:spacing w:before="0" w:after="283"/>
              <w:rPr>
                <w:rFonts w:ascii="times" w:hAnsi="times"/>
              </w:rPr>
            </w:pPr>
            <w:r>
              <w:rPr>
                <w:rFonts w:ascii="times" w:hAnsi="times"/>
              </w:rPr>
              <w:br/>
            </w:r>
            <w:r>
              <w:rPr>
                <w:rFonts w:ascii="times" w:hAnsi="times"/>
                <w:sz w:val="20"/>
              </w:rPr>
              <w:t>Amendment No. 1 to Amended and Restated Limited Liability Company Agreement of PAA GP Holdings LLC, dated as of December 31, 2013 (incorporated by reference to Exhibit 3.2 to the Current Report on Form 8-K filed December 31, 2013).</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6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4.1</w:t>
            </w:r>
          </w:p>
        </w:tc>
        <w:tc>
          <w:tcPr>
            <w:tcW w:w="145" w:type="dxa"/>
            <w:tcBorders/>
            <w:shd w:fill="auto" w:val="clear"/>
          </w:tcPr>
          <w:p>
            <w:pPr>
              <w:pStyle w:val="TableContents"/>
              <w:spacing w:before="0" w:after="283"/>
              <w:rPr>
                <w:rFonts w:ascii="times" w:hAnsi="times"/>
                <w:sz w:val="20"/>
              </w:rPr>
            </w:pPr>
            <w:r>
              <w:rPr>
                <w:rFonts w:ascii="times" w:hAnsi="times"/>
                <w:sz w:val="20"/>
              </w:rPr>
              <w:br/>
              <w:t> </w:t>
            </w:r>
          </w:p>
        </w:tc>
        <w:tc>
          <w:tcPr>
            <w:tcW w:w="76" w:type="dxa"/>
            <w:tcBorders/>
            <w:shd w:fill="auto" w:val="clear"/>
          </w:tcPr>
          <w:p>
            <w:pPr>
              <w:pStyle w:val="TableContents"/>
              <w:spacing w:before="0" w:after="283"/>
              <w:rPr>
                <w:rFonts w:ascii="times" w:hAnsi="times"/>
                <w:sz w:val="20"/>
              </w:rPr>
            </w:pPr>
            <w:r>
              <w:rPr>
                <w:rFonts w:ascii="times" w:hAnsi="times"/>
                <w:sz w:val="20"/>
              </w:rPr>
              <w:br/>
              <w:t> </w:t>
            </w:r>
          </w:p>
        </w:tc>
        <w:tc>
          <w:tcPr>
            <w:tcW w:w="20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w:t>
            </w:r>
          </w:p>
        </w:tc>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9114" w:type="dxa"/>
            <w:tcBorders/>
            <w:shd w:fill="auto" w:val="clear"/>
          </w:tcPr>
          <w:p>
            <w:pPr>
              <w:pStyle w:val="TableContents"/>
              <w:spacing w:before="0" w:after="283"/>
              <w:rPr>
                <w:rFonts w:ascii="times" w:hAnsi="times"/>
              </w:rPr>
            </w:pPr>
            <w:r>
              <w:rPr>
                <w:rFonts w:ascii="times" w:hAnsi="times"/>
              </w:rPr>
              <w:br/>
            </w:r>
            <w:r>
              <w:rPr>
                <w:rFonts w:ascii="times" w:hAnsi="times"/>
                <w:sz w:val="20"/>
              </w:rPr>
              <w:t>Specimen certificate representing Class A shares (incorporated by reference to Exhibit 4.20 to the Registration Statement on Form S-1/A filed on September 26, 2013).</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6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4.2</w:t>
            </w:r>
          </w:p>
        </w:tc>
        <w:tc>
          <w:tcPr>
            <w:tcW w:w="145" w:type="dxa"/>
            <w:tcBorders/>
            <w:shd w:fill="auto" w:val="clear"/>
          </w:tcPr>
          <w:p>
            <w:pPr>
              <w:pStyle w:val="TableContents"/>
              <w:spacing w:before="0" w:after="283"/>
              <w:rPr>
                <w:rFonts w:ascii="times" w:hAnsi="times"/>
                <w:sz w:val="20"/>
              </w:rPr>
            </w:pPr>
            <w:r>
              <w:rPr>
                <w:rFonts w:ascii="times" w:hAnsi="times"/>
                <w:sz w:val="20"/>
              </w:rPr>
              <w:br/>
              <w:t> </w:t>
            </w:r>
          </w:p>
        </w:tc>
        <w:tc>
          <w:tcPr>
            <w:tcW w:w="76" w:type="dxa"/>
            <w:tcBorders/>
            <w:shd w:fill="auto" w:val="clear"/>
          </w:tcPr>
          <w:p>
            <w:pPr>
              <w:pStyle w:val="TableContents"/>
              <w:spacing w:before="0" w:after="283"/>
              <w:rPr>
                <w:rFonts w:ascii="times" w:hAnsi="times"/>
                <w:sz w:val="20"/>
              </w:rPr>
            </w:pPr>
            <w:r>
              <w:rPr>
                <w:rFonts w:ascii="times" w:hAnsi="times"/>
                <w:sz w:val="20"/>
              </w:rPr>
              <w:br/>
              <w:t> </w:t>
            </w:r>
          </w:p>
        </w:tc>
        <w:tc>
          <w:tcPr>
            <w:tcW w:w="20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w:t>
            </w:r>
          </w:p>
        </w:tc>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9114" w:type="dxa"/>
            <w:tcBorders/>
            <w:shd w:fill="auto" w:val="clear"/>
          </w:tcPr>
          <w:p>
            <w:pPr>
              <w:pStyle w:val="TableContents"/>
              <w:spacing w:before="0" w:after="283"/>
              <w:rPr>
                <w:rFonts w:ascii="times" w:hAnsi="times"/>
              </w:rPr>
            </w:pPr>
            <w:r>
              <w:rPr>
                <w:rFonts w:ascii="times" w:hAnsi="times"/>
              </w:rPr>
              <w:br/>
            </w:r>
            <w:r>
              <w:rPr>
                <w:rFonts w:ascii="times" w:hAnsi="times"/>
                <w:sz w:val="20"/>
              </w:rPr>
              <w:t>Shareholder and Registration Rights Agreement dated October 21, 2013, by and among Plains GP Holdings, L.P. and the other parties signatory thereto (incorporated by reference to Exhibit 4.1 to the Current Report on Form 8-K filed October 25, 2013).</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6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5.1</w:t>
            </w:r>
          </w:p>
        </w:tc>
        <w:tc>
          <w:tcPr>
            <w:tcW w:w="145" w:type="dxa"/>
            <w:tcBorders/>
            <w:shd w:fill="auto" w:val="clear"/>
          </w:tcPr>
          <w:p>
            <w:pPr>
              <w:pStyle w:val="TableContents"/>
              <w:spacing w:before="0" w:after="283"/>
              <w:rPr>
                <w:rFonts w:ascii="times" w:hAnsi="times"/>
                <w:sz w:val="20"/>
              </w:rPr>
            </w:pPr>
            <w:r>
              <w:rPr>
                <w:rFonts w:ascii="times" w:hAnsi="times"/>
                <w:sz w:val="20"/>
              </w:rPr>
              <w:br/>
              <w:t>*</w:t>
            </w:r>
          </w:p>
        </w:tc>
        <w:tc>
          <w:tcPr>
            <w:tcW w:w="76" w:type="dxa"/>
            <w:tcBorders/>
            <w:shd w:fill="auto" w:val="clear"/>
          </w:tcPr>
          <w:p>
            <w:pPr>
              <w:pStyle w:val="TableContents"/>
              <w:spacing w:before="0" w:after="283"/>
              <w:rPr>
                <w:rFonts w:ascii="times" w:hAnsi="times"/>
                <w:sz w:val="20"/>
              </w:rPr>
            </w:pPr>
            <w:r>
              <w:rPr>
                <w:rFonts w:ascii="times" w:hAnsi="times"/>
                <w:sz w:val="20"/>
              </w:rPr>
              <w:br/>
              <w:t> </w:t>
            </w:r>
          </w:p>
        </w:tc>
        <w:tc>
          <w:tcPr>
            <w:tcW w:w="20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w:t>
            </w:r>
          </w:p>
        </w:tc>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9114" w:type="dxa"/>
            <w:tcBorders/>
            <w:shd w:fill="auto" w:val="clear"/>
          </w:tcPr>
          <w:p>
            <w:pPr>
              <w:pStyle w:val="TableContents"/>
              <w:spacing w:before="0" w:after="283"/>
              <w:rPr>
                <w:rFonts w:ascii="times" w:hAnsi="times"/>
              </w:rPr>
            </w:pPr>
            <w:r>
              <w:rPr>
                <w:rFonts w:ascii="times" w:hAnsi="times"/>
              </w:rPr>
              <w:br/>
            </w:r>
            <w:r>
              <w:rPr>
                <w:rFonts w:ascii="times" w:hAnsi="times"/>
                <w:sz w:val="20"/>
              </w:rPr>
              <w:t>Opinion of Vinson &amp; Elkins L.L.P. as to the legality of the securities being registered.</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6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8.1</w:t>
            </w:r>
          </w:p>
        </w:tc>
        <w:tc>
          <w:tcPr>
            <w:tcW w:w="145" w:type="dxa"/>
            <w:tcBorders/>
            <w:shd w:fill="auto" w:val="clear"/>
          </w:tcPr>
          <w:p>
            <w:pPr>
              <w:pStyle w:val="TableContents"/>
              <w:spacing w:before="0" w:after="283"/>
              <w:rPr>
                <w:rFonts w:ascii="times" w:hAnsi="times"/>
                <w:sz w:val="20"/>
              </w:rPr>
            </w:pPr>
            <w:r>
              <w:rPr>
                <w:rFonts w:ascii="times" w:hAnsi="times"/>
                <w:sz w:val="20"/>
              </w:rPr>
              <w:br/>
              <w:t>*</w:t>
            </w:r>
          </w:p>
        </w:tc>
        <w:tc>
          <w:tcPr>
            <w:tcW w:w="76" w:type="dxa"/>
            <w:tcBorders/>
            <w:shd w:fill="auto" w:val="clear"/>
          </w:tcPr>
          <w:p>
            <w:pPr>
              <w:pStyle w:val="TableContents"/>
              <w:spacing w:before="0" w:after="283"/>
              <w:rPr>
                <w:rFonts w:ascii="times" w:hAnsi="times"/>
                <w:sz w:val="20"/>
              </w:rPr>
            </w:pPr>
            <w:r>
              <w:rPr>
                <w:rFonts w:ascii="times" w:hAnsi="times"/>
                <w:sz w:val="20"/>
              </w:rPr>
              <w:br/>
              <w:t> </w:t>
            </w:r>
          </w:p>
        </w:tc>
        <w:tc>
          <w:tcPr>
            <w:tcW w:w="20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w:t>
            </w:r>
          </w:p>
        </w:tc>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9114" w:type="dxa"/>
            <w:tcBorders/>
            <w:shd w:fill="auto" w:val="clear"/>
          </w:tcPr>
          <w:p>
            <w:pPr>
              <w:pStyle w:val="TableContents"/>
              <w:spacing w:before="0" w:after="283"/>
              <w:rPr>
                <w:rFonts w:ascii="times" w:hAnsi="times"/>
              </w:rPr>
            </w:pPr>
            <w:r>
              <w:rPr>
                <w:rFonts w:ascii="times" w:hAnsi="times"/>
              </w:rPr>
              <w:br/>
            </w:r>
            <w:r>
              <w:rPr>
                <w:rFonts w:ascii="times" w:hAnsi="times"/>
                <w:sz w:val="20"/>
              </w:rPr>
              <w:t>Opinion of Vinson &amp; Elkins L.L.P. relating to tax matters.</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6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23.1</w:t>
            </w:r>
          </w:p>
        </w:tc>
        <w:tc>
          <w:tcPr>
            <w:tcW w:w="145" w:type="dxa"/>
            <w:tcBorders/>
            <w:shd w:fill="auto" w:val="clear"/>
          </w:tcPr>
          <w:p>
            <w:pPr>
              <w:pStyle w:val="TableContents"/>
              <w:spacing w:before="0" w:after="283"/>
              <w:rPr>
                <w:rFonts w:ascii="times" w:hAnsi="times"/>
                <w:sz w:val="20"/>
              </w:rPr>
            </w:pPr>
            <w:r>
              <w:rPr>
                <w:rFonts w:ascii="times" w:hAnsi="times"/>
                <w:sz w:val="20"/>
              </w:rPr>
              <w:br/>
              <w:t>*</w:t>
            </w:r>
          </w:p>
        </w:tc>
        <w:tc>
          <w:tcPr>
            <w:tcW w:w="76" w:type="dxa"/>
            <w:tcBorders/>
            <w:shd w:fill="auto" w:val="clear"/>
          </w:tcPr>
          <w:p>
            <w:pPr>
              <w:pStyle w:val="TableContents"/>
              <w:spacing w:before="0" w:after="283"/>
              <w:rPr>
                <w:rFonts w:ascii="times" w:hAnsi="times"/>
                <w:sz w:val="20"/>
              </w:rPr>
            </w:pPr>
            <w:r>
              <w:rPr>
                <w:rFonts w:ascii="times" w:hAnsi="times"/>
                <w:sz w:val="20"/>
              </w:rPr>
              <w:br/>
              <w:t> </w:t>
            </w:r>
          </w:p>
        </w:tc>
        <w:tc>
          <w:tcPr>
            <w:tcW w:w="20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w:t>
            </w:r>
          </w:p>
        </w:tc>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9114" w:type="dxa"/>
            <w:tcBorders/>
            <w:shd w:fill="auto" w:val="clear"/>
          </w:tcPr>
          <w:p>
            <w:pPr>
              <w:pStyle w:val="TableContents"/>
              <w:spacing w:before="0" w:after="283"/>
              <w:rPr>
                <w:rFonts w:ascii="times" w:hAnsi="times"/>
              </w:rPr>
            </w:pPr>
            <w:r>
              <w:rPr>
                <w:rFonts w:ascii="times" w:hAnsi="times"/>
              </w:rPr>
              <w:br/>
            </w:r>
            <w:r>
              <w:rPr>
                <w:rFonts w:ascii="times" w:hAnsi="times"/>
                <w:sz w:val="20"/>
              </w:rPr>
              <w:t>Consent of PricewaterhouseCoopers LLP.</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6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23.2</w:t>
            </w:r>
          </w:p>
        </w:tc>
        <w:tc>
          <w:tcPr>
            <w:tcW w:w="145" w:type="dxa"/>
            <w:tcBorders/>
            <w:shd w:fill="auto" w:val="clear"/>
          </w:tcPr>
          <w:p>
            <w:pPr>
              <w:pStyle w:val="TableContents"/>
              <w:spacing w:before="0" w:after="283"/>
              <w:rPr>
                <w:rFonts w:ascii="times" w:hAnsi="times"/>
                <w:sz w:val="20"/>
              </w:rPr>
            </w:pPr>
            <w:r>
              <w:rPr>
                <w:rFonts w:ascii="times" w:hAnsi="times"/>
                <w:sz w:val="20"/>
              </w:rPr>
              <w:br/>
              <w:t>*</w:t>
            </w:r>
          </w:p>
        </w:tc>
        <w:tc>
          <w:tcPr>
            <w:tcW w:w="76" w:type="dxa"/>
            <w:tcBorders/>
            <w:shd w:fill="auto" w:val="clear"/>
          </w:tcPr>
          <w:p>
            <w:pPr>
              <w:pStyle w:val="TableContents"/>
              <w:spacing w:before="0" w:after="283"/>
              <w:rPr>
                <w:rFonts w:ascii="times" w:hAnsi="times"/>
                <w:sz w:val="20"/>
              </w:rPr>
            </w:pPr>
            <w:r>
              <w:rPr>
                <w:rFonts w:ascii="times" w:hAnsi="times"/>
                <w:sz w:val="20"/>
              </w:rPr>
              <w:br/>
              <w:t> </w:t>
            </w:r>
          </w:p>
        </w:tc>
        <w:tc>
          <w:tcPr>
            <w:tcW w:w="20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w:t>
            </w:r>
          </w:p>
        </w:tc>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9114" w:type="dxa"/>
            <w:tcBorders/>
            <w:shd w:fill="auto" w:val="clear"/>
          </w:tcPr>
          <w:p>
            <w:pPr>
              <w:pStyle w:val="TableContents"/>
              <w:spacing w:before="0" w:after="283"/>
              <w:rPr>
                <w:rFonts w:ascii="times" w:hAnsi="times"/>
              </w:rPr>
            </w:pPr>
            <w:r>
              <w:rPr>
                <w:rFonts w:ascii="times" w:hAnsi="times"/>
              </w:rPr>
              <w:br/>
            </w:r>
            <w:r>
              <w:rPr>
                <w:rFonts w:ascii="times" w:hAnsi="times"/>
                <w:sz w:val="20"/>
              </w:rPr>
              <w:t>Consent of Vinson &amp; Elkins L.L.P. (contained in Exhibit 5.1).</w:t>
            </w:r>
          </w:p>
        </w:tc>
      </w:tr>
      <w:tr>
        <w:trPr/>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46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24.1</w:t>
            </w:r>
          </w:p>
        </w:tc>
        <w:tc>
          <w:tcPr>
            <w:tcW w:w="145" w:type="dxa"/>
            <w:tcBorders/>
            <w:shd w:fill="auto" w:val="clear"/>
          </w:tcPr>
          <w:p>
            <w:pPr>
              <w:pStyle w:val="TableContents"/>
              <w:spacing w:before="0" w:after="283"/>
              <w:rPr>
                <w:rFonts w:ascii="times" w:hAnsi="times"/>
                <w:sz w:val="20"/>
              </w:rPr>
            </w:pPr>
            <w:r>
              <w:rPr>
                <w:rFonts w:ascii="times" w:hAnsi="times"/>
                <w:sz w:val="20"/>
              </w:rPr>
              <w:br/>
              <w:t>*</w:t>
            </w:r>
          </w:p>
        </w:tc>
        <w:tc>
          <w:tcPr>
            <w:tcW w:w="76" w:type="dxa"/>
            <w:tcBorders/>
            <w:shd w:fill="auto" w:val="clear"/>
          </w:tcPr>
          <w:p>
            <w:pPr>
              <w:pStyle w:val="TableContents"/>
              <w:spacing w:before="0" w:after="283"/>
              <w:rPr>
                <w:rFonts w:ascii="times" w:hAnsi="times"/>
                <w:sz w:val="20"/>
              </w:rPr>
            </w:pPr>
            <w:r>
              <w:rPr>
                <w:rFonts w:ascii="times" w:hAnsi="times"/>
                <w:sz w:val="20"/>
              </w:rPr>
              <w:br/>
              <w:t> </w:t>
            </w:r>
          </w:p>
        </w:tc>
        <w:tc>
          <w:tcPr>
            <w:tcW w:w="201" w:type="dxa"/>
            <w:tcBorders/>
            <w:shd w:fill="auto" w:val="clear"/>
          </w:tcPr>
          <w:p>
            <w:pPr>
              <w:pStyle w:val="TableContents"/>
              <w:spacing w:before="0" w:after="283"/>
              <w:jc w:val="right"/>
              <w:rPr>
                <w:rFonts w:ascii="times" w:hAnsi="times"/>
              </w:rPr>
            </w:pPr>
            <w:r>
              <w:rPr>
                <w:rFonts w:ascii="times" w:hAnsi="times"/>
              </w:rPr>
              <w:br/>
            </w:r>
            <w:r>
              <w:rPr>
                <w:rFonts w:ascii="times" w:hAnsi="times"/>
                <w:sz w:val="20"/>
              </w:rPr>
              <w:t></w:t>
            </w:r>
          </w:p>
        </w:tc>
        <w:tc>
          <w:tcPr>
            <w:tcW w:w="104" w:type="dxa"/>
            <w:tcBorders/>
            <w:shd w:fill="auto" w:val="clear"/>
          </w:tcPr>
          <w:p>
            <w:pPr>
              <w:pStyle w:val="TableContents"/>
              <w:spacing w:before="0" w:after="283"/>
              <w:rPr>
                <w:rFonts w:ascii="times" w:hAnsi="times"/>
                <w:sz w:val="20"/>
              </w:rPr>
            </w:pPr>
            <w:r>
              <w:rPr>
                <w:rFonts w:ascii="times" w:hAnsi="times"/>
                <w:sz w:val="20"/>
              </w:rPr>
              <w:br/>
              <w:t> </w:t>
            </w:r>
          </w:p>
        </w:tc>
        <w:tc>
          <w:tcPr>
            <w:tcW w:w="9114" w:type="dxa"/>
            <w:tcBorders/>
            <w:shd w:fill="auto" w:val="clear"/>
          </w:tcPr>
          <w:p>
            <w:pPr>
              <w:pStyle w:val="TableContents"/>
              <w:spacing w:before="0" w:after="283"/>
              <w:rPr>
                <w:rFonts w:ascii="times" w:hAnsi="times"/>
              </w:rPr>
            </w:pPr>
            <w:r>
              <w:rPr>
                <w:rFonts w:ascii="times" w:hAnsi="times"/>
              </w:rPr>
              <w:br/>
            </w:r>
            <w:r>
              <w:rPr>
                <w:rFonts w:ascii="times" w:hAnsi="times"/>
                <w:sz w:val="20"/>
              </w:rPr>
              <w:t>Power of Attorney (included on signature pages of this registration statement).</w:t>
            </w:r>
          </w:p>
        </w:tc>
      </w:tr>
    </w:tbl>
    <w:p>
      <w:pPr>
        <w:pStyle w:val="HorizontalLine"/>
        <w:pBdr>
          <w:bottom w:val="single" w:sz="6" w:space="0" w:color="000000"/>
        </w:pBdr>
        <w:ind w:left="0" w:right="7552" w:hanging="0"/>
        <w:rPr/>
      </w:pPr>
      <w:r>
        <w:rPr/>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Filed herewith. </w:t>
      </w:r>
    </w:p>
    <w:p>
      <w:pPr>
        <w:pStyle w:val="ListHeading"/>
        <w:spacing w:before="0" w:after="0"/>
        <w:jc w:val="left"/>
        <w:rPr>
          <w:rFonts w:ascii="times" w:hAnsi="times"/>
          <w:sz w:val="20"/>
        </w:rPr>
      </w:pPr>
      <w:r>
        <w:rPr>
          <w:rFonts w:ascii="times" w:hAnsi="times"/>
          <w:sz w:val="20"/>
        </w:rPr>
        <w:t>**</w:t>
      </w:r>
    </w:p>
    <w:p>
      <w:pPr>
        <w:pStyle w:val="ListContents"/>
        <w:spacing w:before="0" w:after="283"/>
        <w:jc w:val="left"/>
        <w:rPr>
          <w:rFonts w:ascii="times" w:hAnsi="times"/>
          <w:sz w:val="20"/>
        </w:rPr>
      </w:pPr>
      <w:r>
        <w:rPr>
          <w:rFonts w:ascii="times" w:hAnsi="times"/>
          <w:sz w:val="20"/>
        </w:rPr>
        <w:t xml:space="preserve">To be filed as an Exhibit to a Current Report on Form 8-K or a post-effective amendment to this registration statement. </w:t>
      </w:r>
    </w:p>
    <w:p>
      <w:pPr>
        <w:pStyle w:val="HorizontalLine"/>
        <w:pBdr>
          <w:bottom w:val="single" w:sz="20" w:space="0" w:color="808080"/>
        </w:pBdr>
        <w:rPr/>
      </w:pPr>
      <w:r>
        <w:rPr/>
      </w:r>
      <w:r>
        <w:br w:type="page"/>
      </w:r>
    </w:p>
    <w:p>
      <w:pPr>
        <w:pStyle w:val="TextBody"/>
        <w:rPr/>
      </w:pPr>
      <w:r>
        <w:rPr/>
      </w:r>
      <w:r>
        <w:br w:type="page"/>
      </w:r>
    </w:p>
    <w:p>
      <w:pPr>
        <w:pStyle w:val="TextBody"/>
        <w:rPr/>
      </w:pPr>
      <w:bookmarkStart w:id="121" w:name="a2222080zex-5_1.htm"/>
      <w:bookmarkStart w:id="122" w:name="ksa2222080zex5_1"/>
      <w:bookmarkEnd w:id="121"/>
      <w:bookmarkEnd w:id="122"/>
      <w:r>
        <w:rPr/>
        <w:br/>
      </w:r>
      <w:hyperlink w:anchor="14ZCX76101_2">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123" w:name="toc_kb76101_1"/>
      <w:bookmarkStart w:id="124" w:name="kb76101_exhibit_5.1"/>
      <w:bookmarkEnd w:id="123"/>
      <w:bookmarkEnd w:id="124"/>
      <w:r>
        <w:rPr>
          <w:rFonts w:ascii="times" w:hAnsi="times"/>
          <w:sz w:val="20"/>
        </w:rPr>
        <w:br/>
      </w:r>
      <w:r>
        <w:rPr>
          <w:rFonts w:ascii="times" w:hAnsi="times"/>
          <w:b/>
          <w:sz w:val="20"/>
        </w:rPr>
        <w:t xml:space="preserve">Exhibit 5.1 </w:t>
      </w:r>
    </w:p>
    <w:p>
      <w:pPr>
        <w:pStyle w:val="TextBody"/>
        <w:rPr/>
      </w:pPr>
      <w:r>
        <w:rPr/>
        <w:drawing>
          <wp:inline distT="0" distB="0" distL="0" distR="0">
            <wp:extent cx="1657350" cy="2095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57350" cy="209550"/>
                    </a:xfrm>
                    <a:prstGeom prst="rect">
                      <a:avLst/>
                    </a:prstGeom>
                  </pic:spPr>
                </pic:pic>
              </a:graphicData>
            </a:graphic>
          </wp:inline>
        </w:drawing>
      </w:r>
      <w:r>
        <w:rPr/>
        <w:t xml:space="preserve"> </w:t>
      </w:r>
    </w:p>
    <w:p>
      <w:pPr>
        <w:pStyle w:val="TextBody"/>
        <w:rPr>
          <w:rFonts w:ascii="times" w:hAnsi="times"/>
          <w:sz w:val="20"/>
        </w:rPr>
      </w:pPr>
      <w:r>
        <w:rPr>
          <w:rFonts w:ascii="times" w:hAnsi="times"/>
          <w:sz w:val="20"/>
        </w:rPr>
        <w:t xml:space="preserve">November 6, 2014 </w:t>
      </w:r>
    </w:p>
    <w:p>
      <w:pPr>
        <w:pStyle w:val="TextBody"/>
        <w:rPr>
          <w:rFonts w:ascii="times" w:hAnsi="times"/>
          <w:sz w:val="20"/>
        </w:rPr>
      </w:pPr>
      <w:r>
        <w:rPr>
          <w:rFonts w:ascii="times" w:hAnsi="times"/>
          <w:sz w:val="20"/>
        </w:rPr>
        <w:t>Plains GP Holdings, L.P.</w:t>
        <w:br/>
        <w:t>333 Clay Street, Suite 1600</w:t>
        <w:br/>
        <w:t xml:space="preserve">Houston, Texas 77002 </w:t>
      </w:r>
    </w:p>
    <w:p>
      <w:pPr>
        <w:pStyle w:val="TextBody"/>
        <w:rPr>
          <w:rFonts w:ascii="times" w:hAnsi="times"/>
          <w:sz w:val="20"/>
        </w:rPr>
      </w:pPr>
      <w:r>
        <w:rPr>
          <w:rFonts w:ascii="times" w:hAnsi="times"/>
          <w:sz w:val="20"/>
        </w:rPr>
        <w:t xml:space="preserve">Ladies and Gentlemen: </w:t>
      </w:r>
    </w:p>
    <w:p>
      <w:pPr>
        <w:pStyle w:val="TextBody"/>
        <w:rPr/>
      </w:pPr>
      <w:r>
        <w:rPr/>
        <w:t>        </w:t>
      </w:r>
      <w:r>
        <w:rPr>
          <w:rFonts w:ascii="times" w:hAnsi="times"/>
          <w:sz w:val="20"/>
        </w:rPr>
        <w:t xml:space="preserve">We have acted as counsel to Plains GP Holdings, L.P., a Delaware limited partnership (the "Partnership"), in connection with the preparation and filing of a registration statement on Form S-3 (the "Registration Statement") by the Partnership relating to the offer and sale (the "Offering") of up to an aggregate of 63,250,000 Class A shares representing limited partner interests in the Partnership (the "Shares") by the selling shareholder (the "Selling Shareholder"), which includes up to 8,250,000 Shares that may be sold pursuant to the underwriters' option to purchase additional Shares. </w:t>
      </w:r>
    </w:p>
    <w:p>
      <w:pPr>
        <w:pStyle w:val="TextBody"/>
        <w:rPr/>
      </w:pPr>
      <w:r>
        <w:rPr/>
        <w:t>        </w:t>
      </w:r>
      <w:r>
        <w:rPr>
          <w:rFonts w:ascii="times" w:hAnsi="times"/>
          <w:sz w:val="20"/>
        </w:rPr>
        <w:t xml:space="preserve">We are rendering this opinion as of the time the Registration Statement becomes effective, which Registration Statement became automatically effective upon filing with the Commission pursuant to Rule 462(e) under the Securities Act of 1933. </w:t>
      </w:r>
    </w:p>
    <w:p>
      <w:pPr>
        <w:pStyle w:val="TextBody"/>
        <w:rPr/>
      </w:pPr>
      <w:r>
        <w:rPr/>
        <w:t>        </w:t>
      </w:r>
      <w:r>
        <w:rPr>
          <w:rFonts w:ascii="times" w:hAnsi="times"/>
          <w:sz w:val="20"/>
        </w:rPr>
        <w:t xml:space="preserve">As the basis for the opinion hereinafter expressed, we examined such statutes, including the Delaware Revised Uniform Limited Partnership Act (the "Delaware LP Act"), and the Partnership's records and documents, certificates of the Partnership and public officials, and other instruments and documents as we deemed necessary or advisable for the purposes of this opinion. In such examination, we have assumed (i) the authenticity of all documents submitted to us as originals and the conformity with the original documents of all documents submitted to us as copies and (ii) that a definitive underwriting agreement in the form filed as an exhibit to the Registration Statement with respect to the sale of the Shares will have been duly authorized and validly executed and delivered by the Partnership, the Selling Shareholder and the other parties thereto. </w:t>
      </w:r>
    </w:p>
    <w:p>
      <w:pPr>
        <w:pStyle w:val="TextBody"/>
        <w:rPr/>
      </w:pPr>
      <w:r>
        <w:rPr/>
        <w:t>        </w:t>
      </w:r>
      <w:r>
        <w:rPr>
          <w:rFonts w:ascii="times" w:hAnsi="times"/>
          <w:sz w:val="20"/>
        </w:rPr>
        <w:t xml:space="preserve">Based on the foregoing and on such legal considerations as we deem relevant, we are of the opinion that the Shares, when issued and delivered against payment therefor as described in the Registration Statement, will be duly authorized, validly issued, fully paid and non-assessable. </w:t>
      </w:r>
    </w:p>
    <w:p>
      <w:pPr>
        <w:pStyle w:val="TextBody"/>
        <w:rPr/>
      </w:pPr>
      <w:r>
        <w:rPr/>
        <w:t>        </w:t>
      </w:r>
      <w:r>
        <w:rPr>
          <w:rFonts w:ascii="times" w:hAnsi="times"/>
          <w:sz w:val="20"/>
        </w:rPr>
        <w:t xml:space="preserve">The foregoing opinion is limited to the federal laws of the United States of America, the Constitution of the State of Delaware and the Delaware LP Act, each as interpreted by the courts of the State of Delaware, and we are expressing no opinion as to the effect of the laws of any other jurisdiction. </w:t>
      </w:r>
    </w:p>
    <w:p>
      <w:pPr>
        <w:pStyle w:val="TextBody"/>
        <w:rPr/>
      </w:pPr>
      <w:r>
        <w:rPr/>
        <w:t>        </w:t>
      </w:r>
      <w:r>
        <w:rPr>
          <w:rFonts w:ascii="times" w:hAnsi="times"/>
          <w:sz w:val="20"/>
        </w:rPr>
        <w:t xml:space="preserve">We hereby consent to the reference to us under the heading "Legal Matters" in the prospectus forming a part of the Registration Statement and to the filing of this opinion as an exhibit to the Registration Statement. By giving this consent, we do not admit that we are within the category of persons whose consent is required under Section 7 of the Securities Act and the rules and regulations thereunder. </w:t>
      </w:r>
    </w:p>
    <w:tbl>
      <w:tblPr>
        <w:tblW w:w="5000" w:type="pct"/>
        <w:jc w:val="center"/>
        <w:tblInd w:w="0" w:type="dxa"/>
        <w:tblCellMar>
          <w:top w:w="0" w:type="dxa"/>
          <w:left w:w="0" w:type="dxa"/>
          <w:bottom w:w="0" w:type="dxa"/>
          <w:right w:w="0" w:type="dxa"/>
        </w:tblCellMar>
      </w:tblPr>
      <w:tblGrid>
        <w:gridCol w:w="6290"/>
        <w:gridCol w:w="304"/>
        <w:gridCol w:w="3611"/>
      </w:tblGrid>
      <w:tr>
        <w:trPr/>
        <w:tc>
          <w:tcPr>
            <w:tcW w:w="629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611" w:type="dxa"/>
            <w:tcBorders/>
            <w:shd w:fill="auto" w:val="clear"/>
            <w:vAlign w:val="center"/>
          </w:tcPr>
          <w:p>
            <w:pPr>
              <w:pStyle w:val="TableContents"/>
              <w:spacing w:before="0" w:after="283"/>
              <w:rPr>
                <w:sz w:val="4"/>
                <w:szCs w:val="4"/>
              </w:rPr>
            </w:pPr>
            <w:r>
              <w:rPr>
                <w:sz w:val="4"/>
                <w:szCs w:val="4"/>
              </w:rPr>
            </w:r>
          </w:p>
        </w:tc>
      </w:tr>
      <w:tr>
        <w:trPr/>
        <w:tc>
          <w:tcPr>
            <w:tcW w:w="6290"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3611" w:type="dxa"/>
            <w:tcBorders/>
            <w:shd w:fill="auto" w:val="clear"/>
          </w:tcPr>
          <w:p>
            <w:pPr>
              <w:pStyle w:val="TableContents"/>
              <w:spacing w:before="0" w:after="283"/>
              <w:rPr>
                <w:rFonts w:ascii="times" w:hAnsi="times"/>
                <w:sz w:val="20"/>
              </w:rPr>
            </w:pPr>
            <w:r>
              <w:rPr>
                <w:rFonts w:ascii="times" w:hAnsi="times"/>
                <w:sz w:val="20"/>
              </w:rPr>
              <w:t>Very truly yours,</w:t>
            </w:r>
          </w:p>
        </w:tc>
      </w:tr>
      <w:tr>
        <w:trPr/>
        <w:tc>
          <w:tcPr>
            <w:tcW w:w="6290" w:type="dxa"/>
            <w:tcBorders/>
            <w:shd w:fill="auto" w:val="clear"/>
          </w:tcPr>
          <w:p>
            <w:pPr>
              <w:pStyle w:val="TableContents"/>
              <w:spacing w:before="0" w:after="283"/>
              <w:rPr>
                <w:rFonts w:ascii="times" w:hAnsi="times"/>
                <w:sz w:val="20"/>
              </w:rPr>
            </w:pPr>
            <w:r>
              <w:rPr>
                <w:rFonts w:ascii="times" w:hAnsi="times"/>
                <w:sz w:val="20"/>
              </w:rPr>
              <w:br/>
              <w:t> </w:t>
            </w:r>
          </w:p>
        </w:tc>
        <w:tc>
          <w:tcPr>
            <w:tcW w:w="304" w:type="dxa"/>
            <w:tcBorders/>
            <w:shd w:fill="auto" w:val="clear"/>
          </w:tcPr>
          <w:p>
            <w:pPr>
              <w:pStyle w:val="TableContents"/>
              <w:spacing w:before="0" w:after="283"/>
              <w:rPr>
                <w:rFonts w:ascii="times" w:hAnsi="times"/>
                <w:sz w:val="20"/>
              </w:rPr>
            </w:pPr>
            <w:r>
              <w:rPr>
                <w:rFonts w:ascii="times" w:hAnsi="times"/>
                <w:sz w:val="20"/>
              </w:rPr>
              <w:br/>
              <w:t> </w:t>
            </w:r>
          </w:p>
        </w:tc>
        <w:tc>
          <w:tcPr>
            <w:tcW w:w="3611" w:type="dxa"/>
            <w:tcBorders/>
            <w:shd w:fill="auto" w:val="clear"/>
          </w:tcPr>
          <w:p>
            <w:pPr>
              <w:pStyle w:val="TableContents"/>
              <w:spacing w:before="0" w:after="283"/>
              <w:rPr>
                <w:rFonts w:ascii="times" w:hAnsi="times"/>
              </w:rPr>
            </w:pPr>
            <w:r>
              <w:rPr>
                <w:rFonts w:ascii="times" w:hAnsi="times"/>
              </w:rPr>
              <w:br/>
            </w:r>
            <w:r>
              <w:rPr>
                <w:rFonts w:ascii="times" w:hAnsi="times"/>
                <w:sz w:val="20"/>
              </w:rPr>
              <w:t>/s/ Vinson &amp; Elkins L.L.P.</w:t>
            </w:r>
          </w:p>
        </w:tc>
      </w:tr>
    </w:tbl>
    <w:p>
      <w:pPr>
        <w:pStyle w:val="HorizontalLine"/>
        <w:pBdr>
          <w:bottom w:val="single" w:sz="20" w:space="0" w:color="808080"/>
        </w:pBdr>
        <w:rPr/>
      </w:pPr>
      <w:r>
        <w:rPr/>
      </w:r>
      <w:r>
        <w:br w:type="page"/>
      </w:r>
    </w:p>
    <w:p>
      <w:pPr>
        <w:pStyle w:val="TextBody"/>
        <w:rPr/>
      </w:pPr>
      <w:r>
        <w:rPr/>
      </w:r>
    </w:p>
    <w:p>
      <w:pPr>
        <w:pStyle w:val="TextBody"/>
        <w:rPr/>
      </w:pPr>
      <w:r>
        <w:rPr/>
        <w:br/>
      </w:r>
      <w:bookmarkStart w:id="125" w:name="14ZCX76101_2"/>
      <w:bookmarkEnd w:id="125"/>
      <w:r>
        <w:rPr/>
        <w:t>QuickLinks</w:t>
      </w:r>
    </w:p>
    <w:p>
      <w:pPr>
        <w:pStyle w:val="TextBody"/>
        <w:numPr>
          <w:ilvl w:val="0"/>
          <w:numId w:val="0"/>
        </w:numPr>
        <w:ind w:left="707" w:hanging="0"/>
        <w:rPr/>
      </w:pPr>
      <w:hyperlink w:anchor="toc_kb76101_1">
        <w:r>
          <w:rPr>
            <w:rStyle w:val="InternetLink"/>
            <w:rFonts w:ascii="times" w:hAnsi="times"/>
            <w:sz w:val="20"/>
          </w:rPr>
          <w:t>Exhibit 5.1</w:t>
        </w:r>
      </w:hyperlink>
      <w:r>
        <w:br w:type="page"/>
      </w:r>
    </w:p>
    <w:p>
      <w:pPr>
        <w:pStyle w:val="TextBody"/>
        <w:rPr/>
      </w:pPr>
      <w:bookmarkStart w:id="126" w:name="a2222080zex-8_1.htm"/>
      <w:bookmarkStart w:id="127" w:name="ksa2222080zex8_1"/>
      <w:bookmarkEnd w:id="126"/>
      <w:bookmarkEnd w:id="127"/>
      <w:r>
        <w:rPr/>
        <w:br/>
      </w:r>
      <w:hyperlink w:anchor="14ZCX76101_3">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128" w:name="toc_kc76101_1"/>
      <w:bookmarkStart w:id="129" w:name="kc76101_exhibit_8.1"/>
      <w:bookmarkEnd w:id="128"/>
      <w:bookmarkEnd w:id="129"/>
      <w:r>
        <w:rPr>
          <w:rFonts w:ascii="times" w:hAnsi="times"/>
          <w:sz w:val="20"/>
        </w:rPr>
        <w:br/>
      </w:r>
      <w:r>
        <w:rPr>
          <w:rFonts w:ascii="times" w:hAnsi="times"/>
          <w:b/>
          <w:sz w:val="20"/>
        </w:rPr>
        <w:t xml:space="preserve">Exhibit 8.1 </w:t>
      </w:r>
    </w:p>
    <w:p>
      <w:pPr>
        <w:pStyle w:val="TextBody"/>
        <w:rPr>
          <w:rFonts w:ascii="times" w:hAnsi="times"/>
          <w:sz w:val="20"/>
        </w:rPr>
      </w:pPr>
      <w:r>
        <w:rPr>
          <w:rFonts w:ascii="times" w:hAnsi="times"/>
          <w:sz w:val="20"/>
        </w:rPr>
        <w:t>November 6, 2014</w:t>
        <w:br/>
        <w:t>Plains GP Holdings, L.P.</w:t>
        <w:br/>
        <w:t>333 Clay Street, Suite 1600</w:t>
        <w:br/>
        <w:t xml:space="preserve">Houston, Texas 77002 </w:t>
      </w:r>
    </w:p>
    <w:p>
      <w:pPr>
        <w:pStyle w:val="TextBody"/>
        <w:rPr>
          <w:rFonts w:ascii="times" w:hAnsi="times"/>
          <w:sz w:val="20"/>
        </w:rPr>
      </w:pPr>
      <w:r>
        <w:rPr>
          <w:rFonts w:ascii="times" w:hAnsi="times"/>
          <w:sz w:val="20"/>
        </w:rPr>
        <w:t xml:space="preserve">RE: Plains GP Holdings, L.P. Registration Statement on Form S-3 </w:t>
      </w:r>
    </w:p>
    <w:p>
      <w:pPr>
        <w:pStyle w:val="TextBody"/>
        <w:rPr>
          <w:rFonts w:ascii="times" w:hAnsi="times"/>
          <w:sz w:val="20"/>
        </w:rPr>
      </w:pPr>
      <w:r>
        <w:rPr>
          <w:rFonts w:ascii="times" w:hAnsi="times"/>
          <w:sz w:val="20"/>
        </w:rPr>
        <w:t xml:space="preserve">Ladies and Gentlemen: </w:t>
      </w:r>
    </w:p>
    <w:p>
      <w:pPr>
        <w:pStyle w:val="TextBody"/>
        <w:rPr/>
      </w:pPr>
      <w:r>
        <w:rPr/>
        <w:t>        </w:t>
      </w:r>
      <w:r>
        <w:rPr>
          <w:rFonts w:ascii="times" w:hAnsi="times"/>
          <w:sz w:val="20"/>
        </w:rPr>
        <w:t>We have acted as counsel for Plains GP Holdings, L.P. ("</w:t>
      </w:r>
      <w:r>
        <w:rPr>
          <w:rFonts w:ascii="times" w:hAnsi="times"/>
          <w:b/>
          <w:i/>
          <w:sz w:val="20"/>
        </w:rPr>
        <w:t>PAGP</w:t>
      </w:r>
      <w:r>
        <w:rPr>
          <w:rFonts w:ascii="times" w:hAnsi="times"/>
          <w:sz w:val="20"/>
        </w:rPr>
        <w:t>"), a Delaware limited partnership that has elected to be treated as a corporation for U.S. federal income tax purposes, with respect to certain legal matters in connection with the preparation of a Prospectus (the "</w:t>
      </w:r>
      <w:r>
        <w:rPr>
          <w:rFonts w:ascii="times" w:hAnsi="times"/>
          <w:b/>
          <w:i/>
          <w:sz w:val="20"/>
        </w:rPr>
        <w:t>Prospectus</w:t>
      </w:r>
      <w:r>
        <w:rPr>
          <w:rFonts w:ascii="times" w:hAnsi="times"/>
          <w:sz w:val="20"/>
        </w:rPr>
        <w:t>"), forming part of the Registration Statement on Form S-3, dated on or about the date hereof (the "</w:t>
      </w:r>
      <w:r>
        <w:rPr>
          <w:rFonts w:ascii="times" w:hAnsi="times"/>
          <w:b/>
          <w:i/>
          <w:sz w:val="20"/>
        </w:rPr>
        <w:t>Registration Statement</w:t>
      </w:r>
      <w:r>
        <w:rPr>
          <w:rFonts w:ascii="times" w:hAnsi="times"/>
          <w:sz w:val="20"/>
        </w:rPr>
        <w:t xml:space="preserve">"). </w:t>
      </w:r>
    </w:p>
    <w:p>
      <w:pPr>
        <w:pStyle w:val="TextBody"/>
        <w:rPr/>
      </w:pPr>
      <w:r>
        <w:rPr/>
        <w:t>        </w:t>
      </w:r>
      <w:r>
        <w:rPr>
          <w:rFonts w:ascii="times" w:hAnsi="times"/>
          <w:sz w:val="20"/>
        </w:rPr>
        <w:t>This opinion is based on various facts and assumptions, and is conditioned upon certain representations made by PAGP as to factual matters through a certificate of an officer of PAGP (the "</w:t>
      </w:r>
      <w:r>
        <w:rPr>
          <w:rFonts w:ascii="times" w:hAnsi="times"/>
          <w:b/>
          <w:i/>
          <w:sz w:val="20"/>
        </w:rPr>
        <w:t>Officer's Certificate</w:t>
      </w:r>
      <w:r>
        <w:rPr>
          <w:rFonts w:ascii="times" w:hAnsi="times"/>
          <w:sz w:val="20"/>
        </w:rPr>
        <w:t xml:space="preserve">"). In addition, this opinion is based upon the factual representations of PAGP concerning its business, properties and governing documents as set forth in the Registration Statement. </w:t>
      </w:r>
    </w:p>
    <w:p>
      <w:pPr>
        <w:pStyle w:val="TextBody"/>
        <w:rPr/>
      </w:pPr>
      <w:r>
        <w:rPr/>
        <w:t>        </w:t>
      </w:r>
      <w:r>
        <w:rPr>
          <w:rFonts w:ascii="times" w:hAnsi="times"/>
          <w:sz w:val="20"/>
        </w:rPr>
        <w:t xml:space="preserve">In our capacity as counsel to PAGP,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 </w:t>
      </w:r>
    </w:p>
    <w:p>
      <w:pPr>
        <w:pStyle w:val="TextBody"/>
        <w:rPr/>
      </w:pPr>
      <w:r>
        <w:rPr/>
        <w:t>        </w:t>
      </w:r>
      <w:r>
        <w:rPr>
          <w:rFonts w:ascii="times" w:hAnsi="times"/>
          <w:sz w:val="20"/>
        </w:rPr>
        <w:t xml:space="preserve">We hereby confirm that all statements of legal conclusions contained in the discussion in the Prospectus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 </w:t>
      </w:r>
    </w:p>
    <w:p>
      <w:pPr>
        <w:pStyle w:val="TextBody"/>
        <w:rPr/>
      </w:pPr>
      <w:r>
        <w:rPr/>
        <w:t>        </w:t>
      </w:r>
      <w:r>
        <w:rPr>
          <w:rFonts w:ascii="times" w:hAnsi="times"/>
          <w:sz w:val="20"/>
        </w:rPr>
        <w:t xml:space="preserve">No opinion is expressed as to any matter not discussed in the Prospectus under the caption "Material U.S. Federal Income Tax Consequences." We are opining herein only as to the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 </w:t>
      </w:r>
    </w:p>
    <w:p>
      <w:pPr>
        <w:pStyle w:val="TextBody"/>
        <w:rPr/>
      </w:pPr>
      <w:r>
        <w:rPr/>
        <w:t>        </w:t>
      </w:r>
      <w:r>
        <w:rPr>
          <w:rFonts w:ascii="times" w:hAnsi="times"/>
          <w:sz w:val="20"/>
        </w:rPr>
        <w:t xml:space="preserve">This opinion is rendered to you as of the effective date of the Registration Statement, and we undertake no obligation to update this opinion subsequent to the date hereof. This opinion is furnished to you, and is for your use in connection with the transactions set forth in the Registration Statement. This opinion may not be relied upon by you for any other purpose without our prior written consent. However, this opinion may be relied upon by you and by persons entitled to rely on it pursuant to applicable provisions of federal securities law, including persons purchasing common units pursuant to the Registration Statement. </w:t>
      </w:r>
    </w:p>
    <w:p>
      <w:pPr>
        <w:pStyle w:val="HorizontalLine"/>
        <w:pBdr>
          <w:bottom w:val="single" w:sz="20" w:space="0" w:color="808080"/>
        </w:pBdr>
        <w:rPr/>
      </w:pPr>
      <w:r>
        <w:rPr/>
      </w:r>
      <w:r>
        <w:br w:type="page"/>
      </w:r>
    </w:p>
    <w:p>
      <w:pPr>
        <w:pStyle w:val="TextBody"/>
        <w:rPr/>
      </w:pPr>
      <w:r>
        <w:rPr/>
        <w:t>        </w:t>
      </w:r>
      <w:r>
        <w:rPr>
          <w:rFonts w:ascii="times" w:hAnsi="times"/>
          <w:sz w:val="20"/>
        </w:rPr>
        <w:t xml:space="preserve">We hereby consent to the filing of this opinion as an exhibit to the Registration Statement and to the use of our name under the captions "Material U.S. Federal Income Tax Consequences" and "Legal Matters" in the Registration Statement. By giving this consent, we do not admit that we are within the category of persons whose consent is required under Section 7 of the Securities Act and the rules and regulations thereunder. </w:t>
      </w:r>
    </w:p>
    <w:tbl>
      <w:tblPr>
        <w:tblW w:w="5000" w:type="pct"/>
        <w:jc w:val="center"/>
        <w:tblInd w:w="0" w:type="dxa"/>
        <w:tblCellMar>
          <w:top w:w="0" w:type="dxa"/>
          <w:left w:w="0" w:type="dxa"/>
          <w:bottom w:w="0" w:type="dxa"/>
          <w:right w:w="0" w:type="dxa"/>
        </w:tblCellMar>
      </w:tblPr>
      <w:tblGrid>
        <w:gridCol w:w="6290"/>
        <w:gridCol w:w="304"/>
        <w:gridCol w:w="3611"/>
      </w:tblGrid>
      <w:tr>
        <w:trPr/>
        <w:tc>
          <w:tcPr>
            <w:tcW w:w="6290"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3611" w:type="dxa"/>
            <w:tcBorders/>
            <w:shd w:fill="auto" w:val="clear"/>
            <w:vAlign w:val="center"/>
          </w:tcPr>
          <w:p>
            <w:pPr>
              <w:pStyle w:val="TableContents"/>
              <w:spacing w:before="0" w:after="283"/>
              <w:rPr>
                <w:sz w:val="4"/>
                <w:szCs w:val="4"/>
              </w:rPr>
            </w:pPr>
            <w:r>
              <w:rPr>
                <w:sz w:val="4"/>
                <w:szCs w:val="4"/>
              </w:rPr>
            </w:r>
          </w:p>
        </w:tc>
      </w:tr>
      <w:tr>
        <w:trPr/>
        <w:tc>
          <w:tcPr>
            <w:tcW w:w="6290" w:type="dxa"/>
            <w:tcBorders/>
            <w:shd w:fill="auto" w:val="clear"/>
          </w:tcPr>
          <w:p>
            <w:pPr>
              <w:pStyle w:val="TableContents"/>
              <w:spacing w:before="0" w:after="283"/>
              <w:rPr/>
            </w:pPr>
            <w:r>
              <w:rPr/>
              <w:t> </w:t>
            </w:r>
          </w:p>
        </w:tc>
        <w:tc>
          <w:tcPr>
            <w:tcW w:w="304" w:type="dxa"/>
            <w:tcBorders/>
            <w:shd w:fill="auto" w:val="clear"/>
          </w:tcPr>
          <w:p>
            <w:pPr>
              <w:pStyle w:val="TableContents"/>
              <w:spacing w:before="0" w:after="283"/>
              <w:rPr/>
            </w:pPr>
            <w:r>
              <w:rPr/>
              <w:t> </w:t>
            </w:r>
          </w:p>
        </w:tc>
        <w:tc>
          <w:tcPr>
            <w:tcW w:w="3611" w:type="dxa"/>
            <w:tcBorders/>
            <w:shd w:fill="auto" w:val="clear"/>
          </w:tcPr>
          <w:p>
            <w:pPr>
              <w:pStyle w:val="TableContents"/>
              <w:spacing w:before="0" w:after="283"/>
              <w:rPr>
                <w:rFonts w:ascii="times" w:hAnsi="times"/>
                <w:sz w:val="20"/>
              </w:rPr>
            </w:pPr>
            <w:r>
              <w:rPr>
                <w:rFonts w:ascii="times" w:hAnsi="times"/>
                <w:sz w:val="20"/>
              </w:rPr>
              <w:t>Very truly yours,</w:t>
            </w:r>
          </w:p>
        </w:tc>
      </w:tr>
      <w:tr>
        <w:trPr/>
        <w:tc>
          <w:tcPr>
            <w:tcW w:w="6290" w:type="dxa"/>
            <w:tcBorders/>
            <w:shd w:fill="auto" w:val="clear"/>
          </w:tcPr>
          <w:p>
            <w:pPr>
              <w:pStyle w:val="TableContents"/>
              <w:spacing w:before="0" w:after="283"/>
              <w:rPr>
                <w:rFonts w:ascii="times" w:hAnsi="times"/>
                <w:sz w:val="20"/>
              </w:rPr>
            </w:pPr>
            <w:r>
              <w:rPr>
                <w:rFonts w:ascii="times" w:hAnsi="times"/>
                <w:sz w:val="20"/>
              </w:rPr>
              <w:br/>
              <w:t> </w:t>
            </w:r>
          </w:p>
        </w:tc>
        <w:tc>
          <w:tcPr>
            <w:tcW w:w="304" w:type="dxa"/>
            <w:tcBorders/>
            <w:shd w:fill="auto" w:val="clear"/>
          </w:tcPr>
          <w:p>
            <w:pPr>
              <w:pStyle w:val="TableContents"/>
              <w:spacing w:before="0" w:after="283"/>
              <w:rPr>
                <w:rFonts w:ascii="times" w:hAnsi="times"/>
                <w:sz w:val="20"/>
              </w:rPr>
            </w:pPr>
            <w:r>
              <w:rPr>
                <w:rFonts w:ascii="times" w:hAnsi="times"/>
                <w:sz w:val="20"/>
              </w:rPr>
              <w:br/>
              <w:t> </w:t>
            </w:r>
          </w:p>
        </w:tc>
        <w:tc>
          <w:tcPr>
            <w:tcW w:w="3611" w:type="dxa"/>
            <w:tcBorders/>
            <w:shd w:fill="auto" w:val="clear"/>
          </w:tcPr>
          <w:p>
            <w:pPr>
              <w:pStyle w:val="TableContents"/>
              <w:spacing w:before="0" w:after="283"/>
              <w:rPr>
                <w:rFonts w:ascii="times" w:hAnsi="times"/>
              </w:rPr>
            </w:pPr>
            <w:r>
              <w:rPr>
                <w:rFonts w:ascii="times" w:hAnsi="times"/>
              </w:rPr>
              <w:br/>
            </w:r>
            <w:r>
              <w:rPr>
                <w:rFonts w:ascii="times" w:hAnsi="times"/>
                <w:sz w:val="20"/>
              </w:rPr>
              <w:t>/s/ Vinson &amp; Elkins L.L.P.</w:t>
            </w:r>
          </w:p>
        </w:tc>
      </w:tr>
    </w:tbl>
    <w:p>
      <w:pPr>
        <w:pStyle w:val="HorizontalLine"/>
        <w:pBdr>
          <w:bottom w:val="single" w:sz="20" w:space="0" w:color="808080"/>
        </w:pBdr>
        <w:rPr/>
      </w:pPr>
      <w:r>
        <w:rPr/>
      </w:r>
      <w:r>
        <w:br w:type="page"/>
      </w:r>
    </w:p>
    <w:p>
      <w:pPr>
        <w:pStyle w:val="TextBody"/>
        <w:rPr/>
      </w:pPr>
      <w:r>
        <w:rPr/>
      </w:r>
    </w:p>
    <w:p>
      <w:pPr>
        <w:pStyle w:val="TextBody"/>
        <w:rPr/>
      </w:pPr>
      <w:r>
        <w:rPr/>
        <w:br/>
      </w:r>
      <w:bookmarkStart w:id="130" w:name="14ZCX76101_3"/>
      <w:bookmarkEnd w:id="130"/>
      <w:r>
        <w:rPr/>
        <w:t>QuickLinks</w:t>
      </w:r>
    </w:p>
    <w:p>
      <w:pPr>
        <w:pStyle w:val="TextBody"/>
        <w:numPr>
          <w:ilvl w:val="0"/>
          <w:numId w:val="0"/>
        </w:numPr>
        <w:ind w:left="707" w:hanging="0"/>
        <w:rPr/>
      </w:pPr>
      <w:hyperlink w:anchor="toc_kc76101_1">
        <w:r>
          <w:rPr>
            <w:rStyle w:val="InternetLink"/>
            <w:rFonts w:ascii="times" w:hAnsi="times"/>
            <w:sz w:val="20"/>
          </w:rPr>
          <w:t>Exhibit 8.1</w:t>
        </w:r>
      </w:hyperlink>
      <w:r>
        <w:br w:type="page"/>
      </w:r>
    </w:p>
    <w:p>
      <w:pPr>
        <w:pStyle w:val="TextBody"/>
        <w:rPr/>
      </w:pPr>
      <w:bookmarkStart w:id="131" w:name="a2222080zex-23_1.htm"/>
      <w:bookmarkStart w:id="132" w:name="ksa2222080zex23_1"/>
      <w:bookmarkEnd w:id="131"/>
      <w:bookmarkEnd w:id="132"/>
      <w:r>
        <w:rPr/>
        <w:br/>
      </w:r>
      <w:hyperlink w:anchor="14ZCX76101_4">
        <w:r>
          <w:rPr>
            <w:rStyle w:val="InternetLink"/>
            <w:sz w:val="24"/>
          </w:rPr>
          <w:t>QuickLinks</w:t>
        </w:r>
      </w:hyperlink>
      <w:r>
        <w:rPr/>
        <w:t xml:space="preserve"> </w:t>
      </w:r>
      <w:r>
        <w:rPr>
          <w:sz w:val="24"/>
        </w:rPr>
        <w:t>-- Click here to rapidly navigate through this document</w:t>
      </w:r>
      <w:r>
        <w:rPr/>
        <w:t xml:space="preserve"> </w:t>
      </w:r>
    </w:p>
    <w:p>
      <w:pPr>
        <w:pStyle w:val="TextBody"/>
        <w:jc w:val="right"/>
        <w:rPr>
          <w:rFonts w:ascii="times" w:hAnsi="times"/>
        </w:rPr>
      </w:pPr>
      <w:bookmarkStart w:id="133" w:name="toc_kg76101_1"/>
      <w:bookmarkStart w:id="134" w:name="kg76101_exhibit_23.1"/>
      <w:bookmarkEnd w:id="133"/>
      <w:bookmarkEnd w:id="134"/>
      <w:r>
        <w:rPr>
          <w:rFonts w:ascii="times" w:hAnsi="times"/>
          <w:sz w:val="20"/>
        </w:rPr>
        <w:br/>
      </w:r>
      <w:r>
        <w:rPr>
          <w:rFonts w:ascii="times" w:hAnsi="times"/>
          <w:b/>
          <w:sz w:val="20"/>
        </w:rPr>
        <w:t xml:space="preserve">Exhibit 23.1 </w:t>
      </w:r>
    </w:p>
    <w:p>
      <w:pPr>
        <w:pStyle w:val="TextBody"/>
        <w:jc w:val="center"/>
        <w:rPr>
          <w:rFonts w:ascii="times" w:hAnsi="times"/>
          <w:b/>
          <w:sz w:val="20"/>
        </w:rPr>
      </w:pPr>
      <w:bookmarkStart w:id="135" w:name="toc_kg76101_2"/>
      <w:bookmarkStart w:id="136" w:name="kg76101_consent_of_independent__kg702317"/>
      <w:bookmarkEnd w:id="135"/>
      <w:bookmarkEnd w:id="136"/>
      <w:r>
        <w:rPr>
          <w:rFonts w:ascii="times" w:hAnsi="times"/>
          <w:b/>
          <w:sz w:val="20"/>
        </w:rPr>
        <w:t xml:space="preserve">CONSENT OF INDEPENDENT REGISTERED PUBLIC ACCOUNTING FIRM </w:t>
      </w:r>
    </w:p>
    <w:p>
      <w:pPr>
        <w:pStyle w:val="TextBody"/>
        <w:rPr/>
      </w:pPr>
      <w:r>
        <w:rPr/>
        <w:t>        </w:t>
      </w:r>
      <w:r>
        <w:rPr>
          <w:rFonts w:ascii="times" w:hAnsi="times"/>
          <w:sz w:val="20"/>
        </w:rPr>
        <w:t xml:space="preserve">We hereby consent to the incorporation by reference in this Registration Statement on Form S-3, of our report dated March 12, 2014 relating to the financial statements, which appears in Plains GP Holdings, L.P.'s Annual Report on Form 10-K for the year ended December 31, 2013. We also consent to the reference to us under the heading "Experts" in such Registration Statement. </w:t>
      </w:r>
    </w:p>
    <w:p>
      <w:pPr>
        <w:pStyle w:val="TextBody"/>
        <w:rPr>
          <w:rFonts w:ascii="times" w:hAnsi="times"/>
          <w:sz w:val="20"/>
        </w:rPr>
      </w:pPr>
      <w:r>
        <w:rPr>
          <w:rFonts w:ascii="times" w:hAnsi="times"/>
          <w:sz w:val="20"/>
        </w:rPr>
        <w:t>/s/ PricewaterhouseCoopers LLP</w:t>
        <w:br/>
        <w:t>Houston, Texas</w:t>
        <w:br/>
        <w:t xml:space="preserve">November 5, 2014 </w:t>
      </w:r>
    </w:p>
    <w:p>
      <w:pPr>
        <w:pStyle w:val="HorizontalLine"/>
        <w:pBdr>
          <w:bottom w:val="single" w:sz="20" w:space="0" w:color="808080"/>
        </w:pBdr>
        <w:rPr/>
      </w:pPr>
      <w:r>
        <w:rPr/>
      </w:r>
      <w:r>
        <w:br w:type="page"/>
      </w:r>
    </w:p>
    <w:p>
      <w:pPr>
        <w:pStyle w:val="TextBody"/>
        <w:rPr/>
      </w:pPr>
      <w:r>
        <w:rPr/>
      </w:r>
    </w:p>
    <w:p>
      <w:pPr>
        <w:pStyle w:val="TextBody"/>
        <w:rPr/>
      </w:pPr>
      <w:r>
        <w:rPr/>
        <w:br/>
      </w:r>
      <w:bookmarkStart w:id="137" w:name="14ZCX76101_4"/>
      <w:bookmarkEnd w:id="137"/>
      <w:r>
        <w:rPr/>
        <w:t>QuickLinks</w:t>
      </w:r>
    </w:p>
    <w:p>
      <w:pPr>
        <w:pStyle w:val="TextBody"/>
        <w:numPr>
          <w:ilvl w:val="0"/>
          <w:numId w:val="0"/>
        </w:numPr>
        <w:ind w:left="707" w:hanging="0"/>
        <w:rPr/>
      </w:pPr>
      <w:hyperlink w:anchor="toc_kg76101_1">
        <w:r>
          <w:rPr>
            <w:rStyle w:val="InternetLink"/>
            <w:rFonts w:ascii="times" w:hAnsi="times"/>
            <w:sz w:val="20"/>
          </w:rPr>
          <w:t>Exhibit 23.1</w:t>
        </w:r>
      </w:hyperlink>
    </w:p>
    <w:p>
      <w:pPr>
        <w:pStyle w:val="TextBody"/>
        <w:spacing w:before="0" w:after="283"/>
        <w:rPr/>
      </w:pPr>
      <w:hyperlink w:anchor="toc_kg76101_2">
        <w:r>
          <w:rPr>
            <w:rStyle w:val="InternetLink"/>
            <w:rFonts w:ascii="times" w:hAnsi="times"/>
            <w:sz w:val="20"/>
          </w:rPr>
          <w:t>CONSENT OF INDEPENDENT REGISTERED PUBLIC ACCOUNTING FIRM</w:t>
        </w:r>
      </w:hyperlink>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times">
    <w:altName w:val="Times New Roman"/>
    <w:charset w:val="00"/>
    <w:family w:val="auto"/>
    <w:pitch w:val="default"/>
  </w:font>
  <w:font w:name="WINGDINGS">
    <w:charset w:val="00"/>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1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0">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5">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6">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7">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8">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59">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 w:type="paragraph" w:styleId="ListHeading">
    <w:name w:val="List Heading"/>
    <w:basedOn w:val="Normal"/>
    <w:next w:val="ListContents"/>
    <w:qFormat/>
    <w:pPr>
      <w:ind w:left="0" w:right="0" w:hanging="0"/>
    </w:pPr>
    <w:rPr/>
  </w:style>
  <w:style w:type="paragraph" w:styleId="ListContents">
    <w:name w:val="List Contents"/>
    <w:basedOn w:val="Normal"/>
    <w:qFormat/>
    <w:pPr>
      <w:ind w:left="567"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69</Pages>
  <Words>29573</Words>
  <CharactersWithSpaces>184627</CharactersWithSpaces>
  <Paragraphs>1713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