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10,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60" w:space="720"/>
            <w:col w:w="2720" w:space="720"/>
            <w:col w:w="302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0" w:lineRule="exact"/>
        <w:rPr>
          <w:sz w:val="24"/>
          <w:szCs w:val="24"/>
          <w:color w:val="auto"/>
        </w:rPr>
      </w:pPr>
    </w:p>
    <w:p>
      <w:pPr>
        <w:spacing w:after="0" w:line="223"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investors and members of the financial community at the Citi Global Energy &amp; Utilities Virtual Conference to be held from May 11-12, 2021. In conjunction with the event,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Tuesday, May 11, 2021,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May 10, 2021</w:t>
            </w: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58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358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358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Richard McGee</w:t>
            </w:r>
          </w:p>
        </w:tc>
      </w:tr>
      <w:tr>
        <w:trPr>
          <w:trHeight w:val="195"/>
        </w:trPr>
        <w:tc>
          <w:tcPr>
            <w:tcW w:w="3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3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2021-05-10T16:45:36Z</dcterms:created>
  <dcterms:modified xsi:type="dcterms:W3CDTF">2021-05-10T16:45:36Z</dcterms:modified>
</cp:coreProperties>
</file>