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-648335</wp:posOffset>
            </wp:positionV>
            <wp:extent cx="59055" cy="6616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4137660</wp:posOffset>
            </wp:positionH>
            <wp:positionV relativeFrom="paragraph">
              <wp:posOffset>-648335</wp:posOffset>
            </wp:positionV>
            <wp:extent cx="59055" cy="6616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20320</wp:posOffset>
            </wp:positionV>
            <wp:extent cx="7323455" cy="49142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14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PETERSEN GARY R</w:t>
        </w:r>
      </w:hyperlink>
    </w:p>
    <w:p>
      <w:pPr>
        <w:spacing w:after="0" w:line="32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1100 LOUISIANA, # 4900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0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PLAINS ALL AMERICAN PIPELINE LP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2"/>
                <w:szCs w:val="2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2"/>
                  <w:szCs w:val="2"/>
                  <w:color w:val="0000FF"/>
                </w:rPr>
                <w:t xml:space="preserve">PAA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08/14/2017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3,750</w:t>
            </w: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53,200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9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08/14/2017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3,750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3,750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11,250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08/14/2017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3,750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3,750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Common Unit is deliverable, upon vesting, for each Phantom Unit that vests.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Units vest annually on August distribution date, with automatic re-grant of equivalent amount.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Upon termination of service as director, other than because of death, disability or retirement.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Ann F. Gullion,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6350</wp:posOffset>
            </wp:positionV>
            <wp:extent cx="13671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Gary R. Petersen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-12065</wp:posOffset>
            </wp:positionV>
            <wp:extent cx="12223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23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08/16/2017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5715</wp:posOffset>
            </wp:positionH>
            <wp:positionV relativeFrom="paragraph">
              <wp:posOffset>6350</wp:posOffset>
            </wp:positionV>
            <wp:extent cx="5022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1757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2020-01-16T04:28:31Z</dcterms:created>
  <dcterms:modified xsi:type="dcterms:W3CDTF">2020-01-16T04:28:31Z</dcterms:modified>
</cp:coreProperties>
</file>