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0"/>
        <w:spacing w:after="0"/>
        <w:rPr>
          <w:sz w:val="20"/>
          <w:szCs w:val="20"/>
          <w:color w:val="auto"/>
        </w:rPr>
      </w:pPr>
      <w:r>
        <w:rPr>
          <w:rFonts w:ascii="Arial" w:cs="Arial" w:eastAsia="Arial" w:hAnsi="Arial"/>
          <w:sz w:val="12"/>
          <w:szCs w:val="12"/>
          <w:color w:val="003366"/>
        </w:rPr>
        <w:t>TABLE OF CONTENTS</w:t>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December 16, 2022</w:t>
      </w:r>
    </w:p>
    <w:p>
      <w:pPr>
        <w:spacing w:after="0" w:line="37" w:lineRule="exact"/>
        <w:rPr>
          <w:sz w:val="24"/>
          <w:szCs w:val="24"/>
          <w:color w:val="auto"/>
        </w:rPr>
      </w:pPr>
    </w:p>
    <w:p>
      <w:pPr>
        <w:jc w:val="right"/>
        <w:ind w:right="519"/>
        <w:spacing w:after="0"/>
        <w:rPr>
          <w:sz w:val="20"/>
          <w:szCs w:val="20"/>
          <w:color w:val="auto"/>
        </w:rPr>
      </w:pPr>
      <w:r>
        <w:rPr>
          <w:rFonts w:ascii="Arial" w:cs="Arial" w:eastAsia="Arial" w:hAnsi="Arial"/>
          <w:sz w:val="13"/>
          <w:szCs w:val="13"/>
          <w:b w:val="1"/>
          <w:bCs w:val="1"/>
          <w:color w:val="auto"/>
        </w:rPr>
        <w:t>Registration No. 333-          ​</w:t>
      </w:r>
    </w:p>
    <w:p>
      <w:pPr>
        <w:spacing w:after="0" w:line="52" w:lineRule="exact"/>
        <w:rPr>
          <w:sz w:val="24"/>
          <w:szCs w:val="24"/>
          <w:color w:val="auto"/>
        </w:rPr>
      </w:pPr>
    </w:p>
    <w:p>
      <w:pPr>
        <w:ind w:left="540"/>
        <w:spacing w:after="0"/>
        <w:rPr>
          <w:sz w:val="20"/>
          <w:szCs w:val="20"/>
          <w:color w:val="auto"/>
        </w:rPr>
      </w:pPr>
      <w:r>
        <w:rPr>
          <w:rFonts w:ascii="Arial" w:cs="Arial" w:eastAsia="Arial" w:hAnsi="Arial"/>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346075</wp:posOffset>
            </wp:positionH>
            <wp:positionV relativeFrom="paragraph">
              <wp:posOffset>2540</wp:posOffset>
            </wp:positionV>
            <wp:extent cx="5027295"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27295" cy="1397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30480</wp:posOffset>
            </wp:positionV>
            <wp:extent cx="50272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27295" cy="6985"/>
                    </a:xfrm>
                    <a:prstGeom prst="rect">
                      <a:avLst/>
                    </a:prstGeom>
                    <a:noFill/>
                  </pic:spPr>
                </pic:pic>
              </a:graphicData>
            </a:graphic>
          </wp:anchor>
        </w:drawing>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UNITED STATES</w:t>
      </w: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2358390</wp:posOffset>
            </wp:positionH>
            <wp:positionV relativeFrom="paragraph">
              <wp:posOffset>41275</wp:posOffset>
            </wp:positionV>
            <wp:extent cx="10026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2665" cy="6985"/>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S-3</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REGISTRATION STATEMENT</w:t>
      </w:r>
    </w:p>
    <w:p>
      <w:pPr>
        <w:jc w:val="center"/>
        <w:ind w:right="39"/>
        <w:spacing w:after="0" w:line="211" w:lineRule="auto"/>
        <w:rPr>
          <w:sz w:val="20"/>
          <w:szCs w:val="20"/>
          <w:color w:val="auto"/>
        </w:rPr>
      </w:pPr>
      <w:r>
        <w:rPr>
          <w:rFonts w:ascii="Arial" w:cs="Arial" w:eastAsia="Arial" w:hAnsi="Arial"/>
          <w:sz w:val="13"/>
          <w:szCs w:val="13"/>
          <w:b w:val="1"/>
          <w:bCs w:val="1"/>
          <w:color w:val="auto"/>
        </w:rPr>
        <w:t>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2358390</wp:posOffset>
            </wp:positionH>
            <wp:positionV relativeFrom="paragraph">
              <wp:posOffset>28575</wp:posOffset>
            </wp:positionV>
            <wp:extent cx="100266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2665" cy="698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PLAINS GP HOLDINGS, L.P.</w:t>
      </w:r>
    </w:p>
    <w:p>
      <w:pPr>
        <w:spacing w:after="0" w:line="22" w:lineRule="exact"/>
        <w:rPr>
          <w:sz w:val="24"/>
          <w:szCs w:val="24"/>
          <w:color w:val="auto"/>
        </w:rPr>
      </w:pPr>
    </w:p>
    <w:tbl>
      <w:tblPr>
        <w:tblLayout w:type="fixed"/>
        <w:tblInd w:w="540" w:type="dxa"/>
        <w:tblCellMar>
          <w:top w:w="0" w:type="dxa"/>
          <w:left w:w="0" w:type="dxa"/>
          <w:bottom w:w="0" w:type="dxa"/>
          <w:right w:w="0" w:type="dxa"/>
        </w:tblCellMar>
      </w:tblPr>
      <w:tr>
        <w:trPr>
          <w:trHeight w:val="260"/>
        </w:trPr>
        <w:tc>
          <w:tcPr>
            <w:tcW w:w="6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2"/>
                <w:szCs w:val="12"/>
                <w:color w:val="auto"/>
                <w:w w:val="97"/>
              </w:rPr>
              <w:t>(Exact name of registrant as specified in its charter)</w:t>
            </w:r>
            <w:r>
              <w:rPr>
                <w:rFonts w:ascii="Arial" w:cs="Arial" w:eastAsia="Arial" w:hAnsi="Arial"/>
                <w:sz w:val="20"/>
                <w:szCs w:val="20"/>
                <w:color w:val="auto"/>
                <w:w w:val="97"/>
              </w:rPr>
              <w:t>​</w:t>
            </w:r>
          </w:p>
        </w:tc>
        <w:tc>
          <w:tcPr>
            <w:tcW w:w="17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70"/>
        </w:trPr>
        <w:tc>
          <w:tcPr>
            <w:tcW w:w="620" w:type="dxa"/>
            <w:vAlign w:val="bottom"/>
          </w:tcPr>
          <w:p>
            <w:pPr>
              <w:spacing w:after="0"/>
              <w:rPr>
                <w:sz w:val="20"/>
                <w:szCs w:val="20"/>
                <w:color w:val="auto"/>
              </w:rPr>
            </w:pPr>
            <w:r>
              <w:rPr>
                <w:rFonts w:ascii="Arial" w:cs="Arial" w:eastAsia="Arial" w:hAnsi="Arial"/>
                <w:sz w:val="12"/>
                <w:szCs w:val="12"/>
                <w:color w:val="auto"/>
              </w:rPr>
              <w:t>​</w:t>
            </w:r>
          </w:p>
        </w:tc>
        <w:tc>
          <w:tcPr>
            <w:tcW w:w="2040" w:type="dxa"/>
            <w:vAlign w:val="bottom"/>
          </w:tcPr>
          <w:p>
            <w:pPr>
              <w:ind w:left="1060"/>
              <w:spacing w:after="0"/>
              <w:rPr>
                <w:sz w:val="20"/>
                <w:szCs w:val="20"/>
                <w:color w:val="auto"/>
              </w:rPr>
            </w:pPr>
            <w:r>
              <w:rPr>
                <w:rFonts w:ascii="Arial" w:cs="Arial" w:eastAsia="Arial" w:hAnsi="Arial"/>
                <w:sz w:val="13"/>
                <w:szCs w:val="13"/>
                <w:b w:val="1"/>
                <w:bCs w:val="1"/>
                <w:color w:val="auto"/>
              </w:rPr>
              <w:t>Delaware</w:t>
            </w:r>
          </w:p>
        </w:tc>
        <w:tc>
          <w:tcPr>
            <w:tcW w:w="2740" w:type="dxa"/>
            <w:vAlign w:val="bottom"/>
          </w:tcPr>
          <w:p>
            <w:pPr>
              <w:ind w:left="1260"/>
              <w:spacing w:after="0"/>
              <w:rPr>
                <w:sz w:val="20"/>
                <w:szCs w:val="20"/>
                <w:color w:val="auto"/>
              </w:rPr>
            </w:pPr>
            <w:r>
              <w:rPr>
                <w:rFonts w:ascii="Arial" w:cs="Arial" w:eastAsia="Arial" w:hAnsi="Arial"/>
                <w:sz w:val="12"/>
                <w:szCs w:val="12"/>
                <w:color w:val="auto"/>
              </w:rPr>
              <w:t>​ ​</w:t>
            </w:r>
          </w:p>
        </w:tc>
        <w:tc>
          <w:tcPr>
            <w:tcW w:w="1760" w:type="dxa"/>
            <w:vAlign w:val="bottom"/>
          </w:tcPr>
          <w:p>
            <w:pPr>
              <w:jc w:val="right"/>
              <w:ind w:right="819"/>
              <w:spacing w:after="0"/>
              <w:rPr>
                <w:sz w:val="20"/>
                <w:szCs w:val="20"/>
                <w:color w:val="auto"/>
              </w:rPr>
            </w:pPr>
            <w:r>
              <w:rPr>
                <w:rFonts w:ascii="Arial" w:cs="Arial" w:eastAsia="Arial" w:hAnsi="Arial"/>
                <w:sz w:val="13"/>
                <w:szCs w:val="13"/>
                <w:b w:val="1"/>
                <w:bCs w:val="1"/>
                <w:color w:val="auto"/>
              </w:rPr>
              <w:t>90-1005472</w:t>
            </w:r>
          </w:p>
        </w:tc>
        <w:tc>
          <w:tcPr>
            <w:tcW w:w="780" w:type="dxa"/>
            <w:vAlign w:val="bottom"/>
          </w:tcPr>
          <w:p>
            <w:pPr>
              <w:ind w:left="740"/>
              <w:spacing w:after="0"/>
              <w:rPr>
                <w:sz w:val="20"/>
                <w:szCs w:val="20"/>
                <w:color w:val="auto"/>
              </w:rPr>
            </w:pPr>
            <w:r>
              <w:rPr>
                <w:rFonts w:ascii="Arial" w:cs="Arial" w:eastAsia="Arial" w:hAnsi="Arial"/>
                <w:sz w:val="12"/>
                <w:szCs w:val="12"/>
                <w:color w:val="auto"/>
              </w:rPr>
              <w:t>​</w:t>
            </w:r>
          </w:p>
        </w:tc>
      </w:tr>
      <w:tr>
        <w:trPr>
          <w:trHeight w:val="129"/>
        </w:trPr>
        <w:tc>
          <w:tcPr>
            <w:tcW w:w="620" w:type="dxa"/>
            <w:vAlign w:val="bottom"/>
          </w:tcPr>
          <w:p>
            <w:pPr>
              <w:spacing w:after="0"/>
              <w:rPr>
                <w:sz w:val="11"/>
                <w:szCs w:val="11"/>
                <w:color w:val="auto"/>
              </w:rPr>
            </w:pPr>
          </w:p>
        </w:tc>
        <w:tc>
          <w:tcPr>
            <w:tcW w:w="2040" w:type="dxa"/>
            <w:vAlign w:val="bottom"/>
          </w:tcPr>
          <w:p>
            <w:pPr>
              <w:ind w:left="580"/>
              <w:spacing w:after="0" w:line="130" w:lineRule="exact"/>
              <w:rPr>
                <w:sz w:val="20"/>
                <w:szCs w:val="20"/>
                <w:color w:val="auto"/>
              </w:rPr>
            </w:pPr>
            <w:r>
              <w:rPr>
                <w:rFonts w:ascii="Arial" w:cs="Arial" w:eastAsia="Arial" w:hAnsi="Arial"/>
                <w:sz w:val="12"/>
                <w:szCs w:val="12"/>
                <w:color w:val="auto"/>
                <w:w w:val="95"/>
              </w:rPr>
              <w:t>(State or other jurisdiction of</w:t>
            </w:r>
          </w:p>
        </w:tc>
        <w:tc>
          <w:tcPr>
            <w:tcW w:w="2740" w:type="dxa"/>
            <w:vAlign w:val="bottom"/>
          </w:tcPr>
          <w:p>
            <w:pPr>
              <w:spacing w:after="0"/>
              <w:rPr>
                <w:sz w:val="11"/>
                <w:szCs w:val="11"/>
                <w:color w:val="auto"/>
              </w:rPr>
            </w:pPr>
          </w:p>
        </w:tc>
        <w:tc>
          <w:tcPr>
            <w:tcW w:w="1760" w:type="dxa"/>
            <w:vAlign w:val="bottom"/>
          </w:tcPr>
          <w:p>
            <w:pPr>
              <w:jc w:val="center"/>
              <w:ind w:right="579"/>
              <w:spacing w:after="0" w:line="130" w:lineRule="exact"/>
              <w:rPr>
                <w:sz w:val="20"/>
                <w:szCs w:val="20"/>
                <w:color w:val="auto"/>
              </w:rPr>
            </w:pPr>
            <w:r>
              <w:rPr>
                <w:rFonts w:ascii="Arial" w:cs="Arial" w:eastAsia="Arial" w:hAnsi="Arial"/>
                <w:sz w:val="12"/>
                <w:szCs w:val="12"/>
                <w:color w:val="auto"/>
                <w:w w:val="95"/>
              </w:rPr>
              <w:t>(I.R.S. Employer</w:t>
            </w:r>
          </w:p>
        </w:tc>
        <w:tc>
          <w:tcPr>
            <w:tcW w:w="780" w:type="dxa"/>
            <w:vAlign w:val="bottom"/>
          </w:tcPr>
          <w:p>
            <w:pPr>
              <w:spacing w:after="0"/>
              <w:rPr>
                <w:sz w:val="11"/>
                <w:szCs w:val="11"/>
                <w:color w:val="auto"/>
              </w:rPr>
            </w:pPr>
          </w:p>
        </w:tc>
      </w:tr>
      <w:tr>
        <w:trPr>
          <w:trHeight w:val="165"/>
        </w:trPr>
        <w:tc>
          <w:tcPr>
            <w:tcW w:w="620" w:type="dxa"/>
            <w:vAlign w:val="bottom"/>
          </w:tcPr>
          <w:p>
            <w:pPr>
              <w:spacing w:after="0"/>
              <w:rPr>
                <w:sz w:val="14"/>
                <w:szCs w:val="14"/>
                <w:color w:val="auto"/>
              </w:rPr>
            </w:pPr>
          </w:p>
        </w:tc>
        <w:tc>
          <w:tcPr>
            <w:tcW w:w="4780" w:type="dxa"/>
            <w:vAlign w:val="bottom"/>
            <w:gridSpan w:val="2"/>
          </w:tcPr>
          <w:p>
            <w:pPr>
              <w:ind w:left="580"/>
              <w:spacing w:after="0"/>
              <w:rPr>
                <w:sz w:val="20"/>
                <w:szCs w:val="20"/>
                <w:color w:val="auto"/>
              </w:rPr>
            </w:pPr>
            <w:r>
              <w:rPr>
                <w:rFonts w:ascii="Arial" w:cs="Arial" w:eastAsia="Arial" w:hAnsi="Arial"/>
                <w:sz w:val="12"/>
                <w:szCs w:val="12"/>
                <w:color w:val="auto"/>
              </w:rPr>
              <w:t>incorporation or organization)</w:t>
            </w:r>
            <w:r>
              <w:rPr>
                <w:rFonts w:ascii="Arial" w:cs="Arial" w:eastAsia="Arial" w:hAnsi="Arial"/>
                <w:sz w:val="13"/>
                <w:szCs w:val="13"/>
                <w:color w:val="auto"/>
              </w:rPr>
              <w:t>​</w:t>
            </w:r>
          </w:p>
        </w:tc>
        <w:tc>
          <w:tcPr>
            <w:tcW w:w="1760" w:type="dxa"/>
            <w:vAlign w:val="bottom"/>
          </w:tcPr>
          <w:p>
            <w:pPr>
              <w:jc w:val="center"/>
              <w:ind w:right="559"/>
              <w:spacing w:after="0"/>
              <w:rPr>
                <w:sz w:val="20"/>
                <w:szCs w:val="20"/>
                <w:color w:val="auto"/>
              </w:rPr>
            </w:pPr>
            <w:r>
              <w:rPr>
                <w:rFonts w:ascii="Arial" w:cs="Arial" w:eastAsia="Arial" w:hAnsi="Arial"/>
                <w:sz w:val="12"/>
                <w:szCs w:val="12"/>
                <w:color w:val="auto"/>
                <w:w w:val="96"/>
              </w:rPr>
              <w:t>Identification No.)</w:t>
            </w:r>
          </w:p>
        </w:tc>
        <w:tc>
          <w:tcPr>
            <w:tcW w:w="780" w:type="dxa"/>
            <w:vAlign w:val="bottom"/>
          </w:tcPr>
          <w:p>
            <w:pPr>
              <w:spacing w:after="0"/>
              <w:rPr>
                <w:sz w:val="14"/>
                <w:szCs w:val="14"/>
                <w:color w:val="auto"/>
              </w:rPr>
            </w:pPr>
          </w:p>
        </w:tc>
      </w:tr>
    </w:tbl>
    <w:p>
      <w:pPr>
        <w:spacing w:after="0" w:line="138" w:lineRule="exact"/>
        <w:rPr>
          <w:sz w:val="24"/>
          <w:szCs w:val="24"/>
          <w:color w:val="auto"/>
        </w:rPr>
      </w:pPr>
    </w:p>
    <w:p>
      <w:pPr>
        <w:ind w:left="3760"/>
        <w:spacing w:after="0"/>
        <w:rPr>
          <w:sz w:val="20"/>
          <w:szCs w:val="20"/>
          <w:color w:val="auto"/>
        </w:rPr>
      </w:pPr>
      <w:r>
        <w:rPr>
          <w:rFonts w:ascii="Arial" w:cs="Arial" w:eastAsia="Arial" w:hAnsi="Arial"/>
          <w:sz w:val="13"/>
          <w:szCs w:val="13"/>
          <w:b w:val="1"/>
          <w:bCs w:val="1"/>
          <w:color w:val="auto"/>
        </w:rPr>
        <w:t>333 Clay Street, Suite 1600</w:t>
      </w:r>
    </w:p>
    <w:p>
      <w:pPr>
        <w:ind w:left="3900"/>
        <w:spacing w:after="0" w:line="222" w:lineRule="auto"/>
        <w:rPr>
          <w:sz w:val="20"/>
          <w:szCs w:val="20"/>
          <w:color w:val="auto"/>
        </w:rPr>
      </w:pPr>
      <w:r>
        <w:rPr>
          <w:rFonts w:ascii="Arial" w:cs="Arial" w:eastAsia="Arial" w:hAnsi="Arial"/>
          <w:sz w:val="13"/>
          <w:szCs w:val="13"/>
          <w:b w:val="1"/>
          <w:bCs w:val="1"/>
          <w:color w:val="auto"/>
        </w:rPr>
        <w:t>Houston, Texas 77002</w:t>
      </w:r>
    </w:p>
    <w:p>
      <w:pPr>
        <w:jc w:val="center"/>
        <w:spacing w:after="0"/>
        <w:rPr>
          <w:sz w:val="20"/>
          <w:szCs w:val="20"/>
          <w:color w:val="auto"/>
        </w:rPr>
      </w:pPr>
      <w:r>
        <w:rPr>
          <w:rFonts w:ascii="Arial" w:cs="Arial" w:eastAsia="Arial" w:hAnsi="Arial"/>
          <w:sz w:val="13"/>
          <w:szCs w:val="13"/>
          <w:b w:val="1"/>
          <w:bCs w:val="1"/>
          <w:color w:val="auto"/>
        </w:rPr>
        <w:t>(713) 646-4100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offices)</w:t>
      </w:r>
      <w:r>
        <w:rPr>
          <w:rFonts w:ascii="Arial" w:cs="Arial" w:eastAsia="Arial" w:hAnsi="Arial"/>
          <w:sz w:val="13"/>
          <w:szCs w:val="13"/>
          <w:color w:val="auto"/>
        </w:rPr>
        <w:t>​</w:t>
      </w:r>
    </w:p>
    <w:p>
      <w:pPr>
        <w:spacing w:after="0" w:line="33" w:lineRule="exact"/>
        <w:rPr>
          <w:sz w:val="24"/>
          <w:szCs w:val="24"/>
          <w:color w:val="auto"/>
        </w:rPr>
      </w:pPr>
    </w:p>
    <w:p>
      <w:pPr>
        <w:ind w:left="4060"/>
        <w:spacing w:after="0"/>
        <w:rPr>
          <w:sz w:val="20"/>
          <w:szCs w:val="20"/>
          <w:color w:val="auto"/>
        </w:rPr>
      </w:pPr>
      <w:r>
        <w:rPr>
          <w:rFonts w:ascii="Arial" w:cs="Arial" w:eastAsia="Arial" w:hAnsi="Arial"/>
          <w:sz w:val="13"/>
          <w:szCs w:val="13"/>
          <w:b w:val="1"/>
          <w:bCs w:val="1"/>
          <w:color w:val="auto"/>
        </w:rPr>
        <w:t>Richard McGee</w:t>
      </w:r>
    </w:p>
    <w:p>
      <w:pPr>
        <w:ind w:left="3820"/>
        <w:spacing w:after="0" w:line="222" w:lineRule="auto"/>
        <w:rPr>
          <w:sz w:val="20"/>
          <w:szCs w:val="20"/>
          <w:color w:val="auto"/>
        </w:rPr>
      </w:pPr>
      <w:r>
        <w:rPr>
          <w:rFonts w:ascii="Arial" w:cs="Arial" w:eastAsia="Arial" w:hAnsi="Arial"/>
          <w:sz w:val="13"/>
          <w:szCs w:val="13"/>
          <w:b w:val="1"/>
          <w:bCs w:val="1"/>
          <w:color w:val="auto"/>
        </w:rPr>
        <w:t>Executive Vice President</w:t>
      </w:r>
    </w:p>
    <w:p>
      <w:pPr>
        <w:ind w:left="3760"/>
        <w:spacing w:after="0" w:line="229" w:lineRule="auto"/>
        <w:rPr>
          <w:sz w:val="20"/>
          <w:szCs w:val="20"/>
          <w:color w:val="auto"/>
        </w:rPr>
      </w:pPr>
      <w:r>
        <w:rPr>
          <w:rFonts w:ascii="Arial" w:cs="Arial" w:eastAsia="Arial" w:hAnsi="Arial"/>
          <w:sz w:val="13"/>
          <w:szCs w:val="13"/>
          <w:b w:val="1"/>
          <w:bCs w:val="1"/>
          <w:color w:val="auto"/>
        </w:rPr>
        <w:t>333 Clay Street, Suite 1600</w:t>
      </w:r>
    </w:p>
    <w:p>
      <w:pPr>
        <w:ind w:left="3900"/>
        <w:spacing w:after="0" w:line="229" w:lineRule="auto"/>
        <w:rPr>
          <w:sz w:val="20"/>
          <w:szCs w:val="20"/>
          <w:color w:val="auto"/>
        </w:rPr>
      </w:pPr>
      <w:r>
        <w:rPr>
          <w:rFonts w:ascii="Arial" w:cs="Arial" w:eastAsia="Arial" w:hAnsi="Arial"/>
          <w:sz w:val="13"/>
          <w:szCs w:val="13"/>
          <w:b w:val="1"/>
          <w:bCs w:val="1"/>
          <w:color w:val="auto"/>
        </w:rPr>
        <w:t>Houston, Texas 77002</w:t>
      </w:r>
    </w:p>
    <w:p>
      <w:pPr>
        <w:ind w:left="4120"/>
        <w:spacing w:after="0"/>
        <w:rPr>
          <w:sz w:val="20"/>
          <w:szCs w:val="20"/>
          <w:color w:val="auto"/>
        </w:rPr>
      </w:pPr>
      <w:r>
        <w:rPr>
          <w:rFonts w:ascii="Arial" w:cs="Arial" w:eastAsia="Arial" w:hAnsi="Arial"/>
          <w:sz w:val="13"/>
          <w:szCs w:val="13"/>
          <w:b w:val="1"/>
          <w:bCs w:val="1"/>
          <w:color w:val="auto"/>
        </w:rPr>
        <w:t>(713) 646-4100</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r>
        <w:rPr>
          <w:rFonts w:ascii="Arial" w:cs="Arial" w:eastAsia="Arial" w:hAnsi="Arial"/>
          <w:sz w:val="13"/>
          <w:szCs w:val="13"/>
          <w:color w:val="auto"/>
        </w:rPr>
        <w: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Copies to:</w:t>
      </w:r>
    </w:p>
    <w:p>
      <w:pPr>
        <w:spacing w:after="0" w:line="88"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David P. Oelman</w:t>
      </w:r>
    </w:p>
    <w:p>
      <w:pPr>
        <w:jc w:val="center"/>
        <w:ind w:right="39"/>
        <w:spacing w:after="0" w:line="228" w:lineRule="auto"/>
        <w:rPr>
          <w:sz w:val="20"/>
          <w:szCs w:val="20"/>
          <w:color w:val="auto"/>
        </w:rPr>
      </w:pPr>
      <w:r>
        <w:rPr>
          <w:rFonts w:ascii="Arial" w:cs="Arial" w:eastAsia="Arial" w:hAnsi="Arial"/>
          <w:sz w:val="13"/>
          <w:szCs w:val="13"/>
          <w:b w:val="1"/>
          <w:bCs w:val="1"/>
          <w:color w:val="auto"/>
        </w:rPr>
        <w:t>Alan Beck</w:t>
      </w:r>
    </w:p>
    <w:p>
      <w:pPr>
        <w:ind w:left="3860"/>
        <w:spacing w:after="0" w:line="229" w:lineRule="auto"/>
        <w:rPr>
          <w:sz w:val="20"/>
          <w:szCs w:val="20"/>
          <w:color w:val="auto"/>
        </w:rPr>
      </w:pPr>
      <w:r>
        <w:rPr>
          <w:rFonts w:ascii="Arial" w:cs="Arial" w:eastAsia="Arial" w:hAnsi="Arial"/>
          <w:sz w:val="13"/>
          <w:szCs w:val="13"/>
          <w:b w:val="1"/>
          <w:bCs w:val="1"/>
          <w:color w:val="auto"/>
        </w:rPr>
        <w:t>Vinson &amp; Elkins L.L.P.</w:t>
      </w:r>
    </w:p>
    <w:p>
      <w:pPr>
        <w:ind w:left="3700"/>
        <w:spacing w:after="0" w:line="211" w:lineRule="auto"/>
        <w:rPr>
          <w:sz w:val="20"/>
          <w:szCs w:val="20"/>
          <w:color w:val="auto"/>
        </w:rPr>
      </w:pPr>
      <w:r>
        <w:rPr>
          <w:rFonts w:ascii="Arial" w:cs="Arial" w:eastAsia="Arial" w:hAnsi="Arial"/>
          <w:sz w:val="13"/>
          <w:szCs w:val="13"/>
          <w:b w:val="1"/>
          <w:bCs w:val="1"/>
          <w:color w:val="auto"/>
        </w:rPr>
        <w:t>845 Texas Avenue, Suite 4700</w:t>
      </w:r>
    </w:p>
    <w:p>
      <w:pPr>
        <w:ind w:left="3900"/>
        <w:spacing w:after="0" w:line="229" w:lineRule="auto"/>
        <w:rPr>
          <w:sz w:val="20"/>
          <w:szCs w:val="20"/>
          <w:color w:val="auto"/>
        </w:rPr>
      </w:pPr>
      <w:r>
        <w:rPr>
          <w:rFonts w:ascii="Arial" w:cs="Arial" w:eastAsia="Arial" w:hAnsi="Arial"/>
          <w:sz w:val="13"/>
          <w:szCs w:val="13"/>
          <w:b w:val="1"/>
          <w:bCs w:val="1"/>
          <w:color w:val="auto"/>
        </w:rPr>
        <w:t>Houston, Texas 77002</w:t>
      </w:r>
    </w:p>
    <w:p>
      <w:pPr>
        <w:spacing w:after="0" w:line="1" w:lineRule="exact"/>
        <w:rPr>
          <w:sz w:val="24"/>
          <w:szCs w:val="24"/>
          <w:color w:val="auto"/>
        </w:rPr>
      </w:pPr>
    </w:p>
    <w:p>
      <w:pPr>
        <w:ind w:left="4120"/>
        <w:spacing w:after="0"/>
        <w:rPr>
          <w:sz w:val="20"/>
          <w:szCs w:val="20"/>
          <w:color w:val="auto"/>
        </w:rPr>
      </w:pPr>
      <w:r>
        <w:rPr>
          <w:rFonts w:ascii="Arial" w:cs="Arial" w:eastAsia="Arial" w:hAnsi="Arial"/>
          <w:sz w:val="13"/>
          <w:szCs w:val="13"/>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2358390</wp:posOffset>
            </wp:positionH>
            <wp:positionV relativeFrom="paragraph">
              <wp:posOffset>48895</wp:posOffset>
            </wp:positionV>
            <wp:extent cx="10026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2665" cy="6985"/>
                    </a:xfrm>
                    <a:prstGeom prst="rect">
                      <a:avLst/>
                    </a:prstGeom>
                    <a:noFill/>
                  </pic:spPr>
                </pic:pic>
              </a:graphicData>
            </a:graphic>
          </wp:anchor>
        </w:drawing>
      </w:r>
    </w:p>
    <w:p>
      <w:pPr>
        <w:spacing w:after="0" w:line="131"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jc w:val="center"/>
        <w:spacing w:after="0"/>
        <w:rPr>
          <w:sz w:val="20"/>
          <w:szCs w:val="20"/>
          <w:color w:val="auto"/>
        </w:rPr>
      </w:pPr>
      <w:r>
        <w:rPr>
          <w:rFonts w:ascii="Arial" w:cs="Arial" w:eastAsia="Arial" w:hAnsi="Arial"/>
          <w:sz w:val="13"/>
          <w:szCs w:val="13"/>
          <w:b w:val="1"/>
          <w:bCs w:val="1"/>
          <w:color w:val="auto"/>
        </w:rPr>
        <w:t>From time to time after the effective date of this registration statement.</w:t>
      </w:r>
    </w:p>
    <w:p>
      <w:pPr>
        <w:spacing w:after="0" w:line="27" w:lineRule="exact"/>
        <w:rPr>
          <w:sz w:val="24"/>
          <w:szCs w:val="24"/>
          <w:color w:val="auto"/>
        </w:rPr>
      </w:pPr>
    </w:p>
    <w:p>
      <w:pPr>
        <w:ind w:left="540" w:right="599" w:firstLine="292"/>
        <w:spacing w:after="0" w:line="162" w:lineRule="exact"/>
        <w:rPr>
          <w:sz w:val="20"/>
          <w:szCs w:val="20"/>
          <w:color w:val="auto"/>
        </w:rPr>
      </w:pP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540" w:right="759" w:firstLine="292"/>
        <w:spacing w:after="0" w:line="154"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540" w:right="679" w:firstLine="292"/>
        <w:spacing w:after="0" w:line="159"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6" w:lineRule="exact"/>
        <w:rPr>
          <w:sz w:val="24"/>
          <w:szCs w:val="24"/>
          <w:color w:val="auto"/>
        </w:rPr>
      </w:pPr>
    </w:p>
    <w:p>
      <w:pPr>
        <w:ind w:left="540" w:right="779" w:firstLine="292"/>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 w:lineRule="exact"/>
        <w:rPr>
          <w:sz w:val="24"/>
          <w:szCs w:val="24"/>
          <w:color w:val="auto"/>
        </w:rPr>
      </w:pPr>
    </w:p>
    <w:p>
      <w:pPr>
        <w:ind w:left="540" w:right="919" w:firstLine="292"/>
        <w:spacing w:after="0" w:line="162" w:lineRule="exact"/>
        <w:rPr>
          <w:sz w:val="20"/>
          <w:szCs w:val="20"/>
          <w:color w:val="auto"/>
        </w:rPr>
      </w:pPr>
      <w:r>
        <w:rPr>
          <w:rFonts w:ascii="Arial" w:cs="Arial" w:eastAsia="Arial" w:hAnsi="Arial"/>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540" w:right="599" w:firstLine="292"/>
        <w:spacing w:after="0" w:line="159" w:lineRule="exact"/>
        <w:rPr>
          <w:sz w:val="20"/>
          <w:szCs w:val="20"/>
          <w:color w:val="auto"/>
        </w:rPr>
      </w:pPr>
      <w:r>
        <w:rPr>
          <w:rFonts w:ascii="Arial" w:cs="Arial" w:eastAsia="Arial" w:hAnsi="Arial"/>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5" w:lineRule="exact"/>
        <w:rPr>
          <w:sz w:val="24"/>
          <w:szCs w:val="24"/>
          <w:color w:val="auto"/>
        </w:rPr>
      </w:pPr>
    </w:p>
    <w:p>
      <w:pPr>
        <w:ind w:left="540" w:right="659" w:firstLine="292"/>
        <w:spacing w:after="0" w:line="247"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w:t>
      </w:r>
    </w:p>
    <w:p>
      <w:pPr>
        <w:ind w:left="540"/>
        <w:spacing w:after="0"/>
        <w:rPr>
          <w:sz w:val="20"/>
          <w:szCs w:val="20"/>
          <w:color w:val="auto"/>
        </w:rPr>
      </w:pPr>
      <w:r>
        <w:rPr>
          <w:rFonts w:ascii="Arial" w:cs="Arial" w:eastAsia="Arial" w:hAnsi="Arial"/>
          <w:sz w:val="13"/>
          <w:szCs w:val="13"/>
          <w:color w:val="auto"/>
        </w:rPr>
        <w:t>and “emerging growth company” in Rule 12b-2 of the Exchange Act.</w:t>
      </w:r>
    </w:p>
    <w:p>
      <w:pPr>
        <w:spacing w:after="0" w:line="5" w:lineRule="exact"/>
        <w:rPr>
          <w:sz w:val="24"/>
          <w:szCs w:val="24"/>
          <w:color w:val="auto"/>
        </w:rPr>
      </w:pPr>
    </w:p>
    <w:tbl>
      <w:tblPr>
        <w:tblLayout w:type="fixed"/>
        <w:tblInd w:w="840" w:type="dxa"/>
        <w:tblCellMar>
          <w:top w:w="0" w:type="dxa"/>
          <w:left w:w="0" w:type="dxa"/>
          <w:bottom w:w="0" w:type="dxa"/>
          <w:right w:w="0" w:type="dxa"/>
        </w:tblCellMar>
      </w:tblPr>
      <w:tr>
        <w:trPr>
          <w:trHeight w:val="149"/>
        </w:trPr>
        <w:tc>
          <w:tcPr>
            <w:tcW w:w="1400" w:type="dxa"/>
            <w:vAlign w:val="bottom"/>
          </w:tcPr>
          <w:p>
            <w:pPr>
              <w:spacing w:after="0"/>
              <w:rPr>
                <w:sz w:val="20"/>
                <w:szCs w:val="20"/>
                <w:color w:val="auto"/>
              </w:rPr>
            </w:pPr>
            <w:r>
              <w:rPr>
                <w:rFonts w:ascii="Arial" w:cs="Arial" w:eastAsia="Arial" w:hAnsi="Arial"/>
                <w:sz w:val="13"/>
                <w:szCs w:val="13"/>
                <w:color w:val="auto"/>
              </w:rPr>
              <w:t>​</w:t>
            </w:r>
          </w:p>
        </w:tc>
        <w:tc>
          <w:tcPr>
            <w:tcW w:w="188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1640" w:type="dxa"/>
            <w:vAlign w:val="bottom"/>
          </w:tcPr>
          <w:p>
            <w:pPr>
              <w:ind w:left="1580"/>
              <w:spacing w:after="0"/>
              <w:rPr>
                <w:sz w:val="20"/>
                <w:szCs w:val="20"/>
                <w:color w:val="auto"/>
              </w:rPr>
            </w:pPr>
            <w:r>
              <w:rPr>
                <w:rFonts w:ascii="Arial" w:cs="Arial" w:eastAsia="Arial" w:hAnsi="Arial"/>
                <w:sz w:val="13"/>
                <w:szCs w:val="13"/>
                <w:color w:val="auto"/>
              </w:rPr>
              <w:t>​</w:t>
            </w:r>
          </w:p>
        </w:tc>
        <w:tc>
          <w:tcPr>
            <w:tcW w:w="100" w:type="dxa"/>
            <w:vAlign w:val="bottom"/>
          </w:tcPr>
          <w:p>
            <w:pPr>
              <w:ind w:left="40"/>
              <w:spacing w:after="0"/>
              <w:rPr>
                <w:sz w:val="20"/>
                <w:szCs w:val="20"/>
                <w:color w:val="auto"/>
              </w:rPr>
            </w:pPr>
            <w:r>
              <w:rPr>
                <w:rFonts w:ascii="Arial" w:cs="Arial" w:eastAsia="Arial" w:hAnsi="Arial"/>
                <w:sz w:val="13"/>
                <w:szCs w:val="13"/>
                <w:color w:val="auto"/>
              </w:rPr>
              <w:t>​</w:t>
            </w:r>
          </w:p>
        </w:tc>
        <w:tc>
          <w:tcPr>
            <w:tcW w:w="1740" w:type="dxa"/>
            <w:vAlign w:val="bottom"/>
            <w:vMerge w:val="restart"/>
          </w:tcPr>
          <w:p>
            <w:pPr>
              <w:ind w:left="20"/>
              <w:spacing w:after="0"/>
              <w:rPr>
                <w:sz w:val="20"/>
                <w:szCs w:val="20"/>
                <w:color w:val="auto"/>
              </w:rPr>
            </w:pPr>
            <w:r>
              <w:rPr>
                <w:rFonts w:ascii="Arial" w:cs="Arial" w:eastAsia="Arial" w:hAnsi="Arial"/>
                <w:sz w:val="13"/>
                <w:szCs w:val="13"/>
                <w:color w:val="auto"/>
              </w:rPr>
              <w:t>Accelerated filer</w:t>
            </w:r>
          </w:p>
        </w:tc>
        <w:tc>
          <w:tcPr>
            <w:tcW w:w="440" w:type="dxa"/>
            <w:vAlign w:val="bottom"/>
            <w:vMerge w:val="restart"/>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160" w:type="dxa"/>
            <w:vAlign w:val="bottom"/>
          </w:tcPr>
          <w:p>
            <w:pPr>
              <w:ind w:lef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
        </w:trPr>
        <w:tc>
          <w:tcPr>
            <w:tcW w:w="1400" w:type="dxa"/>
            <w:vAlign w:val="bottom"/>
          </w:tcPr>
          <w:p>
            <w:pPr>
              <w:spacing w:after="0"/>
              <w:rPr>
                <w:sz w:val="20"/>
                <w:szCs w:val="20"/>
                <w:color w:val="auto"/>
              </w:rPr>
            </w:pPr>
            <w:r>
              <w:rPr>
                <w:rFonts w:ascii="Arial" w:cs="Arial" w:eastAsia="Arial" w:hAnsi="Arial"/>
                <w:sz w:val="1"/>
                <w:szCs w:val="1"/>
                <w:color w:val="auto"/>
              </w:rPr>
              <w:t>Large accelerated filer</w:t>
            </w:r>
          </w:p>
        </w:tc>
        <w:tc>
          <w:tcPr>
            <w:tcW w:w="1880" w:type="dxa"/>
            <w:vAlign w:val="bottom"/>
            <w:vMerge w:val="continue"/>
          </w:tcPr>
          <w:p>
            <w:pPr>
              <w:spacing w:after="0" w:line="20" w:lineRule="exact"/>
              <w:rPr>
                <w:sz w:val="1"/>
                <w:szCs w:val="1"/>
                <w:color w:val="auto"/>
              </w:rPr>
            </w:pPr>
          </w:p>
        </w:tc>
        <w:tc>
          <w:tcPr>
            <w:tcW w:w="1640" w:type="dxa"/>
            <w:vAlign w:val="bottom"/>
            <w:vMerge w:val="restart"/>
          </w:tcPr>
          <w:p>
            <w:pPr>
              <w:ind w:left="1580"/>
              <w:spacing w:after="0" w:line="132" w:lineRule="exact"/>
              <w:rPr>
                <w:sz w:val="20"/>
                <w:szCs w:val="20"/>
                <w:color w:val="auto"/>
              </w:rPr>
            </w:pPr>
            <w:r>
              <w:rPr>
                <w:rFonts w:ascii="Arial" w:cs="Arial" w:eastAsia="Arial" w:hAnsi="Arial"/>
                <w:sz w:val="13"/>
                <w:szCs w:val="13"/>
                <w:color w:val="auto"/>
              </w:rPr>
              <w:t>​</w:t>
            </w:r>
          </w:p>
        </w:tc>
        <w:tc>
          <w:tcPr>
            <w:tcW w:w="100" w:type="dxa"/>
            <w:vAlign w:val="bottom"/>
            <w:vMerge w:val="restart"/>
          </w:tcPr>
          <w:p>
            <w:pPr>
              <w:ind w:left="40"/>
              <w:spacing w:after="0" w:line="132" w:lineRule="exact"/>
              <w:rPr>
                <w:sz w:val="20"/>
                <w:szCs w:val="20"/>
                <w:color w:val="auto"/>
              </w:rPr>
            </w:pPr>
            <w:r>
              <w:rPr>
                <w:rFonts w:ascii="Arial" w:cs="Arial" w:eastAsia="Arial" w:hAnsi="Arial"/>
                <w:sz w:val="13"/>
                <w:szCs w:val="13"/>
                <w:color w:val="auto"/>
              </w:rPr>
              <w:t>​</w:t>
            </w:r>
          </w:p>
        </w:tc>
        <w:tc>
          <w:tcPr>
            <w:tcW w:w="174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160" w:type="dxa"/>
            <w:vAlign w:val="bottom"/>
            <w:vMerge w:val="restart"/>
          </w:tcPr>
          <w:p>
            <w:pPr>
              <w:ind w:left="120"/>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21"/>
        </w:trPr>
        <w:tc>
          <w:tcPr>
            <w:tcW w:w="1400" w:type="dxa"/>
            <w:vAlign w:val="bottom"/>
          </w:tcPr>
          <w:p>
            <w:pPr>
              <w:spacing w:after="0" w:line="121" w:lineRule="exact"/>
              <w:rPr>
                <w:sz w:val="20"/>
                <w:szCs w:val="20"/>
                <w:color w:val="auto"/>
              </w:rPr>
            </w:pPr>
            <w:r>
              <w:rPr>
                <w:rFonts w:ascii="Arial" w:cs="Arial" w:eastAsia="Arial" w:hAnsi="Arial"/>
                <w:sz w:val="13"/>
                <w:szCs w:val="13"/>
                <w:color w:val="auto"/>
              </w:rPr>
              <w:t>​</w:t>
            </w:r>
          </w:p>
        </w:tc>
        <w:tc>
          <w:tcPr>
            <w:tcW w:w="1880" w:type="dxa"/>
            <w:vAlign w:val="bottom"/>
            <w:vMerge w:val="restart"/>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16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740" w:type="dxa"/>
            <w:vAlign w:val="bottom"/>
            <w:vMerge w:val="restart"/>
          </w:tcPr>
          <w:p>
            <w:pPr>
              <w:ind w:left="20"/>
              <w:spacing w:after="0"/>
              <w:rPr>
                <w:sz w:val="20"/>
                <w:szCs w:val="20"/>
                <w:color w:val="auto"/>
              </w:rPr>
            </w:pPr>
            <w:r>
              <w:rPr>
                <w:rFonts w:ascii="Arial" w:cs="Arial" w:eastAsia="Arial" w:hAnsi="Arial"/>
                <w:sz w:val="13"/>
                <w:szCs w:val="13"/>
                <w:color w:val="auto"/>
              </w:rPr>
              <w:t>Smaller reporting company</w:t>
            </w:r>
          </w:p>
        </w:tc>
        <w:tc>
          <w:tcPr>
            <w:tcW w:w="440" w:type="dxa"/>
            <w:vAlign w:val="bottom"/>
            <w:vMerge w:val="restart"/>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1400" w:type="dxa"/>
            <w:vAlign w:val="bottom"/>
          </w:tcPr>
          <w:p>
            <w:pPr>
              <w:spacing w:after="0" w:line="33" w:lineRule="exact"/>
              <w:rPr>
                <w:sz w:val="20"/>
                <w:szCs w:val="20"/>
                <w:color w:val="auto"/>
              </w:rPr>
            </w:pPr>
            <w:r>
              <w:rPr>
                <w:rFonts w:ascii="Arial" w:cs="Arial" w:eastAsia="Arial" w:hAnsi="Arial"/>
                <w:sz w:val="3"/>
                <w:szCs w:val="3"/>
                <w:color w:val="auto"/>
              </w:rPr>
              <w:t>Non-accelerated filer</w:t>
            </w:r>
          </w:p>
        </w:tc>
        <w:tc>
          <w:tcPr>
            <w:tcW w:w="1880" w:type="dxa"/>
            <w:vAlign w:val="bottom"/>
            <w:vMerge w:val="continue"/>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1"/>
        </w:trPr>
        <w:tc>
          <w:tcPr>
            <w:tcW w:w="1400" w:type="dxa"/>
            <w:vAlign w:val="bottom"/>
          </w:tcPr>
          <w:p>
            <w:pPr>
              <w:spacing w:after="0"/>
              <w:rPr>
                <w:sz w:val="20"/>
                <w:szCs w:val="20"/>
                <w:color w:val="auto"/>
              </w:rPr>
            </w:pPr>
            <w:r>
              <w:rPr>
                <w:rFonts w:ascii="Arial" w:cs="Arial" w:eastAsia="Arial" w:hAnsi="Arial"/>
                <w:sz w:val="13"/>
                <w:szCs w:val="13"/>
                <w:color w:val="auto"/>
              </w:rPr>
              <w:t>​</w:t>
            </w:r>
          </w:p>
        </w:tc>
        <w:tc>
          <w:tcPr>
            <w:tcW w:w="1880" w:type="dxa"/>
            <w:vAlign w:val="bottom"/>
          </w:tcPr>
          <w:p>
            <w:pPr>
              <w:spacing w:after="0"/>
              <w:rPr>
                <w:sz w:val="24"/>
                <w:szCs w:val="24"/>
                <w:color w:val="auto"/>
              </w:rPr>
            </w:pPr>
          </w:p>
        </w:tc>
        <w:tc>
          <w:tcPr>
            <w:tcW w:w="3480" w:type="dxa"/>
            <w:vAlign w:val="bottom"/>
            <w:gridSpan w:val="3"/>
          </w:tcPr>
          <w:p>
            <w:pPr>
              <w:ind w:left="1580"/>
              <w:spacing w:after="0"/>
              <w:rPr>
                <w:sz w:val="20"/>
                <w:szCs w:val="20"/>
                <w:color w:val="auto"/>
              </w:rPr>
            </w:pPr>
            <w:r>
              <w:rPr>
                <w:rFonts w:ascii="Arial" w:cs="Arial" w:eastAsia="Arial" w:hAnsi="Arial"/>
                <w:sz w:val="26"/>
                <w:szCs w:val="26"/>
                <w:color w:val="auto"/>
                <w:vertAlign w:val="superscript"/>
              </w:rPr>
              <w:t>​ ​</w:t>
            </w:r>
            <w:r>
              <w:rPr>
                <w:rFonts w:ascii="Arial" w:cs="Arial" w:eastAsia="Arial" w:hAnsi="Arial"/>
                <w:sz w:val="13"/>
                <w:szCs w:val="13"/>
                <w:color w:val="auto"/>
              </w:rPr>
              <w:t xml:space="preserve"> Emerging growth company</w:t>
            </w:r>
          </w:p>
        </w:tc>
        <w:tc>
          <w:tcPr>
            <w:tcW w:w="4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160" w:type="dxa"/>
            <w:vAlign w:val="bottom"/>
          </w:tcPr>
          <w:p>
            <w:pPr>
              <w:ind w:lef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ind w:left="540" w:right="1079" w:firstLine="292"/>
        <w:spacing w:after="0" w:line="15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1" w:lineRule="exact"/>
        <w:rPr>
          <w:sz w:val="24"/>
          <w:szCs w:val="24"/>
          <w:color w:val="auto"/>
        </w:rPr>
      </w:pPr>
    </w:p>
    <w:p>
      <w:pPr>
        <w:ind w:left="840"/>
        <w:spacing w:after="0"/>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w:t>
      </w:r>
    </w:p>
    <w:p>
      <w:pPr>
        <w:spacing w:after="0" w:line="30" w:lineRule="exact"/>
        <w:rPr>
          <w:sz w:val="24"/>
          <w:szCs w:val="24"/>
          <w:color w:val="auto"/>
        </w:rPr>
      </w:pPr>
    </w:p>
    <w:p>
      <w:pPr>
        <w:ind w:left="540" w:right="619"/>
        <w:spacing w:after="0" w:line="260" w:lineRule="auto"/>
        <w:rPr>
          <w:sz w:val="20"/>
          <w:szCs w:val="20"/>
          <w:color w:val="auto"/>
        </w:rPr>
      </w:pPr>
      <w:r>
        <w:rPr>
          <w:rFonts w:ascii="Arial" w:cs="Arial" w:eastAsia="Arial" w:hAnsi="Arial"/>
          <w:sz w:val="11"/>
          <w:szCs w:val="11"/>
          <w:b w:val="1"/>
          <w:bCs w:val="1"/>
          <w:color w:val="auto"/>
        </w:rPr>
        <w:t>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w:t>
      </w:r>
    </w:p>
    <w:p>
      <w:pPr>
        <w:ind w:left="540"/>
        <w:spacing w:after="0"/>
        <w:rPr>
          <w:sz w:val="20"/>
          <w:szCs w:val="20"/>
          <w:color w:val="auto"/>
        </w:rPr>
      </w:pPr>
      <w:r>
        <w:rPr>
          <w:rFonts w:ascii="Arial" w:cs="Arial" w:eastAsia="Arial" w:hAnsi="Arial"/>
          <w:sz w:val="13"/>
          <w:szCs w:val="13"/>
          <w:b w:val="1"/>
          <w:bCs w:val="1"/>
          <w:color w:val="auto"/>
        </w:rPr>
        <w:t>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346075</wp:posOffset>
            </wp:positionH>
            <wp:positionV relativeFrom="paragraph">
              <wp:posOffset>41910</wp:posOffset>
            </wp:positionV>
            <wp:extent cx="50272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27295" cy="6985"/>
                    </a:xfrm>
                    <a:prstGeom prst="rect">
                      <a:avLst/>
                    </a:prstGeom>
                    <a:noFill/>
                  </pic:spPr>
                </pic:pic>
              </a:graphicData>
            </a:graphic>
          </wp:anchor>
        </w:drawing>
      </w:r>
    </w:p>
    <w:p>
      <w:pPr>
        <w:spacing w:after="0" w:line="51" w:lineRule="exact"/>
        <w:rPr>
          <w:sz w:val="24"/>
          <w:szCs w:val="24"/>
          <w:color w:val="auto"/>
        </w:rPr>
      </w:pPr>
    </w:p>
    <w:p>
      <w:pPr>
        <w:ind w:left="540"/>
        <w:spacing w:after="0"/>
        <w:rPr>
          <w:sz w:val="20"/>
          <w:szCs w:val="20"/>
          <w:color w:val="auto"/>
        </w:rPr>
      </w:pPr>
      <w:r>
        <w:rPr>
          <w:rFonts w:ascii="Arial" w:cs="Arial" w:eastAsia="Arial" w:hAnsi="Arial"/>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346075</wp:posOffset>
            </wp:positionH>
            <wp:positionV relativeFrom="paragraph">
              <wp:posOffset>2540</wp:posOffset>
            </wp:positionV>
            <wp:extent cx="502729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27295" cy="13970"/>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205740</wp:posOffset>
            </wp:positionV>
            <wp:extent cx="555434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ind w:left="160"/>
        <w:spacing w:after="0"/>
        <w:rPr>
          <w:sz w:val="20"/>
          <w:szCs w:val="20"/>
          <w:color w:val="auto"/>
        </w:rPr>
      </w:pPr>
      <w:r>
        <w:rPr>
          <w:rFonts w:ascii="Arial" w:cs="Arial" w:eastAsia="Arial" w:hAnsi="Arial"/>
          <w:sz w:val="11"/>
          <w:szCs w:val="11"/>
          <w:color w:val="003366"/>
        </w:rPr>
        <w:t>TABLE OF CONTENTS</w:t>
      </w:r>
    </w:p>
    <w:p>
      <w:pPr>
        <w:sectPr>
          <w:pgSz w:w="11900" w:h="16838" w:orient="portrait"/>
          <w:cols w:equalWidth="0" w:num="1">
            <w:col w:w="9019"/>
          </w:cols>
          <w:pgMar w:left="1440" w:top="134" w:right="1440" w:bottom="1440" w:gutter="0" w:footer="0" w:header="0"/>
        </w:sectPr>
      </w:pPr>
    </w:p>
    <w:p>
      <w:pPr>
        <w:spacing w:after="0" w:line="357" w:lineRule="exact"/>
        <w:rPr>
          <w:sz w:val="20"/>
          <w:szCs w:val="20"/>
          <w:color w:val="auto"/>
        </w:rPr>
      </w:pPr>
    </w:p>
    <w:tbl>
      <w:tblPr>
        <w:tblLayout w:type="fixed"/>
        <w:tblInd w:w="860" w:type="dxa"/>
        <w:tblCellMar>
          <w:top w:w="0" w:type="dxa"/>
          <w:left w:w="0" w:type="dxa"/>
          <w:bottom w:w="0" w:type="dxa"/>
          <w:right w:w="0" w:type="dxa"/>
        </w:tblCellMar>
      </w:tblPr>
      <w:tr>
        <w:trPr>
          <w:trHeight w:val="1419"/>
        </w:trPr>
        <w:tc>
          <w:tcPr>
            <w:tcW w:w="140" w:type="dxa"/>
            <w:vAlign w:val="bottom"/>
            <w:textDirection w:val="btLr"/>
          </w:tcPr>
          <w:p>
            <w:pPr>
              <w:ind w:left="2"/>
              <w:spacing w:after="0"/>
              <w:rPr>
                <w:sz w:val="20"/>
                <w:szCs w:val="20"/>
                <w:color w:val="auto"/>
              </w:rPr>
            </w:pPr>
            <w:r>
              <w:rPr>
                <w:rFonts w:ascii="Arial" w:cs="Arial" w:eastAsia="Arial" w:hAnsi="Arial"/>
                <w:sz w:val="12"/>
                <w:szCs w:val="12"/>
                <w:b w:val="1"/>
                <w:bCs w:val="1"/>
                <w:color w:val="FC0014"/>
                <w:w w:val="96"/>
              </w:rPr>
              <w:t>the registration statement</w:t>
            </w:r>
          </w:p>
        </w:tc>
        <w:tc>
          <w:tcPr>
            <w:tcW w:w="240" w:type="dxa"/>
            <w:vAlign w:val="bottom"/>
            <w:textDirection w:val="btLr"/>
          </w:tcPr>
          <w:p>
            <w:pPr>
              <w:ind w:left="12"/>
              <w:spacing w:after="0"/>
              <w:rPr>
                <w:sz w:val="20"/>
                <w:szCs w:val="20"/>
                <w:color w:val="auto"/>
              </w:rPr>
            </w:pPr>
            <w:r>
              <w:rPr>
                <w:rFonts w:ascii="Arial" w:cs="Arial" w:eastAsia="Arial" w:hAnsi="Arial"/>
                <w:sz w:val="12"/>
                <w:szCs w:val="12"/>
                <w:b w:val="1"/>
                <w:bCs w:val="1"/>
                <w:color w:val="FC0014"/>
                <w:w w:val="97"/>
              </w:rPr>
              <w:t>to buy these securities in</w:t>
            </w:r>
          </w:p>
        </w:tc>
      </w:tr>
      <w:tr>
        <w:trPr>
          <w:trHeight w:val="2961"/>
        </w:trPr>
        <w:tc>
          <w:tcPr>
            <w:tcW w:w="140" w:type="dxa"/>
            <w:vAlign w:val="bottom"/>
            <w:textDirection w:val="btLr"/>
          </w:tcPr>
          <w:p>
            <w:pPr>
              <w:ind w:left="2"/>
              <w:spacing w:after="0"/>
              <w:rPr>
                <w:sz w:val="20"/>
                <w:szCs w:val="20"/>
                <w:color w:val="auto"/>
              </w:rPr>
            </w:pPr>
            <w:r>
              <w:rPr>
                <w:rFonts w:ascii="Arial" w:cs="Arial" w:eastAsia="Arial" w:hAnsi="Arial"/>
                <w:sz w:val="12"/>
                <w:szCs w:val="12"/>
                <w:b w:val="1"/>
                <w:bCs w:val="1"/>
                <w:color w:val="FC0014"/>
                <w:w w:val="96"/>
              </w:rPr>
              <w:t>be sold pursuant to this preliminary prospectus until</w:t>
            </w:r>
          </w:p>
        </w:tc>
        <w:tc>
          <w:tcPr>
            <w:tcW w:w="240" w:type="dxa"/>
            <w:vAlign w:val="bottom"/>
            <w:textDirection w:val="btLr"/>
          </w:tcPr>
          <w:p>
            <w:pPr>
              <w:ind w:left="12"/>
              <w:spacing w:after="0"/>
              <w:rPr>
                <w:sz w:val="20"/>
                <w:szCs w:val="20"/>
                <w:color w:val="auto"/>
              </w:rPr>
            </w:pPr>
            <w:r>
              <w:rPr>
                <w:rFonts w:ascii="Arial" w:cs="Arial" w:eastAsia="Arial" w:hAnsi="Arial"/>
                <w:sz w:val="12"/>
                <w:szCs w:val="12"/>
                <w:b w:val="1"/>
                <w:bCs w:val="1"/>
                <w:color w:val="FC0014"/>
                <w:w w:val="97"/>
              </w:rPr>
              <w:t>to sell these securities and it is not soliciting an offer</w:t>
            </w:r>
          </w:p>
        </w:tc>
      </w:tr>
      <w:tr>
        <w:trPr>
          <w:trHeight w:val="679"/>
        </w:trPr>
        <w:tc>
          <w:tcPr>
            <w:tcW w:w="140" w:type="dxa"/>
            <w:vAlign w:val="bottom"/>
            <w:textDirection w:val="btLr"/>
          </w:tcPr>
          <w:p>
            <w:pPr>
              <w:ind w:left="2"/>
              <w:spacing w:after="0"/>
              <w:rPr>
                <w:sz w:val="20"/>
                <w:szCs w:val="20"/>
                <w:color w:val="auto"/>
              </w:rPr>
            </w:pPr>
            <w:r>
              <w:rPr>
                <w:rFonts w:ascii="Arial" w:cs="Arial" w:eastAsia="Arial" w:hAnsi="Arial"/>
                <w:sz w:val="12"/>
                <w:szCs w:val="12"/>
                <w:b w:val="1"/>
                <w:bCs w:val="1"/>
                <w:color w:val="FC0014"/>
                <w:w w:val="97"/>
              </w:rPr>
              <w:t>may be not</w:t>
            </w:r>
          </w:p>
        </w:tc>
        <w:tc>
          <w:tcPr>
            <w:tcW w:w="240" w:type="dxa"/>
            <w:vAlign w:val="bottom"/>
            <w:textDirection w:val="btLr"/>
          </w:tcPr>
          <w:p>
            <w:pPr>
              <w:ind w:left="12"/>
              <w:spacing w:after="0"/>
              <w:rPr>
                <w:sz w:val="20"/>
                <w:szCs w:val="20"/>
                <w:color w:val="auto"/>
              </w:rPr>
            </w:pPr>
            <w:r>
              <w:rPr>
                <w:rFonts w:ascii="Arial" w:cs="Arial" w:eastAsia="Arial" w:hAnsi="Arial"/>
                <w:sz w:val="12"/>
                <w:szCs w:val="12"/>
                <w:b w:val="1"/>
                <w:bCs w:val="1"/>
                <w:color w:val="FC0014"/>
                <w:w w:val="96"/>
              </w:rPr>
              <w:t>not an offer</w:t>
            </w:r>
          </w:p>
        </w:tc>
      </w:tr>
      <w:tr>
        <w:trPr>
          <w:trHeight w:val="5264"/>
        </w:trPr>
        <w:tc>
          <w:tcPr>
            <w:tcW w:w="140" w:type="dxa"/>
            <w:vAlign w:val="bottom"/>
            <w:textDirection w:val="btLr"/>
          </w:tcPr>
          <w:p>
            <w:pPr>
              <w:ind w:left="2"/>
              <w:spacing w:after="0"/>
              <w:rPr>
                <w:sz w:val="20"/>
                <w:szCs w:val="20"/>
                <w:color w:val="auto"/>
              </w:rPr>
            </w:pPr>
            <w:r>
              <w:rPr>
                <w:rFonts w:ascii="Arial" w:cs="Arial" w:eastAsia="Arial" w:hAnsi="Arial"/>
                <w:sz w:val="12"/>
                <w:szCs w:val="12"/>
                <w:b w:val="1"/>
                <w:bCs w:val="1"/>
                <w:color w:val="FC0014"/>
                <w:w w:val="96"/>
              </w:rPr>
              <w:t>The information in this preliminary prospectus is not complete and may be changed. Securities</w:t>
            </w:r>
          </w:p>
        </w:tc>
        <w:tc>
          <w:tcPr>
            <w:tcW w:w="240" w:type="dxa"/>
            <w:vAlign w:val="bottom"/>
            <w:textDirection w:val="btLr"/>
          </w:tcPr>
          <w:p>
            <w:pPr>
              <w:ind w:left="137"/>
              <w:spacing w:after="0"/>
              <w:rPr>
                <w:sz w:val="20"/>
                <w:szCs w:val="20"/>
                <w:color w:val="auto"/>
              </w:rPr>
            </w:pPr>
            <w:r>
              <w:rPr>
                <w:rFonts w:ascii="Arial" w:cs="Arial" w:eastAsia="Arial" w:hAnsi="Arial"/>
                <w:sz w:val="9"/>
                <w:szCs w:val="9"/>
                <w:b w:val="1"/>
                <w:bCs w:val="1"/>
                <w:color w:val="FC0014"/>
                <w:w w:val="84"/>
              </w:rPr>
              <w:t>filed with the Securities and Exchange Commission is effective. This preliminary prospectus isanyjurisdictionwheretheofferorsaleisnotpermitted.</w:t>
            </w:r>
          </w:p>
        </w:tc>
      </w:tr>
    </w:tbl>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1900"/>
        <w:spacing w:after="0"/>
        <w:rPr>
          <w:sz w:val="20"/>
          <w:szCs w:val="20"/>
          <w:color w:val="auto"/>
        </w:rPr>
      </w:pPr>
      <w:r>
        <w:rPr>
          <w:rFonts w:ascii="Arial" w:cs="Arial" w:eastAsia="Arial" w:hAnsi="Arial"/>
          <w:sz w:val="15"/>
          <w:szCs w:val="15"/>
          <w:b w:val="1"/>
          <w:bCs w:val="1"/>
          <w:color w:val="FC0014"/>
        </w:rPr>
        <w:t>Subject to completion, dated December 16, 2022</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935990</wp:posOffset>
            </wp:positionH>
            <wp:positionV relativeFrom="paragraph">
              <wp:posOffset>101600</wp:posOffset>
            </wp:positionV>
            <wp:extent cx="2353310" cy="514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3310" cy="51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19"/>
        <w:spacing w:after="0"/>
        <w:rPr>
          <w:sz w:val="20"/>
          <w:szCs w:val="20"/>
          <w:color w:val="auto"/>
        </w:rPr>
      </w:pPr>
      <w:r>
        <w:rPr>
          <w:rFonts w:ascii="Arial" w:cs="Arial" w:eastAsia="Arial" w:hAnsi="Arial"/>
          <w:sz w:val="20"/>
          <w:szCs w:val="20"/>
          <w:b w:val="1"/>
          <w:bCs w:val="1"/>
          <w:color w:val="auto"/>
        </w:rPr>
        <w:t>Class A Shares</w:t>
      </w:r>
    </w:p>
    <w:p>
      <w:pPr>
        <w:spacing w:after="0" w:line="176" w:lineRule="exact"/>
        <w:rPr>
          <w:sz w:val="20"/>
          <w:szCs w:val="20"/>
          <w:color w:val="auto"/>
        </w:rPr>
      </w:pPr>
    </w:p>
    <w:p>
      <w:pPr>
        <w:jc w:val="center"/>
        <w:ind w:right="919"/>
        <w:spacing w:after="0"/>
        <w:rPr>
          <w:sz w:val="20"/>
          <w:szCs w:val="20"/>
          <w:color w:val="auto"/>
        </w:rPr>
      </w:pPr>
      <w:r>
        <w:rPr>
          <w:rFonts w:ascii="Arial" w:cs="Arial" w:eastAsia="Arial" w:hAnsi="Arial"/>
          <w:sz w:val="20"/>
          <w:szCs w:val="20"/>
          <w:b w:val="1"/>
          <w:bCs w:val="1"/>
          <w:color w:val="auto"/>
        </w:rPr>
        <w:t>Representing Limited Partner Interests</w:t>
      </w:r>
    </w:p>
    <w:p>
      <w:pPr>
        <w:spacing w:after="0" w:line="128" w:lineRule="exact"/>
        <w:rPr>
          <w:sz w:val="20"/>
          <w:szCs w:val="20"/>
          <w:color w:val="auto"/>
        </w:rPr>
      </w:pPr>
    </w:p>
    <w:p>
      <w:pPr>
        <w:ind w:right="999" w:firstLine="292"/>
        <w:spacing w:after="0" w:line="250" w:lineRule="auto"/>
        <w:rPr>
          <w:sz w:val="20"/>
          <w:szCs w:val="20"/>
          <w:color w:val="auto"/>
        </w:rPr>
      </w:pPr>
      <w:r>
        <w:rPr>
          <w:rFonts w:ascii="Arial" w:cs="Arial" w:eastAsia="Arial" w:hAnsi="Arial"/>
          <w:sz w:val="15"/>
          <w:szCs w:val="15"/>
          <w:color w:val="auto"/>
        </w:rPr>
        <w:t>We may offer and sell Class A shares representing limited partner interests in Plains GP Holdings, L.P. from time to time in one or more offerings and in amounts, at prices and on terms to be determined by market conditions and other factors at the time of our offerings. The aggregate offering price of the Class A shares sold by us under this prospectus will not exceed $938,900,000.</w:t>
      </w:r>
    </w:p>
    <w:p>
      <w:pPr>
        <w:spacing w:after="0" w:line="104" w:lineRule="exact"/>
        <w:rPr>
          <w:sz w:val="20"/>
          <w:szCs w:val="20"/>
          <w:color w:val="auto"/>
        </w:rPr>
      </w:pPr>
    </w:p>
    <w:p>
      <w:pPr>
        <w:ind w:right="959" w:firstLine="292"/>
        <w:spacing w:after="0" w:line="270" w:lineRule="auto"/>
        <w:rPr>
          <w:sz w:val="20"/>
          <w:szCs w:val="20"/>
          <w:color w:val="auto"/>
        </w:rPr>
      </w:pPr>
      <w:r>
        <w:rPr>
          <w:rFonts w:ascii="Arial" w:cs="Arial" w:eastAsia="Arial" w:hAnsi="Arial"/>
          <w:sz w:val="14"/>
          <w:szCs w:val="14"/>
          <w:color w:val="auto"/>
        </w:rPr>
        <w:t>We may offer and sell the Class A shares to or through one or more underwriters, dealers or agents, or directly to purchasers, on a continuous or delayed basis. This prospectus describes only the general terms of the Class A shares and the general manner in which we will offer the Class A shares. The specific terms of any Class A shares we offer will be included in a supplement to this prospectus. The prospectus supplement will also describe the specific manner in which we will offer the Class A shares.</w:t>
      </w:r>
    </w:p>
    <w:p>
      <w:pPr>
        <w:spacing w:after="0" w:line="81" w:lineRule="exact"/>
        <w:rPr>
          <w:sz w:val="20"/>
          <w:szCs w:val="20"/>
          <w:color w:val="auto"/>
        </w:rPr>
      </w:pPr>
    </w:p>
    <w:p>
      <w:pPr>
        <w:ind w:right="1179" w:firstLine="292"/>
        <w:spacing w:after="0" w:line="274" w:lineRule="auto"/>
        <w:rPr>
          <w:sz w:val="20"/>
          <w:szCs w:val="20"/>
          <w:color w:val="auto"/>
        </w:rPr>
      </w:pPr>
      <w:r>
        <w:rPr>
          <w:rFonts w:ascii="Arial" w:cs="Arial" w:eastAsia="Arial" w:hAnsi="Arial"/>
          <w:sz w:val="14"/>
          <w:szCs w:val="14"/>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87" w:lineRule="exact"/>
        <w:rPr>
          <w:sz w:val="20"/>
          <w:szCs w:val="20"/>
          <w:color w:val="auto"/>
        </w:rPr>
      </w:pPr>
    </w:p>
    <w:p>
      <w:pPr>
        <w:ind w:right="1259" w:firstLine="292"/>
        <w:spacing w:after="0" w:line="263" w:lineRule="auto"/>
        <w:rPr>
          <w:sz w:val="20"/>
          <w:szCs w:val="20"/>
          <w:color w:val="auto"/>
        </w:rPr>
      </w:pPr>
      <w:r>
        <w:rPr>
          <w:rFonts w:ascii="Arial" w:cs="Arial" w:eastAsia="Arial" w:hAnsi="Arial"/>
          <w:sz w:val="15"/>
          <w:szCs w:val="15"/>
          <w:color w:val="auto"/>
        </w:rPr>
        <w:t>Our Class A shares are listed on the Nasdaq Global Select Market (“NASDAQ”) under the symbol “PAGP.”</w:t>
      </w:r>
    </w:p>
    <w:p>
      <w:pPr>
        <w:spacing w:after="0" w:line="89" w:lineRule="exact"/>
        <w:rPr>
          <w:sz w:val="20"/>
          <w:szCs w:val="20"/>
          <w:color w:val="auto"/>
        </w:rPr>
      </w:pPr>
    </w:p>
    <w:p>
      <w:pPr>
        <w:ind w:right="979" w:firstLine="292"/>
        <w:spacing w:after="0" w:line="276" w:lineRule="auto"/>
        <w:rPr>
          <w:sz w:val="20"/>
          <w:szCs w:val="20"/>
          <w:color w:val="auto"/>
        </w:rPr>
      </w:pPr>
      <w:r>
        <w:rPr>
          <w:rFonts w:ascii="Arial" w:cs="Arial" w:eastAsia="Arial" w:hAnsi="Arial"/>
          <w:sz w:val="14"/>
          <w:szCs w:val="14"/>
          <w:b w:val="1"/>
          <w:bCs w:val="1"/>
          <w:color w:val="auto"/>
        </w:rPr>
        <w:t xml:space="preserve">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w:t>
      </w:r>
      <w:r>
        <w:rPr>
          <w:rFonts w:ascii="Arial" w:cs="Arial" w:eastAsia="Arial" w:hAnsi="Arial"/>
          <w:sz w:val="14"/>
          <w:szCs w:val="14"/>
          <w:b w:val="1"/>
          <w:bCs w:val="1"/>
          <w:u w:val="single" w:color="auto"/>
          <w:color w:val="0000EE"/>
        </w:rPr>
        <w:t>2</w:t>
      </w:r>
      <w:r>
        <w:rPr>
          <w:rFonts w:ascii="Arial" w:cs="Arial" w:eastAsia="Arial" w:hAnsi="Arial"/>
          <w:sz w:val="14"/>
          <w:szCs w:val="14"/>
          <w:b w:val="1"/>
          <w:bCs w:val="1"/>
          <w:color w:val="auto"/>
        </w:rPr>
        <w:t xml:space="preserve"> of this prospectus before you make an investment in our Class A shares.</w:t>
      </w:r>
    </w:p>
    <w:p>
      <w:pPr>
        <w:spacing w:after="0" w:line="71" w:lineRule="exact"/>
        <w:rPr>
          <w:sz w:val="20"/>
          <w:szCs w:val="20"/>
          <w:color w:val="auto"/>
        </w:rPr>
      </w:pPr>
    </w:p>
    <w:p>
      <w:pPr>
        <w:jc w:val="both"/>
        <w:ind w:right="1199" w:firstLine="292"/>
        <w:spacing w:after="0" w:line="283" w:lineRule="auto"/>
        <w:rPr>
          <w:sz w:val="20"/>
          <w:szCs w:val="20"/>
          <w:color w:val="auto"/>
        </w:rPr>
      </w:pPr>
      <w:r>
        <w:rPr>
          <w:rFonts w:ascii="Arial" w:cs="Arial" w:eastAsia="Arial" w:hAnsi="Arial"/>
          <w:sz w:val="14"/>
          <w:szCs w:val="14"/>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79375</wp:posOffset>
            </wp:positionV>
            <wp:extent cx="552894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28945" cy="39370"/>
                    </a:xfrm>
                    <a:prstGeom prst="rect">
                      <a:avLst/>
                    </a:prstGeom>
                    <a:noFill/>
                  </pic:spPr>
                </pic:pic>
              </a:graphicData>
            </a:graphic>
          </wp:anchor>
        </w:drawing>
      </w:r>
    </w:p>
    <w:p>
      <w:pPr>
        <w:sectPr>
          <w:pgSz w:w="11900" w:h="16838" w:orient="portrait"/>
          <w:cols w:equalWidth="0" w:num="2">
            <w:col w:w="1240" w:space="200"/>
            <w:col w:w="7579"/>
          </w:cols>
          <w:pgMar w:left="1440" w:top="134" w:right="1440" w:bottom="1440" w:gutter="0" w:footer="0" w:header="0"/>
          <w:type w:val="continuous"/>
        </w:sectPr>
      </w:pPr>
    </w:p>
    <w:bookmarkStart w:id="2" w:name="page3"/>
    <w:bookmarkEnd w:id="2"/>
    <w:p>
      <w:pPr>
        <w:ind w:left="16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TABLE OF CONTENTS</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6985</wp:posOffset>
            </wp:positionV>
            <wp:extent cx="4233545" cy="139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33545" cy="139065"/>
                    </a:xfrm>
                    <a:prstGeom prst="rect">
                      <a:avLst/>
                    </a:prstGeom>
                    <a:noFill/>
                  </pic:spPr>
                </pic:pic>
              </a:graphicData>
            </a:graphic>
          </wp:anchor>
        </w:drawing>
      </w:r>
    </w:p>
    <w:p>
      <w:pPr>
        <w:spacing w:after="0" w:line="24" w:lineRule="exact"/>
        <w:rPr>
          <w:sz w:val="20"/>
          <w:szCs w:val="20"/>
          <w:color w:val="auto"/>
        </w:rPr>
      </w:pPr>
    </w:p>
    <w:p>
      <w:pPr>
        <w:ind w:left="1180"/>
        <w:spacing w:after="0"/>
        <w:rPr>
          <w:sz w:val="20"/>
          <w:szCs w:val="20"/>
          <w:color w:val="auto"/>
        </w:rPr>
      </w:pPr>
      <w:r>
        <w:rPr>
          <w:rFonts w:ascii="Arial" w:cs="Arial" w:eastAsia="Arial" w:hAnsi="Arial"/>
          <w:sz w:val="15"/>
          <w:szCs w:val="15"/>
          <w:u w:val="single" w:color="auto"/>
          <w:color w:val="0000EE"/>
        </w:rPr>
        <w:t>ABOUT THIS PROSPECTUS</w:t>
      </w:r>
    </w:p>
    <w:p>
      <w:pPr>
        <w:spacing w:after="0" w:line="36" w:lineRule="exact"/>
        <w:rPr>
          <w:sz w:val="20"/>
          <w:szCs w:val="20"/>
          <w:color w:val="auto"/>
        </w:rPr>
      </w:pPr>
    </w:p>
    <w:p>
      <w:pPr>
        <w:ind w:left="1180"/>
        <w:spacing w:after="0"/>
        <w:rPr>
          <w:sz w:val="20"/>
          <w:szCs w:val="20"/>
          <w:color w:val="auto"/>
        </w:rPr>
      </w:pPr>
      <w:r>
        <w:rPr>
          <w:rFonts w:ascii="Arial" w:cs="Arial" w:eastAsia="Arial" w:hAnsi="Arial"/>
          <w:sz w:val="15"/>
          <w:szCs w:val="15"/>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8890</wp:posOffset>
            </wp:positionV>
            <wp:extent cx="4233545" cy="132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33545" cy="132080"/>
                    </a:xfrm>
                    <a:prstGeom prst="rect">
                      <a:avLst/>
                    </a:prstGeom>
                    <a:noFill/>
                  </pic:spPr>
                </pic:pic>
              </a:graphicData>
            </a:graphic>
          </wp:anchor>
        </w:drawing>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5"/>
          <w:szCs w:val="15"/>
          <w:u w:val="single" w:color="auto"/>
          <w:color w:val="0000EE"/>
        </w:rPr>
        <w:t>FORWARD-LOOKING STATEMENTS</w:t>
      </w:r>
    </w:p>
    <w:p>
      <w:pPr>
        <w:spacing w:after="0" w:line="36" w:lineRule="exact"/>
        <w:rPr>
          <w:sz w:val="20"/>
          <w:szCs w:val="20"/>
          <w:color w:val="auto"/>
        </w:rPr>
      </w:pPr>
    </w:p>
    <w:p>
      <w:pPr>
        <w:ind w:left="1180"/>
        <w:spacing w:after="0"/>
        <w:rPr>
          <w:sz w:val="20"/>
          <w:szCs w:val="20"/>
          <w:color w:val="auto"/>
        </w:rPr>
      </w:pPr>
      <w:r>
        <w:rPr>
          <w:rFonts w:ascii="Arial" w:cs="Arial" w:eastAsia="Arial" w:hAnsi="Arial"/>
          <w:sz w:val="15"/>
          <w:szCs w:val="15"/>
          <w:u w:val="single" w:color="auto"/>
          <w:color w:val="0000EE"/>
        </w:rPr>
        <w:t>ABOUT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8890</wp:posOffset>
            </wp:positionV>
            <wp:extent cx="4233545" cy="139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33545" cy="139065"/>
                    </a:xfrm>
                    <a:prstGeom prst="rect">
                      <a:avLst/>
                    </a:prstGeom>
                    <a:noFill/>
                  </pic:spPr>
                </pic:pic>
              </a:graphicData>
            </a:graphic>
          </wp:anchor>
        </w:drawing>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5"/>
          <w:szCs w:val="15"/>
          <w:u w:val="single" w:color="auto"/>
          <w:color w:val="0000EE"/>
        </w:rPr>
        <w:t>RISK FACTORS</w:t>
      </w:r>
    </w:p>
    <w:p>
      <w:pPr>
        <w:spacing w:after="0" w:line="47" w:lineRule="exact"/>
        <w:rPr>
          <w:sz w:val="20"/>
          <w:szCs w:val="20"/>
          <w:color w:val="auto"/>
        </w:rPr>
      </w:pPr>
    </w:p>
    <w:p>
      <w:pPr>
        <w:ind w:left="1180"/>
        <w:spacing w:after="0"/>
        <w:rPr>
          <w:sz w:val="20"/>
          <w:szCs w:val="20"/>
          <w:color w:val="auto"/>
        </w:rPr>
      </w:pPr>
      <w:r>
        <w:rPr>
          <w:rFonts w:ascii="Arial" w:cs="Arial" w:eastAsia="Arial" w:hAnsi="Arial"/>
          <w:sz w:val="15"/>
          <w:szCs w:val="15"/>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8890</wp:posOffset>
            </wp:positionV>
            <wp:extent cx="4233545" cy="139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33545" cy="139065"/>
                    </a:xfrm>
                    <a:prstGeom prst="rect">
                      <a:avLst/>
                    </a:prstGeom>
                    <a:noFill/>
                  </pic:spPr>
                </pic:pic>
              </a:graphicData>
            </a:graphic>
          </wp:anchor>
        </w:drawing>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5"/>
          <w:szCs w:val="15"/>
          <w:u w:val="single" w:color="auto"/>
          <w:color w:val="0000EE"/>
        </w:rPr>
        <w:t>DESCRIPTION OF OUR SHARES</w:t>
      </w:r>
    </w:p>
    <w:p>
      <w:pPr>
        <w:spacing w:after="0" w:line="47" w:lineRule="exact"/>
        <w:rPr>
          <w:sz w:val="20"/>
          <w:szCs w:val="20"/>
          <w:color w:val="auto"/>
        </w:rPr>
      </w:pPr>
    </w:p>
    <w:p>
      <w:pPr>
        <w:ind w:left="1180"/>
        <w:spacing w:after="0"/>
        <w:rPr>
          <w:sz w:val="20"/>
          <w:szCs w:val="20"/>
          <w:color w:val="auto"/>
        </w:rPr>
      </w:pPr>
      <w:r>
        <w:rPr>
          <w:rFonts w:ascii="Arial" w:cs="Arial" w:eastAsia="Arial" w:hAnsi="Arial"/>
          <w:sz w:val="15"/>
          <w:szCs w:val="15"/>
          <w:u w:val="single" w:color="auto"/>
          <w:color w:val="0000EE"/>
        </w:rPr>
        <w:t>MATERIAL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8890</wp:posOffset>
            </wp:positionV>
            <wp:extent cx="4233545"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33545" cy="139065"/>
                    </a:xfrm>
                    <a:prstGeom prst="rect">
                      <a:avLst/>
                    </a:prstGeom>
                    <a:noFill/>
                  </pic:spPr>
                </pic:pic>
              </a:graphicData>
            </a:graphic>
          </wp:anchor>
        </w:drawing>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4"/>
          <w:szCs w:val="14"/>
          <w:u w:val="single" w:color="auto"/>
          <w:color w:val="0000EE"/>
        </w:rPr>
        <w:t>INVESTMENT IN PLAINS GP HOLDINGS, L.P. BY EMPLOYEE BENEFIT PLANS</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5"/>
          <w:szCs w:val="15"/>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8890</wp:posOffset>
            </wp:positionV>
            <wp:extent cx="4233545" cy="139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33545" cy="139065"/>
                    </a:xfrm>
                    <a:prstGeom prst="rect">
                      <a:avLst/>
                    </a:prstGeom>
                    <a:noFill/>
                  </pic:spPr>
                </pic:pic>
              </a:graphicData>
            </a:graphic>
          </wp:anchor>
        </w:drawing>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5"/>
          <w:szCs w:val="15"/>
          <w:u w:val="single" w:color="auto"/>
          <w:color w:val="0000EE"/>
        </w:rPr>
        <w:t>LEGAL MATTERS</w:t>
      </w:r>
    </w:p>
    <w:p>
      <w:pPr>
        <w:spacing w:after="0" w:line="47" w:lineRule="exact"/>
        <w:rPr>
          <w:sz w:val="20"/>
          <w:szCs w:val="20"/>
          <w:color w:val="auto"/>
        </w:rPr>
      </w:pPr>
    </w:p>
    <w:p>
      <w:pPr>
        <w:ind w:left="1180"/>
        <w:spacing w:after="0"/>
        <w:rPr>
          <w:sz w:val="20"/>
          <w:szCs w:val="20"/>
          <w:color w:val="auto"/>
        </w:rPr>
      </w:pPr>
      <w:r>
        <w:rPr>
          <w:rFonts w:ascii="Arial" w:cs="Arial" w:eastAsia="Arial" w:hAnsi="Arial"/>
          <w:sz w:val="15"/>
          <w:szCs w:val="15"/>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196850</wp:posOffset>
            </wp:positionV>
            <wp:extent cx="100266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0266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vertAlign w:val="subscript"/>
        </w:rPr>
        <w:t>​ ​</w:t>
      </w:r>
      <w:r>
        <w:rPr>
          <w:rFonts w:ascii="Arial" w:cs="Arial" w:eastAsia="Arial" w:hAnsi="Arial"/>
          <w:sz w:val="12"/>
          <w:szCs w:val="12"/>
          <w:b w:val="1"/>
          <w:bCs w:val="1"/>
          <w:color w:val="auto"/>
        </w:rPr>
        <w:t xml:space="preserve"> Page </w:t>
      </w:r>
      <w:r>
        <w:rPr>
          <w:rFonts w:ascii="Arial" w:cs="Arial" w:eastAsia="Arial" w:hAnsi="Arial"/>
          <w:sz w:val="23"/>
          <w:szCs w:val="23"/>
          <w:b w:val="1"/>
          <w:bCs w:val="1"/>
          <w:color w:val="auto"/>
          <w:vertAlign w:val="subscript"/>
        </w:rPr>
        <w:t>​</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ii</w:t>
      </w:r>
      <w:r>
        <w:rPr>
          <w:rFonts w:ascii="Arial" w:cs="Arial" w:eastAsia="Arial" w:hAnsi="Arial"/>
          <w:sz w:val="15"/>
          <w:szCs w:val="15"/>
          <w:color w:val="auto"/>
        </w:rPr>
        <w:t xml:space="preserve"> </w:t>
      </w:r>
      <w:r>
        <w:rPr>
          <w:rFonts w:ascii="Arial" w:cs="Arial" w:eastAsia="Arial" w:hAnsi="Arial"/>
          <w:sz w:val="15"/>
          <w:szCs w:val="15"/>
          <w:b w:val="1"/>
          <w:bCs w:val="1"/>
          <w:color w:val="auto"/>
        </w:rPr>
        <w:t>​</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u w:val="single" w:color="auto"/>
          <w:color w:val="0000EE"/>
        </w:rPr>
        <w:t>iii</w:t>
      </w:r>
      <w:r>
        <w:rPr>
          <w:rFonts w:ascii="Arial" w:cs="Arial" w:eastAsia="Arial" w:hAnsi="Arial"/>
          <w:sz w:val="15"/>
          <w:szCs w:val="15"/>
          <w:color w:val="auto"/>
        </w:rPr>
        <w:t xml:space="preserve"> </w:t>
      </w:r>
      <w:r>
        <w:rPr>
          <w:rFonts w:ascii="Arial" w:cs="Arial" w:eastAsia="Arial" w:hAnsi="Arial"/>
          <w:sz w:val="15"/>
          <w:szCs w:val="15"/>
          <w:b w:val="1"/>
          <w:bCs w:val="1"/>
          <w:color w:val="auto"/>
        </w:rPr>
        <w:t>​</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u w:val="single" w:color="auto"/>
          <w:color w:val="0000EE"/>
        </w:rPr>
        <w:t>iv</w:t>
      </w:r>
      <w:r>
        <w:rPr>
          <w:rFonts w:ascii="Arial" w:cs="Arial" w:eastAsia="Arial" w:hAnsi="Arial"/>
          <w:sz w:val="15"/>
          <w:szCs w:val="15"/>
          <w:color w:val="auto"/>
        </w:rPr>
        <w:t xml:space="preserve"> </w:t>
      </w:r>
      <w:r>
        <w:rPr>
          <w:rFonts w:ascii="Arial" w:cs="Arial" w:eastAsia="Arial" w:hAnsi="Arial"/>
          <w:sz w:val="15"/>
          <w:szCs w:val="15"/>
          <w:b w:val="1"/>
          <w:bCs w:val="1"/>
          <w:color w:val="auto"/>
        </w:rPr>
        <w:t>​</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1</w:t>
      </w:r>
      <w:r>
        <w:rPr>
          <w:rFonts w:ascii="Arial" w:cs="Arial" w:eastAsia="Arial" w:hAnsi="Arial"/>
          <w:sz w:val="15"/>
          <w:szCs w:val="15"/>
          <w:color w:val="auto"/>
        </w:rPr>
        <w:t xml:space="preserve"> </w:t>
      </w:r>
      <w:r>
        <w:rPr>
          <w:rFonts w:ascii="Arial" w:cs="Arial" w:eastAsia="Arial" w:hAnsi="Arial"/>
          <w:sz w:val="15"/>
          <w:szCs w:val="15"/>
          <w:b w:val="1"/>
          <w:bCs w:val="1"/>
          <w:color w:val="auto"/>
        </w:rPr>
        <w:t>​</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2</w:t>
      </w:r>
      <w:r>
        <w:rPr>
          <w:rFonts w:ascii="Arial" w:cs="Arial" w:eastAsia="Arial" w:hAnsi="Arial"/>
          <w:sz w:val="15"/>
          <w:szCs w:val="15"/>
          <w:color w:val="auto"/>
        </w:rPr>
        <w:t xml:space="preserve"> </w:t>
      </w:r>
      <w:r>
        <w:rPr>
          <w:rFonts w:ascii="Arial" w:cs="Arial" w:eastAsia="Arial" w:hAnsi="Arial"/>
          <w:sz w:val="15"/>
          <w:szCs w:val="15"/>
          <w:b w:val="1"/>
          <w:bCs w:val="1"/>
          <w:color w:val="auto"/>
        </w:rPr>
        <w:t>​</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3</w:t>
      </w:r>
      <w:r>
        <w:rPr>
          <w:rFonts w:ascii="Arial" w:cs="Arial" w:eastAsia="Arial" w:hAnsi="Arial"/>
          <w:sz w:val="15"/>
          <w:szCs w:val="15"/>
          <w:color w:val="auto"/>
        </w:rPr>
        <w:t xml:space="preserve"> </w:t>
      </w:r>
      <w:r>
        <w:rPr>
          <w:rFonts w:ascii="Arial" w:cs="Arial" w:eastAsia="Arial" w:hAnsi="Arial"/>
          <w:sz w:val="15"/>
          <w:szCs w:val="15"/>
          <w:b w:val="1"/>
          <w:bCs w:val="1"/>
          <w:color w:val="auto"/>
        </w:rPr>
        <w:t>​</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4</w:t>
      </w:r>
      <w:r>
        <w:rPr>
          <w:rFonts w:ascii="Arial" w:cs="Arial" w:eastAsia="Arial" w:hAnsi="Arial"/>
          <w:sz w:val="15"/>
          <w:szCs w:val="15"/>
          <w:color w:val="auto"/>
        </w:rPr>
        <w:t xml:space="preserve"> </w:t>
      </w:r>
      <w:r>
        <w:rPr>
          <w:rFonts w:ascii="Arial" w:cs="Arial" w:eastAsia="Arial" w:hAnsi="Arial"/>
          <w:sz w:val="15"/>
          <w:szCs w:val="15"/>
          <w:b w:val="1"/>
          <w:bCs w:val="1"/>
          <w:color w:val="auto"/>
        </w:rPr>
        <w:t>​</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5</w:t>
      </w:r>
      <w:r>
        <w:rPr>
          <w:rFonts w:ascii="Arial" w:cs="Arial" w:eastAsia="Arial" w:hAnsi="Arial"/>
          <w:sz w:val="15"/>
          <w:szCs w:val="15"/>
          <w:color w:val="auto"/>
        </w:rPr>
        <w:t xml:space="preserve"> </w:t>
      </w:r>
      <w:r>
        <w:rPr>
          <w:rFonts w:ascii="Arial" w:cs="Arial" w:eastAsia="Arial" w:hAnsi="Arial"/>
          <w:sz w:val="15"/>
          <w:szCs w:val="15"/>
          <w:b w:val="1"/>
          <w:bCs w:val="1"/>
          <w:color w:val="auto"/>
        </w:rPr>
        <w:t>​</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u w:val="single" w:color="auto"/>
          <w:color w:val="0000EE"/>
        </w:rPr>
        <w:t>11</w:t>
      </w:r>
      <w:r>
        <w:rPr>
          <w:rFonts w:ascii="Arial" w:cs="Arial" w:eastAsia="Arial" w:hAnsi="Arial"/>
          <w:sz w:val="15"/>
          <w:szCs w:val="15"/>
          <w:color w:val="auto"/>
        </w:rPr>
        <w:t xml:space="preserve"> </w:t>
      </w:r>
      <w:r>
        <w:rPr>
          <w:rFonts w:ascii="Arial" w:cs="Arial" w:eastAsia="Arial" w:hAnsi="Arial"/>
          <w:sz w:val="15"/>
          <w:szCs w:val="15"/>
          <w:b w:val="1"/>
          <w:bCs w:val="1"/>
          <w:color w:val="auto"/>
        </w:rPr>
        <w:t>​</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u w:val="single" w:color="auto"/>
          <w:color w:val="0000EE"/>
        </w:rPr>
        <w:t>13</w:t>
      </w:r>
      <w:r>
        <w:rPr>
          <w:rFonts w:ascii="Arial" w:cs="Arial" w:eastAsia="Arial" w:hAnsi="Arial"/>
          <w:sz w:val="15"/>
          <w:szCs w:val="15"/>
          <w:color w:val="auto"/>
        </w:rPr>
        <w:t xml:space="preserve"> </w:t>
      </w:r>
      <w:r>
        <w:rPr>
          <w:rFonts w:ascii="Arial" w:cs="Arial" w:eastAsia="Arial" w:hAnsi="Arial"/>
          <w:sz w:val="15"/>
          <w:szCs w:val="15"/>
          <w:b w:val="1"/>
          <w:bCs w:val="1"/>
          <w:color w:val="auto"/>
        </w:rPr>
        <w:t>​</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u w:val="single" w:color="auto"/>
          <w:color w:val="0000EE"/>
        </w:rPr>
        <w:t>15</w:t>
      </w:r>
      <w:r>
        <w:rPr>
          <w:rFonts w:ascii="Arial" w:cs="Arial" w:eastAsia="Arial" w:hAnsi="Arial"/>
          <w:sz w:val="15"/>
          <w:szCs w:val="15"/>
          <w:color w:val="auto"/>
        </w:rPr>
        <w:t xml:space="preserve"> </w:t>
      </w:r>
      <w:r>
        <w:rPr>
          <w:rFonts w:ascii="Arial" w:cs="Arial" w:eastAsia="Arial" w:hAnsi="Arial"/>
          <w:sz w:val="15"/>
          <w:szCs w:val="15"/>
          <w:b w:val="1"/>
          <w:bCs w:val="1"/>
          <w:color w:val="auto"/>
        </w:rPr>
        <w:t>​</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r>
        <w:rPr>
          <w:rFonts w:ascii="Arial" w:cs="Arial" w:eastAsia="Arial" w:hAnsi="Arial"/>
          <w:sz w:val="15"/>
          <w:szCs w:val="15"/>
          <w:u w:val="single" w:color="auto"/>
          <w:color w:val="0000EE"/>
        </w:rPr>
        <w:t>15</w:t>
      </w:r>
      <w:r>
        <w:rPr>
          <w:rFonts w:ascii="Arial" w:cs="Arial" w:eastAsia="Arial" w:hAnsi="Arial"/>
          <w:sz w:val="15"/>
          <w:szCs w:val="15"/>
          <w:color w:val="auto"/>
        </w:rPr>
        <w:t xml:space="preserve"> </w:t>
      </w:r>
      <w:r>
        <w:rPr>
          <w:rFonts w:ascii="Arial" w:cs="Arial" w:eastAsia="Arial" w:hAnsi="Arial"/>
          <w:sz w:val="15"/>
          <w:szCs w:val="15"/>
          <w:b w:val="1"/>
          <w:bCs w:val="1"/>
          <w:color w:val="auto"/>
        </w:rPr>
        <w:t>​</w:t>
      </w:r>
    </w:p>
    <w:p>
      <w:pPr>
        <w:spacing w:after="0" w:line="200" w:lineRule="exact"/>
        <w:rPr>
          <w:sz w:val="20"/>
          <w:szCs w:val="20"/>
          <w:color w:val="auto"/>
        </w:rPr>
      </w:pPr>
    </w:p>
    <w:p>
      <w:pPr>
        <w:sectPr>
          <w:pgSz w:w="11900" w:h="16838" w:orient="portrait"/>
          <w:cols w:equalWidth="0" w:num="2">
            <w:col w:w="6680" w:space="720"/>
            <w:col w:w="1619"/>
          </w:cols>
          <w:pgMar w:left="1440" w:top="134" w:right="1440" w:bottom="1440" w:gutter="0" w:footer="0" w:header="0"/>
        </w:sectPr>
      </w:pPr>
    </w:p>
    <w:p>
      <w:pPr>
        <w:spacing w:after="0" w:line="281" w:lineRule="exact"/>
        <w:rPr>
          <w:sz w:val="20"/>
          <w:szCs w:val="20"/>
          <w:color w:val="auto"/>
        </w:rPr>
      </w:pPr>
    </w:p>
    <w:p>
      <w:pPr>
        <w:ind w:left="1180" w:right="1239" w:firstLine="292"/>
        <w:spacing w:after="0" w:line="268" w:lineRule="auto"/>
        <w:rPr>
          <w:sz w:val="20"/>
          <w:szCs w:val="20"/>
          <w:color w:val="auto"/>
        </w:rPr>
      </w:pPr>
      <w:r>
        <w:rPr>
          <w:rFonts w:ascii="Arial" w:cs="Arial" w:eastAsia="Arial" w:hAnsi="Arial"/>
          <w:sz w:val="14"/>
          <w:szCs w:val="14"/>
          <w:b w:val="1"/>
          <w:bCs w:val="1"/>
          <w:color w:val="auto"/>
        </w:rPr>
        <w:t>In making your investment decision, you should rely only on the information contained in or incorporated by reference into this prospectus. We have not authorized anyone to provide you with additional or different information. If any other person provides you with additional, different or inconsistent information, you should not rely on it. This prospectus and any prospectus supplement hereto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w:t>
      </w:r>
    </w:p>
    <w:p>
      <w:pPr>
        <w:spacing w:after="0" w:line="90" w:lineRule="exact"/>
        <w:rPr>
          <w:sz w:val="20"/>
          <w:szCs w:val="20"/>
          <w:color w:val="auto"/>
        </w:rPr>
      </w:pPr>
    </w:p>
    <w:p>
      <w:pPr>
        <w:ind w:left="1180" w:right="1219" w:firstLine="292"/>
        <w:spacing w:after="0" w:line="291" w:lineRule="auto"/>
        <w:rPr>
          <w:sz w:val="20"/>
          <w:szCs w:val="20"/>
          <w:color w:val="auto"/>
        </w:rPr>
      </w:pPr>
      <w:r>
        <w:rPr>
          <w:rFonts w:ascii="Arial" w:cs="Arial" w:eastAsia="Arial" w:hAnsi="Arial"/>
          <w:sz w:val="13"/>
          <w:szCs w:val="13"/>
          <w:b w:val="1"/>
          <w:bCs w:val="1"/>
          <w:color w:val="auto"/>
        </w:rPr>
        <w:t>The information in this prospectus is not complete. You should not assume that the information contained in this prospectus is accurate as of any date other than the date on the front cover of this prospectus. You should not assume that the information contained in the documents incorporated by reference into this prospectus is accurate as of any date other than the respective dates of those documents. Our business, financial condition, results of operations and prospects may have changed since those dates.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3" w:name="page4"/>
    <w:bookmarkEnd w:id="3"/>
    <w:p>
      <w:pPr>
        <w:ind w:left="16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ABOUT THIS PROSPECTUS</w:t>
      </w:r>
    </w:p>
    <w:p>
      <w:pPr>
        <w:spacing w:after="0" w:line="128" w:lineRule="exact"/>
        <w:rPr>
          <w:sz w:val="20"/>
          <w:szCs w:val="20"/>
          <w:color w:val="auto"/>
        </w:rPr>
      </w:pPr>
    </w:p>
    <w:p>
      <w:pPr>
        <w:ind w:left="1180" w:right="1219" w:firstLine="292"/>
        <w:spacing w:after="0" w:line="265" w:lineRule="auto"/>
        <w:rPr>
          <w:sz w:val="20"/>
          <w:szCs w:val="20"/>
          <w:color w:val="auto"/>
        </w:rPr>
      </w:pPr>
      <w:r>
        <w:rPr>
          <w:rFonts w:ascii="Arial" w:cs="Arial" w:eastAsia="Arial" w:hAnsi="Arial"/>
          <w:sz w:val="14"/>
          <w:szCs w:val="14"/>
          <w:color w:val="auto"/>
        </w:rPr>
        <w:t>This prospectus is part of a registration statement on Form S-3 that we filed with the SEC utilizing a “shelf” registration process. Under this shelf registration process, we may, over time, offer and sell up to $938,900,000 in total aggregate offering price of our Class A shares in one or more offerings. This prospectus generally describes Plains GP Holdings, L.P. and the Class A shares. Each time we sell securities with this prospectus, we will provide you with a prospectus supplement that will contain specific information about the terms of that offering. Such prospectus supplements may add to,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 w:name="page5"/>
    <w:bookmarkEnd w:id="4"/>
    <w:p>
      <w:pPr>
        <w:ind w:left="16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MORE INFORMATION</w:t>
      </w:r>
    </w:p>
    <w:p>
      <w:pPr>
        <w:spacing w:after="0" w:line="128" w:lineRule="exact"/>
        <w:rPr>
          <w:sz w:val="20"/>
          <w:szCs w:val="20"/>
          <w:color w:val="auto"/>
        </w:rPr>
      </w:pPr>
    </w:p>
    <w:p>
      <w:pPr>
        <w:ind w:left="1180" w:right="1179" w:firstLine="292"/>
        <w:spacing w:after="0" w:line="266" w:lineRule="auto"/>
        <w:rPr>
          <w:sz w:val="20"/>
          <w:szCs w:val="20"/>
          <w:color w:val="auto"/>
        </w:rPr>
      </w:pPr>
      <w:r>
        <w:rPr>
          <w:rFonts w:ascii="Arial" w:cs="Arial" w:eastAsia="Arial" w:hAnsi="Arial"/>
          <w:sz w:val="14"/>
          <w:szCs w:val="14"/>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w:t>
      </w:r>
    </w:p>
    <w:p>
      <w:pPr>
        <w:spacing w:after="0" w:line="94" w:lineRule="exact"/>
        <w:rPr>
          <w:sz w:val="20"/>
          <w:szCs w:val="20"/>
          <w:color w:val="auto"/>
        </w:rPr>
      </w:pPr>
    </w:p>
    <w:p>
      <w:pPr>
        <w:ind w:left="1180" w:right="1219" w:firstLine="292"/>
        <w:spacing w:after="0" w:line="293" w:lineRule="auto"/>
        <w:rPr>
          <w:sz w:val="20"/>
          <w:szCs w:val="20"/>
          <w:color w:val="auto"/>
        </w:rPr>
      </w:pPr>
      <w:r>
        <w:rPr>
          <w:rFonts w:ascii="Arial" w:cs="Arial" w:eastAsia="Arial" w:hAnsi="Arial"/>
          <w:sz w:val="13"/>
          <w:szCs w:val="13"/>
          <w:color w:val="auto"/>
        </w:rPr>
        <w:t>We incorporate by reference the documents listed below and any future filings we make with the SEC under Section 13(a), 13(c), 14 or 15(d) of the Securities Exchange Act of 1934, as amended (the “Exchange Act”) (excluding, in each case, any information furnished rather than filed), including all such documents we may file with the SEC after the initial filing date of the registration statement of which this prospectus is a part and prior to the effectiveness of the registration statement and, following the effectiveness of the registration statement, until all offerings under this registration statement are completed or terminated:</w:t>
      </w:r>
    </w:p>
    <w:p>
      <w:pPr>
        <w:spacing w:after="0" w:line="45" w:lineRule="exact"/>
        <w:rPr>
          <w:sz w:val="20"/>
          <w:szCs w:val="20"/>
          <w:color w:val="auto"/>
        </w:rPr>
      </w:pPr>
    </w:p>
    <w:p>
      <w:pPr>
        <w:ind w:left="1600" w:hanging="137"/>
        <w:spacing w:after="0"/>
        <w:tabs>
          <w:tab w:leader="none" w:pos="1600" w:val="left"/>
        </w:tabs>
        <w:numPr>
          <w:ilvl w:val="0"/>
          <w:numId w:val="1"/>
        </w:numPr>
        <w:rPr>
          <w:rFonts w:ascii="Arial" w:cs="Arial" w:eastAsia="Arial" w:hAnsi="Arial"/>
          <w:sz w:val="15"/>
          <w:szCs w:val="15"/>
          <w:u w:val="single" w:color="auto"/>
          <w:color w:val="0000EE"/>
        </w:rPr>
      </w:pPr>
      <w:hyperlink r:id="rId27">
        <w:r>
          <w:rPr>
            <w:rFonts w:ascii="Arial" w:cs="Arial" w:eastAsia="Arial" w:hAnsi="Arial"/>
            <w:sz w:val="15"/>
            <w:szCs w:val="15"/>
            <w:u w:val="single" w:color="auto"/>
            <w:color w:val="0000EE"/>
          </w:rPr>
          <w:t>our Annual Report on Form 10-K for the year ended December 31, 2021;</w:t>
        </w:r>
      </w:hyperlink>
    </w:p>
    <w:p>
      <w:pPr>
        <w:spacing w:after="0" w:line="90" w:lineRule="exact"/>
        <w:rPr>
          <w:rFonts w:ascii="Arial" w:cs="Arial" w:eastAsia="Arial" w:hAnsi="Arial"/>
          <w:sz w:val="15"/>
          <w:szCs w:val="15"/>
          <w:u w:val="single" w:color="auto"/>
          <w:color w:val="0000EE"/>
        </w:rPr>
      </w:pPr>
    </w:p>
    <w:p>
      <w:pPr>
        <w:ind w:left="1600" w:right="1619" w:hanging="137"/>
        <w:spacing w:after="0" w:line="263" w:lineRule="auto"/>
        <w:tabs>
          <w:tab w:leader="none" w:pos="1600" w:val="left"/>
        </w:tabs>
        <w:numPr>
          <w:ilvl w:val="0"/>
          <w:numId w:val="1"/>
        </w:numPr>
        <w:rPr>
          <w:rFonts w:ascii="Arial" w:cs="Arial" w:eastAsia="Arial" w:hAnsi="Arial"/>
          <w:sz w:val="15"/>
          <w:szCs w:val="15"/>
          <w:color w:val="0000EE"/>
        </w:rPr>
      </w:pPr>
      <w:r>
        <w:rPr>
          <w:rFonts w:ascii="Arial" w:cs="Arial" w:eastAsia="Arial" w:hAnsi="Arial"/>
          <w:sz w:val="15"/>
          <w:szCs w:val="15"/>
          <w:color w:val="auto"/>
        </w:rPr>
        <w:t xml:space="preserve">our Quarterly Reports on Form 10-Q for the periods ended </w:t>
      </w:r>
      <w:hyperlink r:id="rId28">
        <w:r>
          <w:rPr>
            <w:rFonts w:ascii="Arial" w:cs="Arial" w:eastAsia="Arial" w:hAnsi="Arial"/>
            <w:sz w:val="15"/>
            <w:szCs w:val="15"/>
            <w:u w:val="single" w:color="auto"/>
            <w:color w:val="0000EE"/>
          </w:rPr>
          <w:t>March 31, 2022</w:t>
        </w:r>
      </w:hyperlink>
      <w:r>
        <w:rPr>
          <w:rFonts w:ascii="Arial" w:cs="Arial" w:eastAsia="Arial" w:hAnsi="Arial"/>
          <w:sz w:val="15"/>
          <w:szCs w:val="15"/>
          <w:color w:val="auto"/>
        </w:rPr>
        <w:t xml:space="preserve">, </w:t>
      </w:r>
      <w:hyperlink r:id="rId29">
        <w:r>
          <w:rPr>
            <w:rFonts w:ascii="Arial" w:cs="Arial" w:eastAsia="Arial" w:hAnsi="Arial"/>
            <w:sz w:val="15"/>
            <w:szCs w:val="15"/>
            <w:u w:val="single" w:color="auto"/>
            <w:color w:val="0000EE"/>
          </w:rPr>
          <w:t>June 30, 2022</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30">
        <w:r>
          <w:rPr>
            <w:rFonts w:ascii="Arial" w:cs="Arial" w:eastAsia="Arial" w:hAnsi="Arial"/>
            <w:sz w:val="15"/>
            <w:szCs w:val="15"/>
            <w:u w:val="single" w:color="auto"/>
            <w:color w:val="0000EE"/>
          </w:rPr>
          <w:t>September 30, 2022</w:t>
        </w:r>
      </w:hyperlink>
      <w:r>
        <w:rPr>
          <w:rFonts w:ascii="Arial" w:cs="Arial" w:eastAsia="Arial" w:hAnsi="Arial"/>
          <w:sz w:val="15"/>
          <w:szCs w:val="15"/>
          <w:color w:val="000000"/>
        </w:rPr>
        <w:t>;</w:t>
      </w:r>
    </w:p>
    <w:p>
      <w:pPr>
        <w:spacing w:after="0" w:line="60" w:lineRule="exact"/>
        <w:rPr>
          <w:rFonts w:ascii="Arial" w:cs="Arial" w:eastAsia="Arial" w:hAnsi="Arial"/>
          <w:sz w:val="15"/>
          <w:szCs w:val="15"/>
          <w:color w:val="0000EE"/>
        </w:rPr>
      </w:pPr>
    </w:p>
    <w:p>
      <w:pPr>
        <w:ind w:left="1600" w:right="1579" w:hanging="137"/>
        <w:spacing w:after="0" w:line="263" w:lineRule="auto"/>
        <w:tabs>
          <w:tab w:leader="none" w:pos="1600" w:val="left"/>
        </w:tabs>
        <w:numPr>
          <w:ilvl w:val="0"/>
          <w:numId w:val="1"/>
        </w:numPr>
        <w:rPr>
          <w:rFonts w:ascii="Arial" w:cs="Arial" w:eastAsia="Arial" w:hAnsi="Arial"/>
          <w:sz w:val="15"/>
          <w:szCs w:val="15"/>
          <w:color w:val="0000EE"/>
        </w:rPr>
      </w:pPr>
      <w:r>
        <w:rPr>
          <w:rFonts w:ascii="Arial" w:cs="Arial" w:eastAsia="Arial" w:hAnsi="Arial"/>
          <w:sz w:val="15"/>
          <w:szCs w:val="15"/>
          <w:color w:val="auto"/>
        </w:rPr>
        <w:t xml:space="preserve">our Current Reports on Form 8-K filed on </w:t>
      </w:r>
      <w:hyperlink r:id="rId31">
        <w:r>
          <w:rPr>
            <w:rFonts w:ascii="Arial" w:cs="Arial" w:eastAsia="Arial" w:hAnsi="Arial"/>
            <w:sz w:val="15"/>
            <w:szCs w:val="15"/>
            <w:u w:val="single" w:color="auto"/>
            <w:color w:val="0000EE"/>
          </w:rPr>
          <w:t>February 28, 2022</w:t>
        </w:r>
      </w:hyperlink>
      <w:r>
        <w:rPr>
          <w:rFonts w:ascii="Arial" w:cs="Arial" w:eastAsia="Arial" w:hAnsi="Arial"/>
          <w:sz w:val="15"/>
          <w:szCs w:val="15"/>
          <w:color w:val="auto"/>
        </w:rPr>
        <w:t xml:space="preserve">, </w:t>
      </w:r>
      <w:hyperlink r:id="rId32">
        <w:r>
          <w:rPr>
            <w:rFonts w:ascii="Arial" w:cs="Arial" w:eastAsia="Arial" w:hAnsi="Arial"/>
            <w:sz w:val="15"/>
            <w:szCs w:val="15"/>
            <w:u w:val="single" w:color="auto"/>
            <w:color w:val="0000EE"/>
          </w:rPr>
          <w:t>May 27, 2022</w:t>
        </w:r>
      </w:hyperlink>
      <w:r>
        <w:rPr>
          <w:rFonts w:ascii="Arial" w:cs="Arial" w:eastAsia="Arial" w:hAnsi="Arial"/>
          <w:sz w:val="15"/>
          <w:szCs w:val="15"/>
          <w:color w:val="auto"/>
        </w:rPr>
        <w:t xml:space="preserve">, </w:t>
      </w:r>
      <w:hyperlink r:id="rId33">
        <w:r>
          <w:rPr>
            <w:rFonts w:ascii="Arial" w:cs="Arial" w:eastAsia="Arial" w:hAnsi="Arial"/>
            <w:sz w:val="15"/>
            <w:szCs w:val="15"/>
            <w:u w:val="single" w:color="auto"/>
            <w:color w:val="0000EE"/>
          </w:rPr>
          <w:t>July 28, 2022</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34">
        <w:r>
          <w:rPr>
            <w:rFonts w:ascii="Arial" w:cs="Arial" w:eastAsia="Arial" w:hAnsi="Arial"/>
            <w:sz w:val="15"/>
            <w:szCs w:val="15"/>
            <w:u w:val="single" w:color="auto"/>
            <w:color w:val="0000EE"/>
          </w:rPr>
          <w:t>August 25, 2022</w:t>
        </w:r>
      </w:hyperlink>
      <w:r>
        <w:rPr>
          <w:rFonts w:ascii="Arial" w:cs="Arial" w:eastAsia="Arial" w:hAnsi="Arial"/>
          <w:sz w:val="15"/>
          <w:szCs w:val="15"/>
          <w:color w:val="000000"/>
        </w:rPr>
        <w:t>;</w:t>
      </w:r>
    </w:p>
    <w:p>
      <w:pPr>
        <w:spacing w:after="0" w:line="60" w:lineRule="exact"/>
        <w:rPr>
          <w:rFonts w:ascii="Arial" w:cs="Arial" w:eastAsia="Arial" w:hAnsi="Arial"/>
          <w:sz w:val="15"/>
          <w:szCs w:val="15"/>
          <w:color w:val="0000EE"/>
        </w:rPr>
      </w:pPr>
    </w:p>
    <w:p>
      <w:pPr>
        <w:ind w:left="1600" w:right="1199" w:hanging="137"/>
        <w:spacing w:after="0" w:line="253" w:lineRule="auto"/>
        <w:tabs>
          <w:tab w:leader="none" w:pos="1600" w:val="left"/>
        </w:tabs>
        <w:numPr>
          <w:ilvl w:val="0"/>
          <w:numId w:val="1"/>
        </w:numPr>
        <w:rPr>
          <w:rFonts w:ascii="Arial" w:cs="Arial" w:eastAsia="Arial" w:hAnsi="Arial"/>
          <w:sz w:val="15"/>
          <w:szCs w:val="15"/>
          <w:color w:val="0000EE"/>
        </w:rPr>
      </w:pPr>
      <w:hyperlink r:id="rId27">
        <w:r>
          <w:rPr>
            <w:rFonts w:ascii="Arial" w:cs="Arial" w:eastAsia="Arial" w:hAnsi="Arial"/>
            <w:sz w:val="15"/>
            <w:szCs w:val="15"/>
            <w:color w:val="auto"/>
          </w:rPr>
          <w:t xml:space="preserve">information specifically incorporated by reference into our </w:t>
        </w:r>
        <w:r>
          <w:rPr>
            <w:rFonts w:ascii="Arial" w:cs="Arial" w:eastAsia="Arial" w:hAnsi="Arial"/>
            <w:sz w:val="15"/>
            <w:szCs w:val="15"/>
            <w:u w:val="single" w:color="auto"/>
            <w:color w:val="0000EE"/>
          </w:rPr>
          <w:t>Annual Report on Form 10-K for the year</w:t>
        </w:r>
      </w:hyperlink>
      <w:r>
        <w:rPr>
          <w:rFonts w:ascii="Arial" w:cs="Arial" w:eastAsia="Arial" w:hAnsi="Arial"/>
          <w:sz w:val="15"/>
          <w:szCs w:val="15"/>
          <w:color w:val="auto"/>
        </w:rPr>
        <w:t xml:space="preserve"> </w:t>
      </w:r>
      <w:hyperlink r:id="rId35">
        <w:r>
          <w:rPr>
            <w:rFonts w:ascii="Arial" w:cs="Arial" w:eastAsia="Arial" w:hAnsi="Arial"/>
            <w:sz w:val="15"/>
            <w:szCs w:val="15"/>
            <w:u w:val="single" w:color="auto"/>
            <w:color w:val="0000EE"/>
          </w:rPr>
          <w:t>ended December 31, 2021</w:t>
        </w:r>
        <w:r>
          <w:rPr>
            <w:rFonts w:ascii="Arial" w:cs="Arial" w:eastAsia="Arial" w:hAnsi="Arial"/>
            <w:sz w:val="15"/>
            <w:szCs w:val="15"/>
            <w:color w:val="0000EE"/>
          </w:rPr>
          <w:t xml:space="preserve"> </w:t>
        </w:r>
        <w:r>
          <w:rPr>
            <w:rFonts w:ascii="Arial" w:cs="Arial" w:eastAsia="Arial" w:hAnsi="Arial"/>
            <w:sz w:val="15"/>
            <w:szCs w:val="15"/>
            <w:color w:val="000000"/>
          </w:rPr>
          <w:t>from our proxy statement, on</w:t>
        </w:r>
        <w:r>
          <w:rPr>
            <w:rFonts w:ascii="Arial" w:cs="Arial" w:eastAsia="Arial" w:hAnsi="Arial"/>
            <w:sz w:val="15"/>
            <w:szCs w:val="15"/>
            <w:color w:val="0000EE"/>
          </w:rPr>
          <w:t xml:space="preserve"> </w:t>
        </w:r>
        <w:r>
          <w:rPr>
            <w:rFonts w:ascii="Arial" w:cs="Arial" w:eastAsia="Arial" w:hAnsi="Arial"/>
            <w:sz w:val="15"/>
            <w:szCs w:val="15"/>
            <w:u w:val="single" w:color="auto"/>
            <w:color w:val="0000EE"/>
          </w:rPr>
          <w:t>Schedule 14A, filed with the SEC on</w:t>
        </w:r>
      </w:hyperlink>
      <w:r>
        <w:rPr>
          <w:rFonts w:ascii="Arial" w:cs="Arial" w:eastAsia="Arial" w:hAnsi="Arial"/>
          <w:sz w:val="15"/>
          <w:szCs w:val="15"/>
          <w:color w:val="0000EE"/>
        </w:rPr>
        <w:t xml:space="preserve"> </w:t>
      </w:r>
      <w:hyperlink r:id="rId35">
        <w:r>
          <w:rPr>
            <w:rFonts w:ascii="Arial" w:cs="Arial" w:eastAsia="Arial" w:hAnsi="Arial"/>
            <w:sz w:val="15"/>
            <w:szCs w:val="15"/>
            <w:u w:val="single" w:color="auto"/>
            <w:color w:val="0000EE"/>
          </w:rPr>
          <w:t>April 14, 2022</w:t>
        </w:r>
        <w:r>
          <w:rPr>
            <w:rFonts w:ascii="Arial" w:cs="Arial" w:eastAsia="Arial" w:hAnsi="Arial"/>
            <w:sz w:val="15"/>
            <w:szCs w:val="15"/>
            <w:color w:val="000000"/>
          </w:rPr>
          <w:t>; and</w:t>
        </w:r>
      </w:hyperlink>
    </w:p>
    <w:p>
      <w:pPr>
        <w:spacing w:after="0" w:line="68" w:lineRule="exact"/>
        <w:rPr>
          <w:rFonts w:ascii="Arial" w:cs="Arial" w:eastAsia="Arial" w:hAnsi="Arial"/>
          <w:sz w:val="15"/>
          <w:szCs w:val="15"/>
          <w:color w:val="0000EE"/>
        </w:rPr>
      </w:pPr>
    </w:p>
    <w:p>
      <w:pPr>
        <w:jc w:val="both"/>
        <w:ind w:left="1600" w:right="1339" w:hanging="137"/>
        <w:spacing w:after="0" w:line="253" w:lineRule="auto"/>
        <w:tabs>
          <w:tab w:leader="none" w:pos="1600" w:val="left"/>
        </w:tabs>
        <w:numPr>
          <w:ilvl w:val="0"/>
          <w:numId w:val="1"/>
        </w:numPr>
        <w:rPr>
          <w:rFonts w:ascii="Arial" w:cs="Arial" w:eastAsia="Arial" w:hAnsi="Arial"/>
          <w:sz w:val="15"/>
          <w:szCs w:val="15"/>
          <w:color w:val="0000EE"/>
        </w:rPr>
      </w:pPr>
      <w:hyperlink r:id="rId36">
        <w:r>
          <w:rPr>
            <w:rFonts w:ascii="Arial" w:cs="Arial" w:eastAsia="Arial" w:hAnsi="Arial"/>
            <w:sz w:val="15"/>
            <w:szCs w:val="15"/>
            <w:color w:val="auto"/>
          </w:rPr>
          <w:t xml:space="preserve">the description of our Class A shares contained in our </w:t>
        </w:r>
        <w:r>
          <w:rPr>
            <w:rFonts w:ascii="Arial" w:cs="Arial" w:eastAsia="Arial" w:hAnsi="Arial"/>
            <w:sz w:val="15"/>
            <w:szCs w:val="15"/>
            <w:u w:val="single" w:color="auto"/>
            <w:color w:val="0000EE"/>
          </w:rPr>
          <w:t>Registration Statement on Form 8-A/A, filed</w:t>
        </w:r>
      </w:hyperlink>
      <w:r>
        <w:rPr>
          <w:rFonts w:ascii="Arial" w:cs="Arial" w:eastAsia="Arial" w:hAnsi="Arial"/>
          <w:sz w:val="15"/>
          <w:szCs w:val="15"/>
          <w:color w:val="auto"/>
        </w:rPr>
        <w:t xml:space="preserve"> </w:t>
      </w:r>
      <w:hyperlink r:id="rId36">
        <w:r>
          <w:rPr>
            <w:rFonts w:ascii="Arial" w:cs="Arial" w:eastAsia="Arial" w:hAnsi="Arial"/>
            <w:sz w:val="15"/>
            <w:szCs w:val="15"/>
            <w:u w:val="single" w:color="auto"/>
            <w:color w:val="0000EE"/>
          </w:rPr>
          <w:t>on November 16, 2016</w:t>
        </w:r>
        <w:r>
          <w:rPr>
            <w:rFonts w:ascii="Arial" w:cs="Arial" w:eastAsia="Arial" w:hAnsi="Arial"/>
            <w:sz w:val="15"/>
            <w:szCs w:val="15"/>
            <w:color w:val="000000"/>
          </w:rPr>
          <w:t>,</w:t>
        </w:r>
        <w:r>
          <w:rPr>
            <w:rFonts w:ascii="Arial" w:cs="Arial" w:eastAsia="Arial" w:hAnsi="Arial"/>
            <w:sz w:val="15"/>
            <w:szCs w:val="15"/>
            <w:color w:val="0000EE"/>
          </w:rPr>
          <w:t xml:space="preserve"> </w:t>
        </w:r>
      </w:hyperlink>
      <w:hyperlink r:id="rId37">
        <w:r>
          <w:rPr>
            <w:rFonts w:ascii="Arial" w:cs="Arial" w:eastAsia="Arial" w:hAnsi="Arial"/>
            <w:sz w:val="15"/>
            <w:szCs w:val="15"/>
            <w:u w:val="single" w:color="auto"/>
            <w:color w:val="0000EE"/>
          </w:rPr>
          <w:t>Form 8-A, filed on December 11, 2020</w:t>
        </w:r>
      </w:hyperlink>
      <w:hyperlink r:id="rId36">
        <w:r>
          <w:rPr>
            <w:rFonts w:ascii="Arial" w:cs="Arial" w:eastAsia="Arial" w:hAnsi="Arial"/>
            <w:sz w:val="15"/>
            <w:szCs w:val="15"/>
            <w:color w:val="000000"/>
          </w:rPr>
          <w:t>, and any subsequent amendment or</w:t>
        </w:r>
      </w:hyperlink>
      <w:r>
        <w:rPr>
          <w:rFonts w:ascii="Arial" w:cs="Arial" w:eastAsia="Arial" w:hAnsi="Arial"/>
          <w:sz w:val="15"/>
          <w:szCs w:val="15"/>
          <w:color w:val="0000EE"/>
        </w:rPr>
        <w:t xml:space="preserve"> </w:t>
      </w:r>
      <w:r>
        <w:rPr>
          <w:rFonts w:ascii="Arial" w:cs="Arial" w:eastAsia="Arial" w:hAnsi="Arial"/>
          <w:sz w:val="15"/>
          <w:szCs w:val="15"/>
          <w:color w:val="000000"/>
        </w:rPr>
        <w:t>report filed for the purpose of updating such description.</w:t>
      </w:r>
    </w:p>
    <w:p>
      <w:pPr>
        <w:spacing w:after="0" w:line="91" w:lineRule="exact"/>
        <w:rPr>
          <w:rFonts w:ascii="Arial" w:cs="Arial" w:eastAsia="Arial" w:hAnsi="Arial"/>
          <w:sz w:val="15"/>
          <w:szCs w:val="15"/>
          <w:color w:val="0000EE"/>
        </w:rPr>
      </w:pPr>
    </w:p>
    <w:p>
      <w:pPr>
        <w:ind w:left="1180" w:right="1199" w:firstLine="292"/>
        <w:spacing w:after="0" w:line="253" w:lineRule="auto"/>
        <w:rPr>
          <w:sz w:val="20"/>
          <w:szCs w:val="20"/>
          <w:color w:val="auto"/>
        </w:rPr>
      </w:pPr>
      <w:r>
        <w:rPr>
          <w:rFonts w:ascii="Arial" w:cs="Arial" w:eastAsia="Arial" w:hAnsi="Arial"/>
          <w:sz w:val="15"/>
          <w:szCs w:val="15"/>
          <w:color w:val="auto"/>
        </w:rPr>
        <w:t>You may request a copy of any document incorporated by reference into this prospectus and any exhibit specifically incorporated by reference in those documents, at no cost, by writing or telephoning us at the following address or phone number:</w:t>
      </w:r>
    </w:p>
    <w:p>
      <w:pPr>
        <w:spacing w:after="0" w:line="101" w:lineRule="exact"/>
        <w:rPr>
          <w:rFonts w:ascii="Arial" w:cs="Arial" w:eastAsia="Arial" w:hAnsi="Arial"/>
          <w:sz w:val="15"/>
          <w:szCs w:val="15"/>
          <w:color w:val="0000EE"/>
        </w:rPr>
      </w:pPr>
    </w:p>
    <w:p>
      <w:pPr>
        <w:ind w:left="3720"/>
        <w:spacing w:after="0"/>
        <w:rPr>
          <w:sz w:val="20"/>
          <w:szCs w:val="20"/>
          <w:color w:val="auto"/>
        </w:rPr>
      </w:pPr>
      <w:r>
        <w:rPr>
          <w:rFonts w:ascii="Arial" w:cs="Arial" w:eastAsia="Arial" w:hAnsi="Arial"/>
          <w:sz w:val="15"/>
          <w:szCs w:val="15"/>
          <w:color w:val="auto"/>
        </w:rPr>
        <w:t>Plains GP Holdings, L.P.</w:t>
      </w:r>
    </w:p>
    <w:p>
      <w:pPr>
        <w:spacing w:after="0" w:line="14" w:lineRule="exact"/>
        <w:rPr>
          <w:rFonts w:ascii="Arial" w:cs="Arial" w:eastAsia="Arial" w:hAnsi="Arial"/>
          <w:sz w:val="15"/>
          <w:szCs w:val="15"/>
          <w:color w:val="0000EE"/>
        </w:rPr>
      </w:pPr>
    </w:p>
    <w:p>
      <w:pPr>
        <w:ind w:left="3920"/>
        <w:spacing w:after="0"/>
        <w:rPr>
          <w:sz w:val="20"/>
          <w:szCs w:val="20"/>
          <w:color w:val="auto"/>
        </w:rPr>
      </w:pPr>
      <w:r>
        <w:rPr>
          <w:rFonts w:ascii="Arial" w:cs="Arial" w:eastAsia="Arial" w:hAnsi="Arial"/>
          <w:sz w:val="15"/>
          <w:szCs w:val="15"/>
          <w:color w:val="auto"/>
        </w:rPr>
        <w:t>Investor Relations</w:t>
      </w:r>
    </w:p>
    <w:p>
      <w:pPr>
        <w:spacing w:after="0" w:line="3" w:lineRule="exact"/>
        <w:rPr>
          <w:rFonts w:ascii="Arial" w:cs="Arial" w:eastAsia="Arial" w:hAnsi="Arial"/>
          <w:sz w:val="15"/>
          <w:szCs w:val="15"/>
          <w:color w:val="0000EE"/>
        </w:rPr>
      </w:pPr>
    </w:p>
    <w:p>
      <w:pPr>
        <w:ind w:left="3640"/>
        <w:spacing w:after="0"/>
        <w:rPr>
          <w:sz w:val="20"/>
          <w:szCs w:val="20"/>
          <w:color w:val="auto"/>
        </w:rPr>
      </w:pPr>
      <w:r>
        <w:rPr>
          <w:rFonts w:ascii="Arial" w:cs="Arial" w:eastAsia="Arial" w:hAnsi="Arial"/>
          <w:sz w:val="15"/>
          <w:szCs w:val="15"/>
          <w:color w:val="auto"/>
        </w:rPr>
        <w:t>333 Clay Street, Suite 1600</w:t>
      </w:r>
    </w:p>
    <w:p>
      <w:pPr>
        <w:spacing w:after="0" w:line="3" w:lineRule="exact"/>
        <w:rPr>
          <w:rFonts w:ascii="Arial" w:cs="Arial" w:eastAsia="Arial" w:hAnsi="Arial"/>
          <w:sz w:val="15"/>
          <w:szCs w:val="15"/>
          <w:color w:val="0000EE"/>
        </w:rPr>
      </w:pPr>
    </w:p>
    <w:p>
      <w:pPr>
        <w:ind w:left="3800"/>
        <w:spacing w:after="0"/>
        <w:rPr>
          <w:sz w:val="20"/>
          <w:szCs w:val="20"/>
          <w:color w:val="auto"/>
        </w:rPr>
      </w:pPr>
      <w:r>
        <w:rPr>
          <w:rFonts w:ascii="Arial" w:cs="Arial" w:eastAsia="Arial" w:hAnsi="Arial"/>
          <w:sz w:val="15"/>
          <w:szCs w:val="15"/>
          <w:color w:val="auto"/>
        </w:rPr>
        <w:t>Houston, Texas 77002</w:t>
      </w:r>
    </w:p>
    <w:p>
      <w:pPr>
        <w:spacing w:after="0" w:line="3" w:lineRule="exact"/>
        <w:rPr>
          <w:rFonts w:ascii="Arial" w:cs="Arial" w:eastAsia="Arial" w:hAnsi="Arial"/>
          <w:sz w:val="15"/>
          <w:szCs w:val="15"/>
          <w:color w:val="0000EE"/>
        </w:rPr>
      </w:pPr>
    </w:p>
    <w:p>
      <w:pPr>
        <w:ind w:left="4020"/>
        <w:spacing w:after="0"/>
        <w:rPr>
          <w:sz w:val="20"/>
          <w:szCs w:val="20"/>
          <w:color w:val="auto"/>
        </w:rPr>
      </w:pPr>
      <w:r>
        <w:rPr>
          <w:rFonts w:ascii="Arial" w:cs="Arial" w:eastAsia="Arial" w:hAnsi="Arial"/>
          <w:sz w:val="15"/>
          <w:szCs w:val="15"/>
          <w:color w:val="auto"/>
        </w:rPr>
        <w:t>(713) 646-4100</w:t>
      </w:r>
    </w:p>
    <w:p>
      <w:pPr>
        <w:spacing w:after="0" w:line="113" w:lineRule="exact"/>
        <w:rPr>
          <w:rFonts w:ascii="Arial" w:cs="Arial" w:eastAsia="Arial" w:hAnsi="Arial"/>
          <w:sz w:val="15"/>
          <w:szCs w:val="15"/>
          <w:color w:val="0000EE"/>
        </w:rPr>
      </w:pPr>
    </w:p>
    <w:p>
      <w:pPr>
        <w:ind w:left="1180" w:right="1279" w:firstLine="292"/>
        <w:spacing w:after="0" w:line="247" w:lineRule="auto"/>
        <w:rPr>
          <w:sz w:val="20"/>
          <w:szCs w:val="20"/>
          <w:color w:val="auto"/>
        </w:rPr>
      </w:pPr>
      <w:r>
        <w:rPr>
          <w:rFonts w:ascii="Arial" w:cs="Arial" w:eastAsia="Arial" w:hAnsi="Arial"/>
          <w:sz w:val="15"/>
          <w:szCs w:val="15"/>
          <w:color w:val="auto"/>
        </w:rPr>
        <w:t xml:space="preserve">We file periodic reports, current reports, proxy statements and other information with the SEC. The SEC maintains an internet site that contains information we have filed electronically with the SEC, which you can access over the internet at </w:t>
      </w:r>
      <w:r>
        <w:rPr>
          <w:rFonts w:ascii="Arial" w:cs="Arial" w:eastAsia="Arial" w:hAnsi="Arial"/>
          <w:sz w:val="15"/>
          <w:szCs w:val="15"/>
          <w:i w:val="1"/>
          <w:iCs w:val="1"/>
          <w:color w:val="auto"/>
        </w:rPr>
        <w:t>http://www.sec.gov</w:t>
      </w:r>
      <w:r>
        <w:rPr>
          <w:rFonts w:ascii="Arial" w:cs="Arial" w:eastAsia="Arial" w:hAnsi="Arial"/>
          <w:sz w:val="15"/>
          <w:szCs w:val="15"/>
          <w:color w:val="auto"/>
        </w:rPr>
        <w:t xml:space="preserve">. Our SEC filings are also available free of charge on our website at </w:t>
      </w:r>
      <w:r>
        <w:rPr>
          <w:rFonts w:ascii="Arial" w:cs="Arial" w:eastAsia="Arial" w:hAnsi="Arial"/>
          <w:sz w:val="15"/>
          <w:szCs w:val="15"/>
          <w:i w:val="1"/>
          <w:iCs w:val="1"/>
          <w:color w:val="auto"/>
        </w:rPr>
        <w:t>www.plains.com</w:t>
      </w:r>
      <w:r>
        <w:rPr>
          <w:rFonts w:ascii="Arial" w:cs="Arial" w:eastAsia="Arial" w:hAnsi="Arial"/>
          <w:sz w:val="15"/>
          <w:szCs w:val="15"/>
          <w:color w:val="auto"/>
        </w:rPr>
        <w:t xml:space="preserve">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16" w:lineRule="exact"/>
        <w:rPr>
          <w:rFonts w:ascii="Arial" w:cs="Arial" w:eastAsia="Arial" w:hAnsi="Arial"/>
          <w:sz w:val="15"/>
          <w:szCs w:val="15"/>
          <w:color w:val="0000EE"/>
        </w:rPr>
      </w:pPr>
    </w:p>
    <w:p>
      <w:pPr>
        <w:jc w:val="center"/>
        <w:ind w:right="39"/>
        <w:spacing w:after="0"/>
        <w:rPr>
          <w:sz w:val="20"/>
          <w:szCs w:val="20"/>
          <w:color w:val="auto"/>
        </w:rPr>
      </w:pPr>
      <w:r>
        <w:rPr>
          <w:rFonts w:ascii="Arial" w:cs="Arial" w:eastAsia="Arial" w:hAnsi="Arial"/>
          <w:sz w:val="15"/>
          <w:szCs w:val="15"/>
          <w:color w:val="auto"/>
        </w:rPr>
        <w:t>iii</w:t>
      </w:r>
    </w:p>
    <w:p>
      <w:pPr>
        <w:spacing w:after="0" w:line="20" w:lineRule="exact"/>
        <w:rPr>
          <w:rFonts w:ascii="Arial" w:cs="Arial" w:eastAsia="Arial" w:hAnsi="Arial"/>
          <w:sz w:val="15"/>
          <w:szCs w:val="15"/>
          <w:color w:val="0000EE"/>
        </w:rPr>
      </w:pPr>
      <w:r>
        <w:rPr>
          <w:rFonts w:ascii="Arial" w:cs="Arial" w:eastAsia="Arial" w:hAnsi="Arial"/>
          <w:sz w:val="15"/>
          <w:szCs w:val="15"/>
          <w:color w:val="0000EE"/>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 w:name="page6"/>
    <w:bookmarkEnd w:id="5"/>
    <w:p>
      <w:pPr>
        <w:ind w:left="16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FORWARD-LOOKING STATEMENTS</w:t>
      </w:r>
    </w:p>
    <w:p>
      <w:pPr>
        <w:spacing w:after="0" w:line="128" w:lineRule="exact"/>
        <w:rPr>
          <w:sz w:val="20"/>
          <w:szCs w:val="20"/>
          <w:color w:val="auto"/>
        </w:rPr>
      </w:pPr>
    </w:p>
    <w:p>
      <w:pPr>
        <w:ind w:left="1180" w:right="1219" w:firstLine="292"/>
        <w:spacing w:after="0" w:line="266" w:lineRule="auto"/>
        <w:rPr>
          <w:sz w:val="20"/>
          <w:szCs w:val="20"/>
          <w:color w:val="auto"/>
        </w:rPr>
      </w:pPr>
      <w:r>
        <w:rPr>
          <w:rFonts w:ascii="Arial" w:cs="Arial" w:eastAsia="Arial" w:hAnsi="Arial"/>
          <w:sz w:val="14"/>
          <w:szCs w:val="14"/>
          <w:color w:val="auto"/>
        </w:rPr>
        <w:t>All statements included or incorporated by reference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61" w:lineRule="exact"/>
        <w:rPr>
          <w:sz w:val="20"/>
          <w:szCs w:val="20"/>
          <w:color w:val="auto"/>
        </w:rPr>
      </w:pPr>
    </w:p>
    <w:p>
      <w:pPr>
        <w:ind w:left="1600" w:hanging="137"/>
        <w:spacing w:after="0"/>
        <w:tabs>
          <w:tab w:leader="none" w:pos="1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pay distributions to our Class A shareholders;</w:t>
      </w:r>
    </w:p>
    <w:p>
      <w:pPr>
        <w:spacing w:after="0" w:line="101" w:lineRule="exact"/>
        <w:rPr>
          <w:rFonts w:ascii="Arial" w:cs="Arial" w:eastAsia="Arial" w:hAnsi="Arial"/>
          <w:sz w:val="15"/>
          <w:szCs w:val="15"/>
          <w:color w:val="auto"/>
        </w:rPr>
      </w:pPr>
    </w:p>
    <w:p>
      <w:pPr>
        <w:ind w:left="1600" w:hanging="137"/>
        <w:spacing w:after="0"/>
        <w:tabs>
          <w:tab w:leader="none" w:pos="1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expected receipt of, and amounts of, distributions from Plains AAP, L.P. (“AAP”);</w:t>
      </w:r>
    </w:p>
    <w:p>
      <w:pPr>
        <w:spacing w:after="0" w:line="90" w:lineRule="exact"/>
        <w:rPr>
          <w:rFonts w:ascii="Arial" w:cs="Arial" w:eastAsia="Arial" w:hAnsi="Arial"/>
          <w:sz w:val="15"/>
          <w:szCs w:val="15"/>
          <w:color w:val="auto"/>
        </w:rPr>
      </w:pPr>
    </w:p>
    <w:p>
      <w:pPr>
        <w:ind w:left="1600" w:right="1279" w:hanging="137"/>
        <w:spacing w:after="0" w:line="269" w:lineRule="auto"/>
        <w:tabs>
          <w:tab w:leader="none" w:pos="1600" w:val="left"/>
        </w:tabs>
        <w:numPr>
          <w:ilvl w:val="0"/>
          <w:numId w:val="2"/>
        </w:numPr>
        <w:rPr>
          <w:rFonts w:ascii="Arial" w:cs="Arial" w:eastAsia="Arial" w:hAnsi="Arial"/>
          <w:sz w:val="14"/>
          <w:szCs w:val="14"/>
          <w:color w:val="auto"/>
        </w:rPr>
      </w:pPr>
      <w:r>
        <w:rPr>
          <w:rFonts w:ascii="Arial" w:cs="Arial" w:eastAsia="Arial" w:hAnsi="Arial"/>
          <w:sz w:val="14"/>
          <w:szCs w:val="14"/>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57" w:lineRule="exact"/>
        <w:rPr>
          <w:rFonts w:ascii="Arial" w:cs="Arial" w:eastAsia="Arial" w:hAnsi="Arial"/>
          <w:sz w:val="14"/>
          <w:szCs w:val="14"/>
          <w:color w:val="auto"/>
        </w:rPr>
      </w:pPr>
    </w:p>
    <w:p>
      <w:pPr>
        <w:ind w:left="1600" w:right="1359" w:hanging="137"/>
        <w:spacing w:after="0" w:line="266" w:lineRule="auto"/>
        <w:tabs>
          <w:tab w:leader="none" w:pos="1600" w:val="left"/>
        </w:tabs>
        <w:numPr>
          <w:ilvl w:val="0"/>
          <w:numId w:val="2"/>
        </w:numPr>
        <w:rPr>
          <w:rFonts w:ascii="Arial" w:cs="Arial" w:eastAsia="Arial" w:hAnsi="Arial"/>
          <w:sz w:val="14"/>
          <w:szCs w:val="14"/>
          <w:color w:val="auto"/>
        </w:rPr>
      </w:pPr>
      <w:r>
        <w:rPr>
          <w:rFonts w:ascii="Arial" w:cs="Arial" w:eastAsia="Arial" w:hAnsi="Arial"/>
          <w:sz w:val="14"/>
          <w:szCs w:val="14"/>
          <w:color w:val="auto"/>
        </w:rPr>
        <w:t>declines in global crude oil demand and crude oil prices (whether due to the COVID-19 pandemic, future pandemics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60" w:lineRule="exact"/>
        <w:rPr>
          <w:rFonts w:ascii="Arial" w:cs="Arial" w:eastAsia="Arial" w:hAnsi="Arial"/>
          <w:sz w:val="14"/>
          <w:szCs w:val="14"/>
          <w:color w:val="auto"/>
        </w:rPr>
      </w:pPr>
    </w:p>
    <w:p>
      <w:pPr>
        <w:ind w:left="1600" w:right="1579" w:hanging="137"/>
        <w:spacing w:after="0" w:line="253" w:lineRule="auto"/>
        <w:tabs>
          <w:tab w:leader="none" w:pos="1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79" w:lineRule="exact"/>
        <w:rPr>
          <w:rFonts w:ascii="Arial" w:cs="Arial" w:eastAsia="Arial" w:hAnsi="Arial"/>
          <w:sz w:val="15"/>
          <w:szCs w:val="15"/>
          <w:color w:val="auto"/>
        </w:rPr>
      </w:pPr>
    </w:p>
    <w:p>
      <w:pPr>
        <w:ind w:left="1600" w:right="1399" w:hanging="137"/>
        <w:spacing w:after="0" w:line="263" w:lineRule="auto"/>
        <w:tabs>
          <w:tab w:leader="none" w:pos="1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unanticipated changes in crude oil and NGL market structure, grade differentials and volatility (or lack thereof);</w:t>
      </w:r>
    </w:p>
    <w:p>
      <w:pPr>
        <w:spacing w:after="0" w:line="60" w:lineRule="exact"/>
        <w:rPr>
          <w:rFonts w:ascii="Arial" w:cs="Arial" w:eastAsia="Arial" w:hAnsi="Arial"/>
          <w:sz w:val="15"/>
          <w:szCs w:val="15"/>
          <w:color w:val="auto"/>
        </w:rPr>
      </w:pPr>
    </w:p>
    <w:p>
      <w:pPr>
        <w:ind w:left="1600" w:right="1259" w:hanging="137"/>
        <w:spacing w:after="0" w:line="250" w:lineRule="auto"/>
        <w:tabs>
          <w:tab w:leader="none" w:pos="1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70" w:lineRule="exact"/>
        <w:rPr>
          <w:rFonts w:ascii="Arial" w:cs="Arial" w:eastAsia="Arial" w:hAnsi="Arial"/>
          <w:sz w:val="15"/>
          <w:szCs w:val="15"/>
          <w:color w:val="auto"/>
        </w:rPr>
      </w:pPr>
    </w:p>
    <w:p>
      <w:pPr>
        <w:ind w:left="1600" w:right="1419" w:hanging="137"/>
        <w:spacing w:after="0" w:line="253" w:lineRule="auto"/>
        <w:tabs>
          <w:tab w:leader="none" w:pos="1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68" w:lineRule="exact"/>
        <w:rPr>
          <w:rFonts w:ascii="Arial" w:cs="Arial" w:eastAsia="Arial" w:hAnsi="Arial"/>
          <w:sz w:val="15"/>
          <w:szCs w:val="15"/>
          <w:color w:val="auto"/>
        </w:rPr>
      </w:pPr>
    </w:p>
    <w:p>
      <w:pPr>
        <w:ind w:left="1600" w:right="1219" w:hanging="137"/>
        <w:spacing w:after="0" w:line="263" w:lineRule="auto"/>
        <w:tabs>
          <w:tab w:leader="none" w:pos="1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environmental liabilities, litigation or other events that are not covered by an indemnity, insurance or existing reserves;</w:t>
      </w:r>
    </w:p>
    <w:p>
      <w:pPr>
        <w:spacing w:after="0" w:line="71" w:lineRule="exact"/>
        <w:rPr>
          <w:rFonts w:ascii="Arial" w:cs="Arial" w:eastAsia="Arial" w:hAnsi="Arial"/>
          <w:sz w:val="15"/>
          <w:szCs w:val="15"/>
          <w:color w:val="auto"/>
        </w:rPr>
      </w:pPr>
    </w:p>
    <w:p>
      <w:pPr>
        <w:ind w:left="1600" w:right="1259" w:hanging="137"/>
        <w:spacing w:after="0" w:line="253" w:lineRule="auto"/>
        <w:tabs>
          <w:tab w:leader="none" w:pos="1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8" w:lineRule="exact"/>
        <w:rPr>
          <w:rFonts w:ascii="Arial" w:cs="Arial" w:eastAsia="Arial" w:hAnsi="Arial"/>
          <w:sz w:val="15"/>
          <w:szCs w:val="15"/>
          <w:color w:val="auto"/>
        </w:rPr>
      </w:pPr>
    </w:p>
    <w:p>
      <w:pPr>
        <w:ind w:left="1600" w:right="1679" w:hanging="137"/>
        <w:spacing w:after="0" w:line="263" w:lineRule="auto"/>
        <w:tabs>
          <w:tab w:leader="none" w:pos="1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weather interference with business operations or project construction, including the impact of extreme weather events or conditions;</w:t>
      </w:r>
    </w:p>
    <w:p>
      <w:pPr>
        <w:spacing w:after="0" w:line="60" w:lineRule="exact"/>
        <w:rPr>
          <w:rFonts w:ascii="Arial" w:cs="Arial" w:eastAsia="Arial" w:hAnsi="Arial"/>
          <w:sz w:val="15"/>
          <w:szCs w:val="15"/>
          <w:color w:val="auto"/>
        </w:rPr>
      </w:pPr>
    </w:p>
    <w:p>
      <w:pPr>
        <w:jc w:val="both"/>
        <w:ind w:left="1600" w:right="1519" w:hanging="137"/>
        <w:spacing w:after="0" w:line="340" w:lineRule="auto"/>
        <w:tabs>
          <w:tab w:leader="none" w:pos="1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impact of current and future laws, rulings, governmental regulations, executive orders, trade policies, accounting standards and statements, and related interpretations, including legislation,</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 w:name="page7"/>
    <w:bookmarkEnd w:id="6"/>
    <w:p>
      <w:pPr>
        <w:ind w:left="16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600" w:right="1219"/>
        <w:spacing w:after="0" w:line="253" w:lineRule="auto"/>
        <w:rPr>
          <w:sz w:val="20"/>
          <w:szCs w:val="20"/>
          <w:color w:val="auto"/>
        </w:rPr>
      </w:pPr>
      <w:r>
        <w:rPr>
          <w:rFonts w:ascii="Arial" w:cs="Arial" w:eastAsia="Arial" w:hAnsi="Arial"/>
          <w:sz w:val="15"/>
          <w:szCs w:val="15"/>
          <w:color w:val="auto"/>
        </w:rPr>
        <w:t>executive orders or regulatory initiatives that prohibit, restrict or regulate hydraulic fracturing or that prohibit the development of oil and gas resources and the related infrastructure on lands dedicated to or served by our pipelines;</w:t>
      </w:r>
    </w:p>
    <w:p>
      <w:pPr>
        <w:spacing w:after="0" w:line="80" w:lineRule="exact"/>
        <w:rPr>
          <w:sz w:val="20"/>
          <w:szCs w:val="20"/>
          <w:color w:val="auto"/>
        </w:rPr>
      </w:pPr>
    </w:p>
    <w:p>
      <w:pPr>
        <w:ind w:left="1600" w:hanging="137"/>
        <w:spacing w:after="0"/>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loss of key personnel and inability to attract and retain new talent;</w:t>
      </w:r>
    </w:p>
    <w:p>
      <w:pPr>
        <w:spacing w:after="0" w:line="90" w:lineRule="exact"/>
        <w:rPr>
          <w:rFonts w:ascii="Arial" w:cs="Arial" w:eastAsia="Arial" w:hAnsi="Arial"/>
          <w:sz w:val="15"/>
          <w:szCs w:val="15"/>
          <w:color w:val="auto"/>
        </w:rPr>
      </w:pPr>
    </w:p>
    <w:p>
      <w:pPr>
        <w:ind w:left="1600" w:right="1359" w:hanging="137"/>
        <w:spacing w:after="0" w:line="263" w:lineRule="auto"/>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disruptions to futures markets for crude oil, NGL and other petroleum products, which may impair our ability to execute our commercial or hedging strategies;</w:t>
      </w:r>
    </w:p>
    <w:p>
      <w:pPr>
        <w:spacing w:after="0" w:line="60" w:lineRule="exact"/>
        <w:rPr>
          <w:rFonts w:ascii="Arial" w:cs="Arial" w:eastAsia="Arial" w:hAnsi="Arial"/>
          <w:sz w:val="15"/>
          <w:szCs w:val="15"/>
          <w:color w:val="auto"/>
        </w:rPr>
      </w:pPr>
    </w:p>
    <w:p>
      <w:pPr>
        <w:ind w:left="1600" w:hanging="137"/>
        <w:spacing w:after="0"/>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effectiveness of our risk management activities;</w:t>
      </w:r>
    </w:p>
    <w:p>
      <w:pPr>
        <w:spacing w:after="0" w:line="90" w:lineRule="exact"/>
        <w:rPr>
          <w:rFonts w:ascii="Arial" w:cs="Arial" w:eastAsia="Arial" w:hAnsi="Arial"/>
          <w:sz w:val="15"/>
          <w:szCs w:val="15"/>
          <w:color w:val="auto"/>
        </w:rPr>
      </w:pPr>
    </w:p>
    <w:p>
      <w:pPr>
        <w:ind w:left="1600" w:hanging="137"/>
        <w:spacing w:after="0"/>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shortages or cost increases of supplies, materials or labor;</w:t>
      </w:r>
    </w:p>
    <w:p>
      <w:pPr>
        <w:spacing w:after="0" w:line="90" w:lineRule="exact"/>
        <w:rPr>
          <w:rFonts w:ascii="Arial" w:cs="Arial" w:eastAsia="Arial" w:hAnsi="Arial"/>
          <w:sz w:val="15"/>
          <w:szCs w:val="15"/>
          <w:color w:val="auto"/>
        </w:rPr>
      </w:pPr>
    </w:p>
    <w:p>
      <w:pPr>
        <w:ind w:left="1600" w:right="1199" w:hanging="137"/>
        <w:spacing w:after="0" w:line="263" w:lineRule="auto"/>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maintenance of Plains All American Pipeline, L.P.’s (“PAA”) credit rating and ability to receive open credit from our suppliers and trade counterparties;</w:t>
      </w:r>
    </w:p>
    <w:p>
      <w:pPr>
        <w:spacing w:after="0" w:line="60" w:lineRule="exact"/>
        <w:rPr>
          <w:rFonts w:ascii="Arial" w:cs="Arial" w:eastAsia="Arial" w:hAnsi="Arial"/>
          <w:sz w:val="15"/>
          <w:szCs w:val="15"/>
          <w:color w:val="auto"/>
        </w:rPr>
      </w:pPr>
    </w:p>
    <w:p>
      <w:pPr>
        <w:ind w:left="1600" w:right="1499" w:hanging="137"/>
        <w:spacing w:after="0" w:line="311" w:lineRule="auto"/>
        <w:tabs>
          <w:tab w:leader="none" w:pos="1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43" w:lineRule="exact"/>
        <w:rPr>
          <w:rFonts w:ascii="Arial" w:cs="Arial" w:eastAsia="Arial" w:hAnsi="Arial"/>
          <w:sz w:val="13"/>
          <w:szCs w:val="13"/>
          <w:color w:val="auto"/>
        </w:rPr>
      </w:pPr>
    </w:p>
    <w:p>
      <w:pPr>
        <w:ind w:left="1600" w:right="1179" w:hanging="137"/>
        <w:spacing w:after="0" w:line="253" w:lineRule="auto"/>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68" w:lineRule="exact"/>
        <w:rPr>
          <w:rFonts w:ascii="Arial" w:cs="Arial" w:eastAsia="Arial" w:hAnsi="Arial"/>
          <w:sz w:val="15"/>
          <w:szCs w:val="15"/>
          <w:color w:val="auto"/>
        </w:rPr>
      </w:pPr>
    </w:p>
    <w:p>
      <w:pPr>
        <w:ind w:left="1600" w:right="1339" w:hanging="137"/>
        <w:spacing w:after="0" w:line="263" w:lineRule="auto"/>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availability of, and our ability to consummate, divestitures, joint ventures, acquisitions or other strategic opportunities;</w:t>
      </w:r>
    </w:p>
    <w:p>
      <w:pPr>
        <w:spacing w:after="0" w:line="60" w:lineRule="exact"/>
        <w:rPr>
          <w:rFonts w:ascii="Arial" w:cs="Arial" w:eastAsia="Arial" w:hAnsi="Arial"/>
          <w:sz w:val="15"/>
          <w:szCs w:val="15"/>
          <w:color w:val="auto"/>
        </w:rPr>
      </w:pPr>
    </w:p>
    <w:p>
      <w:pPr>
        <w:ind w:left="1600" w:right="1299" w:hanging="137"/>
        <w:spacing w:after="0" w:line="269" w:lineRule="auto"/>
        <w:tabs>
          <w:tab w:leader="none" w:pos="16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57" w:lineRule="exact"/>
        <w:rPr>
          <w:rFonts w:ascii="Arial" w:cs="Arial" w:eastAsia="Arial" w:hAnsi="Arial"/>
          <w:sz w:val="14"/>
          <w:szCs w:val="14"/>
          <w:color w:val="auto"/>
        </w:rPr>
      </w:pPr>
    </w:p>
    <w:p>
      <w:pPr>
        <w:ind w:left="1600" w:right="1339" w:hanging="137"/>
        <w:spacing w:after="0" w:line="250" w:lineRule="auto"/>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70" w:lineRule="exact"/>
        <w:rPr>
          <w:rFonts w:ascii="Arial" w:cs="Arial" w:eastAsia="Arial" w:hAnsi="Arial"/>
          <w:sz w:val="15"/>
          <w:szCs w:val="15"/>
          <w:color w:val="auto"/>
        </w:rPr>
      </w:pPr>
    </w:p>
    <w:p>
      <w:pPr>
        <w:ind w:left="1600" w:right="1299" w:hanging="137"/>
        <w:spacing w:after="0" w:line="263" w:lineRule="auto"/>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incurrence of costs and expenses related to unexpected or unplanned capital expenditures, third-party claims or other factors;</w:t>
      </w:r>
    </w:p>
    <w:p>
      <w:pPr>
        <w:spacing w:after="0" w:line="60" w:lineRule="exact"/>
        <w:rPr>
          <w:rFonts w:ascii="Arial" w:cs="Arial" w:eastAsia="Arial" w:hAnsi="Arial"/>
          <w:sz w:val="15"/>
          <w:szCs w:val="15"/>
          <w:color w:val="auto"/>
        </w:rPr>
      </w:pPr>
    </w:p>
    <w:p>
      <w:pPr>
        <w:ind w:left="1600" w:right="1379" w:hanging="137"/>
        <w:spacing w:after="0" w:line="263" w:lineRule="auto"/>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to implement or capitalize, or delays in implementing or capitalizing, on investment capital projects, whether due to permitting delays, permitting withdrawals or other factors;</w:t>
      </w:r>
    </w:p>
    <w:p>
      <w:pPr>
        <w:spacing w:after="0" w:line="60" w:lineRule="exact"/>
        <w:rPr>
          <w:rFonts w:ascii="Arial" w:cs="Arial" w:eastAsia="Arial" w:hAnsi="Arial"/>
          <w:sz w:val="15"/>
          <w:szCs w:val="15"/>
          <w:color w:val="auto"/>
        </w:rPr>
      </w:pPr>
    </w:p>
    <w:p>
      <w:pPr>
        <w:ind w:left="1600" w:right="1479" w:hanging="137"/>
        <w:spacing w:after="0" w:line="263" w:lineRule="auto"/>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amplification of other risks caused by volatile financial markets, capital constraints, liquidity concerns and inflation;</w:t>
      </w:r>
    </w:p>
    <w:p>
      <w:pPr>
        <w:spacing w:after="0" w:line="60" w:lineRule="exact"/>
        <w:rPr>
          <w:rFonts w:ascii="Arial" w:cs="Arial" w:eastAsia="Arial" w:hAnsi="Arial"/>
          <w:sz w:val="15"/>
          <w:szCs w:val="15"/>
          <w:color w:val="auto"/>
        </w:rPr>
      </w:pPr>
    </w:p>
    <w:p>
      <w:pPr>
        <w:ind w:left="1600" w:right="1479" w:hanging="137"/>
        <w:spacing w:after="0" w:line="263" w:lineRule="auto"/>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use or availability of third-party assets upon which our operations depend and over which we have little or no control;</w:t>
      </w:r>
    </w:p>
    <w:p>
      <w:pPr>
        <w:spacing w:after="0" w:line="71" w:lineRule="exact"/>
        <w:rPr>
          <w:rFonts w:ascii="Arial" w:cs="Arial" w:eastAsia="Arial" w:hAnsi="Arial"/>
          <w:sz w:val="15"/>
          <w:szCs w:val="15"/>
          <w:color w:val="auto"/>
        </w:rPr>
      </w:pPr>
    </w:p>
    <w:p>
      <w:pPr>
        <w:ind w:left="1600" w:hanging="137"/>
        <w:spacing w:after="0"/>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currency exchange rate of the Canadian dollar to the United States dollar;</w:t>
      </w:r>
    </w:p>
    <w:p>
      <w:pPr>
        <w:spacing w:after="0" w:line="90" w:lineRule="exact"/>
        <w:rPr>
          <w:rFonts w:ascii="Arial" w:cs="Arial" w:eastAsia="Arial" w:hAnsi="Arial"/>
          <w:sz w:val="15"/>
          <w:szCs w:val="15"/>
          <w:color w:val="auto"/>
        </w:rPr>
      </w:pPr>
    </w:p>
    <w:p>
      <w:pPr>
        <w:jc w:val="both"/>
        <w:ind w:left="1600" w:right="1359" w:hanging="137"/>
        <w:spacing w:after="0" w:line="253" w:lineRule="auto"/>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recognize current revenue attributable to deficiency payments received from customers who fail to ship or move more than minimum contracted volumes until the related credits expire or are used;</w:t>
      </w:r>
    </w:p>
    <w:p>
      <w:pPr>
        <w:spacing w:after="0" w:line="68" w:lineRule="exact"/>
        <w:rPr>
          <w:rFonts w:ascii="Arial" w:cs="Arial" w:eastAsia="Arial" w:hAnsi="Arial"/>
          <w:sz w:val="15"/>
          <w:szCs w:val="15"/>
          <w:color w:val="auto"/>
        </w:rPr>
      </w:pPr>
    </w:p>
    <w:p>
      <w:pPr>
        <w:ind w:left="1600" w:hanging="137"/>
        <w:spacing w:after="0"/>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significant under-utilization of our assets and facilities;</w:t>
      </w:r>
    </w:p>
    <w:p>
      <w:pPr>
        <w:spacing w:after="0" w:line="90" w:lineRule="exact"/>
        <w:rPr>
          <w:rFonts w:ascii="Arial" w:cs="Arial" w:eastAsia="Arial" w:hAnsi="Arial"/>
          <w:sz w:val="15"/>
          <w:szCs w:val="15"/>
          <w:color w:val="auto"/>
        </w:rPr>
      </w:pPr>
    </w:p>
    <w:p>
      <w:pPr>
        <w:ind w:left="1600" w:hanging="137"/>
        <w:spacing w:after="0"/>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increased costs, or lack of availability, of insurance;</w:t>
      </w:r>
    </w:p>
    <w:p>
      <w:pPr>
        <w:spacing w:after="0" w:line="90" w:lineRule="exact"/>
        <w:rPr>
          <w:rFonts w:ascii="Arial" w:cs="Arial" w:eastAsia="Arial" w:hAnsi="Arial"/>
          <w:sz w:val="15"/>
          <w:szCs w:val="15"/>
          <w:color w:val="auto"/>
        </w:rPr>
      </w:pPr>
    </w:p>
    <w:p>
      <w:pPr>
        <w:ind w:left="1600" w:right="1299" w:hanging="137"/>
        <w:spacing w:after="0" w:line="263" w:lineRule="auto"/>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fluctuations in the debt and equity markets, including the price of PAA’s units at the time of vesting under its long-term incentive plans;</w:t>
      </w:r>
    </w:p>
    <w:p>
      <w:pPr>
        <w:spacing w:after="0" w:line="60" w:lineRule="exact"/>
        <w:rPr>
          <w:rFonts w:ascii="Arial" w:cs="Arial" w:eastAsia="Arial" w:hAnsi="Arial"/>
          <w:sz w:val="15"/>
          <w:szCs w:val="15"/>
          <w:color w:val="auto"/>
        </w:rPr>
      </w:pPr>
    </w:p>
    <w:p>
      <w:pPr>
        <w:ind w:left="1600" w:hanging="137"/>
        <w:spacing w:after="0"/>
        <w:tabs>
          <w:tab w:leader="none" w:pos="1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risks related to the development and operation of our assets; and</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 w:name="page8"/>
    <w:bookmarkEnd w:id="7"/>
    <w:p>
      <w:pPr>
        <w:ind w:left="16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600" w:right="1299" w:hanging="137"/>
        <w:spacing w:after="0" w:line="340" w:lineRule="auto"/>
        <w:tabs>
          <w:tab w:leader="none" w:pos="1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other factors and uncertainties inherent in the transportation, storage, terminalling and marketing of crude oil, as well as in the processing, transportation, fractionation, storage and marketing of NGL.</w:t>
      </w:r>
    </w:p>
    <w:p>
      <w:pPr>
        <w:spacing w:after="0" w:line="48" w:lineRule="exact"/>
        <w:rPr>
          <w:sz w:val="20"/>
          <w:szCs w:val="20"/>
          <w:color w:val="auto"/>
        </w:rPr>
      </w:pPr>
    </w:p>
    <w:p>
      <w:pPr>
        <w:ind w:left="1180" w:right="1239" w:firstLine="292"/>
        <w:spacing w:after="0" w:line="267" w:lineRule="auto"/>
        <w:rPr>
          <w:rFonts w:ascii="Arial" w:cs="Arial" w:eastAsia="Arial" w:hAnsi="Arial"/>
          <w:sz w:val="14"/>
          <w:szCs w:val="14"/>
          <w:color w:val="0000EE"/>
        </w:rPr>
      </w:pPr>
      <w:r>
        <w:rPr>
          <w:rFonts w:ascii="Arial" w:cs="Arial" w:eastAsia="Arial" w:hAnsi="Arial"/>
          <w:sz w:val="14"/>
          <w:szCs w:val="14"/>
          <w:color w:val="auto"/>
        </w:rPr>
        <w:t xml:space="preserve">Other factors described herein or incorporated by reference, as well as factors that are unknown or unpredictable, could also have a material adverse effect on future results. Please read “Risk Factors” </w:t>
      </w:r>
      <w:hyperlink r:id="rId27">
        <w:r>
          <w:rPr>
            <w:rFonts w:ascii="Arial" w:cs="Arial" w:eastAsia="Arial" w:hAnsi="Arial"/>
            <w:sz w:val="14"/>
            <w:szCs w:val="14"/>
            <w:color w:val="auto"/>
          </w:rPr>
          <w:t xml:space="preserve">beginning on page 2 of this prospectus and in Item 1A. “Risk Factors” in our </w:t>
        </w:r>
        <w:r>
          <w:rPr>
            <w:rFonts w:ascii="Arial" w:cs="Arial" w:eastAsia="Arial" w:hAnsi="Arial"/>
            <w:sz w:val="14"/>
            <w:szCs w:val="14"/>
            <w:u w:val="single" w:color="auto"/>
            <w:color w:val="0000EE"/>
          </w:rPr>
          <w:t>Annual Report on Form 10-K</w:t>
        </w:r>
      </w:hyperlink>
      <w:r>
        <w:rPr>
          <w:rFonts w:ascii="Arial" w:cs="Arial" w:eastAsia="Arial" w:hAnsi="Arial"/>
          <w:sz w:val="14"/>
          <w:szCs w:val="14"/>
          <w:color w:val="auto"/>
        </w:rPr>
        <w:t xml:space="preserve"> </w:t>
      </w:r>
      <w:hyperlink r:id="rId27">
        <w:r>
          <w:rPr>
            <w:rFonts w:ascii="Arial" w:cs="Arial" w:eastAsia="Arial" w:hAnsi="Arial"/>
            <w:sz w:val="14"/>
            <w:szCs w:val="14"/>
            <w:u w:val="single" w:color="auto"/>
            <w:color w:val="0000EE"/>
          </w:rPr>
          <w:t>for the year ended December 31, 2021 (File No. 001-36132)</w:t>
        </w:r>
        <w:r>
          <w:rPr>
            <w:rFonts w:ascii="Arial" w:cs="Arial" w:eastAsia="Arial" w:hAnsi="Arial"/>
            <w:sz w:val="14"/>
            <w:szCs w:val="14"/>
            <w:color w:val="0000EE"/>
          </w:rPr>
          <w:t xml:space="preserve"> </w:t>
        </w:r>
        <w:r>
          <w:rPr>
            <w:rFonts w:ascii="Arial" w:cs="Arial" w:eastAsia="Arial" w:hAnsi="Arial"/>
            <w:sz w:val="14"/>
            <w:szCs w:val="14"/>
            <w:color w:val="000000"/>
          </w:rPr>
          <w:t>and in any subsequent Quarterly Report on</w:t>
        </w:r>
      </w:hyperlink>
      <w:r>
        <w:rPr>
          <w:rFonts w:ascii="Arial" w:cs="Arial" w:eastAsia="Arial" w:hAnsi="Arial"/>
          <w:sz w:val="14"/>
          <w:szCs w:val="14"/>
          <w:color w:val="0000EE"/>
        </w:rPr>
        <w:t xml:space="preserve"> </w:t>
      </w:r>
      <w:r>
        <w:rPr>
          <w:rFonts w:ascii="Arial" w:cs="Arial" w:eastAsia="Arial" w:hAnsi="Arial"/>
          <w:sz w:val="14"/>
          <w:szCs w:val="14"/>
          <w:color w:val="000000"/>
        </w:rPr>
        <w:t>Form 10-Q, which are incorporated into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ind w:left="16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ABOUT PLAINS GP HOLDINGS, L.P.</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Overview</w:t>
      </w:r>
    </w:p>
    <w:p>
      <w:pPr>
        <w:spacing w:after="0" w:line="128" w:lineRule="exact"/>
        <w:rPr>
          <w:sz w:val="20"/>
          <w:szCs w:val="20"/>
          <w:color w:val="auto"/>
        </w:rPr>
      </w:pPr>
    </w:p>
    <w:p>
      <w:pPr>
        <w:ind w:left="1180" w:right="1199" w:firstLine="292"/>
        <w:spacing w:after="0" w:line="250" w:lineRule="auto"/>
        <w:rPr>
          <w:sz w:val="20"/>
          <w:szCs w:val="20"/>
          <w:color w:val="auto"/>
        </w:rPr>
      </w:pPr>
      <w:r>
        <w:rPr>
          <w:rFonts w:ascii="Arial" w:cs="Arial" w:eastAsia="Arial" w:hAnsi="Arial"/>
          <w:sz w:val="15"/>
          <w:szCs w:val="15"/>
          <w:color w:val="auto"/>
        </w:rPr>
        <w:t>We are a Delaware limited partnership formed in July 2013 that has elected to be taxed as a corporation for U.S. federal income tax purposes. We do not directly own any operating assets; as of September 30, 2022, our principal sources of cash flow are derived from an indirect investment in PAA, a publicly traded Delaware limited partnership.</w:t>
      </w:r>
    </w:p>
    <w:p>
      <w:pPr>
        <w:spacing w:after="0" w:line="104" w:lineRule="exact"/>
        <w:rPr>
          <w:sz w:val="20"/>
          <w:szCs w:val="20"/>
          <w:color w:val="auto"/>
        </w:rPr>
      </w:pPr>
    </w:p>
    <w:p>
      <w:pPr>
        <w:ind w:left="1180" w:right="1219" w:firstLine="292"/>
        <w:spacing w:after="0" w:line="246" w:lineRule="auto"/>
        <w:rPr>
          <w:sz w:val="20"/>
          <w:szCs w:val="20"/>
          <w:color w:val="auto"/>
        </w:rPr>
      </w:pPr>
      <w:r>
        <w:rPr>
          <w:rFonts w:ascii="Arial" w:cs="Arial" w:eastAsia="Arial" w:hAnsi="Arial"/>
          <w:sz w:val="15"/>
          <w:szCs w:val="15"/>
          <w:color w:val="auto"/>
        </w:rPr>
        <w:t>As of September 30, 2022, we owned (i) a 100% managing member interest in Plains All American GP LLC (“GP LLC”), an entity that has also elected to be taxed as a corporation for U.S. federal income tax purposes, and (ii) an approximate 81% limited partner interest in AAP through our direct ownership of approximately 193.3 million Class A units of AAP (“AAP Class A units”) and indirect ownership of approximately 1.0 million AAP Class A units through GP LLC, which also holds the non-economic general partner interest in AAP. As of September 30, 2022, AAP directly owned a limited partner interest in PAA through its ownership of approximately 241.5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96" w:lineRule="exact"/>
        <w:rPr>
          <w:sz w:val="20"/>
          <w:szCs w:val="20"/>
          <w:color w:val="auto"/>
        </w:rPr>
      </w:pPr>
    </w:p>
    <w:p>
      <w:pPr>
        <w:ind w:left="1180" w:right="1179" w:firstLine="292"/>
        <w:spacing w:after="0" w:line="267" w:lineRule="auto"/>
        <w:rPr>
          <w:sz w:val="20"/>
          <w:szCs w:val="20"/>
          <w:color w:val="auto"/>
        </w:rPr>
      </w:pPr>
      <w:r>
        <w:rPr>
          <w:rFonts w:ascii="Arial" w:cs="Arial" w:eastAsia="Arial" w:hAnsi="Arial"/>
          <w:sz w:val="14"/>
          <w:szCs w:val="14"/>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and conducted through two operating segments: Crude Oil and NGL.</w:t>
      </w:r>
    </w:p>
    <w:p>
      <w:pPr>
        <w:spacing w:after="0" w:line="95" w:lineRule="exact"/>
        <w:rPr>
          <w:sz w:val="20"/>
          <w:szCs w:val="20"/>
          <w:color w:val="auto"/>
        </w:rPr>
      </w:pPr>
    </w:p>
    <w:p>
      <w:pPr>
        <w:ind w:left="1180" w:right="1199" w:firstLine="292"/>
        <w:spacing w:after="0" w:line="247" w:lineRule="auto"/>
        <w:rPr>
          <w:sz w:val="20"/>
          <w:szCs w:val="20"/>
          <w:color w:val="auto"/>
        </w:rPr>
      </w:pPr>
      <w:r>
        <w:rPr>
          <w:rFonts w:ascii="Arial" w:cs="Arial" w:eastAsia="Arial" w:hAnsi="Arial"/>
          <w:sz w:val="15"/>
          <w:szCs w:val="15"/>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08" w:lineRule="exact"/>
        <w:rPr>
          <w:sz w:val="20"/>
          <w:szCs w:val="20"/>
          <w:color w:val="auto"/>
        </w:rPr>
      </w:pPr>
    </w:p>
    <w:p>
      <w:pPr>
        <w:ind w:left="1180" w:right="1199" w:firstLine="292"/>
        <w:spacing w:after="0" w:line="269" w:lineRule="auto"/>
        <w:rPr>
          <w:sz w:val="20"/>
          <w:szCs w:val="20"/>
          <w:color w:val="auto"/>
        </w:rPr>
      </w:pPr>
      <w:r>
        <w:rPr>
          <w:rFonts w:ascii="Arial" w:cs="Arial" w:eastAsia="Arial" w:hAnsi="Arial"/>
          <w:sz w:val="14"/>
          <w:szCs w:val="14"/>
          <w:color w:val="auto"/>
        </w:rPr>
        <w:t>For purposes of this prospectus, unless the context clearly indicates otherwise, “our,” “we,” “us,” “the Partnership” or “Plains GP Holdings, L.P.” refer to Plains GP Holdings, L.P., the registrant itself, or to Plains GP Holdings, L.P. and its consolidated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41"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Principal Executive Offices and Internet Address</w:t>
      </w:r>
    </w:p>
    <w:p>
      <w:pPr>
        <w:spacing w:after="0" w:line="117" w:lineRule="exact"/>
        <w:rPr>
          <w:sz w:val="20"/>
          <w:szCs w:val="20"/>
          <w:color w:val="auto"/>
        </w:rPr>
      </w:pPr>
    </w:p>
    <w:p>
      <w:pPr>
        <w:ind w:left="1180" w:right="1279" w:firstLine="292"/>
        <w:spacing w:after="0" w:line="269" w:lineRule="auto"/>
        <w:rPr>
          <w:sz w:val="20"/>
          <w:szCs w:val="20"/>
          <w:color w:val="auto"/>
        </w:rPr>
      </w:pPr>
      <w:r>
        <w:rPr>
          <w:rFonts w:ascii="Arial" w:cs="Arial" w:eastAsia="Arial" w:hAnsi="Arial"/>
          <w:sz w:val="14"/>
          <w:szCs w:val="14"/>
          <w:color w:val="auto"/>
        </w:rPr>
        <w:t xml:space="preserve">Our principal executive offices are located at 333 Clay Street, Suite 1600, Houston, TX 77002 and our telephone number is (713) 646-4100. Our website is located at </w:t>
      </w:r>
      <w:r>
        <w:rPr>
          <w:rFonts w:ascii="Arial" w:cs="Arial" w:eastAsia="Arial" w:hAnsi="Arial"/>
          <w:sz w:val="14"/>
          <w:szCs w:val="14"/>
          <w:i w:val="1"/>
          <w:iCs w:val="1"/>
          <w:color w:val="auto"/>
        </w:rPr>
        <w:t>www.plains.com</w:t>
      </w:r>
      <w:r>
        <w:rPr>
          <w:rFonts w:ascii="Arial" w:cs="Arial" w:eastAsia="Arial" w:hAnsi="Arial"/>
          <w:sz w:val="14"/>
          <w:szCs w:val="14"/>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41"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Additional Information</w:t>
      </w:r>
    </w:p>
    <w:p>
      <w:pPr>
        <w:spacing w:after="0" w:line="128" w:lineRule="exact"/>
        <w:rPr>
          <w:sz w:val="20"/>
          <w:szCs w:val="20"/>
          <w:color w:val="auto"/>
        </w:rPr>
      </w:pPr>
    </w:p>
    <w:p>
      <w:pPr>
        <w:ind w:left="1180" w:right="1339" w:firstLine="292"/>
        <w:spacing w:after="0" w:line="250" w:lineRule="auto"/>
        <w:rPr>
          <w:rFonts w:ascii="Arial" w:cs="Arial" w:eastAsia="Arial" w:hAnsi="Arial"/>
          <w:sz w:val="15"/>
          <w:szCs w:val="15"/>
          <w:color w:val="0000EE"/>
        </w:rPr>
      </w:pPr>
      <w:r>
        <w:rPr>
          <w:rFonts w:ascii="Arial" w:cs="Arial" w:eastAsia="Arial" w:hAnsi="Arial"/>
          <w:sz w:val="15"/>
          <w:szCs w:val="15"/>
          <w:color w:val="auto"/>
        </w:rPr>
        <w:t xml:space="preserve">For additional information about us, please refer to the documents set forth under “Where You Can </w:t>
      </w:r>
      <w:hyperlink r:id="rId27">
        <w:r>
          <w:rPr>
            <w:rFonts w:ascii="Arial" w:cs="Arial" w:eastAsia="Arial" w:hAnsi="Arial"/>
            <w:sz w:val="15"/>
            <w:szCs w:val="15"/>
            <w:color w:val="auto"/>
          </w:rPr>
          <w:t xml:space="preserve">Find More Information” in this prospectus, including our </w:t>
        </w:r>
        <w:r>
          <w:rPr>
            <w:rFonts w:ascii="Arial" w:cs="Arial" w:eastAsia="Arial" w:hAnsi="Arial"/>
            <w:sz w:val="15"/>
            <w:szCs w:val="15"/>
            <w:u w:val="single" w:color="auto"/>
            <w:color w:val="0000EE"/>
          </w:rPr>
          <w:t>Annual Report on Form 10-K for the year ended</w:t>
        </w:r>
      </w:hyperlink>
      <w:r>
        <w:rPr>
          <w:rFonts w:ascii="Arial" w:cs="Arial" w:eastAsia="Arial" w:hAnsi="Arial"/>
          <w:sz w:val="15"/>
          <w:szCs w:val="15"/>
          <w:color w:val="auto"/>
        </w:rPr>
        <w:t xml:space="preserve"> </w:t>
      </w:r>
      <w:hyperlink r:id="rId27">
        <w:r>
          <w:rPr>
            <w:rFonts w:ascii="Arial" w:cs="Arial" w:eastAsia="Arial" w:hAnsi="Arial"/>
            <w:sz w:val="15"/>
            <w:szCs w:val="15"/>
            <w:u w:val="single" w:color="auto"/>
            <w:color w:val="0000EE"/>
          </w:rPr>
          <w:t>December 31, 2021</w:t>
        </w:r>
        <w:r>
          <w:rPr>
            <w:rFonts w:ascii="Arial" w:cs="Arial" w:eastAsia="Arial" w:hAnsi="Arial"/>
            <w:sz w:val="15"/>
            <w:szCs w:val="15"/>
            <w:color w:val="0000EE"/>
          </w:rPr>
          <w:t xml:space="preserve"> </w:t>
        </w:r>
        <w:r>
          <w:rPr>
            <w:rFonts w:ascii="Arial" w:cs="Arial" w:eastAsia="Arial" w:hAnsi="Arial"/>
            <w:sz w:val="15"/>
            <w:szCs w:val="15"/>
            <w:color w:val="000000"/>
          </w:rPr>
          <w:t>and any subsequent Quarterly Report on Form 10-Q, which are incorporated by</w:t>
        </w:r>
      </w:hyperlink>
      <w:r>
        <w:rPr>
          <w:rFonts w:ascii="Arial" w:cs="Arial" w:eastAsia="Arial" w:hAnsi="Arial"/>
          <w:sz w:val="15"/>
          <w:szCs w:val="15"/>
          <w:color w:val="0000EE"/>
        </w:rPr>
        <w:t xml:space="preserve"> </w:t>
      </w:r>
      <w:r>
        <w:rPr>
          <w:rFonts w:ascii="Arial" w:cs="Arial" w:eastAsia="Arial" w:hAnsi="Arial"/>
          <w:sz w:val="15"/>
          <w:szCs w:val="15"/>
          <w:color w:val="000000"/>
        </w:rPr>
        <w:t>reference herein.</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 w:name="page10"/>
    <w:bookmarkEnd w:id="9"/>
    <w:p>
      <w:pPr>
        <w:ind w:left="16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28" w:lineRule="exact"/>
        <w:rPr>
          <w:sz w:val="20"/>
          <w:szCs w:val="20"/>
          <w:color w:val="auto"/>
        </w:rPr>
      </w:pPr>
    </w:p>
    <w:p>
      <w:pPr>
        <w:ind w:left="1180" w:right="1239" w:firstLine="292"/>
        <w:spacing w:after="0" w:line="246" w:lineRule="auto"/>
        <w:rPr>
          <w:rFonts w:ascii="Arial" w:cs="Arial" w:eastAsia="Arial" w:hAnsi="Arial"/>
          <w:sz w:val="15"/>
          <w:szCs w:val="15"/>
          <w:color w:val="0000EE"/>
        </w:rPr>
      </w:pPr>
      <w:r>
        <w:rPr>
          <w:rFonts w:ascii="Arial" w:cs="Arial" w:eastAsia="Arial" w:hAnsi="Arial"/>
          <w:sz w:val="15"/>
          <w:szCs w:val="15"/>
          <w:color w:val="auto"/>
        </w:rPr>
        <w:t xml:space="preserve">An investment in our Class A shares involves a high degree of risk. Before you invest in our Class A </w:t>
      </w:r>
      <w:hyperlink r:id="rId27">
        <w:r>
          <w:rPr>
            <w:rFonts w:ascii="Arial" w:cs="Arial" w:eastAsia="Arial" w:hAnsi="Arial"/>
            <w:sz w:val="15"/>
            <w:szCs w:val="15"/>
            <w:color w:val="auto"/>
          </w:rPr>
          <w:t xml:space="preserve">shares, you should carefully consider the risk factors included in Item 1A. “Risk Factors” in our </w:t>
        </w:r>
        <w:r>
          <w:rPr>
            <w:rFonts w:ascii="Arial" w:cs="Arial" w:eastAsia="Arial" w:hAnsi="Arial"/>
            <w:sz w:val="15"/>
            <w:szCs w:val="15"/>
            <w:u w:val="single" w:color="auto"/>
            <w:color w:val="0000EE"/>
          </w:rPr>
          <w:t>Annual</w:t>
        </w:r>
      </w:hyperlink>
      <w:r>
        <w:rPr>
          <w:rFonts w:ascii="Arial" w:cs="Arial" w:eastAsia="Arial" w:hAnsi="Arial"/>
          <w:sz w:val="15"/>
          <w:szCs w:val="15"/>
          <w:color w:val="auto"/>
        </w:rPr>
        <w:t xml:space="preserve"> </w:t>
      </w:r>
      <w:hyperlink r:id="rId27">
        <w:r>
          <w:rPr>
            <w:rFonts w:ascii="Arial" w:cs="Arial" w:eastAsia="Arial" w:hAnsi="Arial"/>
            <w:sz w:val="15"/>
            <w:szCs w:val="15"/>
            <w:u w:val="single" w:color="auto"/>
            <w:color w:val="0000EE"/>
          </w:rPr>
          <w:t>Report on Form 10-K for the year ended December 31, 2021 (File No. 001-36132)</w:t>
        </w:r>
        <w:r>
          <w:rPr>
            <w:rFonts w:ascii="Arial" w:cs="Arial" w:eastAsia="Arial" w:hAnsi="Arial"/>
            <w:sz w:val="15"/>
            <w:szCs w:val="15"/>
            <w:color w:val="0000EE"/>
          </w:rPr>
          <w:t xml:space="preserve"> </w:t>
        </w:r>
        <w:r>
          <w:rPr>
            <w:rFonts w:ascii="Arial" w:cs="Arial" w:eastAsia="Arial" w:hAnsi="Arial"/>
            <w:sz w:val="15"/>
            <w:szCs w:val="15"/>
            <w:color w:val="000000"/>
          </w:rPr>
          <w:t>and in any subsequent</w:t>
        </w:r>
      </w:hyperlink>
      <w:r>
        <w:rPr>
          <w:rFonts w:ascii="Arial" w:cs="Arial" w:eastAsia="Arial" w:hAnsi="Arial"/>
          <w:sz w:val="15"/>
          <w:szCs w:val="15"/>
          <w:color w:val="0000EE"/>
        </w:rPr>
        <w:t xml:space="preserve"> </w:t>
      </w:r>
      <w:r>
        <w:rPr>
          <w:rFonts w:ascii="Arial" w:cs="Arial" w:eastAsia="Arial" w:hAnsi="Arial"/>
          <w:sz w:val="15"/>
          <w:szCs w:val="15"/>
          <w:color w:val="000000"/>
        </w:rPr>
        <w:t>Quarterly Report on Form 10-Q, which are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When we offer and sell any securities pursuant to a prospectus supplement, we may include additional risk factors relevant to such securities in the prospectus supplement. Please read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0" w:name="page11"/>
    <w:bookmarkEnd w:id="10"/>
    <w:p>
      <w:pPr>
        <w:ind w:left="16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128" w:lineRule="exact"/>
        <w:rPr>
          <w:sz w:val="20"/>
          <w:szCs w:val="20"/>
          <w:color w:val="auto"/>
        </w:rPr>
      </w:pPr>
    </w:p>
    <w:p>
      <w:pPr>
        <w:ind w:left="1180" w:right="1179" w:firstLine="292"/>
        <w:spacing w:after="0" w:line="246" w:lineRule="auto"/>
        <w:rPr>
          <w:sz w:val="20"/>
          <w:szCs w:val="20"/>
          <w:color w:val="auto"/>
        </w:rPr>
      </w:pPr>
      <w:r>
        <w:rPr>
          <w:rFonts w:ascii="Arial" w:cs="Arial" w:eastAsia="Arial" w:hAnsi="Arial"/>
          <w:sz w:val="15"/>
          <w:szCs w:val="15"/>
          <w:color w:val="auto"/>
        </w:rPr>
        <w:t>Unless otherwise indicated to the contrary in an accompanying prospectus supplement, we intend to use the net proceeds from the sale of securities covered by this prospectus for general partnership purposes, which may include, among other things, investment in the equity of PAA (acting through AAP as provided in the Omnibus Agreement entered into on November 15, 2016 with our general partner, GP LLC, AAP, PAA GP and PAA (the “Omnibus Agreement”)), repayment of indebtedness, acquisitions, capital expenditures and additions to working capital. Any specific allocation of the net proceeds of an offering of securities to a specific purpose will be determined at the time of the offering and will be described in a prospectus supplement.</w:t>
      </w:r>
    </w:p>
    <w:p>
      <w:pPr>
        <w:spacing w:after="0" w:line="110" w:lineRule="exact"/>
        <w:rPr>
          <w:sz w:val="20"/>
          <w:szCs w:val="20"/>
          <w:color w:val="auto"/>
        </w:rPr>
      </w:pPr>
    </w:p>
    <w:p>
      <w:pPr>
        <w:ind w:left="1180" w:right="1199" w:firstLine="292"/>
        <w:spacing w:after="0" w:line="270" w:lineRule="auto"/>
        <w:rPr>
          <w:sz w:val="20"/>
          <w:szCs w:val="20"/>
          <w:color w:val="auto"/>
        </w:rPr>
      </w:pPr>
      <w:r>
        <w:rPr>
          <w:rFonts w:ascii="Arial" w:cs="Arial" w:eastAsia="Arial" w:hAnsi="Arial"/>
          <w:sz w:val="14"/>
          <w:szCs w:val="14"/>
          <w:color w:val="auto"/>
        </w:rPr>
        <w:t>Pursuant to the Omnibus Agreement, we have agreed to use the net proceeds from any sale of Class A shares to purchase from AAP a number of AAP Units equal to the number of Class A shares sold at a price equal to the net proceeds from such sale. The Omnibus Agreement also provides that immediately following such purchase and sale, AAP will use the net proceeds it receives from such sale of AAP Units to PAGP to purchase from PAA an equivalent number of common units of PAA.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 w:name="page12"/>
    <w:bookmarkEnd w:id="11"/>
    <w:p>
      <w:pPr>
        <w:ind w:left="16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OUR SHARES</w:t>
      </w:r>
    </w:p>
    <w:p>
      <w:pPr>
        <w:spacing w:after="0" w:line="128" w:lineRule="exact"/>
        <w:rPr>
          <w:sz w:val="20"/>
          <w:szCs w:val="20"/>
          <w:color w:val="auto"/>
        </w:rPr>
      </w:pPr>
    </w:p>
    <w:p>
      <w:pPr>
        <w:ind w:left="1180" w:right="1219" w:firstLine="292"/>
        <w:spacing w:after="0" w:line="293" w:lineRule="auto"/>
        <w:rPr>
          <w:rFonts w:ascii="Arial" w:cs="Arial" w:eastAsia="Arial" w:hAnsi="Arial"/>
          <w:sz w:val="13"/>
          <w:szCs w:val="13"/>
          <w:color w:val="0000EE"/>
        </w:rPr>
      </w:pPr>
      <w:r>
        <w:rPr>
          <w:rFonts w:ascii="Arial" w:cs="Arial" w:eastAsia="Arial" w:hAnsi="Arial"/>
          <w:sz w:val="13"/>
          <w:szCs w:val="13"/>
          <w:color w:val="auto"/>
        </w:rPr>
        <w:t xml:space="preserve">Please see </w:t>
      </w:r>
      <w:hyperlink r:id="rId45">
        <w:r>
          <w:rPr>
            <w:rFonts w:ascii="Arial" w:cs="Arial" w:eastAsia="Arial" w:hAnsi="Arial"/>
            <w:sz w:val="13"/>
            <w:szCs w:val="13"/>
            <w:u w:val="single" w:color="auto"/>
            <w:color w:val="0000EE"/>
          </w:rPr>
          <w:t>Exhibit 4.17</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 xml:space="preserve">to our </w:t>
      </w:r>
      <w:hyperlink r:id="rId46">
        <w:r>
          <w:rPr>
            <w:rFonts w:ascii="Arial" w:cs="Arial" w:eastAsia="Arial" w:hAnsi="Arial"/>
            <w:sz w:val="13"/>
            <w:szCs w:val="13"/>
            <w:u w:val="single" w:color="auto"/>
            <w:color w:val="0000EE"/>
          </w:rPr>
          <w:t>Annual Report on Form 10-K for the year ended December 31, 2021</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 xml:space="preserve">and </w:t>
      </w:r>
      <w:hyperlink r:id="rId37">
        <w:r>
          <w:rPr>
            <w:rFonts w:ascii="Arial" w:cs="Arial" w:eastAsia="Arial" w:hAnsi="Arial"/>
            <w:sz w:val="13"/>
            <w:szCs w:val="13"/>
            <w:color w:val="auto"/>
          </w:rPr>
          <w:t xml:space="preserve">our </w:t>
        </w:r>
        <w:r>
          <w:rPr>
            <w:rFonts w:ascii="Arial" w:cs="Arial" w:eastAsia="Arial" w:hAnsi="Arial"/>
            <w:sz w:val="13"/>
            <w:szCs w:val="13"/>
            <w:u w:val="single" w:color="auto"/>
            <w:color w:val="0000EE"/>
          </w:rPr>
          <w:t>registration statement on Form 8-A/A filed on November 16, 2016</w:t>
        </w:r>
        <w:r>
          <w:rPr>
            <w:rFonts w:ascii="Arial" w:cs="Arial" w:eastAsia="Arial" w:hAnsi="Arial"/>
            <w:sz w:val="13"/>
            <w:szCs w:val="13"/>
            <w:color w:val="auto"/>
          </w:rPr>
          <w:t xml:space="preserve"> and </w:t>
        </w:r>
        <w:r>
          <w:rPr>
            <w:rFonts w:ascii="Arial" w:cs="Arial" w:eastAsia="Arial" w:hAnsi="Arial"/>
            <w:sz w:val="13"/>
            <w:szCs w:val="13"/>
            <w:u w:val="single" w:color="auto"/>
            <w:color w:val="0000EE"/>
          </w:rPr>
          <w:t>Form 8-A filed on December 11,</w:t>
        </w:r>
      </w:hyperlink>
      <w:r>
        <w:rPr>
          <w:rFonts w:ascii="Arial" w:cs="Arial" w:eastAsia="Arial" w:hAnsi="Arial"/>
          <w:sz w:val="13"/>
          <w:szCs w:val="13"/>
          <w:color w:val="auto"/>
        </w:rPr>
        <w:t xml:space="preserve"> </w:t>
      </w:r>
      <w:hyperlink r:id="rId37">
        <w:r>
          <w:rPr>
            <w:rFonts w:ascii="Arial" w:cs="Arial" w:eastAsia="Arial" w:hAnsi="Arial"/>
            <w:sz w:val="13"/>
            <w:szCs w:val="13"/>
            <w:u w:val="single" w:color="auto"/>
            <w:color w:val="0000EE"/>
          </w:rPr>
          <w:t>2020</w:t>
        </w:r>
        <w:r>
          <w:rPr>
            <w:rFonts w:ascii="Arial" w:cs="Arial" w:eastAsia="Arial" w:hAnsi="Arial"/>
            <w:sz w:val="13"/>
            <w:szCs w:val="13"/>
            <w:color w:val="0000EE"/>
          </w:rPr>
          <w:t xml:space="preserve"> </w:t>
        </w:r>
        <w:r>
          <w:rPr>
            <w:rFonts w:ascii="Arial" w:cs="Arial" w:eastAsia="Arial" w:hAnsi="Arial"/>
            <w:sz w:val="13"/>
            <w:szCs w:val="13"/>
            <w:color w:val="000000"/>
          </w:rPr>
          <w:t>(together with any amendments thereto and the other documents incorporated by reference therein),</w:t>
        </w:r>
      </w:hyperlink>
      <w:r>
        <w:rPr>
          <w:rFonts w:ascii="Arial" w:cs="Arial" w:eastAsia="Arial" w:hAnsi="Arial"/>
          <w:sz w:val="13"/>
          <w:szCs w:val="13"/>
          <w:color w:val="0000EE"/>
        </w:rPr>
        <w:t xml:space="preserve"> </w:t>
      </w:r>
      <w:r>
        <w:rPr>
          <w:rFonts w:ascii="Arial" w:cs="Arial" w:eastAsia="Arial" w:hAnsi="Arial"/>
          <w:sz w:val="13"/>
          <w:szCs w:val="13"/>
          <w:color w:val="000000"/>
        </w:rPr>
        <w:t>which are incorporated by reference herein, for a description of our shares, our cash distribution policy and the Second Amended and Restated Agreement of Limited Partnership of Plains GP Holdings, L.P., dated as of November 15, 2016, as it may be amended or restated from time to time (our “partnership agreement”).</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64" w:lineRule="exact"/>
        <w:rPr>
          <w:rFonts w:ascii="Arial" w:cs="Arial" w:eastAsia="Arial" w:hAnsi="Arial"/>
          <w:sz w:val="13"/>
          <w:szCs w:val="13"/>
          <w:color w:val="auto"/>
        </w:rPr>
      </w:pPr>
    </w:p>
    <w:p>
      <w:pPr>
        <w:jc w:val="center"/>
        <w:ind w:right="39"/>
        <w:spacing w:after="0"/>
        <w:rPr>
          <w:sz w:val="20"/>
          <w:szCs w:val="20"/>
          <w:color w:val="auto"/>
        </w:rPr>
      </w:pPr>
      <w:r>
        <w:rPr>
          <w:rFonts w:ascii="Arial" w:cs="Arial" w:eastAsia="Arial" w:hAnsi="Arial"/>
          <w:sz w:val="15"/>
          <w:szCs w:val="15"/>
          <w:color w:val="auto"/>
        </w:rPr>
        <w:t>4</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 w:name="page13"/>
    <w:bookmarkEnd w:id="12"/>
    <w:p>
      <w:pPr>
        <w:ind w:left="16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MATERIAL U.S. FEDERAL INCOME TAX CONSEQUENCES</w:t>
      </w:r>
    </w:p>
    <w:p>
      <w:pPr>
        <w:spacing w:after="0" w:line="128" w:lineRule="exact"/>
        <w:rPr>
          <w:sz w:val="20"/>
          <w:szCs w:val="20"/>
          <w:color w:val="auto"/>
        </w:rPr>
      </w:pPr>
    </w:p>
    <w:p>
      <w:pPr>
        <w:ind w:left="1180" w:right="1239" w:firstLine="292"/>
        <w:spacing w:after="0" w:line="253" w:lineRule="auto"/>
        <w:rPr>
          <w:sz w:val="20"/>
          <w:szCs w:val="20"/>
          <w:color w:val="auto"/>
        </w:rPr>
      </w:pPr>
      <w:r>
        <w:rPr>
          <w:rFonts w:ascii="Arial" w:cs="Arial" w:eastAsia="Arial" w:hAnsi="Arial"/>
          <w:sz w:val="14"/>
          <w:szCs w:val="14"/>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or differing interpretations, possibly with retroactive effect. We cannot assure you that a change in law will not significantly alter the tax considerations that we describe in this summary. We have not sought any ruling from the Internal Revenue Service, or the IRS, with respect to the statements made and the conclusions reached in the following summary, and there can be no assurance that the IRS or a court will agree with such statements and conclusions. 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w:t>
      </w:r>
    </w:p>
    <w:p>
      <w:pPr>
        <w:spacing w:after="0" w:line="64" w:lineRule="exact"/>
        <w:rPr>
          <w:sz w:val="20"/>
          <w:szCs w:val="20"/>
          <w:color w:val="auto"/>
        </w:rPr>
      </w:pPr>
    </w:p>
    <w:p>
      <w:pPr>
        <w:ind w:left="1600" w:hanging="137"/>
        <w:spacing w:after="0"/>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banks, insurance companies or other financial institutions;</w:t>
      </w:r>
    </w:p>
    <w:p>
      <w:pPr>
        <w:spacing w:after="0" w:line="79" w:lineRule="exact"/>
        <w:rPr>
          <w:rFonts w:ascii="Arial" w:cs="Arial" w:eastAsia="Arial" w:hAnsi="Arial"/>
          <w:sz w:val="15"/>
          <w:szCs w:val="15"/>
          <w:color w:val="auto"/>
        </w:rPr>
      </w:pPr>
    </w:p>
    <w:p>
      <w:pPr>
        <w:ind w:left="1600" w:hanging="137"/>
        <w:spacing w:after="0"/>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tax-exempt or governmental organizations;</w:t>
      </w:r>
    </w:p>
    <w:p>
      <w:pPr>
        <w:spacing w:after="0" w:line="90" w:lineRule="exact"/>
        <w:rPr>
          <w:rFonts w:ascii="Arial" w:cs="Arial" w:eastAsia="Arial" w:hAnsi="Arial"/>
          <w:sz w:val="15"/>
          <w:szCs w:val="15"/>
          <w:color w:val="auto"/>
        </w:rPr>
      </w:pPr>
    </w:p>
    <w:p>
      <w:pPr>
        <w:ind w:left="1600" w:right="1399" w:hanging="137"/>
        <w:spacing w:after="0" w:line="263" w:lineRule="auto"/>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qualified foreign pension funds (or any entities all of the interests of which are held by a qualified foreign pension fund);</w:t>
      </w:r>
    </w:p>
    <w:p>
      <w:pPr>
        <w:spacing w:after="0" w:line="60" w:lineRule="exact"/>
        <w:rPr>
          <w:rFonts w:ascii="Arial" w:cs="Arial" w:eastAsia="Arial" w:hAnsi="Arial"/>
          <w:sz w:val="15"/>
          <w:szCs w:val="15"/>
          <w:color w:val="auto"/>
        </w:rPr>
      </w:pPr>
    </w:p>
    <w:p>
      <w:pPr>
        <w:ind w:left="1600" w:hanging="137"/>
        <w:spacing w:after="0"/>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dealers in securities or foreign currencies;</w:t>
      </w:r>
    </w:p>
    <w:p>
      <w:pPr>
        <w:spacing w:after="0" w:line="79" w:lineRule="exact"/>
        <w:rPr>
          <w:rFonts w:ascii="Arial" w:cs="Arial" w:eastAsia="Arial" w:hAnsi="Arial"/>
          <w:sz w:val="15"/>
          <w:szCs w:val="15"/>
          <w:color w:val="auto"/>
        </w:rPr>
      </w:pPr>
    </w:p>
    <w:p>
      <w:pPr>
        <w:ind w:left="1600" w:right="1399" w:hanging="137"/>
        <w:spacing w:after="0" w:line="263" w:lineRule="auto"/>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traders in securities that use the mark-to-market method of accounting for U.S. federal income tax purposes;</w:t>
      </w:r>
    </w:p>
    <w:p>
      <w:pPr>
        <w:spacing w:after="0" w:line="60" w:lineRule="exact"/>
        <w:rPr>
          <w:rFonts w:ascii="Arial" w:cs="Arial" w:eastAsia="Arial" w:hAnsi="Arial"/>
          <w:sz w:val="15"/>
          <w:szCs w:val="15"/>
          <w:color w:val="auto"/>
        </w:rPr>
      </w:pPr>
    </w:p>
    <w:p>
      <w:pPr>
        <w:ind w:left="1600" w:hanging="137"/>
        <w:spacing w:after="0"/>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persons whose functional currency is not the U.S. dollar;</w:t>
      </w:r>
    </w:p>
    <w:p>
      <w:pPr>
        <w:spacing w:after="0" w:line="90" w:lineRule="exact"/>
        <w:rPr>
          <w:rFonts w:ascii="Arial" w:cs="Arial" w:eastAsia="Arial" w:hAnsi="Arial"/>
          <w:sz w:val="15"/>
          <w:szCs w:val="15"/>
          <w:color w:val="auto"/>
        </w:rPr>
      </w:pPr>
    </w:p>
    <w:p>
      <w:pPr>
        <w:ind w:left="1600" w:right="1479" w:hanging="137"/>
        <w:spacing w:after="0" w:line="263" w:lineRule="auto"/>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60" w:lineRule="exact"/>
        <w:rPr>
          <w:rFonts w:ascii="Arial" w:cs="Arial" w:eastAsia="Arial" w:hAnsi="Arial"/>
          <w:sz w:val="15"/>
          <w:szCs w:val="15"/>
          <w:color w:val="auto"/>
        </w:rPr>
      </w:pPr>
    </w:p>
    <w:p>
      <w:pPr>
        <w:ind w:left="1600" w:hanging="137"/>
        <w:spacing w:after="0"/>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persons subject to the alternative minimum tax;</w:t>
      </w:r>
    </w:p>
    <w:p>
      <w:pPr>
        <w:spacing w:after="0" w:line="90" w:lineRule="exact"/>
        <w:rPr>
          <w:rFonts w:ascii="Arial" w:cs="Arial" w:eastAsia="Arial" w:hAnsi="Arial"/>
          <w:sz w:val="15"/>
          <w:szCs w:val="15"/>
          <w:color w:val="auto"/>
        </w:rPr>
      </w:pPr>
    </w:p>
    <w:p>
      <w:pPr>
        <w:ind w:left="1600" w:right="1719" w:hanging="137"/>
        <w:spacing w:after="0" w:line="263" w:lineRule="auto"/>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partnerships or other pass-through entities for U.S. federal income tax purposes or holders of interests therein;</w:t>
      </w:r>
    </w:p>
    <w:p>
      <w:pPr>
        <w:spacing w:after="0" w:line="60" w:lineRule="exact"/>
        <w:rPr>
          <w:rFonts w:ascii="Arial" w:cs="Arial" w:eastAsia="Arial" w:hAnsi="Arial"/>
          <w:sz w:val="15"/>
          <w:szCs w:val="15"/>
          <w:color w:val="auto"/>
        </w:rPr>
      </w:pPr>
    </w:p>
    <w:p>
      <w:pPr>
        <w:ind w:left="1600" w:hanging="137"/>
        <w:spacing w:after="0"/>
        <w:tabs>
          <w:tab w:leader="none" w:pos="1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persons deemed to sell our Class A shares under the constructive sale provisions of the Code;</w:t>
      </w:r>
    </w:p>
    <w:p>
      <w:pPr>
        <w:spacing w:after="0" w:line="91" w:lineRule="exact"/>
        <w:rPr>
          <w:rFonts w:ascii="Arial" w:cs="Arial" w:eastAsia="Arial" w:hAnsi="Arial"/>
          <w:sz w:val="14"/>
          <w:szCs w:val="14"/>
          <w:color w:val="auto"/>
        </w:rPr>
      </w:pPr>
    </w:p>
    <w:p>
      <w:pPr>
        <w:ind w:left="1600" w:right="1199" w:hanging="137"/>
        <w:spacing w:after="0" w:line="263" w:lineRule="auto"/>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persons that acquired our Class A shares through the exercise of employee stock options or otherwise as compensation or through a tax-qualified retirement plan;</w:t>
      </w:r>
    </w:p>
    <w:p>
      <w:pPr>
        <w:spacing w:after="0" w:line="60" w:lineRule="exact"/>
        <w:rPr>
          <w:rFonts w:ascii="Arial" w:cs="Arial" w:eastAsia="Arial" w:hAnsi="Arial"/>
          <w:sz w:val="15"/>
          <w:szCs w:val="15"/>
          <w:color w:val="auto"/>
        </w:rPr>
      </w:pPr>
    </w:p>
    <w:p>
      <w:pPr>
        <w:ind w:left="1600" w:hanging="137"/>
        <w:spacing w:after="0"/>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certain former citizens or long-term residents of the United States;</w:t>
      </w:r>
    </w:p>
    <w:p>
      <w:pPr>
        <w:spacing w:after="0" w:line="90" w:lineRule="exact"/>
        <w:rPr>
          <w:rFonts w:ascii="Arial" w:cs="Arial" w:eastAsia="Arial" w:hAnsi="Arial"/>
          <w:sz w:val="15"/>
          <w:szCs w:val="15"/>
          <w:color w:val="auto"/>
        </w:rPr>
      </w:pPr>
    </w:p>
    <w:p>
      <w:pPr>
        <w:ind w:left="1600" w:hanging="137"/>
        <w:spacing w:after="0"/>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real estate investment trusts or regulated investment companies; and</w:t>
      </w:r>
    </w:p>
    <w:p>
      <w:pPr>
        <w:spacing w:after="0" w:line="90" w:lineRule="exact"/>
        <w:rPr>
          <w:rFonts w:ascii="Arial" w:cs="Arial" w:eastAsia="Arial" w:hAnsi="Arial"/>
          <w:sz w:val="15"/>
          <w:szCs w:val="15"/>
          <w:color w:val="auto"/>
        </w:rPr>
      </w:pPr>
    </w:p>
    <w:p>
      <w:pPr>
        <w:ind w:left="1600" w:right="1339" w:hanging="137"/>
        <w:spacing w:after="0" w:line="340" w:lineRule="auto"/>
        <w:tabs>
          <w:tab w:leader="none" w:pos="1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persons that hold our Class A shares as part of a straddle, appreciated financial position, synthetic security, hedge, conversion transaction or other integrated investment or risk reduction transaction.</w:t>
      </w:r>
    </w:p>
    <w:p>
      <w:pPr>
        <w:spacing w:after="0" w:line="48" w:lineRule="exact"/>
        <w:rPr>
          <w:sz w:val="20"/>
          <w:szCs w:val="20"/>
          <w:color w:val="auto"/>
        </w:rPr>
      </w:pPr>
    </w:p>
    <w:p>
      <w:pPr>
        <w:ind w:left="1180" w:right="1239" w:firstLine="292"/>
        <w:spacing w:after="0" w:line="256" w:lineRule="auto"/>
        <w:rPr>
          <w:sz w:val="20"/>
          <w:szCs w:val="20"/>
          <w:color w:val="auto"/>
        </w:rPr>
      </w:pPr>
      <w:r>
        <w:rPr>
          <w:rFonts w:ascii="Arial" w:cs="Arial" w:eastAsia="Arial" w:hAnsi="Arial"/>
          <w:sz w:val="14"/>
          <w:szCs w:val="14"/>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88" w:lineRule="exact"/>
        <w:rPr>
          <w:sz w:val="20"/>
          <w:szCs w:val="20"/>
          <w:color w:val="auto"/>
        </w:rPr>
      </w:pPr>
    </w:p>
    <w:p>
      <w:pPr>
        <w:ind w:left="1180" w:right="1179" w:firstLine="292"/>
        <w:spacing w:after="0" w:line="242" w:lineRule="auto"/>
        <w:rPr>
          <w:sz w:val="20"/>
          <w:szCs w:val="20"/>
          <w:color w:val="auto"/>
        </w:rPr>
      </w:pPr>
      <w:r>
        <w:rPr>
          <w:rFonts w:ascii="Arial" w:cs="Arial" w:eastAsia="Arial" w:hAnsi="Arial"/>
          <w:sz w:val="15"/>
          <w:szCs w:val="15"/>
          <w:b w:val="1"/>
          <w:bCs w:val="1"/>
          <w:color w:val="auto"/>
        </w:rPr>
        <w:t>YOU ARE ENCOURAGED TO CONSULT YOUR TAX ADVISOR WITH RESPECT TO THE APPLICATION OF THE U.S. FEDERAL INCOME TAX LAWS (INCLUDING ANY POTENTIAL FUTURE CHANGES THERETO) TO YOUR PARTICULAR SITUATION, AS WELL AS ANY TAX CONSEQUENCES OF THE PURCHASE, OWNERSHIP AND DISPOSITION OF OUR CLASS A</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 w:name="page14"/>
    <w:bookmarkEnd w:id="13"/>
    <w:p>
      <w:pPr>
        <w:ind w:left="16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80" w:right="1419"/>
        <w:spacing w:after="0" w:line="248" w:lineRule="auto"/>
        <w:rPr>
          <w:sz w:val="20"/>
          <w:szCs w:val="20"/>
          <w:color w:val="auto"/>
        </w:rPr>
      </w:pPr>
      <w:r>
        <w:rPr>
          <w:rFonts w:ascii="Arial" w:cs="Arial" w:eastAsia="Arial" w:hAnsi="Arial"/>
          <w:sz w:val="15"/>
          <w:szCs w:val="15"/>
          <w:b w:val="1"/>
          <w:bCs w:val="1"/>
          <w:color w:val="auto"/>
        </w:rPr>
        <w:t>SHARES ARISING UNDER ANY OTHER TAX LAWS, INCLUDING THE U.S. FEDERAL ESTATE OR GIFT TAX LAWS OR UNDER THE LAWS OF ANY STATE, LOCAL, NON-U.S. OR OTHER TAXING JURISDICTION OR UNDER ANY APPLICABLE INCOME TAX TREATY.</w:t>
      </w:r>
    </w:p>
    <w:p>
      <w:pPr>
        <w:spacing w:after="0" w:line="145"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Corporate Status</w:t>
      </w:r>
    </w:p>
    <w:p>
      <w:pPr>
        <w:spacing w:after="0" w:line="128" w:lineRule="exact"/>
        <w:rPr>
          <w:sz w:val="20"/>
          <w:szCs w:val="20"/>
          <w:color w:val="auto"/>
        </w:rPr>
      </w:pPr>
    </w:p>
    <w:p>
      <w:pPr>
        <w:ind w:left="1180" w:right="1199" w:firstLine="292"/>
        <w:spacing w:after="0" w:line="258" w:lineRule="auto"/>
        <w:rPr>
          <w:sz w:val="20"/>
          <w:szCs w:val="20"/>
          <w:color w:val="auto"/>
        </w:rPr>
      </w:pPr>
      <w:r>
        <w:rPr>
          <w:rFonts w:ascii="Arial" w:cs="Arial" w:eastAsia="Arial" w:hAnsi="Arial"/>
          <w:sz w:val="14"/>
          <w:szCs w:val="14"/>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or a broker with respect to distributions received on our Class A shares.</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Consequences to U.S. Holders</w:t>
      </w:r>
    </w:p>
    <w:p>
      <w:pPr>
        <w:spacing w:after="0" w:line="117" w:lineRule="exact"/>
        <w:rPr>
          <w:sz w:val="20"/>
          <w:szCs w:val="20"/>
          <w:color w:val="auto"/>
        </w:rPr>
      </w:pPr>
    </w:p>
    <w:p>
      <w:pPr>
        <w:ind w:left="1180" w:right="1279" w:firstLine="292"/>
        <w:spacing w:after="0" w:line="246" w:lineRule="auto"/>
        <w:rPr>
          <w:sz w:val="20"/>
          <w:szCs w:val="20"/>
          <w:color w:val="auto"/>
        </w:rPr>
      </w:pPr>
      <w:r>
        <w:rPr>
          <w:rFonts w:ascii="Arial" w:cs="Arial" w:eastAsia="Arial" w:hAnsi="Arial"/>
          <w:sz w:val="15"/>
          <w:szCs w:val="15"/>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62" w:lineRule="exact"/>
        <w:rPr>
          <w:sz w:val="20"/>
          <w:szCs w:val="20"/>
          <w:color w:val="auto"/>
        </w:rPr>
      </w:pPr>
    </w:p>
    <w:p>
      <w:pPr>
        <w:ind w:left="1600" w:hanging="137"/>
        <w:spacing w:after="0"/>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79" w:lineRule="exact"/>
        <w:rPr>
          <w:rFonts w:ascii="Arial" w:cs="Arial" w:eastAsia="Arial" w:hAnsi="Arial"/>
          <w:sz w:val="15"/>
          <w:szCs w:val="15"/>
          <w:color w:val="auto"/>
        </w:rPr>
      </w:pPr>
    </w:p>
    <w:p>
      <w:pPr>
        <w:jc w:val="both"/>
        <w:ind w:left="1600" w:right="1299" w:hanging="137"/>
        <w:spacing w:after="0" w:line="340" w:lineRule="auto"/>
        <w:tabs>
          <w:tab w:leader="none" w:pos="1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a corporation (or other entity treated as a corporation for U.S. federal income tax purposes) created or organized in or under the laws of the United States, any state thereof or the District of Columbia;</w:t>
      </w:r>
    </w:p>
    <w:p>
      <w:pPr>
        <w:spacing w:after="0" w:line="15" w:lineRule="exact"/>
        <w:rPr>
          <w:rFonts w:ascii="Arial" w:cs="Arial" w:eastAsia="Arial" w:hAnsi="Arial"/>
          <w:sz w:val="13"/>
          <w:szCs w:val="13"/>
          <w:color w:val="auto"/>
        </w:rPr>
      </w:pPr>
    </w:p>
    <w:p>
      <w:pPr>
        <w:ind w:left="1600" w:hanging="137"/>
        <w:spacing w:after="0"/>
        <w:tabs>
          <w:tab w:leader="none" w:pos="16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 regardless of its source; or</w:t>
      </w:r>
    </w:p>
    <w:p>
      <w:pPr>
        <w:spacing w:after="0" w:line="102" w:lineRule="exact"/>
        <w:rPr>
          <w:rFonts w:ascii="Arial" w:cs="Arial" w:eastAsia="Arial" w:hAnsi="Arial"/>
          <w:sz w:val="14"/>
          <w:szCs w:val="14"/>
          <w:color w:val="auto"/>
        </w:rPr>
      </w:pPr>
    </w:p>
    <w:p>
      <w:pPr>
        <w:ind w:left="1600" w:right="1239" w:hanging="137"/>
        <w:spacing w:after="0" w:line="250" w:lineRule="auto"/>
        <w:tabs>
          <w:tab w:leader="none" w:pos="1600" w:val="left"/>
        </w:tabs>
        <w:numPr>
          <w:ilvl w:val="0"/>
          <w:numId w:val="6"/>
        </w:numPr>
        <w:rPr>
          <w:rFonts w:ascii="Arial" w:cs="Arial" w:eastAsia="Arial" w:hAnsi="Arial"/>
          <w:sz w:val="15"/>
          <w:szCs w:val="15"/>
          <w:color w:val="auto"/>
        </w:rPr>
      </w:pPr>
      <w:r>
        <w:rPr>
          <w:rFonts w:ascii="Arial" w:cs="Arial" w:eastAsia="Arial" w:hAnsi="Arial"/>
          <w:sz w:val="15"/>
          <w:szCs w:val="15"/>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55"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Distributions</w:t>
      </w:r>
    </w:p>
    <w:p>
      <w:pPr>
        <w:spacing w:after="0" w:line="117" w:lineRule="exact"/>
        <w:rPr>
          <w:sz w:val="20"/>
          <w:szCs w:val="20"/>
          <w:color w:val="auto"/>
        </w:rPr>
      </w:pPr>
    </w:p>
    <w:p>
      <w:pPr>
        <w:ind w:left="1180" w:right="1219" w:firstLine="292"/>
        <w:spacing w:after="0" w:line="254" w:lineRule="auto"/>
        <w:rPr>
          <w:sz w:val="20"/>
          <w:szCs w:val="20"/>
          <w:color w:val="auto"/>
        </w:rPr>
      </w:pPr>
      <w:r>
        <w:rPr>
          <w:rFonts w:ascii="Arial" w:cs="Arial" w:eastAsia="Arial" w:hAnsi="Arial"/>
          <w:sz w:val="14"/>
          <w:szCs w:val="14"/>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94" w:lineRule="exact"/>
        <w:rPr>
          <w:sz w:val="20"/>
          <w:szCs w:val="20"/>
          <w:color w:val="auto"/>
        </w:rPr>
      </w:pPr>
    </w:p>
    <w:p>
      <w:pPr>
        <w:ind w:left="1180" w:right="1199" w:firstLine="292"/>
        <w:spacing w:after="0" w:line="254" w:lineRule="auto"/>
        <w:rPr>
          <w:sz w:val="20"/>
          <w:szCs w:val="20"/>
          <w:color w:val="auto"/>
        </w:rPr>
      </w:pPr>
      <w:r>
        <w:rPr>
          <w:rFonts w:ascii="Arial" w:cs="Arial" w:eastAsia="Arial" w:hAnsi="Arial"/>
          <w:sz w:val="14"/>
          <w:szCs w:val="14"/>
          <w:color w:val="auto"/>
        </w:rPr>
        <w:t>Both AAP and PAA have made elections permitted by Section 754 of the Code. As a result, our acquisition of AAP Class A units in connection with our initial public offering (our “IPO”) and in connection with exchanges since the IPO by the owners of AAP immediately prior to our IPO that continue to own an interest in AAP as of the date of this prospectus, together with any additional persons or entities, other than PAGP and GP LLC, that have become owners of AAP since the consummation of the IPO and continue to own an interest in AAP as of the date of this prospectus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93" w:lineRule="exact"/>
        <w:rPr>
          <w:sz w:val="20"/>
          <w:szCs w:val="20"/>
          <w:color w:val="auto"/>
        </w:rPr>
      </w:pPr>
    </w:p>
    <w:p>
      <w:pPr>
        <w:ind w:left="1180" w:right="1379" w:firstLine="292"/>
        <w:spacing w:after="0" w:line="323" w:lineRule="auto"/>
        <w:rPr>
          <w:sz w:val="20"/>
          <w:szCs w:val="20"/>
          <w:color w:val="auto"/>
        </w:rPr>
      </w:pPr>
      <w:r>
        <w:rPr>
          <w:rFonts w:ascii="Arial" w:cs="Arial" w:eastAsia="Arial" w:hAnsi="Arial"/>
          <w:sz w:val="13"/>
          <w:szCs w:val="13"/>
          <w:color w:val="auto"/>
        </w:rPr>
        <w:t>As a result of the basis adjustments described above, we may not have sufficient earnings and profits for distributions on our Class A shares to qualify as dividends for U.S. federal income tax purposes. If a</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 w:name="page15"/>
    <w:bookmarkEnd w:id="14"/>
    <w:p>
      <w:pPr>
        <w:ind w:left="16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80" w:right="1199"/>
        <w:spacing w:after="0" w:line="241" w:lineRule="auto"/>
        <w:rPr>
          <w:sz w:val="20"/>
          <w:szCs w:val="20"/>
          <w:color w:val="auto"/>
        </w:rPr>
      </w:pPr>
      <w:r>
        <w:rPr>
          <w:rFonts w:ascii="Arial" w:cs="Arial" w:eastAsia="Arial" w:hAnsi="Arial"/>
          <w:sz w:val="15"/>
          <w:szCs w:val="15"/>
          <w:color w:val="auto"/>
        </w:rPr>
        <w:t>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spacing w:after="0" w:line="99" w:lineRule="exact"/>
        <w:rPr>
          <w:sz w:val="20"/>
          <w:szCs w:val="20"/>
          <w:color w:val="auto"/>
        </w:rPr>
      </w:pPr>
    </w:p>
    <w:p>
      <w:pPr>
        <w:ind w:left="1180" w:right="1239" w:firstLine="292"/>
        <w:spacing w:after="0"/>
        <w:rPr>
          <w:sz w:val="20"/>
          <w:szCs w:val="20"/>
          <w:color w:val="auto"/>
        </w:rPr>
      </w:pPr>
      <w:r>
        <w:rPr>
          <w:rFonts w:ascii="Arial" w:cs="Arial" w:eastAsia="Arial" w:hAnsi="Arial"/>
          <w:sz w:val="15"/>
          <w:szCs w:val="15"/>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Gain on Disposition of Class A Shares</w:t>
      </w:r>
    </w:p>
    <w:p>
      <w:pPr>
        <w:spacing w:after="0" w:line="128" w:lineRule="exact"/>
        <w:rPr>
          <w:sz w:val="20"/>
          <w:szCs w:val="20"/>
          <w:color w:val="auto"/>
        </w:rPr>
      </w:pPr>
    </w:p>
    <w:p>
      <w:pPr>
        <w:ind w:left="1180" w:right="1259" w:firstLine="292"/>
        <w:spacing w:after="0" w:line="253" w:lineRule="auto"/>
        <w:rPr>
          <w:sz w:val="20"/>
          <w:szCs w:val="20"/>
          <w:color w:val="auto"/>
        </w:rPr>
      </w:pPr>
      <w:r>
        <w:rPr>
          <w:rFonts w:ascii="Arial" w:cs="Arial" w:eastAsia="Arial" w:hAnsi="Arial"/>
          <w:sz w:val="14"/>
          <w:szCs w:val="14"/>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Backup Withholding and Information Reporting</w:t>
      </w:r>
    </w:p>
    <w:p>
      <w:pPr>
        <w:spacing w:after="0" w:line="117" w:lineRule="exact"/>
        <w:rPr>
          <w:sz w:val="20"/>
          <w:szCs w:val="20"/>
          <w:color w:val="auto"/>
        </w:rPr>
      </w:pPr>
    </w:p>
    <w:p>
      <w:pPr>
        <w:ind w:left="1180" w:right="1339" w:firstLine="292"/>
        <w:spacing w:after="0" w:line="256" w:lineRule="auto"/>
        <w:rPr>
          <w:sz w:val="20"/>
          <w:szCs w:val="20"/>
          <w:color w:val="auto"/>
        </w:rPr>
      </w:pPr>
      <w:r>
        <w:rPr>
          <w:rFonts w:ascii="Arial" w:cs="Arial" w:eastAsia="Arial" w:hAnsi="Arial"/>
          <w:sz w:val="14"/>
          <w:szCs w:val="14"/>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92" w:lineRule="exact"/>
        <w:rPr>
          <w:sz w:val="20"/>
          <w:szCs w:val="20"/>
          <w:color w:val="auto"/>
        </w:rPr>
      </w:pPr>
    </w:p>
    <w:p>
      <w:pPr>
        <w:ind w:left="1180" w:right="1179" w:firstLine="292"/>
        <w:spacing w:after="0" w:line="238"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Consequences to Non-U.S. Holders</w:t>
      </w:r>
    </w:p>
    <w:p>
      <w:pPr>
        <w:spacing w:after="0" w:line="128" w:lineRule="exact"/>
        <w:rPr>
          <w:sz w:val="20"/>
          <w:szCs w:val="20"/>
          <w:color w:val="auto"/>
        </w:rPr>
      </w:pPr>
    </w:p>
    <w:p>
      <w:pPr>
        <w:ind w:left="1180" w:right="1359" w:firstLine="292"/>
        <w:spacing w:after="0"/>
        <w:rPr>
          <w:sz w:val="20"/>
          <w:szCs w:val="20"/>
          <w:color w:val="auto"/>
        </w:rPr>
      </w:pPr>
      <w:r>
        <w:rPr>
          <w:rFonts w:ascii="Arial" w:cs="Arial" w:eastAsia="Arial" w:hAnsi="Arial"/>
          <w:sz w:val="15"/>
          <w:szCs w:val="15"/>
          <w:color w:val="auto"/>
        </w:rPr>
        <w:t>The discussion in this section is addressed to holders of our Class A shares who are non-U.S. holders for U.S. federal income tax purposes. For purposes of this discussion, a “non -U.S. holder” is a beneficial owner of our Class A shares that is an individual, corporation, estate or trust that is not a U.S. holder as defined above.</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Distributions</w:t>
      </w:r>
    </w:p>
    <w:p>
      <w:pPr>
        <w:spacing w:after="0" w:line="128" w:lineRule="exact"/>
        <w:rPr>
          <w:sz w:val="20"/>
          <w:szCs w:val="20"/>
          <w:color w:val="auto"/>
        </w:rPr>
      </w:pPr>
    </w:p>
    <w:p>
      <w:pPr>
        <w:ind w:left="1180" w:right="1219" w:firstLine="292"/>
        <w:spacing w:after="0" w:line="275" w:lineRule="auto"/>
        <w:rPr>
          <w:sz w:val="20"/>
          <w:szCs w:val="20"/>
          <w:color w:val="auto"/>
        </w:rPr>
      </w:pPr>
      <w:r>
        <w:rPr>
          <w:rFonts w:ascii="Arial" w:cs="Arial" w:eastAsia="Arial" w:hAnsi="Arial"/>
          <w:sz w:val="13"/>
          <w:szCs w:val="13"/>
          <w:color w:val="auto"/>
        </w:rPr>
        <w:t>Distributions with respect to our Class A shares will constitute dividends for U.S. federal income tax purposes to the extent paid from our current or accumulated earnings and profits, as determined under U.S. federal income tax principles. To the extent these distributions exceed our current and accumulated earnings and profits, the distributions will be treated as a non-taxable return of capital to the extent of the non-U.S. holder’s tax basis in our common stock and thereafter as a capital gain from the sale or exchange of such common stock. See “—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 w:name="page16"/>
    <w:bookmarkEnd w:id="15"/>
    <w:p>
      <w:pPr>
        <w:ind w:left="16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80" w:right="1199"/>
        <w:spacing w:after="0" w:line="253" w:lineRule="auto"/>
        <w:rPr>
          <w:sz w:val="20"/>
          <w:szCs w:val="20"/>
          <w:color w:val="auto"/>
        </w:rPr>
      </w:pPr>
      <w:r>
        <w:rPr>
          <w:rFonts w:ascii="Arial" w:cs="Arial" w:eastAsia="Arial" w:hAnsi="Arial"/>
          <w:sz w:val="14"/>
          <w:szCs w:val="14"/>
          <w:color w:val="auto"/>
        </w:rPr>
        <w:t>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 -U.S.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 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97" w:lineRule="exact"/>
        <w:rPr>
          <w:sz w:val="20"/>
          <w:szCs w:val="20"/>
          <w:color w:val="auto"/>
        </w:rPr>
      </w:pPr>
    </w:p>
    <w:p>
      <w:pPr>
        <w:ind w:left="1180" w:right="1199" w:firstLine="292"/>
        <w:spacing w:after="0" w:line="253" w:lineRule="auto"/>
        <w:rPr>
          <w:sz w:val="20"/>
          <w:szCs w:val="20"/>
          <w:color w:val="auto"/>
        </w:rPr>
      </w:pPr>
      <w:r>
        <w:rPr>
          <w:rFonts w:ascii="Arial" w:cs="Arial" w:eastAsia="Arial" w:hAnsi="Arial"/>
          <w:sz w:val="14"/>
          <w:szCs w:val="14"/>
          <w:color w:val="auto"/>
        </w:rPr>
        <w:t>Distributions treated as dividends that are paid to a non- 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58"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Gain on Disposition of Class A Shares</w:t>
      </w:r>
    </w:p>
    <w:p>
      <w:pPr>
        <w:spacing w:after="0" w:line="117" w:lineRule="exact"/>
        <w:rPr>
          <w:sz w:val="20"/>
          <w:szCs w:val="20"/>
          <w:color w:val="auto"/>
        </w:rPr>
      </w:pPr>
    </w:p>
    <w:p>
      <w:pPr>
        <w:jc w:val="both"/>
        <w:ind w:left="1180" w:right="1199" w:firstLine="292"/>
        <w:spacing w:after="0" w:line="246" w:lineRule="auto"/>
        <w:rPr>
          <w:sz w:val="20"/>
          <w:szCs w:val="20"/>
          <w:color w:val="auto"/>
        </w:rPr>
      </w:pPr>
      <w:r>
        <w:rPr>
          <w:rFonts w:ascii="Arial" w:cs="Arial" w:eastAsia="Arial" w:hAnsi="Arial"/>
          <w:sz w:val="15"/>
          <w:szCs w:val="15"/>
          <w:color w:val="auto"/>
        </w:rPr>
        <w:t>Subject to the discussion below under “— Backup Withholding and Information Reporting,” a non- U.S. holder generally will not be subject to U.S. federal income or withholding tax on any gain realized upon the sale or other disposition of our Class A shares unless:</w:t>
      </w:r>
    </w:p>
    <w:p>
      <w:pPr>
        <w:spacing w:after="0" w:line="62" w:lineRule="exact"/>
        <w:rPr>
          <w:sz w:val="20"/>
          <w:szCs w:val="20"/>
          <w:color w:val="auto"/>
        </w:rPr>
      </w:pPr>
    </w:p>
    <w:p>
      <w:pPr>
        <w:ind w:left="1600" w:right="1399" w:hanging="137"/>
        <w:spacing w:after="0" w:line="253" w:lineRule="auto"/>
        <w:tabs>
          <w:tab w:leader="none" w:pos="1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68" w:lineRule="exact"/>
        <w:rPr>
          <w:rFonts w:ascii="Arial" w:cs="Arial" w:eastAsia="Arial" w:hAnsi="Arial"/>
          <w:sz w:val="15"/>
          <w:szCs w:val="15"/>
          <w:color w:val="auto"/>
        </w:rPr>
      </w:pPr>
    </w:p>
    <w:p>
      <w:pPr>
        <w:ind w:left="1600" w:right="1439" w:hanging="137"/>
        <w:spacing w:after="0" w:line="280" w:lineRule="auto"/>
        <w:tabs>
          <w:tab w:leader="none" w:pos="16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39" w:lineRule="exact"/>
        <w:rPr>
          <w:rFonts w:ascii="Arial" w:cs="Arial" w:eastAsia="Arial" w:hAnsi="Arial"/>
          <w:sz w:val="14"/>
          <w:szCs w:val="14"/>
          <w:color w:val="auto"/>
        </w:rPr>
      </w:pPr>
    </w:p>
    <w:p>
      <w:pPr>
        <w:ind w:left="1600" w:right="1539" w:hanging="137"/>
        <w:spacing w:after="0" w:line="311" w:lineRule="auto"/>
        <w:tabs>
          <w:tab w:leader="none" w:pos="1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66" w:lineRule="exact"/>
        <w:rPr>
          <w:sz w:val="20"/>
          <w:szCs w:val="20"/>
          <w:color w:val="auto"/>
        </w:rPr>
      </w:pPr>
    </w:p>
    <w:p>
      <w:pPr>
        <w:ind w:left="1180" w:right="1239" w:firstLine="292"/>
        <w:spacing w:after="0"/>
        <w:rPr>
          <w:sz w:val="20"/>
          <w:szCs w:val="20"/>
          <w:color w:val="auto"/>
        </w:rPr>
      </w:pPr>
      <w:r>
        <w:rPr>
          <w:rFonts w:ascii="Arial" w:cs="Arial" w:eastAsia="Arial" w:hAnsi="Arial"/>
          <w:sz w:val="15"/>
          <w:szCs w:val="15"/>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100" w:lineRule="exact"/>
        <w:rPr>
          <w:sz w:val="20"/>
          <w:szCs w:val="20"/>
          <w:color w:val="auto"/>
        </w:rPr>
      </w:pPr>
    </w:p>
    <w:p>
      <w:pPr>
        <w:ind w:left="1180" w:right="1239" w:firstLine="292"/>
        <w:spacing w:after="0" w:line="236" w:lineRule="auto"/>
        <w:rPr>
          <w:sz w:val="20"/>
          <w:szCs w:val="20"/>
          <w:color w:val="auto"/>
        </w:rPr>
      </w:pPr>
      <w:r>
        <w:rPr>
          <w:rFonts w:ascii="Arial" w:cs="Arial" w:eastAsia="Arial" w:hAnsi="Arial"/>
          <w:sz w:val="15"/>
          <w:szCs w:val="15"/>
          <w:color w:val="auto"/>
        </w:rPr>
        <w:t>A non -U.S.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 w:name="page17"/>
    <w:bookmarkEnd w:id="16"/>
    <w:p>
      <w:pPr>
        <w:ind w:left="16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80" w:right="1299" w:firstLine="292"/>
        <w:spacing w:after="0" w:line="277" w:lineRule="auto"/>
        <w:rPr>
          <w:sz w:val="20"/>
          <w:szCs w:val="20"/>
          <w:color w:val="auto"/>
        </w:rPr>
      </w:pPr>
      <w:r>
        <w:rPr>
          <w:rFonts w:ascii="Arial" w:cs="Arial" w:eastAsia="Arial" w:hAnsi="Arial"/>
          <w:sz w:val="13"/>
          <w:szCs w:val="13"/>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w:t>
      </w:r>
    </w:p>
    <w:p>
      <w:pPr>
        <w:ind w:left="1180" w:right="1199"/>
        <w:spacing w:after="0" w:line="274" w:lineRule="auto"/>
        <w:rPr>
          <w:sz w:val="20"/>
          <w:szCs w:val="20"/>
          <w:color w:val="auto"/>
        </w:rPr>
      </w:pPr>
      <w:r>
        <w:rPr>
          <w:rFonts w:ascii="Arial" w:cs="Arial" w:eastAsia="Arial" w:hAnsi="Arial"/>
          <w:sz w:val="13"/>
          <w:szCs w:val="13"/>
          <w:color w:val="auto"/>
        </w:rPr>
        <w:t>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 -U.S.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81" w:lineRule="exact"/>
        <w:rPr>
          <w:sz w:val="20"/>
          <w:szCs w:val="20"/>
          <w:color w:val="auto"/>
        </w:rPr>
      </w:pPr>
    </w:p>
    <w:p>
      <w:pPr>
        <w:ind w:left="1180" w:right="1199" w:firstLine="292"/>
        <w:spacing w:after="0" w:line="238" w:lineRule="auto"/>
        <w:rPr>
          <w:sz w:val="20"/>
          <w:szCs w:val="20"/>
          <w:color w:val="auto"/>
        </w:rPr>
      </w:pPr>
      <w:r>
        <w:rPr>
          <w:rFonts w:ascii="Arial" w:cs="Arial" w:eastAsia="Arial" w:hAnsi="Arial"/>
          <w:sz w:val="15"/>
          <w:szCs w:val="15"/>
          <w:color w:val="auto"/>
        </w:rPr>
        <w:t>Non-U.S. holders should consult their tax advisors with respect to the application of the foregoing rules to their ownership and disposition of our Class A shares, including regarding potentially applicable income tax treaties that may provide for different rules.</w:t>
      </w:r>
    </w:p>
    <w:p>
      <w:pPr>
        <w:spacing w:after="0" w:line="163"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Backup Withholding and Information Reporting</w:t>
      </w:r>
    </w:p>
    <w:p>
      <w:pPr>
        <w:spacing w:after="0" w:line="117" w:lineRule="exact"/>
        <w:rPr>
          <w:sz w:val="20"/>
          <w:szCs w:val="20"/>
          <w:color w:val="auto"/>
        </w:rPr>
      </w:pPr>
    </w:p>
    <w:p>
      <w:pPr>
        <w:ind w:left="1180" w:right="1199" w:firstLine="292"/>
        <w:spacing w:after="0" w:line="238" w:lineRule="auto"/>
        <w:rPr>
          <w:sz w:val="20"/>
          <w:szCs w:val="20"/>
          <w:color w:val="auto"/>
        </w:rPr>
      </w:pPr>
      <w:r>
        <w:rPr>
          <w:rFonts w:ascii="Arial" w:cs="Arial" w:eastAsia="Arial" w:hAnsi="Arial"/>
          <w:sz w:val="15"/>
          <w:szCs w:val="15"/>
          <w:color w:val="auto"/>
        </w:rPr>
        <w:t>Any distributions paid to a non-U.S. holder must be reported annually to the IRS and to each non-U.S. holder. Copies of these information returns may be made available to the tax authorities in the country in which the non-U.S. holder resides or is established. Payments of distributions to a non-U.S. holder generally will not be subject to backup withholding if the non-U.S. holder establishes an exemption by properly certifying its non-U.S. status on an IRS Form W-8BEN or IRS Form W-8BEN-E (or other applicable or successor form).</w:t>
      </w:r>
    </w:p>
    <w:p>
      <w:pPr>
        <w:spacing w:after="0" w:line="103" w:lineRule="exact"/>
        <w:rPr>
          <w:sz w:val="20"/>
          <w:szCs w:val="20"/>
          <w:color w:val="auto"/>
        </w:rPr>
      </w:pPr>
    </w:p>
    <w:p>
      <w:pPr>
        <w:ind w:left="1180" w:right="1219" w:firstLine="292"/>
        <w:spacing w:after="0" w:line="253" w:lineRule="auto"/>
        <w:rPr>
          <w:sz w:val="20"/>
          <w:szCs w:val="20"/>
          <w:color w:val="auto"/>
        </w:rPr>
      </w:pPr>
      <w:r>
        <w:rPr>
          <w:rFonts w:ascii="Arial" w:cs="Arial" w:eastAsia="Arial" w:hAnsi="Arial"/>
          <w:sz w:val="14"/>
          <w:szCs w:val="14"/>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96" w:lineRule="exact"/>
        <w:rPr>
          <w:sz w:val="20"/>
          <w:szCs w:val="20"/>
          <w:color w:val="auto"/>
        </w:rPr>
      </w:pPr>
    </w:p>
    <w:p>
      <w:pPr>
        <w:ind w:left="1180" w:right="1199" w:firstLine="292"/>
        <w:spacing w:after="0"/>
        <w:rPr>
          <w:sz w:val="20"/>
          <w:szCs w:val="20"/>
          <w:color w:val="auto"/>
        </w:rPr>
      </w:pPr>
      <w:r>
        <w:rPr>
          <w:rFonts w:ascii="Arial" w:cs="Arial" w:eastAsia="Arial" w:hAnsi="Arial"/>
          <w:sz w:val="15"/>
          <w:szCs w:val="15"/>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Additional Withholding Requirements under FATCA</w:t>
      </w:r>
    </w:p>
    <w:p>
      <w:pPr>
        <w:spacing w:after="0" w:line="128" w:lineRule="exact"/>
        <w:rPr>
          <w:sz w:val="20"/>
          <w:szCs w:val="20"/>
          <w:color w:val="auto"/>
        </w:rPr>
      </w:pPr>
    </w:p>
    <w:p>
      <w:pPr>
        <w:ind w:left="1180" w:right="1179" w:firstLine="292"/>
        <w:spacing w:after="0" w:line="273" w:lineRule="auto"/>
        <w:rPr>
          <w:sz w:val="20"/>
          <w:szCs w:val="20"/>
          <w:color w:val="auto"/>
        </w:rPr>
      </w:pPr>
      <w:r>
        <w:rPr>
          <w:rFonts w:ascii="Arial" w:cs="Arial" w:eastAsia="Arial" w:hAnsi="Arial"/>
          <w:sz w:val="13"/>
          <w:szCs w:val="13"/>
          <w:color w:val="auto"/>
        </w:rPr>
        <w:t>Sections 1471 through 1474 of the Code, and the U.S. Treasury regulations and administrative guidance issued thereunder (“FATCA”), impose a 30% withholding tax on any dividends paid on our Class A shares and, subject to the proposed U.S. Treasury regulations discussed below, on proceeds from sales or other dispositions of our Class A shares, if paid to a “foreign financial institution” or a “non-financial foreign</w:t>
      </w:r>
    </w:p>
    <w:p>
      <w:pPr>
        <w:spacing w:after="0" w:line="1" w:lineRule="exact"/>
        <w:rPr>
          <w:sz w:val="20"/>
          <w:szCs w:val="20"/>
          <w:color w:val="auto"/>
        </w:rPr>
      </w:pPr>
    </w:p>
    <w:p>
      <w:pPr>
        <w:ind w:left="1180" w:right="1239"/>
        <w:spacing w:after="0" w:line="236" w:lineRule="auto"/>
        <w:rPr>
          <w:sz w:val="20"/>
          <w:szCs w:val="20"/>
          <w:color w:val="auto"/>
        </w:rPr>
      </w:pPr>
      <w:r>
        <w:rPr>
          <w:rFonts w:ascii="Arial" w:cs="Arial" w:eastAsia="Arial" w:hAnsi="Arial"/>
          <w:sz w:val="15"/>
          <w:szCs w:val="15"/>
          <w:color w:val="auto"/>
        </w:rPr>
        <w:t>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 U.S. entities with U.S. owners), (ii) in the case of a non-financial foreign entity, such entity certifies that it does not have any “substantial United States owners” (as​ defined</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 w:name="page18"/>
    <w:bookmarkEnd w:id="17"/>
    <w:p>
      <w:pPr>
        <w:ind w:left="16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80" w:right="1239"/>
        <w:spacing w:after="0" w:line="287" w:lineRule="auto"/>
        <w:rPr>
          <w:sz w:val="20"/>
          <w:szCs w:val="20"/>
          <w:color w:val="auto"/>
        </w:rPr>
      </w:pPr>
      <w:r>
        <w:rPr>
          <w:rFonts w:ascii="Arial" w:cs="Arial" w:eastAsia="Arial" w:hAnsi="Arial"/>
          <w:sz w:val="13"/>
          <w:szCs w:val="13"/>
          <w:color w:val="auto"/>
        </w:rPr>
        <w:t>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While gross proceeds from a sale or other disposition of our Class A shares paid after January 1, 2019, would have originally been subject to withholding under FATCA, proposed U.S. Treasury regulations provide that such payments of gross proceeds do not constitute withholdable payments. Taxpayers may generally rely on these proposed U.S. Treasury regulations until they are revoked or final U.S. Treasury regulations are issued. Non-U.S. holders are encouraged to consult their own tax advisors regarding the effects of FATCA on an investment in our Class A shares.</w:t>
      </w:r>
    </w:p>
    <w:p>
      <w:pPr>
        <w:spacing w:after="0" w:line="81" w:lineRule="exact"/>
        <w:rPr>
          <w:sz w:val="20"/>
          <w:szCs w:val="20"/>
          <w:color w:val="auto"/>
        </w:rPr>
      </w:pPr>
    </w:p>
    <w:p>
      <w:pPr>
        <w:ind w:left="1180" w:right="1239" w:firstLine="292"/>
        <w:spacing w:after="0" w:line="247" w:lineRule="auto"/>
        <w:rPr>
          <w:sz w:val="20"/>
          <w:szCs w:val="20"/>
          <w:color w:val="auto"/>
        </w:rPr>
      </w:pPr>
      <w:r>
        <w:rPr>
          <w:rFonts w:ascii="Arial" w:cs="Arial" w:eastAsia="Arial" w:hAnsi="Arial"/>
          <w:sz w:val="15"/>
          <w:szCs w:val="15"/>
          <w:color w:val="auto"/>
        </w:rPr>
        <w:t>INVESTORS CONSIDERING THE PURCHASE OF OUR CLASS A SHARES ARE URGED TO CONSULT THEIR OWN TAX ADVISORS REGARDING THE APPLICATION OF THE U.S. FEDERAL INCOME TAX LAWS (INCLUDING ANY POTENTIAL FUTURE CHANGES THERETO) TO THEIR PARTICULAR SITUATIONS AND THE APPLICABILITY AND EFFECT OF ANY OTHER TAX LAWS, INCLUDING U.S. FEDERAL ESTATE AND GIFT TAX LAWS AND ANY STATE, LOCAL OR NON-U.S. TAX LAWS AND TAX TREATIES.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 w:name="page19"/>
    <w:bookmarkEnd w:id="18"/>
    <w:p>
      <w:pPr>
        <w:ind w:left="16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INVESTMENT IN PLAINS GP HOLDINGS, L.P. BY EMPLOYEE BENEFIT PLANS</w:t>
      </w:r>
    </w:p>
    <w:p>
      <w:pPr>
        <w:spacing w:after="0" w:line="128" w:lineRule="exact"/>
        <w:rPr>
          <w:sz w:val="20"/>
          <w:szCs w:val="20"/>
          <w:color w:val="auto"/>
        </w:rPr>
      </w:pPr>
    </w:p>
    <w:p>
      <w:pPr>
        <w:ind w:left="1180" w:right="1199" w:firstLine="292"/>
        <w:spacing w:after="0" w:line="237" w:lineRule="auto"/>
        <w:rPr>
          <w:sz w:val="20"/>
          <w:szCs w:val="20"/>
          <w:color w:val="auto"/>
        </w:rPr>
      </w:pPr>
      <w:r>
        <w:rPr>
          <w:rFonts w:ascii="Arial" w:cs="Arial" w:eastAsia="Arial" w:hAnsi="Arial"/>
          <w:sz w:val="15"/>
          <w:szCs w:val="15"/>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w:t>
      </w:r>
    </w:p>
    <w:p>
      <w:pPr>
        <w:spacing w:after="0" w:line="101" w:lineRule="exact"/>
        <w:rPr>
          <w:sz w:val="20"/>
          <w:szCs w:val="20"/>
          <w:color w:val="auto"/>
        </w:rPr>
      </w:pPr>
    </w:p>
    <w:p>
      <w:pPr>
        <w:ind w:left="1180" w:right="1219" w:firstLine="292"/>
        <w:spacing w:after="0" w:line="255" w:lineRule="auto"/>
        <w:rPr>
          <w:sz w:val="20"/>
          <w:szCs w:val="20"/>
          <w:color w:val="auto"/>
        </w:rPr>
      </w:pPr>
      <w:r>
        <w:rPr>
          <w:rFonts w:ascii="Arial" w:cs="Arial" w:eastAsia="Arial" w:hAnsi="Arial"/>
          <w:sz w:val="14"/>
          <w:szCs w:val="14"/>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92" w:lineRule="exact"/>
        <w:rPr>
          <w:sz w:val="20"/>
          <w:szCs w:val="20"/>
          <w:color w:val="auto"/>
        </w:rPr>
      </w:pPr>
    </w:p>
    <w:p>
      <w:pPr>
        <w:ind w:left="1180" w:right="1259" w:firstLine="292"/>
        <w:spacing w:after="0"/>
        <w:rPr>
          <w:sz w:val="20"/>
          <w:szCs w:val="20"/>
          <w:color w:val="auto"/>
        </w:rPr>
      </w:pPr>
      <w:r>
        <w:rPr>
          <w:rFonts w:ascii="Arial" w:cs="Arial" w:eastAsia="Arial" w:hAnsi="Arial"/>
          <w:sz w:val="15"/>
          <w:szCs w:val="15"/>
          <w:color w:val="auto"/>
        </w:rPr>
        <w:t>In considering an investment in our Class A shares, the fiduciaries of an ERISA Plan should determine whether such investment is authorized by the documents and instruments governing the ERISA Plan, the applicable provisions of ERISA, the Code or any Similar Laws relating to the fiduciary’s duties to the ERISA Plan.</w:t>
      </w:r>
    </w:p>
    <w:p>
      <w:pPr>
        <w:spacing w:after="0" w:line="100"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Among other things, consideration should be given to:</w:t>
      </w:r>
    </w:p>
    <w:p>
      <w:pPr>
        <w:spacing w:after="0" w:line="91" w:lineRule="exact"/>
        <w:rPr>
          <w:sz w:val="20"/>
          <w:szCs w:val="20"/>
          <w:color w:val="auto"/>
        </w:rPr>
      </w:pPr>
    </w:p>
    <w:p>
      <w:pPr>
        <w:ind w:left="1600" w:right="1299" w:hanging="137"/>
        <w:spacing w:after="0" w:line="263" w:lineRule="auto"/>
        <w:tabs>
          <w:tab w:leader="none" w:pos="1600" w:val="left"/>
        </w:tabs>
        <w:numPr>
          <w:ilvl w:val="0"/>
          <w:numId w:val="8"/>
        </w:numPr>
        <w:rPr>
          <w:rFonts w:ascii="Arial" w:cs="Arial" w:eastAsia="Arial" w:hAnsi="Arial"/>
          <w:sz w:val="15"/>
          <w:szCs w:val="15"/>
          <w:color w:val="auto"/>
        </w:rPr>
      </w:pPr>
      <w:r>
        <w:rPr>
          <w:rFonts w:ascii="Arial" w:cs="Arial" w:eastAsia="Arial" w:hAnsi="Arial"/>
          <w:sz w:val="15"/>
          <w:szCs w:val="15"/>
          <w:color w:val="auto"/>
        </w:rPr>
        <w:t>whether the investment is prudent under Section 404(a)(1)(B) of ERISA and any applicable Similar Laws;</w:t>
      </w:r>
    </w:p>
    <w:p>
      <w:pPr>
        <w:spacing w:after="0" w:line="60" w:lineRule="exact"/>
        <w:rPr>
          <w:rFonts w:ascii="Arial" w:cs="Arial" w:eastAsia="Arial" w:hAnsi="Arial"/>
          <w:sz w:val="15"/>
          <w:szCs w:val="15"/>
          <w:color w:val="auto"/>
        </w:rPr>
      </w:pPr>
    </w:p>
    <w:p>
      <w:pPr>
        <w:ind w:left="1600" w:right="1879" w:hanging="137"/>
        <w:spacing w:after="0" w:line="263" w:lineRule="auto"/>
        <w:tabs>
          <w:tab w:leader="none" w:pos="1600" w:val="left"/>
        </w:tabs>
        <w:numPr>
          <w:ilvl w:val="0"/>
          <w:numId w:val="8"/>
        </w:numPr>
        <w:rPr>
          <w:rFonts w:ascii="Arial" w:cs="Arial" w:eastAsia="Arial" w:hAnsi="Arial"/>
          <w:sz w:val="15"/>
          <w:szCs w:val="15"/>
          <w:color w:val="auto"/>
        </w:rPr>
      </w:pPr>
      <w:r>
        <w:rPr>
          <w:rFonts w:ascii="Arial" w:cs="Arial" w:eastAsia="Arial" w:hAnsi="Arial"/>
          <w:sz w:val="15"/>
          <w:szCs w:val="15"/>
          <w:color w:val="auto"/>
        </w:rPr>
        <w:t>whether in making the investment, the plan will satisfy the diversification requirements of Section 404(a)(1)(C) of ERISA and applicable Similar Laws;</w:t>
      </w:r>
    </w:p>
    <w:p>
      <w:pPr>
        <w:spacing w:after="0" w:line="49" w:lineRule="exact"/>
        <w:rPr>
          <w:rFonts w:ascii="Arial" w:cs="Arial" w:eastAsia="Arial" w:hAnsi="Arial"/>
          <w:sz w:val="15"/>
          <w:szCs w:val="15"/>
          <w:color w:val="auto"/>
        </w:rPr>
      </w:pPr>
    </w:p>
    <w:p>
      <w:pPr>
        <w:ind w:left="1600" w:right="1399" w:hanging="137"/>
        <w:spacing w:after="0" w:line="263" w:lineRule="auto"/>
        <w:tabs>
          <w:tab w:leader="none" w:pos="1600" w:val="left"/>
        </w:tabs>
        <w:numPr>
          <w:ilvl w:val="0"/>
          <w:numId w:val="8"/>
        </w:numPr>
        <w:rPr>
          <w:rFonts w:ascii="Arial" w:cs="Arial" w:eastAsia="Arial" w:hAnsi="Arial"/>
          <w:sz w:val="15"/>
          <w:szCs w:val="15"/>
          <w:color w:val="auto"/>
        </w:rPr>
      </w:pPr>
      <w:r>
        <w:rPr>
          <w:rFonts w:ascii="Arial" w:cs="Arial" w:eastAsia="Arial" w:hAnsi="Arial"/>
          <w:sz w:val="15"/>
          <w:szCs w:val="15"/>
          <w:color w:val="auto"/>
        </w:rPr>
        <w:t>whether the investment will result in recognition of unrelated business taxable income by the plan and, if so, the potential after-tax investment return;</w:t>
      </w:r>
    </w:p>
    <w:p>
      <w:pPr>
        <w:spacing w:after="0" w:line="60" w:lineRule="exact"/>
        <w:rPr>
          <w:rFonts w:ascii="Arial" w:cs="Arial" w:eastAsia="Arial" w:hAnsi="Arial"/>
          <w:sz w:val="15"/>
          <w:szCs w:val="15"/>
          <w:color w:val="auto"/>
        </w:rPr>
      </w:pPr>
    </w:p>
    <w:p>
      <w:pPr>
        <w:ind w:left="1600" w:right="1279" w:hanging="137"/>
        <w:spacing w:after="0" w:line="263" w:lineRule="auto"/>
        <w:tabs>
          <w:tab w:leader="none" w:pos="1600" w:val="left"/>
        </w:tabs>
        <w:numPr>
          <w:ilvl w:val="0"/>
          <w:numId w:val="8"/>
        </w:numPr>
        <w:rPr>
          <w:rFonts w:ascii="Arial" w:cs="Arial" w:eastAsia="Arial" w:hAnsi="Arial"/>
          <w:sz w:val="15"/>
          <w:szCs w:val="15"/>
          <w:color w:val="auto"/>
        </w:rPr>
      </w:pPr>
      <w:r>
        <w:rPr>
          <w:rFonts w:ascii="Arial" w:cs="Arial" w:eastAsia="Arial" w:hAnsi="Arial"/>
          <w:sz w:val="15"/>
          <w:szCs w:val="15"/>
          <w:color w:val="auto"/>
        </w:rPr>
        <w:t>whether the acquisition or holding of Class A shares will constitute a “prohibited transaction” under Section 406 of ERISA or Section 4975 of the Code; and</w:t>
      </w:r>
    </w:p>
    <w:p>
      <w:pPr>
        <w:spacing w:after="0" w:line="60" w:lineRule="exact"/>
        <w:rPr>
          <w:rFonts w:ascii="Arial" w:cs="Arial" w:eastAsia="Arial" w:hAnsi="Arial"/>
          <w:sz w:val="15"/>
          <w:szCs w:val="15"/>
          <w:color w:val="auto"/>
        </w:rPr>
      </w:pPr>
    </w:p>
    <w:p>
      <w:pPr>
        <w:ind w:left="1600" w:right="1559" w:hanging="137"/>
        <w:spacing w:after="0" w:line="263" w:lineRule="auto"/>
        <w:tabs>
          <w:tab w:leader="none" w:pos="1600" w:val="left"/>
        </w:tabs>
        <w:numPr>
          <w:ilvl w:val="0"/>
          <w:numId w:val="8"/>
        </w:numPr>
        <w:rPr>
          <w:rFonts w:ascii="Arial" w:cs="Arial" w:eastAsia="Arial" w:hAnsi="Arial"/>
          <w:sz w:val="15"/>
          <w:szCs w:val="15"/>
          <w:color w:val="auto"/>
        </w:rPr>
      </w:pPr>
      <w:r>
        <w:rPr>
          <w:rFonts w:ascii="Arial" w:cs="Arial" w:eastAsia="Arial" w:hAnsi="Arial"/>
          <w:sz w:val="15"/>
          <w:szCs w:val="15"/>
          <w:color w:val="auto"/>
        </w:rPr>
        <w:t>whether the plan will be considered to hold, as plan assets, (i) only our Class A shares or (ii) an undivided interest in our underlying assets.</w:t>
      </w:r>
    </w:p>
    <w:p>
      <w:pPr>
        <w:spacing w:after="0" w:line="83" w:lineRule="exact"/>
        <w:rPr>
          <w:sz w:val="20"/>
          <w:szCs w:val="20"/>
          <w:color w:val="auto"/>
        </w:rPr>
      </w:pPr>
    </w:p>
    <w:p>
      <w:pPr>
        <w:ind w:left="1180" w:right="1179" w:firstLine="292"/>
        <w:spacing w:after="0" w:line="236" w:lineRule="auto"/>
        <w:rPr>
          <w:sz w:val="20"/>
          <w:szCs w:val="20"/>
          <w:color w:val="auto"/>
        </w:rPr>
      </w:pPr>
      <w:r>
        <w:rPr>
          <w:rFonts w:ascii="Arial" w:cs="Arial" w:eastAsia="Arial" w:hAnsi="Arial"/>
          <w:sz w:val="15"/>
          <w:szCs w:val="15"/>
          <w:color w:val="auto"/>
        </w:rPr>
        <w:t>Section 406 of ERISA and Section 4975 of the Code prohibit ERISA Plans from engaging in specified transactions involving “plan assets” with parties that are “parties in interest” under ERISA or “disqualified persons” under the Code with respect to the plan,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 -exempt prohibited transaction may be subject to excise taxes, penalties and liabilities under ERISA and the Code. Therefore, a fiduciary of an employee benefit plan or an IRA accountholder that is considering an investment in our Class A shares should consider whether the entity’s purchase or ownership of such Class A shares would or could result in the occurrence of such a non-exempt prohibited transaction.</w:t>
      </w:r>
    </w:p>
    <w:p>
      <w:pPr>
        <w:spacing w:after="0" w:line="102" w:lineRule="exact"/>
        <w:rPr>
          <w:sz w:val="20"/>
          <w:szCs w:val="20"/>
          <w:color w:val="auto"/>
        </w:rPr>
      </w:pPr>
    </w:p>
    <w:p>
      <w:pPr>
        <w:ind w:left="1180" w:right="1359" w:firstLine="292"/>
        <w:spacing w:after="0" w:line="259" w:lineRule="auto"/>
        <w:rPr>
          <w:sz w:val="20"/>
          <w:szCs w:val="20"/>
          <w:color w:val="auto"/>
        </w:rPr>
      </w:pPr>
      <w:r>
        <w:rPr>
          <w:rFonts w:ascii="Arial" w:cs="Arial" w:eastAsia="Arial" w:hAnsi="Arial"/>
          <w:sz w:val="14"/>
          <w:szCs w:val="14"/>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 or other applicable Similar Laws.</w:t>
      </w:r>
    </w:p>
    <w:p>
      <w:pPr>
        <w:spacing w:after="0" w:line="87" w:lineRule="exact"/>
        <w:rPr>
          <w:sz w:val="20"/>
          <w:szCs w:val="20"/>
          <w:color w:val="auto"/>
        </w:rPr>
      </w:pPr>
    </w:p>
    <w:p>
      <w:pPr>
        <w:ind w:left="1180" w:right="1219" w:firstLine="292"/>
        <w:spacing w:after="0" w:line="282" w:lineRule="auto"/>
        <w:rPr>
          <w:sz w:val="20"/>
          <w:szCs w:val="20"/>
          <w:color w:val="auto"/>
        </w:rPr>
      </w:pPr>
      <w:r>
        <w:rPr>
          <w:rFonts w:ascii="Arial" w:cs="Arial" w:eastAsia="Arial" w:hAnsi="Arial"/>
          <w:sz w:val="14"/>
          <w:szCs w:val="14"/>
          <w:color w:val="auto"/>
        </w:rPr>
        <w:t>ERISA and the Department of Labor regulations provide guidance with respect to whether the assets of an entity in which employee benefit plans acquire equity interests would be deemed “plan assets” under</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 w:name="page20"/>
    <w:bookmarkEnd w:id="19"/>
    <w:p>
      <w:pPr>
        <w:ind w:left="16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80" w:right="1399"/>
        <w:spacing w:after="0" w:line="263" w:lineRule="auto"/>
        <w:rPr>
          <w:sz w:val="20"/>
          <w:szCs w:val="20"/>
          <w:color w:val="auto"/>
        </w:rPr>
      </w:pPr>
      <w:r>
        <w:rPr>
          <w:rFonts w:ascii="Arial" w:cs="Arial" w:eastAsia="Arial" w:hAnsi="Arial"/>
          <w:sz w:val="15"/>
          <w:szCs w:val="15"/>
          <w:color w:val="auto"/>
        </w:rPr>
        <w:t>certain circumstances. Under these rules, an entity’s assets generally would not be considered to be “plan assets” if, among other things:</w:t>
      </w:r>
    </w:p>
    <w:p>
      <w:pPr>
        <w:spacing w:after="0" w:line="61" w:lineRule="exact"/>
        <w:rPr>
          <w:sz w:val="20"/>
          <w:szCs w:val="20"/>
          <w:color w:val="auto"/>
        </w:rPr>
      </w:pPr>
    </w:p>
    <w:p>
      <w:pPr>
        <w:ind w:left="1600" w:right="1199" w:hanging="137"/>
        <w:spacing w:after="0" w:line="250" w:lineRule="auto"/>
        <w:tabs>
          <w:tab w:leader="none" w:pos="1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equity interests acquired by employee benefit plans are publicly offered securities; i.e., the equity interests are widely held by 100 or more investors independent of the issuer and each other, “freely transferable” (as​ defined in the applicable Department of Labor regulations) and registered under some provision of the federal securities laws;</w:t>
      </w:r>
    </w:p>
    <w:p>
      <w:pPr>
        <w:spacing w:after="0" w:line="70" w:lineRule="exact"/>
        <w:rPr>
          <w:rFonts w:ascii="Arial" w:cs="Arial" w:eastAsia="Arial" w:hAnsi="Arial"/>
          <w:sz w:val="15"/>
          <w:szCs w:val="15"/>
          <w:color w:val="auto"/>
        </w:rPr>
      </w:pPr>
    </w:p>
    <w:p>
      <w:pPr>
        <w:ind w:left="1600" w:right="1399" w:hanging="137"/>
        <w:spacing w:after="0" w:line="253" w:lineRule="auto"/>
        <w:tabs>
          <w:tab w:leader="none" w:pos="1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68" w:lineRule="exact"/>
        <w:rPr>
          <w:rFonts w:ascii="Arial" w:cs="Arial" w:eastAsia="Arial" w:hAnsi="Arial"/>
          <w:sz w:val="15"/>
          <w:szCs w:val="15"/>
          <w:color w:val="auto"/>
        </w:rPr>
      </w:pPr>
    </w:p>
    <w:p>
      <w:pPr>
        <w:ind w:left="1600" w:right="1319" w:hanging="137"/>
        <w:spacing w:after="0" w:line="287" w:lineRule="auto"/>
        <w:tabs>
          <w:tab w:leader="none" w:pos="1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there is no significant investment by benefit plan investors, which is defined to mean that less than 25% of the value of each class of equity interest, disregarding some interests held by our general partner, its affiliates (which do not include the Legacy Owners), and some other persons, is held by</w:t>
      </w:r>
    </w:p>
    <w:p>
      <w:pPr>
        <w:ind w:left="1600" w:right="1339"/>
        <w:spacing w:after="0" w:line="272" w:lineRule="auto"/>
        <w:rPr>
          <w:rFonts w:ascii="Arial" w:cs="Arial" w:eastAsia="Arial" w:hAnsi="Arial"/>
          <w:sz w:val="13"/>
          <w:szCs w:val="13"/>
          <w:color w:val="auto"/>
        </w:rPr>
      </w:pPr>
      <w:r>
        <w:rPr>
          <w:rFonts w:ascii="Arial" w:cs="Arial" w:eastAsia="Arial" w:hAnsi="Arial"/>
          <w:sz w:val="14"/>
          <w:szCs w:val="14"/>
          <w:color w:val="auto"/>
        </w:rPr>
        <w:t>(1)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89" w:lineRule="exact"/>
        <w:rPr>
          <w:sz w:val="20"/>
          <w:szCs w:val="20"/>
          <w:color w:val="auto"/>
        </w:rPr>
      </w:pPr>
    </w:p>
    <w:p>
      <w:pPr>
        <w:ind w:left="1180" w:right="1239" w:firstLine="292"/>
        <w:spacing w:after="0" w:line="267" w:lineRule="auto"/>
        <w:rPr>
          <w:sz w:val="20"/>
          <w:szCs w:val="20"/>
          <w:color w:val="auto"/>
        </w:rPr>
      </w:pPr>
      <w:r>
        <w:rPr>
          <w:rFonts w:ascii="Arial" w:cs="Arial" w:eastAsia="Arial" w:hAnsi="Arial"/>
          <w:sz w:val="14"/>
          <w:szCs w:val="14"/>
          <w:color w:val="auto"/>
        </w:rPr>
        <w:t>The summary above is based on the provisions of ERISA and the Code (and related regulations and administrative and judicial interpretations) as of the date of this filing. This summary does not purport to be complete, and no assurance can be given that future legislation, court decisions, regulations, rulings or pronouncements will not significantly modify the requirements summarized above.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95" w:lineRule="exact"/>
        <w:rPr>
          <w:sz w:val="20"/>
          <w:szCs w:val="20"/>
          <w:color w:val="auto"/>
        </w:rPr>
      </w:pPr>
    </w:p>
    <w:p>
      <w:pPr>
        <w:ind w:left="1180" w:right="1259" w:firstLine="292"/>
        <w:spacing w:after="0" w:line="247" w:lineRule="auto"/>
        <w:rPr>
          <w:sz w:val="20"/>
          <w:szCs w:val="20"/>
          <w:color w:val="auto"/>
        </w:rPr>
      </w:pPr>
      <w:r>
        <w:rPr>
          <w:rFonts w:ascii="Arial" w:cs="Arial" w:eastAsia="Arial" w:hAnsi="Arial"/>
          <w:sz w:val="15"/>
          <w:szCs w:val="15"/>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 The sale of our Class A shares to any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 w:name="page21"/>
    <w:bookmarkEnd w:id="20"/>
    <w:p>
      <w:pPr>
        <w:ind w:left="16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PLAN OF DISTRIBUTION</w:t>
      </w:r>
    </w:p>
    <w:p>
      <w:pPr>
        <w:spacing w:after="0" w:line="128" w:lineRule="exact"/>
        <w:rPr>
          <w:sz w:val="20"/>
          <w:szCs w:val="20"/>
          <w:color w:val="auto"/>
        </w:rPr>
      </w:pPr>
    </w:p>
    <w:p>
      <w:pPr>
        <w:ind w:left="1180" w:right="1699" w:firstLine="292"/>
        <w:spacing w:after="0" w:line="263" w:lineRule="auto"/>
        <w:rPr>
          <w:sz w:val="20"/>
          <w:szCs w:val="20"/>
          <w:color w:val="auto"/>
        </w:rPr>
      </w:pPr>
      <w:r>
        <w:rPr>
          <w:rFonts w:ascii="Arial" w:cs="Arial" w:eastAsia="Arial" w:hAnsi="Arial"/>
          <w:sz w:val="15"/>
          <w:szCs w:val="15"/>
          <w:color w:val="auto"/>
        </w:rPr>
        <w:t>We intend to offer and sell the Class A shares offered by this prospectus by one or more of, or a combination of, the following methods:</w:t>
      </w:r>
    </w:p>
    <w:p>
      <w:pPr>
        <w:spacing w:after="0" w:line="61" w:lineRule="exact"/>
        <w:rPr>
          <w:sz w:val="20"/>
          <w:szCs w:val="20"/>
          <w:color w:val="auto"/>
        </w:rPr>
      </w:pPr>
    </w:p>
    <w:p>
      <w:pPr>
        <w:ind w:left="1600" w:hanging="137"/>
        <w:spacing w:after="0"/>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through one or more underwriters for public offering and sale;</w:t>
      </w:r>
    </w:p>
    <w:p>
      <w:pPr>
        <w:spacing w:after="0" w:line="90" w:lineRule="exact"/>
        <w:rPr>
          <w:rFonts w:ascii="Arial" w:cs="Arial" w:eastAsia="Arial" w:hAnsi="Arial"/>
          <w:sz w:val="15"/>
          <w:szCs w:val="15"/>
          <w:color w:val="auto"/>
        </w:rPr>
      </w:pPr>
    </w:p>
    <w:p>
      <w:pPr>
        <w:ind w:left="1600" w:right="1739" w:hanging="137"/>
        <w:spacing w:after="0" w:line="263" w:lineRule="auto"/>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through one or more broker-dealers who may act as agent or may purchase Class A shares as principal and thereafter resell the Class A shares from time to time;</w:t>
      </w:r>
    </w:p>
    <w:p>
      <w:pPr>
        <w:spacing w:after="0" w:line="60" w:lineRule="exact"/>
        <w:rPr>
          <w:rFonts w:ascii="Arial" w:cs="Arial" w:eastAsia="Arial" w:hAnsi="Arial"/>
          <w:sz w:val="15"/>
          <w:szCs w:val="15"/>
          <w:color w:val="auto"/>
        </w:rPr>
      </w:pPr>
    </w:p>
    <w:p>
      <w:pPr>
        <w:ind w:left="1600" w:right="1679" w:hanging="137"/>
        <w:spacing w:after="0" w:line="263" w:lineRule="auto"/>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 or through one or more transactions (which may involve crosses and block transactions) or distributions;</w:t>
      </w:r>
    </w:p>
    <w:p>
      <w:pPr>
        <w:spacing w:after="0" w:line="60" w:lineRule="exact"/>
        <w:rPr>
          <w:rFonts w:ascii="Arial" w:cs="Arial" w:eastAsia="Arial" w:hAnsi="Arial"/>
          <w:sz w:val="15"/>
          <w:szCs w:val="15"/>
          <w:color w:val="auto"/>
        </w:rPr>
      </w:pPr>
    </w:p>
    <w:p>
      <w:pPr>
        <w:ind w:left="1600" w:hanging="137"/>
        <w:spacing w:after="0"/>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on NASDAQ;</w:t>
      </w:r>
    </w:p>
    <w:p>
      <w:pPr>
        <w:spacing w:after="0" w:line="101" w:lineRule="exact"/>
        <w:rPr>
          <w:rFonts w:ascii="Arial" w:cs="Arial" w:eastAsia="Arial" w:hAnsi="Arial"/>
          <w:sz w:val="15"/>
          <w:szCs w:val="15"/>
          <w:color w:val="auto"/>
        </w:rPr>
      </w:pPr>
    </w:p>
    <w:p>
      <w:pPr>
        <w:ind w:left="1600" w:hanging="137"/>
        <w:spacing w:after="0"/>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 the over-the-counter market;</w:t>
      </w:r>
    </w:p>
    <w:p>
      <w:pPr>
        <w:spacing w:after="0" w:line="90" w:lineRule="exact"/>
        <w:rPr>
          <w:rFonts w:ascii="Arial" w:cs="Arial" w:eastAsia="Arial" w:hAnsi="Arial"/>
          <w:sz w:val="15"/>
          <w:szCs w:val="15"/>
          <w:color w:val="auto"/>
        </w:rPr>
      </w:pPr>
    </w:p>
    <w:p>
      <w:pPr>
        <w:ind w:left="1600" w:hanging="137"/>
        <w:spacing w:after="0"/>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 private transactions; or</w:t>
      </w:r>
    </w:p>
    <w:p>
      <w:pPr>
        <w:spacing w:after="0" w:line="90" w:lineRule="exact"/>
        <w:rPr>
          <w:rFonts w:ascii="Arial" w:cs="Arial" w:eastAsia="Arial" w:hAnsi="Arial"/>
          <w:sz w:val="15"/>
          <w:szCs w:val="15"/>
          <w:color w:val="auto"/>
        </w:rPr>
      </w:pPr>
    </w:p>
    <w:p>
      <w:pPr>
        <w:ind w:left="1600" w:hanging="137"/>
        <w:spacing w:after="0"/>
        <w:tabs>
          <w:tab w:leader="none" w:pos="1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to investors directly.</w:t>
      </w:r>
    </w:p>
    <w:p>
      <w:pPr>
        <w:spacing w:after="0" w:line="113" w:lineRule="exact"/>
        <w:rPr>
          <w:sz w:val="20"/>
          <w:szCs w:val="20"/>
          <w:color w:val="auto"/>
        </w:rPr>
      </w:pPr>
    </w:p>
    <w:p>
      <w:pPr>
        <w:ind w:left="1180" w:right="1259" w:firstLine="292"/>
        <w:spacing w:after="0" w:line="263" w:lineRule="auto"/>
        <w:rPr>
          <w:sz w:val="20"/>
          <w:szCs w:val="20"/>
          <w:color w:val="auto"/>
        </w:rPr>
      </w:pPr>
      <w:r>
        <w:rPr>
          <w:rFonts w:ascii="Arial" w:cs="Arial" w:eastAsia="Arial" w:hAnsi="Arial"/>
          <w:sz w:val="15"/>
          <w:szCs w:val="15"/>
          <w:color w:val="auto"/>
        </w:rPr>
        <w:t>We will determine the offering price per Class A share from time to time in connection with, and at the time of, sale. We may price the Class A shares at:</w:t>
      </w:r>
    </w:p>
    <w:p>
      <w:pPr>
        <w:spacing w:after="0" w:line="72" w:lineRule="exact"/>
        <w:rPr>
          <w:sz w:val="20"/>
          <w:szCs w:val="20"/>
          <w:color w:val="auto"/>
        </w:rPr>
      </w:pPr>
    </w:p>
    <w:p>
      <w:pPr>
        <w:ind w:left="1600" w:hanging="137"/>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market prices prevailing at the time of any sale under this registration statement;</w:t>
      </w:r>
    </w:p>
    <w:p>
      <w:pPr>
        <w:spacing w:after="0" w:line="90" w:lineRule="exact"/>
        <w:rPr>
          <w:rFonts w:ascii="Arial" w:cs="Arial" w:eastAsia="Arial" w:hAnsi="Arial"/>
          <w:sz w:val="15"/>
          <w:szCs w:val="15"/>
          <w:color w:val="auto"/>
        </w:rPr>
      </w:pPr>
    </w:p>
    <w:p>
      <w:pPr>
        <w:ind w:left="1600" w:hanging="137"/>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prices related to the then-current market prices;</w:t>
      </w:r>
    </w:p>
    <w:p>
      <w:pPr>
        <w:spacing w:after="0" w:line="90" w:lineRule="exact"/>
        <w:rPr>
          <w:rFonts w:ascii="Arial" w:cs="Arial" w:eastAsia="Arial" w:hAnsi="Arial"/>
          <w:sz w:val="15"/>
          <w:szCs w:val="15"/>
          <w:color w:val="auto"/>
        </w:rPr>
      </w:pPr>
    </w:p>
    <w:p>
      <w:pPr>
        <w:ind w:left="1600" w:hanging="137"/>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fixed price; or</w:t>
      </w:r>
    </w:p>
    <w:p>
      <w:pPr>
        <w:spacing w:after="0" w:line="90" w:lineRule="exact"/>
        <w:rPr>
          <w:rFonts w:ascii="Arial" w:cs="Arial" w:eastAsia="Arial" w:hAnsi="Arial"/>
          <w:sz w:val="15"/>
          <w:szCs w:val="15"/>
          <w:color w:val="auto"/>
        </w:rPr>
      </w:pPr>
    </w:p>
    <w:p>
      <w:pPr>
        <w:ind w:left="1600" w:hanging="137"/>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negotiated prices.</w:t>
      </w:r>
    </w:p>
    <w:p>
      <w:pPr>
        <w:spacing w:after="0" w:line="124"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We may change the price of the securities offered from time to time.</w:t>
      </w:r>
    </w:p>
    <w:p>
      <w:pPr>
        <w:spacing w:after="0" w:line="113" w:lineRule="exact"/>
        <w:rPr>
          <w:sz w:val="20"/>
          <w:szCs w:val="20"/>
          <w:color w:val="auto"/>
        </w:rPr>
      </w:pPr>
    </w:p>
    <w:p>
      <w:pPr>
        <w:ind w:left="1180" w:right="1339" w:firstLine="292"/>
        <w:spacing w:after="0" w:line="263" w:lineRule="auto"/>
        <w:rPr>
          <w:sz w:val="20"/>
          <w:szCs w:val="20"/>
          <w:color w:val="auto"/>
        </w:rPr>
      </w:pPr>
      <w:r>
        <w:rPr>
          <w:rFonts w:ascii="Arial" w:cs="Arial" w:eastAsia="Arial" w:hAnsi="Arial"/>
          <w:sz w:val="15"/>
          <w:szCs w:val="15"/>
          <w:color w:val="auto"/>
        </w:rPr>
        <w:t>We will pay or allow distributors’ or sellers’ commissions that will not exceed those customary in the types of transactions involved.</w:t>
      </w:r>
    </w:p>
    <w:p>
      <w:pPr>
        <w:spacing w:after="0" w:line="93" w:lineRule="exact"/>
        <w:rPr>
          <w:sz w:val="20"/>
          <w:szCs w:val="20"/>
          <w:color w:val="auto"/>
        </w:rPr>
      </w:pPr>
    </w:p>
    <w:p>
      <w:pPr>
        <w:ind w:left="1180" w:right="1219" w:firstLine="292"/>
        <w:spacing w:after="0" w:line="266" w:lineRule="auto"/>
        <w:rPr>
          <w:sz w:val="20"/>
          <w:szCs w:val="20"/>
          <w:color w:val="auto"/>
        </w:rPr>
      </w:pPr>
      <w:r>
        <w:rPr>
          <w:rFonts w:ascii="Arial" w:cs="Arial" w:eastAsia="Arial" w:hAnsi="Arial"/>
          <w:sz w:val="14"/>
          <w:szCs w:val="14"/>
          <w:color w:val="auto"/>
        </w:rPr>
        <w:t>We may authorize underwriters acting as our agent to offer and sell Class A shares upon the terms and conditions as are set forth in an applicable prospectus supplement. In connection with the sale of these Class A shares, underwriters may be deemed to have received compensation in the form of underwriting discounts or commissions and may receive commissions from purchasers of Class A shares for whom they may act as agent or to whom they sell as principals, or both. Underwriters may sell Class A shares to or through dealers. Dealers may receive compensation in the form of discounts, concessions or commissions from the underwriters and/or commissions the purchasers of Class A shares for whom they may act as agent or to whom they sell as principals, or both. A member firm of NASDAQ may be engaged to act as our agent in the sale of Class A shares.</w:t>
      </w:r>
    </w:p>
    <w:p>
      <w:pPr>
        <w:spacing w:after="0" w:line="94" w:lineRule="exact"/>
        <w:rPr>
          <w:sz w:val="20"/>
          <w:szCs w:val="20"/>
          <w:color w:val="auto"/>
        </w:rPr>
      </w:pPr>
    </w:p>
    <w:p>
      <w:pPr>
        <w:ind w:left="1180" w:right="1239" w:firstLine="292"/>
        <w:spacing w:after="0" w:line="247" w:lineRule="auto"/>
        <w:rPr>
          <w:sz w:val="20"/>
          <w:szCs w:val="20"/>
          <w:color w:val="auto"/>
        </w:rPr>
      </w:pPr>
      <w:r>
        <w:rPr>
          <w:rFonts w:ascii="Arial" w:cs="Arial" w:eastAsia="Arial" w:hAnsi="Arial"/>
          <w:sz w:val="15"/>
          <w:szCs w:val="15"/>
          <w:color w:val="auto"/>
        </w:rPr>
        <w:t>Broker-dealers may also receive compensation in the form of underwriting discounts or commissions and may receive commissions from purchasers of the Class A shares for whom they may act as agents. If any broker-dealer purchases the Class A shares as principal, it may effect resales of the Class A shares from time to time to or through other broker-dealers, and other broker-dealers may receive compensation in the form of concessions or commissions from the purchasers of Class A shares for whom they may act as agents.</w:t>
      </w:r>
    </w:p>
    <w:p>
      <w:pPr>
        <w:spacing w:after="0" w:line="97" w:lineRule="exact"/>
        <w:rPr>
          <w:sz w:val="20"/>
          <w:szCs w:val="20"/>
          <w:color w:val="auto"/>
        </w:rPr>
      </w:pPr>
    </w:p>
    <w:p>
      <w:pPr>
        <w:ind w:left="1180" w:right="1199" w:firstLine="292"/>
        <w:spacing w:after="0" w:line="289" w:lineRule="auto"/>
        <w:rPr>
          <w:sz w:val="20"/>
          <w:szCs w:val="20"/>
          <w:color w:val="auto"/>
        </w:rPr>
      </w:pPr>
      <w:r>
        <w:rPr>
          <w:rFonts w:ascii="Arial" w:cs="Arial" w:eastAsia="Arial" w:hAnsi="Arial"/>
          <w:sz w:val="13"/>
          <w:szCs w:val="13"/>
          <w:color w:val="auto"/>
        </w:rPr>
        <w:t>As of the date of this prospectus, we have not engaged any underwriters, broker, dealer or agent in connection with the offer and sale of Class A shares pursuant to this prospectus. To the extent required, the names of the specific managing underwriter or underwriters, if any, as well as other important information, will be set forth in an applicable prospectus supplement. In that event, any underwriting compensation paid to underwriters or agents in connection with the offering of the Class A shares, and any discounts, concessions or commissions allowed by underwriters to participating dealers, will be set forth in the applicable prospectus supplement. Any underwriters, brokers, dealers and agents who participate in any sale of the Class A Shares may also engage in transactions with, or perform services for, us or our affiliates in the ordinary course of their businesses. We may indemnify underwriters, brokers, dealers and agents against</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 w:name="page22"/>
    <w:bookmarkEnd w:id="21"/>
    <w:p>
      <w:pPr>
        <w:ind w:left="16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180" w:right="1539"/>
        <w:spacing w:after="0" w:line="253" w:lineRule="auto"/>
        <w:rPr>
          <w:sz w:val="20"/>
          <w:szCs w:val="20"/>
          <w:color w:val="auto"/>
        </w:rPr>
      </w:pPr>
      <w:r>
        <w:rPr>
          <w:rFonts w:ascii="Arial" w:cs="Arial" w:eastAsia="Arial" w:hAnsi="Arial"/>
          <w:sz w:val="15"/>
          <w:szCs w:val="15"/>
          <w:color w:val="auto"/>
        </w:rPr>
        <w:t>specific liabilities to which they may become subject in connection with the sale of the Class A shares registered under this prospectus, including liabilities under the Securities Act of 1933, as amended (the “Securities Act”).</w:t>
      </w:r>
    </w:p>
    <w:p>
      <w:pPr>
        <w:spacing w:after="0" w:line="101" w:lineRule="exact"/>
        <w:rPr>
          <w:sz w:val="20"/>
          <w:szCs w:val="20"/>
          <w:color w:val="auto"/>
        </w:rPr>
      </w:pPr>
    </w:p>
    <w:p>
      <w:pPr>
        <w:ind w:left="1180" w:right="1219" w:firstLine="292"/>
        <w:spacing w:after="0" w:line="250" w:lineRule="auto"/>
        <w:rPr>
          <w:sz w:val="20"/>
          <w:szCs w:val="20"/>
          <w:color w:val="auto"/>
        </w:rPr>
      </w:pPr>
      <w:r>
        <w:rPr>
          <w:rFonts w:ascii="Arial" w:cs="Arial" w:eastAsia="Arial" w:hAnsi="Arial"/>
          <w:sz w:val="15"/>
          <w:szCs w:val="15"/>
          <w:color w:val="auto"/>
        </w:rPr>
        <w:t>Offers to purchase Class A Shares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04" w:lineRule="exact"/>
        <w:rPr>
          <w:sz w:val="20"/>
          <w:szCs w:val="20"/>
          <w:color w:val="auto"/>
        </w:rPr>
      </w:pPr>
    </w:p>
    <w:p>
      <w:pPr>
        <w:ind w:left="1180" w:right="1299" w:firstLine="292"/>
        <w:spacing w:after="0" w:line="253" w:lineRule="auto"/>
        <w:rPr>
          <w:sz w:val="20"/>
          <w:szCs w:val="20"/>
          <w:color w:val="auto"/>
        </w:rPr>
      </w:pPr>
      <w:r>
        <w:rPr>
          <w:rFonts w:ascii="Arial" w:cs="Arial" w:eastAsia="Arial" w:hAnsi="Arial"/>
          <w:sz w:val="15"/>
          <w:szCs w:val="15"/>
          <w:color w:val="auto"/>
        </w:rPr>
        <w:t>We may offer our Class A shares into an existing trading market on the terms described in the prospectus supplement relating thereto. Underwriters and dealers who may participate in any at-the-market offerings will be described in the prospectus supplement relating thereto.</w:t>
      </w:r>
    </w:p>
    <w:p>
      <w:pPr>
        <w:spacing w:after="0" w:line="91" w:lineRule="exact"/>
        <w:rPr>
          <w:sz w:val="20"/>
          <w:szCs w:val="20"/>
          <w:color w:val="auto"/>
        </w:rPr>
      </w:pPr>
    </w:p>
    <w:p>
      <w:pPr>
        <w:jc w:val="both"/>
        <w:ind w:left="1180" w:right="1239" w:firstLine="292"/>
        <w:spacing w:after="0" w:line="253" w:lineRule="auto"/>
        <w:rPr>
          <w:sz w:val="20"/>
          <w:szCs w:val="20"/>
          <w:color w:val="auto"/>
        </w:rPr>
      </w:pPr>
      <w:r>
        <w:rPr>
          <w:rFonts w:ascii="Arial" w:cs="Arial" w:eastAsia="Arial" w:hAnsi="Arial"/>
          <w:sz w:val="15"/>
          <w:szCs w:val="15"/>
          <w:color w:val="auto"/>
        </w:rPr>
        <w:t>The aggregate maximum compensation the underwriters will receive in connection with the sale of any Class A shares under this prospectus and the registration statement of which it forms a part will not exceed 8% of the gross proceeds from the sale.</w:t>
      </w:r>
    </w:p>
    <w:p>
      <w:pPr>
        <w:spacing w:after="0" w:line="101" w:lineRule="exact"/>
        <w:rPr>
          <w:sz w:val="20"/>
          <w:szCs w:val="20"/>
          <w:color w:val="auto"/>
        </w:rPr>
      </w:pPr>
    </w:p>
    <w:p>
      <w:pPr>
        <w:ind w:left="1180" w:right="1339" w:firstLine="292"/>
        <w:spacing w:after="0" w:line="253" w:lineRule="auto"/>
        <w:rPr>
          <w:sz w:val="20"/>
          <w:szCs w:val="20"/>
          <w:color w:val="auto"/>
        </w:rPr>
      </w:pPr>
      <w:r>
        <w:rPr>
          <w:rFonts w:ascii="Arial" w:cs="Arial" w:eastAsia="Arial" w:hAnsi="Arial"/>
          <w:sz w:val="15"/>
          <w:szCs w:val="15"/>
          <w:color w:val="auto"/>
        </w:rPr>
        <w:t>Any underwriters, brokers, dealers and agents who participate in any sale of the Class A shares may also engage in transactions with, or perform services for, us or our affiliates in the ordinary course of their businesses.</w:t>
      </w:r>
    </w:p>
    <w:p>
      <w:pPr>
        <w:spacing w:after="0" w:line="101" w:lineRule="exact"/>
        <w:rPr>
          <w:sz w:val="20"/>
          <w:szCs w:val="20"/>
          <w:color w:val="auto"/>
        </w:rPr>
      </w:pPr>
    </w:p>
    <w:p>
      <w:pPr>
        <w:ind w:left="1180" w:right="1239" w:firstLine="292"/>
        <w:spacing w:after="0" w:line="253" w:lineRule="auto"/>
        <w:rPr>
          <w:sz w:val="20"/>
          <w:szCs w:val="20"/>
          <w:color w:val="auto"/>
        </w:rPr>
      </w:pPr>
      <w:r>
        <w:rPr>
          <w:rFonts w:ascii="Arial" w:cs="Arial" w:eastAsia="Arial" w:hAnsi="Arial"/>
          <w:sz w:val="15"/>
          <w:szCs w:val="15"/>
          <w:color w:val="auto"/>
        </w:rPr>
        <w:t>Because FINRA views our Class A shares as interests in a direct participation program, any offering of Class A shares under the registration statement of which this prospectus forms a part will be made in compliance with Rule 2310 of the FINRA Rules.</w:t>
      </w:r>
    </w:p>
    <w:p>
      <w:pPr>
        <w:spacing w:after="0" w:line="91" w:lineRule="exact"/>
        <w:rPr>
          <w:sz w:val="20"/>
          <w:szCs w:val="20"/>
          <w:color w:val="auto"/>
        </w:rPr>
      </w:pPr>
    </w:p>
    <w:p>
      <w:pPr>
        <w:jc w:val="both"/>
        <w:ind w:left="1180" w:right="1239" w:firstLine="292"/>
        <w:spacing w:after="0" w:line="280" w:lineRule="auto"/>
        <w:rPr>
          <w:sz w:val="20"/>
          <w:szCs w:val="20"/>
          <w:color w:val="auto"/>
        </w:rPr>
      </w:pPr>
      <w:r>
        <w:rPr>
          <w:rFonts w:ascii="Arial" w:cs="Arial" w:eastAsia="Arial" w:hAnsi="Arial"/>
          <w:sz w:val="14"/>
          <w:szCs w:val="14"/>
          <w:color w:val="auto"/>
        </w:rPr>
        <w:t>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w:t>
      </w:r>
    </w:p>
    <w:p>
      <w:pPr>
        <w:spacing w:after="0" w:line="83" w:lineRule="exact"/>
        <w:rPr>
          <w:sz w:val="20"/>
          <w:szCs w:val="20"/>
          <w:color w:val="auto"/>
        </w:rPr>
      </w:pPr>
    </w:p>
    <w:p>
      <w:pPr>
        <w:ind w:left="1180" w:right="1199" w:firstLine="292"/>
        <w:spacing w:after="0" w:line="264" w:lineRule="auto"/>
        <w:rPr>
          <w:sz w:val="20"/>
          <w:szCs w:val="20"/>
          <w:color w:val="auto"/>
        </w:rPr>
      </w:pPr>
      <w:r>
        <w:rPr>
          <w:rFonts w:ascii="Arial" w:cs="Arial" w:eastAsia="Arial" w:hAnsi="Arial"/>
          <w:sz w:val="14"/>
          <w:szCs w:val="14"/>
          <w:color w:val="auto"/>
        </w:rPr>
        <w:t>In connection with offerings under this shelf registration statement and in compliance with applicable law, underwriters, brokers or dealers may engage in transactions that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 w:name="page23"/>
    <w:bookmarkEnd w:id="22"/>
    <w:p>
      <w:pPr>
        <w:ind w:left="16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LEGAL MATTERS</w:t>
      </w:r>
    </w:p>
    <w:p>
      <w:pPr>
        <w:spacing w:after="0" w:line="128" w:lineRule="exact"/>
        <w:rPr>
          <w:sz w:val="20"/>
          <w:szCs w:val="20"/>
          <w:color w:val="auto"/>
        </w:rPr>
      </w:pPr>
    </w:p>
    <w:p>
      <w:pPr>
        <w:ind w:left="1180" w:right="1399" w:firstLine="292"/>
        <w:spacing w:after="0" w:line="247" w:lineRule="auto"/>
        <w:rPr>
          <w:sz w:val="20"/>
          <w:szCs w:val="20"/>
          <w:color w:val="auto"/>
        </w:rPr>
      </w:pPr>
      <w:r>
        <w:rPr>
          <w:rFonts w:ascii="Arial" w:cs="Arial" w:eastAsia="Arial" w:hAnsi="Arial"/>
          <w:sz w:val="15"/>
          <w:szCs w:val="15"/>
          <w:color w:val="auto"/>
        </w:rPr>
        <w:t>The validity of the Class A shares will be passed upon for us by Vinson &amp; Elkins L.L.P., Houston, Texas. Vinson &amp; Elkins L.L.P. will also render an opinion on certain material U.S. federal income tax consequences regarding the Class A shares.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EXPERTS</w:t>
      </w:r>
    </w:p>
    <w:p>
      <w:pPr>
        <w:spacing w:after="0" w:line="128" w:lineRule="exact"/>
        <w:rPr>
          <w:sz w:val="20"/>
          <w:szCs w:val="20"/>
          <w:color w:val="auto"/>
        </w:rPr>
      </w:pPr>
    </w:p>
    <w:p>
      <w:pPr>
        <w:ind w:left="1180" w:right="1379" w:firstLine="292"/>
        <w:spacing w:after="0" w:line="247" w:lineRule="auto"/>
        <w:rPr>
          <w:rFonts w:ascii="Arial" w:cs="Arial" w:eastAsia="Arial" w:hAnsi="Arial"/>
          <w:sz w:val="15"/>
          <w:szCs w:val="15"/>
          <w:color w:val="0000EE"/>
        </w:rPr>
      </w:pPr>
      <w:r>
        <w:rPr>
          <w:rFonts w:ascii="Arial" w:cs="Arial" w:eastAsia="Arial" w:hAnsi="Arial"/>
          <w:sz w:val="15"/>
          <w:szCs w:val="15"/>
          <w:color w:val="auto"/>
        </w:rPr>
        <w:t xml:space="preserve">The financial statements and management’s assessment of the effectiveness of internal control over financial reporting (which is included in Management’s Report on Internal Control over Financial </w:t>
      </w:r>
      <w:hyperlink r:id="rId27">
        <w:r>
          <w:rPr>
            <w:rFonts w:ascii="Arial" w:cs="Arial" w:eastAsia="Arial" w:hAnsi="Arial"/>
            <w:sz w:val="15"/>
            <w:szCs w:val="15"/>
            <w:color w:val="auto"/>
          </w:rPr>
          <w:t xml:space="preserve">Reporting) incorporated in this prospectus by reference to the </w:t>
        </w:r>
        <w:r>
          <w:rPr>
            <w:rFonts w:ascii="Arial" w:cs="Arial" w:eastAsia="Arial" w:hAnsi="Arial"/>
            <w:sz w:val="15"/>
            <w:szCs w:val="15"/>
            <w:u w:val="single" w:color="auto"/>
            <w:color w:val="0000EE"/>
          </w:rPr>
          <w:t>Annual Report on Form 10-K for the year</w:t>
        </w:r>
      </w:hyperlink>
      <w:r>
        <w:rPr>
          <w:rFonts w:ascii="Arial" w:cs="Arial" w:eastAsia="Arial" w:hAnsi="Arial"/>
          <w:sz w:val="15"/>
          <w:szCs w:val="15"/>
          <w:color w:val="auto"/>
        </w:rPr>
        <w:t xml:space="preserve"> </w:t>
      </w:r>
      <w:hyperlink r:id="rId27">
        <w:r>
          <w:rPr>
            <w:rFonts w:ascii="Arial" w:cs="Arial" w:eastAsia="Arial" w:hAnsi="Arial"/>
            <w:sz w:val="15"/>
            <w:szCs w:val="15"/>
            <w:u w:val="single" w:color="auto"/>
            <w:color w:val="0000EE"/>
          </w:rPr>
          <w:t>ended December 31, 2021</w:t>
        </w:r>
        <w:r>
          <w:rPr>
            <w:rFonts w:ascii="Arial" w:cs="Arial" w:eastAsia="Arial" w:hAnsi="Arial"/>
            <w:sz w:val="15"/>
            <w:szCs w:val="15"/>
            <w:color w:val="0000EE"/>
          </w:rPr>
          <w:t xml:space="preserve"> </w:t>
        </w:r>
        <w:r>
          <w:rPr>
            <w:rFonts w:ascii="Arial" w:cs="Arial" w:eastAsia="Arial" w:hAnsi="Arial"/>
            <w:sz w:val="15"/>
            <w:szCs w:val="15"/>
            <w:color w:val="000000"/>
          </w:rPr>
          <w:t>have been so incorporated in reliance on the report of PricewaterhouseCoopers</w:t>
        </w:r>
      </w:hyperlink>
      <w:r>
        <w:rPr>
          <w:rFonts w:ascii="Arial" w:cs="Arial" w:eastAsia="Arial" w:hAnsi="Arial"/>
          <w:sz w:val="15"/>
          <w:szCs w:val="15"/>
          <w:color w:val="0000EE"/>
        </w:rPr>
        <w:t xml:space="preserve"> </w:t>
      </w:r>
      <w:r>
        <w:rPr>
          <w:rFonts w:ascii="Arial" w:cs="Arial" w:eastAsia="Arial" w:hAnsi="Arial"/>
          <w:sz w:val="15"/>
          <w:szCs w:val="15"/>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 w:name="page24"/>
    <w:bookmarkEnd w:id="23"/>
    <w:p>
      <w:pPr>
        <w:ind w:left="16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Item 14. Other Expenses of Issuance and Distribution.</w:t>
      </w:r>
    </w:p>
    <w:p>
      <w:pPr>
        <w:spacing w:after="0" w:line="128" w:lineRule="exact"/>
        <w:rPr>
          <w:sz w:val="20"/>
          <w:szCs w:val="20"/>
          <w:color w:val="auto"/>
        </w:rPr>
      </w:pPr>
    </w:p>
    <w:p>
      <w:pPr>
        <w:jc w:val="both"/>
        <w:ind w:left="1180" w:right="1339" w:firstLine="292"/>
        <w:spacing w:after="0" w:line="288" w:lineRule="auto"/>
        <w:rPr>
          <w:sz w:val="20"/>
          <w:szCs w:val="20"/>
          <w:color w:val="auto"/>
        </w:rPr>
      </w:pPr>
      <w:r>
        <w:rPr>
          <w:rFonts w:ascii="Arial" w:cs="Arial" w:eastAsia="Arial" w:hAnsi="Arial"/>
          <w:sz w:val="14"/>
          <w:szCs w:val="14"/>
          <w:color w:val="auto"/>
        </w:rPr>
        <w:t>Set forth below are the expenses (other than underwriting discounts and commissions) expected to be incurred in connection with the issuance and distribution of the Class A shares registered hereby. With the exception of the SEC registration fee, the amounts set forth below are estimates.</w:t>
      </w:r>
    </w:p>
    <w:p>
      <w:pPr>
        <w:sectPr>
          <w:pgSz w:w="11900" w:h="16838" w:orient="portrait"/>
          <w:cols w:equalWidth="0" w:num="1">
            <w:col w:w="9019"/>
          </w:cols>
          <w:pgMar w:left="1440" w:top="134" w:right="1440" w:bottom="1440" w:gutter="0" w:footer="0" w:header="0"/>
        </w:sectPr>
      </w:pPr>
    </w:p>
    <w:p>
      <w:pPr>
        <w:spacing w:after="0" w:line="100"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-95250</wp:posOffset>
            </wp:positionV>
            <wp:extent cx="4233545" cy="97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4233545" cy="97790"/>
                    </a:xfrm>
                    <a:prstGeom prst="rect">
                      <a:avLst/>
                    </a:prstGeom>
                    <a:noFill/>
                  </pic:spPr>
                </pic:pic>
              </a:graphicData>
            </a:graphic>
          </wp:anchor>
        </w:drawing>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8890</wp:posOffset>
            </wp:positionV>
            <wp:extent cx="4233545" cy="132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4233545" cy="132080"/>
                    </a:xfrm>
                    <a:prstGeom prst="rect">
                      <a:avLst/>
                    </a:prstGeom>
                    <a:noFill/>
                  </pic:spPr>
                </pic:pic>
              </a:graphicData>
            </a:graphic>
          </wp:anchor>
        </w:drawing>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Accounting​ fees and expenses</w:t>
      </w:r>
    </w:p>
    <w:p>
      <w:pPr>
        <w:spacing w:after="0" w:line="36"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8890</wp:posOffset>
            </wp:positionV>
            <wp:extent cx="423354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4233545" cy="146050"/>
                    </a:xfrm>
                    <a:prstGeom prst="rect">
                      <a:avLst/>
                    </a:prstGeom>
                    <a:noFill/>
                  </pic:spPr>
                </pic:pic>
              </a:graphicData>
            </a:graphic>
          </wp:anchor>
        </w:drawing>
      </w:r>
    </w:p>
    <w:p>
      <w:pPr>
        <w:ind w:left="1180"/>
        <w:spacing w:after="0" w:line="183" w:lineRule="auto"/>
        <w:rPr>
          <w:sz w:val="20"/>
          <w:szCs w:val="20"/>
          <w:color w:val="auto"/>
        </w:rPr>
      </w:pPr>
      <w:r>
        <w:rPr>
          <w:rFonts w:ascii="Arial" w:cs="Arial" w:eastAsia="Arial" w:hAnsi="Arial"/>
          <w:sz w:val="15"/>
          <w:szCs w:val="15"/>
          <w:color w:val="auto"/>
        </w:rPr>
        <w:t>Miscellaneous</w:t>
      </w:r>
      <w:r>
        <w:rPr>
          <w:rFonts w:ascii="Arial" w:cs="Arial" w:eastAsia="Arial" w:hAnsi="Arial"/>
          <w:sz w:val="29"/>
          <w:szCs w:val="29"/>
          <w:color w:val="auto"/>
          <w:vertAlign w:val="subscript"/>
        </w:rPr>
        <w:t>​</w:t>
      </w:r>
    </w:p>
    <w:p>
      <w:pPr>
        <w:ind w:left="1180"/>
        <w:spacing w:after="0" w:line="182" w:lineRule="auto"/>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62865</wp:posOffset>
            </wp:positionV>
            <wp:extent cx="100266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1002665" cy="6985"/>
                    </a:xfrm>
                    <a:prstGeom prst="rect">
                      <a:avLst/>
                    </a:prstGeom>
                    <a:noFill/>
                  </pic:spPr>
                </pic:pic>
              </a:graphicData>
            </a:graphic>
          </wp:anchor>
        </w:drawing>
      </w:r>
    </w:p>
    <w:p>
      <w:pPr>
        <w:spacing w:after="0" w:line="210" w:lineRule="exact"/>
        <w:rPr>
          <w:sz w:val="20"/>
          <w:szCs w:val="20"/>
          <w:color w:val="auto"/>
        </w:rPr>
      </w:pPr>
    </w:p>
    <w:p>
      <w:pPr>
        <w:ind w:left="1460" w:hanging="289"/>
        <w:spacing w:after="0"/>
        <w:tabs>
          <w:tab w:leader="none" w:pos="1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Excludes registration fee offset pursuant to Rule 457(p).</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40"/>
        <w:spacing w:after="0"/>
        <w:rPr>
          <w:sz w:val="20"/>
          <w:szCs w:val="20"/>
          <w:color w:val="auto"/>
        </w:rPr>
      </w:pPr>
      <w:r>
        <w:rPr>
          <w:rFonts w:ascii="Arial" w:cs="Arial" w:eastAsia="Arial" w:hAnsi="Arial"/>
          <w:sz w:val="15"/>
          <w:szCs w:val="15"/>
          <w:color w:val="auto"/>
        </w:rPr>
        <w:t>​ ​​$103,466.78​*</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0" w:type="dxa"/>
            <w:vAlign w:val="bottom"/>
            <w:gridSpan w:val="2"/>
          </w:tcPr>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p>
        </w:tc>
        <w:tc>
          <w:tcPr>
            <w:tcW w:w="14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8"/>
        </w:trPr>
        <w:tc>
          <w:tcPr>
            <w:tcW w:w="920" w:type="dxa"/>
            <w:vAlign w:val="bottom"/>
            <w:gridSpan w:val="2"/>
          </w:tcPr>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p>
        </w:tc>
        <w:tc>
          <w:tcPr>
            <w:tcW w:w="14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8"/>
        </w:trPr>
        <w:tc>
          <w:tcPr>
            <w:tcW w:w="920" w:type="dxa"/>
            <w:vAlign w:val="bottom"/>
            <w:gridSpan w:val="2"/>
          </w:tcPr>
          <w:p>
            <w:pPr>
              <w:ind w:left="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b w:val="1"/>
                <w:bCs w:val="1"/>
                <w:color w:val="auto"/>
              </w:rPr>
              <w:t>​</w:t>
            </w:r>
          </w:p>
        </w:tc>
        <w:tc>
          <w:tcPr>
            <w:tcW w:w="14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1"/>
        </w:trPr>
        <w:tc>
          <w:tcPr>
            <w:tcW w:w="920" w:type="dxa"/>
            <w:vAlign w:val="bottom"/>
            <w:gridSpan w:val="2"/>
          </w:tcPr>
          <w:p>
            <w:pPr>
              <w:ind w:left="40"/>
              <w:spacing w:after="0" w:line="201"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3"/>
                <w:szCs w:val="23"/>
                <w:b w:val="1"/>
                <w:bCs w:val="1"/>
                <w:color w:val="auto"/>
                <w:vertAlign w:val="superscript"/>
              </w:rPr>
              <w:t>​</w:t>
            </w:r>
          </w:p>
        </w:tc>
        <w:tc>
          <w:tcPr>
            <w:tcW w:w="140" w:type="dxa"/>
            <w:vAlign w:val="bottom"/>
          </w:tcPr>
          <w:p>
            <w:pPr>
              <w:spacing w:after="0" w:line="201"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55"/>
        </w:trPr>
        <w:tc>
          <w:tcPr>
            <w:tcW w:w="920" w:type="dxa"/>
            <w:vAlign w:val="bottom"/>
            <w:gridSpan w:val="2"/>
          </w:tcPr>
          <w:p>
            <w:pPr>
              <w:ind w:left="180"/>
              <w:spacing w:after="0" w:line="156" w:lineRule="exact"/>
              <w:rPr>
                <w:sz w:val="20"/>
                <w:szCs w:val="20"/>
                <w:color w:val="auto"/>
              </w:rPr>
            </w:pPr>
            <w:r>
              <w:rPr>
                <w:rFonts w:ascii="Arial" w:cs="Arial" w:eastAsia="Arial" w:hAnsi="Arial"/>
                <w:sz w:val="15"/>
                <w:szCs w:val="15"/>
                <w:color w:val="auto"/>
              </w:rPr>
              <w:t>$</w:t>
            </w:r>
          </w:p>
        </w:tc>
        <w:tc>
          <w:tcPr>
            <w:tcW w:w="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920" w:type="dxa"/>
            <w:vAlign w:val="bottom"/>
            <w:gridSpan w:val="2"/>
          </w:tcPr>
          <w:p>
            <w:pPr>
              <w:ind w:left="40"/>
              <w:spacing w:after="0" w:line="35" w:lineRule="exact"/>
              <w:rPr>
                <w:sz w:val="20"/>
                <w:szCs w:val="20"/>
                <w:color w:val="auto"/>
              </w:rPr>
            </w:pPr>
            <w:r>
              <w:rPr>
                <w:rFonts w:ascii="Arial" w:cs="Arial" w:eastAsia="Arial" w:hAnsi="Arial"/>
                <w:sz w:val="4"/>
                <w:szCs w:val="4"/>
                <w:color w:val="auto"/>
              </w:rPr>
              <w:t>​ ​​</w:t>
            </w:r>
          </w:p>
        </w:tc>
        <w:tc>
          <w:tcPr>
            <w:tcW w:w="140" w:type="dxa"/>
            <w:vAlign w:val="bottom"/>
          </w:tcPr>
          <w:p>
            <w:pPr>
              <w:spacing w:after="0" w:line="35"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3" w:lineRule="exact"/>
        <w:rPr>
          <w:sz w:val="20"/>
          <w:szCs w:val="20"/>
          <w:color w:val="auto"/>
        </w:rPr>
      </w:pPr>
    </w:p>
    <w:p>
      <w:pPr>
        <w:sectPr>
          <w:pgSz w:w="11900" w:h="16838" w:orient="portrait"/>
          <w:cols w:equalWidth="0" w:num="2">
            <w:col w:w="6200" w:space="720"/>
            <w:col w:w="2099"/>
          </w:cols>
          <w:pgMar w:left="1440" w:top="134" w:right="1440" w:bottom="1440" w:gutter="0" w:footer="0" w:header="0"/>
          <w:type w:val="continuous"/>
        </w:sectPr>
      </w:pPr>
    </w:p>
    <w:p>
      <w:pPr>
        <w:ind w:left="1460" w:right="1639" w:hanging="289"/>
        <w:spacing w:after="0" w:line="263" w:lineRule="auto"/>
        <w:tabs>
          <w:tab w:leader="none" w:pos="1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These fees are calculated based on the number of issuances and amount of securities offered and accordingly cannot be estimated at this time.</w:t>
      </w:r>
    </w:p>
    <w:p>
      <w:pPr>
        <w:spacing w:after="0" w:line="144"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Item 15. Indemnification of Directors and Officers.</w:t>
      </w:r>
    </w:p>
    <w:p>
      <w:pPr>
        <w:spacing w:after="0" w:line="117" w:lineRule="exact"/>
        <w:rPr>
          <w:sz w:val="20"/>
          <w:szCs w:val="20"/>
          <w:color w:val="auto"/>
        </w:rPr>
      </w:pPr>
    </w:p>
    <w:p>
      <w:pPr>
        <w:ind w:left="1180" w:right="1239" w:firstLine="292"/>
        <w:spacing w:after="0" w:line="260" w:lineRule="auto"/>
        <w:rPr>
          <w:sz w:val="20"/>
          <w:szCs w:val="20"/>
          <w:color w:val="auto"/>
        </w:rPr>
      </w:pPr>
      <w:r>
        <w:rPr>
          <w:rFonts w:ascii="Arial" w:cs="Arial" w:eastAsia="Arial" w:hAnsi="Arial"/>
          <w:sz w:val="15"/>
          <w:szCs w:val="15"/>
          <w:color w:val="auto"/>
        </w:rPr>
        <w:t>Section 17-108 of the Delaware Revised Uniform Limited Partnership Act empowers a Delaware limited partnership to indemnify and hold harmless any partner or other persons from and against all claims and demands whatsoever. Under Plains GP Holdings, L.P.’s partnership agreement and subject to specified limitations expressly in its partnership agreement, Plains GP Holdings, L.P. shall indemnify to the fullest extent permitted by Delaware law:</w:t>
      </w:r>
    </w:p>
    <w:p>
      <w:pPr>
        <w:spacing w:after="0" w:line="75" w:lineRule="exact"/>
        <w:rPr>
          <w:sz w:val="20"/>
          <w:szCs w:val="20"/>
          <w:color w:val="auto"/>
        </w:rPr>
      </w:pPr>
    </w:p>
    <w:p>
      <w:pPr>
        <w:ind w:left="1600" w:hanging="137"/>
        <w:spacing w:after="0"/>
        <w:tabs>
          <w:tab w:leader="none" w:pos="1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its general partner;</w:t>
      </w:r>
    </w:p>
    <w:p>
      <w:pPr>
        <w:spacing w:after="0" w:line="101" w:lineRule="exact"/>
        <w:rPr>
          <w:rFonts w:ascii="Arial" w:cs="Arial" w:eastAsia="Arial" w:hAnsi="Arial"/>
          <w:sz w:val="15"/>
          <w:szCs w:val="15"/>
          <w:color w:val="auto"/>
        </w:rPr>
      </w:pPr>
    </w:p>
    <w:p>
      <w:pPr>
        <w:ind w:left="1600" w:hanging="137"/>
        <w:spacing w:after="0"/>
        <w:tabs>
          <w:tab w:leader="none" w:pos="1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departing general partner;</w:t>
      </w:r>
    </w:p>
    <w:p>
      <w:pPr>
        <w:spacing w:after="0" w:line="101" w:lineRule="exact"/>
        <w:rPr>
          <w:rFonts w:ascii="Arial" w:cs="Arial" w:eastAsia="Arial" w:hAnsi="Arial"/>
          <w:sz w:val="15"/>
          <w:szCs w:val="15"/>
          <w:color w:val="auto"/>
        </w:rPr>
      </w:pPr>
    </w:p>
    <w:p>
      <w:pPr>
        <w:ind w:left="1600" w:hanging="137"/>
        <w:spacing w:after="0"/>
        <w:tabs>
          <w:tab w:leader="none" w:pos="1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Legacy Owners;</w:t>
      </w:r>
    </w:p>
    <w:p>
      <w:pPr>
        <w:spacing w:after="0" w:line="112" w:lineRule="exact"/>
        <w:rPr>
          <w:rFonts w:ascii="Arial" w:cs="Arial" w:eastAsia="Arial" w:hAnsi="Arial"/>
          <w:sz w:val="15"/>
          <w:szCs w:val="15"/>
          <w:color w:val="auto"/>
        </w:rPr>
      </w:pPr>
    </w:p>
    <w:p>
      <w:pPr>
        <w:ind w:left="1600" w:hanging="137"/>
        <w:spacing w:after="0"/>
        <w:tabs>
          <w:tab w:leader="none" w:pos="1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Qualifying Interest Holders (as defined in the partnership agreement);</w:t>
      </w:r>
    </w:p>
    <w:p>
      <w:pPr>
        <w:spacing w:after="0" w:line="101" w:lineRule="exact"/>
        <w:rPr>
          <w:rFonts w:ascii="Arial" w:cs="Arial" w:eastAsia="Arial" w:hAnsi="Arial"/>
          <w:sz w:val="15"/>
          <w:szCs w:val="15"/>
          <w:color w:val="auto"/>
        </w:rPr>
      </w:pPr>
    </w:p>
    <w:p>
      <w:pPr>
        <w:ind w:left="1600" w:right="1219" w:hanging="137"/>
        <w:spacing w:after="0" w:line="263" w:lineRule="auto"/>
        <w:tabs>
          <w:tab w:leader="none" w:pos="1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person who is or was an affiliate of its general partner, any departing general partner, the Legacy Owners or any Qualifying Interest Holder;</w:t>
      </w:r>
    </w:p>
    <w:p>
      <w:pPr>
        <w:spacing w:after="0" w:line="71" w:lineRule="exact"/>
        <w:rPr>
          <w:rFonts w:ascii="Arial" w:cs="Arial" w:eastAsia="Arial" w:hAnsi="Arial"/>
          <w:sz w:val="15"/>
          <w:szCs w:val="15"/>
          <w:color w:val="auto"/>
        </w:rPr>
      </w:pPr>
    </w:p>
    <w:p>
      <w:pPr>
        <w:ind w:left="1600" w:right="1299" w:hanging="137"/>
        <w:spacing w:after="0" w:line="253" w:lineRule="auto"/>
        <w:tabs>
          <w:tab w:leader="none" w:pos="1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person who is or was a managing member, manager, general partner, director, officer, fiduciary, agent or trustee of its general partner or any departing general partner or any affiliate of its general partner, any departing general partner or the Legacy Owners;</w:t>
      </w:r>
    </w:p>
    <w:p>
      <w:pPr>
        <w:spacing w:after="0" w:line="79" w:lineRule="exact"/>
        <w:rPr>
          <w:rFonts w:ascii="Arial" w:cs="Arial" w:eastAsia="Arial" w:hAnsi="Arial"/>
          <w:sz w:val="15"/>
          <w:szCs w:val="15"/>
          <w:color w:val="auto"/>
        </w:rPr>
      </w:pPr>
    </w:p>
    <w:p>
      <w:pPr>
        <w:ind w:left="1600" w:right="1259" w:hanging="137"/>
        <w:spacing w:after="0" w:line="250" w:lineRule="auto"/>
        <w:tabs>
          <w:tab w:leader="none" w:pos="1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81" w:lineRule="exact"/>
        <w:rPr>
          <w:rFonts w:ascii="Arial" w:cs="Arial" w:eastAsia="Arial" w:hAnsi="Arial"/>
          <w:sz w:val="15"/>
          <w:szCs w:val="15"/>
          <w:color w:val="auto"/>
        </w:rPr>
      </w:pPr>
    </w:p>
    <w:p>
      <w:pPr>
        <w:ind w:left="1600" w:hanging="137"/>
        <w:spacing w:after="0"/>
        <w:tabs>
          <w:tab w:leader="none" w:pos="1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person designated by its general partner</w:t>
      </w:r>
    </w:p>
    <w:p>
      <w:pPr>
        <w:spacing w:after="0" w:line="124" w:lineRule="exact"/>
        <w:rPr>
          <w:sz w:val="20"/>
          <w:szCs w:val="20"/>
          <w:color w:val="auto"/>
        </w:rPr>
      </w:pPr>
    </w:p>
    <w:p>
      <w:pPr>
        <w:ind w:left="1180" w:right="1439"/>
        <w:spacing w:after="0" w:line="304" w:lineRule="auto"/>
        <w:rPr>
          <w:sz w:val="20"/>
          <w:szCs w:val="20"/>
          <w:color w:val="auto"/>
        </w:rPr>
      </w:pPr>
      <w:r>
        <w:rPr>
          <w:rFonts w:ascii="Arial" w:cs="Arial" w:eastAsia="Arial" w:hAnsi="Arial"/>
          <w:sz w:val="13"/>
          <w:szCs w:val="13"/>
          <w:color w:val="auto"/>
        </w:rPr>
        <w:t>from and against all losses, claims, damages or similar events arising by reason of such person’s above mentioned position with respect to Plains GP Holdings, L.P. Provided, that such person shall not be indemnified and held harmless if there has been a final and non-appealable judgment entered by a court determining that such person acted in bad faith or engaged in fraud, willful misconduct or acted with the knowledge that his or her conduct was unlawful. Any indemnification under Plains GP Holdings, L.P.’s partnership agreement will only be out of its assets. Plains GP Holdings, L.P. is authorized to purchase</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4" w:name="page25"/>
    <w:bookmarkEnd w:id="24"/>
    <w:p>
      <w:pPr>
        <w:ind w:left="16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180" w:right="1459"/>
        <w:spacing w:after="0" w:line="272" w:lineRule="auto"/>
        <w:rPr>
          <w:sz w:val="20"/>
          <w:szCs w:val="20"/>
          <w:color w:val="auto"/>
        </w:rPr>
      </w:pPr>
      <w:r>
        <w:rPr>
          <w:rFonts w:ascii="Arial" w:cs="Arial" w:eastAsia="Arial" w:hAnsi="Arial"/>
          <w:sz w:val="14"/>
          <w:szCs w:val="14"/>
          <w:color w:val="auto"/>
        </w:rPr>
        <w:t>insurance against liabilities asserted against and expenses incurred by persons from Plains GP Holdings, L.P.’s activities, regardless of whether Plains GP Holdings, L.P. would have the power to indemnify the person against liabilities under Plains GP Holdings, L.P.’s partnership agreement.</w:t>
      </w:r>
    </w:p>
    <w:p>
      <w:pPr>
        <w:spacing w:after="0" w:line="78" w:lineRule="exact"/>
        <w:rPr>
          <w:sz w:val="20"/>
          <w:szCs w:val="20"/>
          <w:color w:val="auto"/>
        </w:rPr>
      </w:pPr>
    </w:p>
    <w:p>
      <w:pPr>
        <w:ind w:left="1180" w:right="1179" w:firstLine="292"/>
        <w:spacing w:after="0" w:line="272" w:lineRule="auto"/>
        <w:rPr>
          <w:sz w:val="20"/>
          <w:szCs w:val="20"/>
          <w:color w:val="auto"/>
        </w:rPr>
      </w:pPr>
      <w:r>
        <w:rPr>
          <w:rFonts w:ascii="Arial" w:cs="Arial" w:eastAsia="Arial" w:hAnsi="Arial"/>
          <w:sz w:val="14"/>
          <w:szCs w:val="14"/>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28"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Item 16. Exhibits.</w:t>
      </w:r>
    </w:p>
    <w:p>
      <w:pPr>
        <w:sectPr>
          <w:pgSz w:w="11900" w:h="16838" w:orient="portrait"/>
          <w:cols w:equalWidth="0" w:num="1">
            <w:col w:w="9019"/>
          </w:cols>
          <w:pgMar w:left="1440" w:top="134" w:right="1440" w:bottom="1440" w:gutter="0" w:footer="0" w:header="0"/>
        </w:sectPr>
      </w:pPr>
    </w:p>
    <w:p>
      <w:pPr>
        <w:spacing w:after="0" w:line="136"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400" w:type="dxa"/>
            <w:vAlign w:val="bottom"/>
          </w:tcPr>
          <w:p>
            <w:pPr>
              <w:spacing w:after="0"/>
              <w:rPr>
                <w:sz w:val="20"/>
                <w:szCs w:val="20"/>
                <w:color w:val="auto"/>
              </w:rPr>
            </w:pPr>
            <w:r>
              <w:rPr>
                <w:rFonts w:ascii="Arial" w:cs="Arial" w:eastAsia="Arial" w:hAnsi="Arial"/>
                <w:sz w:val="12"/>
                <w:szCs w:val="12"/>
                <w:b w:val="1"/>
                <w:bCs w:val="1"/>
                <w:color w:val="auto"/>
                <w:w w:val="94"/>
              </w:rPr>
              <w:t>Exhibit</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920" w:type="dxa"/>
            <w:vAlign w:val="bottom"/>
            <w:gridSpan w:val="2"/>
          </w:tcPr>
          <w:p>
            <w:pPr>
              <w:spacing w:after="0" w:line="171"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b w:val="1"/>
                <w:bCs w:val="1"/>
                <w:color w:val="auto"/>
                <w:vertAlign w:val="superscript"/>
              </w:rPr>
              <w:t>Number</w:t>
            </w:r>
            <w:r>
              <w:rPr>
                <w:rFonts w:ascii="Arial" w:cs="Arial" w:eastAsia="Arial" w:hAnsi="Arial"/>
                <w:sz w:val="10"/>
                <w:szCs w:val="10"/>
                <w:b w:val="1"/>
                <w:bCs w:val="1"/>
                <w:color w:val="auto"/>
              </w:rPr>
              <w:t xml:space="preserve"> ​ ​​   ​ ​</w:t>
            </w:r>
          </w:p>
        </w:tc>
        <w:tc>
          <w:tcPr>
            <w:tcW w:w="20" w:type="dxa"/>
            <w:vAlign w:val="bottom"/>
          </w:tcPr>
          <w:p>
            <w:pPr>
              <w:spacing w:after="0"/>
              <w:rPr>
                <w:sz w:val="14"/>
                <w:szCs w:val="14"/>
                <w:color w:val="auto"/>
              </w:rPr>
            </w:pPr>
          </w:p>
        </w:tc>
        <w:tc>
          <w:tcPr>
            <w:tcW w:w="5720" w:type="dxa"/>
            <w:vAlign w:val="bottom"/>
            <w:gridSpan w:val="8"/>
          </w:tcPr>
          <w:p>
            <w:pPr>
              <w:ind w:left="2580"/>
              <w:spacing w:after="0"/>
              <w:rPr>
                <w:sz w:val="20"/>
                <w:szCs w:val="20"/>
                <w:color w:val="auto"/>
              </w:rPr>
            </w:pPr>
            <w:r>
              <w:rPr>
                <w:rFonts w:ascii="Arial" w:cs="Arial" w:eastAsia="Arial" w:hAnsi="Arial"/>
                <w:sz w:val="12"/>
                <w:szCs w:val="12"/>
                <w:b w:val="1"/>
                <w:bCs w:val="1"/>
                <w:color w:val="auto"/>
              </w:rPr>
              <w:t>Description</w:t>
            </w:r>
          </w:p>
        </w:tc>
      </w:tr>
      <w:tr>
        <w:trPr>
          <w:trHeight w:val="189"/>
        </w:trPr>
        <w:tc>
          <w:tcPr>
            <w:tcW w:w="400" w:type="dxa"/>
            <w:vAlign w:val="bottom"/>
            <w:tcBorders>
              <w:top w:val="single" w:sz="8" w:color="auto"/>
            </w:tcBorders>
          </w:tcPr>
          <w:p>
            <w:pPr>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1.1**</w:t>
            </w:r>
          </w:p>
        </w:tc>
        <w:tc>
          <w:tcPr>
            <w:tcW w:w="520" w:type="dxa"/>
            <w:vAlign w:val="bottom"/>
          </w:tcPr>
          <w:p>
            <w:pPr>
              <w:spacing w:after="0" w:line="189"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1"/>
                <w:szCs w:val="21"/>
                <w:color w:val="auto"/>
                <w:vertAlign w:val="subscript"/>
              </w:rPr>
              <w:t>—</w:t>
            </w:r>
            <w:r>
              <w:rPr>
                <w:rFonts w:ascii="Arial" w:cs="Arial" w:eastAsia="Arial" w:hAnsi="Arial"/>
                <w:sz w:val="12"/>
                <w:szCs w:val="12"/>
                <w:color w:val="auto"/>
              </w:rPr>
              <w:t xml:space="preserve"> ​ ​</w:t>
            </w:r>
          </w:p>
        </w:tc>
        <w:tc>
          <w:tcPr>
            <w:tcW w:w="20" w:type="dxa"/>
            <w:vAlign w:val="bottom"/>
            <w:tcBorders>
              <w:top w:val="single" w:sz="8" w:color="auto"/>
            </w:tcBorders>
          </w:tcPr>
          <w:p>
            <w:pPr>
              <w:spacing w:after="0"/>
              <w:rPr>
                <w:sz w:val="16"/>
                <w:szCs w:val="16"/>
                <w:color w:val="auto"/>
              </w:rPr>
            </w:pPr>
          </w:p>
        </w:tc>
        <w:tc>
          <w:tcPr>
            <w:tcW w:w="5720" w:type="dxa"/>
            <w:vAlign w:val="bottom"/>
            <w:tcBorders>
              <w:top w:val="single" w:sz="8" w:color="auto"/>
            </w:tcBorders>
            <w:gridSpan w:val="8"/>
          </w:tcPr>
          <w:p>
            <w:pPr>
              <w:spacing w:after="0"/>
              <w:rPr>
                <w:sz w:val="20"/>
                <w:szCs w:val="20"/>
                <w:color w:val="auto"/>
              </w:rPr>
            </w:pPr>
            <w:r>
              <w:rPr>
                <w:rFonts w:ascii="Arial" w:cs="Arial" w:eastAsia="Arial" w:hAnsi="Arial"/>
                <w:sz w:val="15"/>
                <w:szCs w:val="15"/>
                <w:color w:val="auto"/>
              </w:rPr>
              <w:t>Form of Underwriting Agreement.</w:t>
            </w:r>
          </w:p>
        </w:tc>
      </w:tr>
      <w:tr>
        <w:trPr>
          <w:trHeight w:val="175"/>
        </w:trPr>
        <w:tc>
          <w:tcPr>
            <w:tcW w:w="400" w:type="dxa"/>
            <w:vAlign w:val="bottom"/>
          </w:tcPr>
          <w:p>
            <w:pPr>
              <w:spacing w:after="0"/>
              <w:rPr>
                <w:sz w:val="20"/>
                <w:szCs w:val="20"/>
                <w:color w:val="auto"/>
              </w:rPr>
            </w:pPr>
            <w:r>
              <w:rPr>
                <w:rFonts w:ascii="Arial" w:cs="Arial" w:eastAsia="Arial" w:hAnsi="Arial"/>
                <w:sz w:val="15"/>
                <w:szCs w:val="15"/>
                <w:color w:val="auto"/>
              </w:rPr>
              <w:t>​ 3.1</w:t>
            </w:r>
          </w:p>
        </w:tc>
        <w:tc>
          <w:tcPr>
            <w:tcW w:w="6260" w:type="dxa"/>
            <w:vAlign w:val="bottom"/>
            <w:gridSpan w:val="10"/>
          </w:tcPr>
          <w:p>
            <w:pPr>
              <w:spacing w:after="0"/>
              <w:rPr>
                <w:rFonts w:ascii="Arial" w:cs="Arial" w:eastAsia="Arial" w:hAnsi="Arial"/>
                <w:sz w:val="15"/>
                <w:szCs w:val="15"/>
                <w:color w:val="auto"/>
                <w:w w:val="98"/>
              </w:rPr>
            </w:pPr>
            <w:r>
              <w:rPr>
                <w:rFonts w:ascii="Arial" w:cs="Arial" w:eastAsia="Arial" w:hAnsi="Arial"/>
                <w:sz w:val="15"/>
                <w:szCs w:val="15"/>
                <w:color w:val="auto"/>
                <w:w w:val="98"/>
              </w:rPr>
              <w:t xml:space="preserve">​ ​ — ​ ​ </w:t>
            </w:r>
            <w:hyperlink r:id="rId64">
              <w:r>
                <w:rPr>
                  <w:rFonts w:ascii="Arial" w:cs="Arial" w:eastAsia="Arial" w:hAnsi="Arial"/>
                  <w:sz w:val="15"/>
                  <w:szCs w:val="15"/>
                  <w:color w:val="0000EE"/>
                  <w:w w:val="98"/>
                </w:rPr>
                <w:t>Certificate of Limited Partnership of Plains GP Holdings, L.P. (incorporated by reference to</w:t>
              </w:r>
            </w:hyperlink>
          </w:p>
        </w:tc>
      </w:tr>
      <w:tr>
        <w:trPr>
          <w:trHeight w:val="155"/>
        </w:trPr>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EE"/>
              <w:bottom w:val="single" w:sz="8" w:color="0000EE"/>
            </w:tcBorders>
            <w:gridSpan w:val="4"/>
          </w:tcPr>
          <w:p>
            <w:pPr>
              <w:spacing w:after="0" w:line="156" w:lineRule="exact"/>
              <w:rPr>
                <w:rFonts w:ascii="Arial" w:cs="Arial" w:eastAsia="Arial" w:hAnsi="Arial"/>
                <w:sz w:val="15"/>
                <w:szCs w:val="15"/>
                <w:color w:val="0000EE"/>
                <w:w w:val="93"/>
              </w:rPr>
            </w:pPr>
            <w:hyperlink r:id="rId64">
              <w:r>
                <w:rPr>
                  <w:rFonts w:ascii="Arial" w:cs="Arial" w:eastAsia="Arial" w:hAnsi="Arial"/>
                  <w:sz w:val="15"/>
                  <w:szCs w:val="15"/>
                  <w:color w:val="0000EE"/>
                  <w:w w:val="93"/>
                </w:rPr>
                <w:t>Exhibit 3.1 to our Registration Statement on Form S-1 (333-190227) filed July 29, 2013).</w:t>
              </w:r>
            </w:hyperlink>
          </w:p>
        </w:tc>
        <w:tc>
          <w:tcPr>
            <w:tcW w:w="140" w:type="dxa"/>
            <w:vAlign w:val="bottom"/>
            <w:tcBorders>
              <w:top w:val="single" w:sz="8" w:color="0000EE"/>
            </w:tcBorders>
            <w:gridSpan w:val="2"/>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88"/>
        </w:trPr>
        <w:tc>
          <w:tcPr>
            <w:tcW w:w="400" w:type="dxa"/>
            <w:vAlign w:val="bottom"/>
          </w:tcPr>
          <w:p>
            <w:pPr>
              <w:spacing w:after="0"/>
              <w:rPr>
                <w:sz w:val="20"/>
                <w:szCs w:val="20"/>
                <w:color w:val="auto"/>
              </w:rPr>
            </w:pPr>
            <w:r>
              <w:rPr>
                <w:rFonts w:ascii="Arial" w:cs="Arial" w:eastAsia="Arial" w:hAnsi="Arial"/>
                <w:sz w:val="15"/>
                <w:szCs w:val="15"/>
                <w:color w:val="auto"/>
              </w:rPr>
              <w:t>​ 3.2</w:t>
            </w:r>
          </w:p>
        </w:tc>
        <w:tc>
          <w:tcPr>
            <w:tcW w:w="6260" w:type="dxa"/>
            <w:vAlign w:val="bottom"/>
            <w:gridSpan w:val="10"/>
          </w:tcPr>
          <w:p>
            <w:pPr>
              <w:spacing w:after="0"/>
              <w:rPr>
                <w:rFonts w:ascii="Arial" w:cs="Arial" w:eastAsia="Arial" w:hAnsi="Arial"/>
                <w:sz w:val="15"/>
                <w:szCs w:val="15"/>
                <w:color w:val="auto"/>
                <w:w w:val="96"/>
              </w:rPr>
            </w:pPr>
            <w:r>
              <w:rPr>
                <w:rFonts w:ascii="Arial" w:cs="Arial" w:eastAsia="Arial" w:hAnsi="Arial"/>
                <w:sz w:val="15"/>
                <w:szCs w:val="15"/>
                <w:color w:val="auto"/>
                <w:w w:val="96"/>
              </w:rPr>
              <w:t xml:space="preserve">​ ​ — ​ ​ </w:t>
            </w:r>
            <w:hyperlink r:id="rId65">
              <w:r>
                <w:rPr>
                  <w:rFonts w:ascii="Arial" w:cs="Arial" w:eastAsia="Arial" w:hAnsi="Arial"/>
                  <w:sz w:val="15"/>
                  <w:szCs w:val="15"/>
                  <w:color w:val="0000EE"/>
                  <w:w w:val="96"/>
                </w:rPr>
                <w:t>Second Amended and Restated Limited Partnership Agreement of Plains GP Holdings, L.P.,</w:t>
              </w:r>
            </w:hyperlink>
          </w:p>
        </w:tc>
      </w:tr>
      <w:tr>
        <w:trPr>
          <w:trHeight w:val="155"/>
        </w:trPr>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EE"/>
              <w:bottom w:val="single" w:sz="8" w:color="0000EE"/>
            </w:tcBorders>
            <w:gridSpan w:val="3"/>
          </w:tcPr>
          <w:p>
            <w:pPr>
              <w:spacing w:after="0" w:line="156" w:lineRule="exact"/>
              <w:rPr>
                <w:rFonts w:ascii="Arial" w:cs="Arial" w:eastAsia="Arial" w:hAnsi="Arial"/>
                <w:sz w:val="15"/>
                <w:szCs w:val="15"/>
                <w:color w:val="0000EE"/>
                <w:w w:val="92"/>
              </w:rPr>
            </w:pPr>
            <w:hyperlink r:id="rId65">
              <w:r>
                <w:rPr>
                  <w:rFonts w:ascii="Arial" w:cs="Arial" w:eastAsia="Arial" w:hAnsi="Arial"/>
                  <w:sz w:val="15"/>
                  <w:szCs w:val="15"/>
                  <w:color w:val="0000EE"/>
                  <w:w w:val="92"/>
                </w:rPr>
                <w:t>dated as of November 15, 2016 (incorporated by reference to Exhibit 3.2 to the Current</w:t>
              </w:r>
            </w:hyperlink>
          </w:p>
        </w:tc>
        <w:tc>
          <w:tcPr>
            <w:tcW w:w="280" w:type="dxa"/>
            <w:vAlign w:val="bottom"/>
            <w:tcBorders>
              <w:top w:val="single" w:sz="8" w:color="0000EE"/>
            </w:tcBorders>
            <w:gridSpan w:val="3"/>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5"/>
        </w:trPr>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Borders>
              <w:bottom w:val="single" w:sz="8" w:color="0000EE"/>
            </w:tcBorders>
          </w:tcPr>
          <w:p>
            <w:pPr>
              <w:spacing w:after="0" w:line="156" w:lineRule="exact"/>
              <w:rPr>
                <w:rFonts w:ascii="Arial" w:cs="Arial" w:eastAsia="Arial" w:hAnsi="Arial"/>
                <w:sz w:val="15"/>
                <w:szCs w:val="15"/>
                <w:color w:val="0000EE"/>
                <w:w w:val="93"/>
              </w:rPr>
            </w:pPr>
            <w:hyperlink r:id="rId65">
              <w:r>
                <w:rPr>
                  <w:rFonts w:ascii="Arial" w:cs="Arial" w:eastAsia="Arial" w:hAnsi="Arial"/>
                  <w:sz w:val="15"/>
                  <w:szCs w:val="15"/>
                  <w:color w:val="0000EE"/>
                  <w:w w:val="93"/>
                </w:rPr>
                <w:t>Report on Form 8-K filed November 21, 2016).</w:t>
              </w:r>
            </w:hyperlink>
          </w:p>
        </w:tc>
        <w:tc>
          <w:tcPr>
            <w:tcW w:w="2820" w:type="dxa"/>
            <w:vAlign w:val="bottom"/>
            <w:gridSpan w:val="7"/>
          </w:tcPr>
          <w:p>
            <w:pPr>
              <w:spacing w:after="0"/>
              <w:rPr>
                <w:sz w:val="13"/>
                <w:szCs w:val="13"/>
                <w:color w:val="auto"/>
              </w:rPr>
            </w:pPr>
          </w:p>
        </w:tc>
      </w:tr>
      <w:tr>
        <w:trPr>
          <w:trHeight w:val="188"/>
        </w:trPr>
        <w:tc>
          <w:tcPr>
            <w:tcW w:w="400" w:type="dxa"/>
            <w:vAlign w:val="bottom"/>
          </w:tcPr>
          <w:p>
            <w:pPr>
              <w:spacing w:after="0"/>
              <w:rPr>
                <w:sz w:val="20"/>
                <w:szCs w:val="20"/>
                <w:color w:val="auto"/>
              </w:rPr>
            </w:pPr>
            <w:r>
              <w:rPr>
                <w:rFonts w:ascii="Arial" w:cs="Arial" w:eastAsia="Arial" w:hAnsi="Arial"/>
                <w:sz w:val="15"/>
                <w:szCs w:val="15"/>
                <w:color w:val="auto"/>
              </w:rPr>
              <w:t>​ 3.3</w:t>
            </w:r>
          </w:p>
        </w:tc>
        <w:tc>
          <w:tcPr>
            <w:tcW w:w="6260" w:type="dxa"/>
            <w:vAlign w:val="bottom"/>
            <w:gridSpan w:val="10"/>
          </w:tcPr>
          <w:p>
            <w:pPr>
              <w:spacing w:after="0"/>
              <w:rPr>
                <w:rFonts w:ascii="Arial" w:cs="Arial" w:eastAsia="Arial" w:hAnsi="Arial"/>
                <w:sz w:val="15"/>
                <w:szCs w:val="15"/>
                <w:color w:val="auto"/>
                <w:w w:val="97"/>
              </w:rPr>
            </w:pPr>
            <w:r>
              <w:rPr>
                <w:rFonts w:ascii="Arial" w:cs="Arial" w:eastAsia="Arial" w:hAnsi="Arial"/>
                <w:sz w:val="15"/>
                <w:szCs w:val="15"/>
                <w:color w:val="auto"/>
                <w:w w:val="97"/>
              </w:rPr>
              <w:t xml:space="preserve">​ ​ — ​ ​ </w:t>
            </w:r>
            <w:hyperlink r:id="rId66">
              <w:r>
                <w:rPr>
                  <w:rFonts w:ascii="Arial" w:cs="Arial" w:eastAsia="Arial" w:hAnsi="Arial"/>
                  <w:sz w:val="15"/>
                  <w:szCs w:val="15"/>
                  <w:color w:val="0000EE"/>
                  <w:w w:val="97"/>
                </w:rPr>
                <w:t>Amendment No. 1 dated April 6, 2020 to the Second Amended and Restated Agreement of</w:t>
              </w:r>
            </w:hyperlink>
          </w:p>
        </w:tc>
      </w:tr>
      <w:tr>
        <w:trPr>
          <w:trHeight w:val="20"/>
        </w:trPr>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5"/>
        </w:trPr>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bottom w:val="single" w:sz="8" w:color="0000EE"/>
            </w:tcBorders>
            <w:gridSpan w:val="7"/>
          </w:tcPr>
          <w:p>
            <w:pPr>
              <w:spacing w:after="0" w:line="156" w:lineRule="exact"/>
              <w:rPr>
                <w:rFonts w:ascii="Arial" w:cs="Arial" w:eastAsia="Arial" w:hAnsi="Arial"/>
                <w:sz w:val="15"/>
                <w:szCs w:val="15"/>
                <w:color w:val="0000EE"/>
                <w:w w:val="93"/>
              </w:rPr>
            </w:pPr>
            <w:hyperlink r:id="rId66">
              <w:r>
                <w:rPr>
                  <w:rFonts w:ascii="Arial" w:cs="Arial" w:eastAsia="Arial" w:hAnsi="Arial"/>
                  <w:sz w:val="15"/>
                  <w:szCs w:val="15"/>
                  <w:color w:val="0000EE"/>
                  <w:w w:val="93"/>
                </w:rPr>
                <w:t>Limited Partnership of Plains GP Holdings, L.P. (incorporated by reference to Exhibit 3.1 to</w:t>
              </w:r>
            </w:hyperlink>
          </w:p>
        </w:tc>
        <w:tc>
          <w:tcPr>
            <w:tcW w:w="80" w:type="dxa"/>
            <w:vAlign w:val="bottom"/>
          </w:tcPr>
          <w:p>
            <w:pPr>
              <w:spacing w:after="0"/>
              <w:rPr>
                <w:sz w:val="13"/>
                <w:szCs w:val="13"/>
                <w:color w:val="auto"/>
              </w:rPr>
            </w:pPr>
          </w:p>
        </w:tc>
      </w:tr>
      <w:tr>
        <w:trPr>
          <w:trHeight w:val="155"/>
        </w:trPr>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bottom w:val="single" w:sz="8" w:color="0000EE"/>
            </w:tcBorders>
            <w:gridSpan w:val="2"/>
          </w:tcPr>
          <w:p>
            <w:pPr>
              <w:spacing w:after="0" w:line="156" w:lineRule="exact"/>
              <w:rPr>
                <w:rFonts w:ascii="Arial" w:cs="Arial" w:eastAsia="Arial" w:hAnsi="Arial"/>
                <w:sz w:val="15"/>
                <w:szCs w:val="15"/>
                <w:color w:val="0000EE"/>
                <w:w w:val="94"/>
              </w:rPr>
            </w:pPr>
            <w:hyperlink r:id="rId66">
              <w:r>
                <w:rPr>
                  <w:rFonts w:ascii="Arial" w:cs="Arial" w:eastAsia="Arial" w:hAnsi="Arial"/>
                  <w:sz w:val="15"/>
                  <w:szCs w:val="15"/>
                  <w:color w:val="0000EE"/>
                  <w:w w:val="94"/>
                </w:rPr>
                <w:t>our Current Report on Form 8-K filed April 9, 2020).</w:t>
              </w:r>
            </w:hyperlink>
          </w:p>
        </w:tc>
        <w:tc>
          <w:tcPr>
            <w:tcW w:w="2460" w:type="dxa"/>
            <w:vAlign w:val="bottom"/>
            <w:gridSpan w:val="6"/>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386" w:lineRule="exact"/>
        <w:rPr>
          <w:sz w:val="20"/>
          <w:szCs w:val="20"/>
          <w:color w:val="auto"/>
        </w:rPr>
      </w:pPr>
    </w:p>
    <w:p>
      <w:pPr>
        <w:sectPr>
          <w:pgSz w:w="11900" w:h="16838" w:orient="portrait"/>
          <w:cols w:equalWidth="0" w:num="2">
            <w:col w:w="7840" w:space="0"/>
            <w:col w:w="1179"/>
          </w:cols>
          <w:pgMar w:left="1440" w:top="134" w:right="1440" w:bottom="1440" w:gutter="0" w:footer="0" w:header="0"/>
          <w:type w:val="continuous"/>
        </w:sectPr>
      </w:pPr>
    </w:p>
    <w:p>
      <w:pPr>
        <w:jc w:val="center"/>
        <w:ind w:right="-40"/>
        <w:spacing w:after="0"/>
        <w:tabs>
          <w:tab w:leader="none" w:pos="120" w:val="left"/>
        </w:tabs>
        <w:rPr>
          <w:rFonts w:ascii="Arial" w:cs="Arial" w:eastAsia="Arial" w:hAnsi="Arial"/>
          <w:sz w:val="14"/>
          <w:szCs w:val="14"/>
          <w:color w:val="auto"/>
        </w:rPr>
      </w:pPr>
      <w:r>
        <w:rPr>
          <w:rFonts w:ascii="Arial" w:cs="Arial" w:eastAsia="Arial" w:hAnsi="Arial"/>
          <w:sz w:val="15"/>
          <w:szCs w:val="15"/>
          <w:color w:val="auto"/>
        </w:rPr>
        <w:t>​ 3.4</w:t>
      </w:r>
      <w:r>
        <w:rPr>
          <w:sz w:val="20"/>
          <w:szCs w:val="20"/>
          <w:color w:val="auto"/>
        </w:rPr>
        <w:tab/>
      </w:r>
      <w:r>
        <w:rPr>
          <w:rFonts w:ascii="Arial" w:cs="Arial" w:eastAsia="Arial" w:hAnsi="Arial"/>
          <w:sz w:val="14"/>
          <w:szCs w:val="14"/>
          <w:color w:val="auto"/>
        </w:rPr>
        <w:t xml:space="preserve">​ ​ — ​ ​ </w:t>
      </w:r>
      <w:hyperlink r:id="rId67">
        <w:r>
          <w:rPr>
            <w:rFonts w:ascii="Arial" w:cs="Arial" w:eastAsia="Arial" w:hAnsi="Arial"/>
            <w:sz w:val="14"/>
            <w:szCs w:val="14"/>
            <w:u w:val="single" w:color="auto"/>
            <w:color w:val="0000EE"/>
          </w:rPr>
          <w:t>Certificate of Formation of PAA GP Holdings LLC (incorporated by reference to Exhibit 3.3</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w:t>
      </w:r>
    </w:p>
    <w:p>
      <w:pPr>
        <w:spacing w:after="0" w:line="36" w:lineRule="exact"/>
        <w:rPr>
          <w:sz w:val="20"/>
          <w:szCs w:val="20"/>
          <w:color w:val="auto"/>
        </w:rPr>
      </w:pPr>
    </w:p>
    <w:p>
      <w:pPr>
        <w:jc w:val="center"/>
        <w:ind w:right="39"/>
        <w:spacing w:after="0"/>
        <w:rPr>
          <w:rFonts w:ascii="Arial" w:cs="Arial" w:eastAsia="Arial" w:hAnsi="Arial"/>
          <w:sz w:val="15"/>
          <w:szCs w:val="15"/>
          <w:u w:val="single" w:color="auto"/>
          <w:color w:val="0000EE"/>
        </w:rPr>
      </w:pPr>
      <w:hyperlink r:id="rId67">
        <w:r>
          <w:rPr>
            <w:rFonts w:ascii="Arial" w:cs="Arial" w:eastAsia="Arial" w:hAnsi="Arial"/>
            <w:sz w:val="15"/>
            <w:szCs w:val="15"/>
            <w:u w:val="single" w:color="auto"/>
            <w:color w:val="0000EE"/>
          </w:rPr>
          <w:t>to our Registration Statement on Form S-1 (333-190227) filed July 29, 2013).</w:t>
        </w:r>
      </w:hyperlink>
    </w:p>
    <w:p>
      <w:pPr>
        <w:sectPr>
          <w:pgSz w:w="11900" w:h="16838" w:orient="portrait"/>
          <w:cols w:equalWidth="0" w:num="1">
            <w:col w:w="9019"/>
          </w:cols>
          <w:pgMar w:left="1440" w:top="134" w:right="1440" w:bottom="1440" w:gutter="0" w:footer="0" w:header="0"/>
          <w:type w:val="continuous"/>
        </w:sectPr>
      </w:pPr>
    </w:p>
    <w:p>
      <w:pPr>
        <w:spacing w:after="0" w:line="14" w:lineRule="exact"/>
        <w:rPr>
          <w:sz w:val="20"/>
          <w:szCs w:val="20"/>
          <w:color w:val="auto"/>
        </w:rPr>
      </w:pPr>
    </w:p>
    <w:tbl>
      <w:tblPr>
        <w:tblLayout w:type="fixed"/>
        <w:tblInd w:w="1180" w:type="dxa"/>
        <w:tblCellMar>
          <w:top w:w="0" w:type="dxa"/>
          <w:left w:w="0" w:type="dxa"/>
          <w:bottom w:w="0" w:type="dxa"/>
          <w:right w:w="0" w:type="dxa"/>
        </w:tblCellMar>
      </w:tblPr>
      <w:tr>
        <w:trPr>
          <w:trHeight w:val="175"/>
        </w:trPr>
        <w:tc>
          <w:tcPr>
            <w:tcW w:w="320" w:type="dxa"/>
            <w:vAlign w:val="bottom"/>
          </w:tcPr>
          <w:p>
            <w:pPr>
              <w:spacing w:after="0"/>
              <w:rPr>
                <w:sz w:val="20"/>
                <w:szCs w:val="20"/>
                <w:color w:val="auto"/>
              </w:rPr>
            </w:pPr>
            <w:r>
              <w:rPr>
                <w:rFonts w:ascii="Arial" w:cs="Arial" w:eastAsia="Arial" w:hAnsi="Arial"/>
                <w:sz w:val="15"/>
                <w:szCs w:val="15"/>
                <w:color w:val="auto"/>
              </w:rPr>
              <w:t>​ 3.5</w:t>
            </w:r>
          </w:p>
        </w:tc>
        <w:tc>
          <w:tcPr>
            <w:tcW w:w="6240" w:type="dxa"/>
            <w:vAlign w:val="bottom"/>
            <w:gridSpan w:val="7"/>
          </w:tcPr>
          <w:p>
            <w:pPr>
              <w:ind w:left="80"/>
              <w:spacing w:after="0"/>
              <w:rPr>
                <w:rFonts w:ascii="Arial" w:cs="Arial" w:eastAsia="Arial" w:hAnsi="Arial"/>
                <w:sz w:val="15"/>
                <w:szCs w:val="15"/>
                <w:color w:val="auto"/>
                <w:w w:val="97"/>
              </w:rPr>
            </w:pPr>
            <w:r>
              <w:rPr>
                <w:rFonts w:ascii="Arial" w:cs="Arial" w:eastAsia="Arial" w:hAnsi="Arial"/>
                <w:sz w:val="15"/>
                <w:szCs w:val="15"/>
                <w:color w:val="auto"/>
                <w:w w:val="97"/>
              </w:rPr>
              <w:t xml:space="preserve">​ ​ — ​ ​ </w:t>
            </w:r>
            <w:hyperlink r:id="rId68">
              <w:r>
                <w:rPr>
                  <w:rFonts w:ascii="Arial" w:cs="Arial" w:eastAsia="Arial" w:hAnsi="Arial"/>
                  <w:sz w:val="15"/>
                  <w:szCs w:val="15"/>
                  <w:color w:val="0000EE"/>
                  <w:w w:val="97"/>
                </w:rPr>
                <w:t>Fourth Amended and Restated Limited Liability Company Agreement of PAA GP Holdings</w:t>
              </w:r>
            </w:hyperlink>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40" w:type="dxa"/>
            <w:vAlign w:val="bottom"/>
            <w:tcBorders>
              <w:bottom w:val="single" w:sz="8" w:color="0000EE"/>
            </w:tcBorders>
            <w:gridSpan w:val="6"/>
          </w:tcPr>
          <w:p>
            <w:pPr>
              <w:spacing w:after="0" w:line="156" w:lineRule="exact"/>
              <w:rPr>
                <w:rFonts w:ascii="Arial" w:cs="Arial" w:eastAsia="Arial" w:hAnsi="Arial"/>
                <w:sz w:val="15"/>
                <w:szCs w:val="15"/>
                <w:color w:val="0000EE"/>
                <w:w w:val="93"/>
              </w:rPr>
            </w:pPr>
            <w:hyperlink r:id="rId68">
              <w:r>
                <w:rPr>
                  <w:rFonts w:ascii="Arial" w:cs="Arial" w:eastAsia="Arial" w:hAnsi="Arial"/>
                  <w:sz w:val="15"/>
                  <w:szCs w:val="15"/>
                  <w:color w:val="0000EE"/>
                  <w:w w:val="93"/>
                </w:rPr>
                <w:t>LLC dated effective as of August 19, 2021 (incorporated by reference to Exhibit 3.11 to our</w:t>
              </w:r>
            </w:hyperlink>
          </w:p>
        </w:tc>
      </w:tr>
      <w:tr>
        <w:trPr>
          <w:trHeight w:val="155"/>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300" w:type="dxa"/>
            <w:vAlign w:val="bottom"/>
            <w:tcBorders>
              <w:bottom w:val="single" w:sz="8" w:color="0000EE"/>
            </w:tcBorders>
            <w:gridSpan w:val="2"/>
          </w:tcPr>
          <w:p>
            <w:pPr>
              <w:spacing w:after="0" w:line="156" w:lineRule="exact"/>
              <w:rPr>
                <w:rFonts w:ascii="Arial" w:cs="Arial" w:eastAsia="Arial" w:hAnsi="Arial"/>
                <w:sz w:val="15"/>
                <w:szCs w:val="15"/>
                <w:color w:val="0000EE"/>
                <w:w w:val="92"/>
              </w:rPr>
            </w:pPr>
            <w:hyperlink r:id="rId68">
              <w:r>
                <w:rPr>
                  <w:rFonts w:ascii="Arial" w:cs="Arial" w:eastAsia="Arial" w:hAnsi="Arial"/>
                  <w:sz w:val="15"/>
                  <w:szCs w:val="15"/>
                  <w:color w:val="0000EE"/>
                  <w:w w:val="92"/>
                </w:rPr>
                <w:t>Annual Report on Form 10-K for the year ended December 31, 2021).</w:t>
              </w:r>
            </w:hyperlink>
          </w:p>
        </w:tc>
        <w:tc>
          <w:tcPr>
            <w:tcW w:w="1340" w:type="dxa"/>
            <w:vAlign w:val="bottom"/>
            <w:gridSpan w:val="4"/>
          </w:tcPr>
          <w:p>
            <w:pPr>
              <w:spacing w:after="0"/>
              <w:rPr>
                <w:sz w:val="13"/>
                <w:szCs w:val="13"/>
                <w:color w:val="auto"/>
              </w:rPr>
            </w:pPr>
          </w:p>
        </w:tc>
      </w:tr>
      <w:tr>
        <w:trPr>
          <w:trHeight w:val="199"/>
        </w:trPr>
        <w:tc>
          <w:tcPr>
            <w:tcW w:w="320" w:type="dxa"/>
            <w:vAlign w:val="bottom"/>
          </w:tcPr>
          <w:p>
            <w:pPr>
              <w:spacing w:after="0"/>
              <w:rPr>
                <w:sz w:val="20"/>
                <w:szCs w:val="20"/>
                <w:color w:val="auto"/>
              </w:rPr>
            </w:pPr>
            <w:r>
              <w:rPr>
                <w:rFonts w:ascii="Arial" w:cs="Arial" w:eastAsia="Arial" w:hAnsi="Arial"/>
                <w:sz w:val="15"/>
                <w:szCs w:val="15"/>
                <w:color w:val="auto"/>
              </w:rPr>
              <w:t>​ 3.6</w:t>
            </w:r>
          </w:p>
        </w:tc>
        <w:tc>
          <w:tcPr>
            <w:tcW w:w="6240" w:type="dxa"/>
            <w:vAlign w:val="bottom"/>
            <w:gridSpan w:val="7"/>
          </w:tcPr>
          <w:p>
            <w:pPr>
              <w:ind w:left="80"/>
              <w:spacing w:after="0"/>
              <w:rPr>
                <w:rFonts w:ascii="Arial" w:cs="Arial" w:eastAsia="Arial" w:hAnsi="Arial"/>
                <w:sz w:val="15"/>
                <w:szCs w:val="15"/>
                <w:color w:val="auto"/>
                <w:w w:val="97"/>
              </w:rPr>
            </w:pPr>
            <w:r>
              <w:rPr>
                <w:rFonts w:ascii="Arial" w:cs="Arial" w:eastAsia="Arial" w:hAnsi="Arial"/>
                <w:sz w:val="15"/>
                <w:szCs w:val="15"/>
                <w:color w:val="auto"/>
                <w:w w:val="97"/>
              </w:rPr>
              <w:t xml:space="preserve">​ ​ — ​ ​ </w:t>
            </w:r>
            <w:hyperlink r:id="rId69">
              <w:r>
                <w:rPr>
                  <w:rFonts w:ascii="Arial" w:cs="Arial" w:eastAsia="Arial" w:hAnsi="Arial"/>
                  <w:sz w:val="15"/>
                  <w:szCs w:val="15"/>
                  <w:color w:val="0000EE"/>
                  <w:w w:val="97"/>
                </w:rPr>
                <w:t>Seventh Amended and Restated Agreement of Limited Partnership of Plains All American</w:t>
              </w:r>
            </w:hyperlink>
          </w:p>
        </w:tc>
      </w:tr>
      <w:tr>
        <w:trPr>
          <w:trHeight w:val="155"/>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380" w:type="dxa"/>
            <w:vAlign w:val="bottom"/>
            <w:tcBorders>
              <w:top w:val="single" w:sz="8" w:color="0000EE"/>
              <w:bottom w:val="single" w:sz="8" w:color="0000EE"/>
            </w:tcBorders>
            <w:gridSpan w:val="3"/>
          </w:tcPr>
          <w:p>
            <w:pPr>
              <w:spacing w:after="0" w:line="156" w:lineRule="exact"/>
              <w:rPr>
                <w:rFonts w:ascii="Arial" w:cs="Arial" w:eastAsia="Arial" w:hAnsi="Arial"/>
                <w:sz w:val="15"/>
                <w:szCs w:val="15"/>
                <w:color w:val="0000EE"/>
                <w:w w:val="92"/>
              </w:rPr>
            </w:pPr>
            <w:hyperlink r:id="rId69">
              <w:r>
                <w:rPr>
                  <w:rFonts w:ascii="Arial" w:cs="Arial" w:eastAsia="Arial" w:hAnsi="Arial"/>
                  <w:sz w:val="15"/>
                  <w:szCs w:val="15"/>
                  <w:color w:val="0000EE"/>
                  <w:w w:val="92"/>
                </w:rPr>
                <w:t>Pipeline, L.P., dated as of October 10, 2017 (incorporated by reference to Exhibit 3.1 to</w:t>
              </w:r>
            </w:hyperlink>
          </w:p>
        </w:tc>
        <w:tc>
          <w:tcPr>
            <w:tcW w:w="160" w:type="dxa"/>
            <w:vAlign w:val="bottom"/>
            <w:tcBorders>
              <w:top w:val="single" w:sz="8" w:color="0000EE"/>
            </w:tcBorders>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700" w:type="dxa"/>
            <w:vAlign w:val="bottom"/>
            <w:tcBorders>
              <w:bottom w:val="single" w:sz="8" w:color="0000EE"/>
            </w:tcBorders>
          </w:tcPr>
          <w:p>
            <w:pPr>
              <w:spacing w:after="0" w:line="156" w:lineRule="exact"/>
              <w:rPr>
                <w:rFonts w:ascii="Arial" w:cs="Arial" w:eastAsia="Arial" w:hAnsi="Arial"/>
                <w:sz w:val="15"/>
                <w:szCs w:val="15"/>
                <w:color w:val="0000EE"/>
                <w:w w:val="93"/>
              </w:rPr>
            </w:pPr>
            <w:hyperlink r:id="rId69">
              <w:r>
                <w:rPr>
                  <w:rFonts w:ascii="Arial" w:cs="Arial" w:eastAsia="Arial" w:hAnsi="Arial"/>
                  <w:sz w:val="15"/>
                  <w:szCs w:val="15"/>
                  <w:color w:val="0000EE"/>
                  <w:w w:val="93"/>
                </w:rPr>
                <w:t>PAA’s Current Report on Form 8-K filed October 12, 2017).</w:t>
              </w:r>
            </w:hyperlink>
          </w:p>
        </w:tc>
        <w:tc>
          <w:tcPr>
            <w:tcW w:w="1940" w:type="dxa"/>
            <w:vAlign w:val="bottom"/>
            <w:gridSpan w:val="5"/>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t>
      </w: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397" w:lineRule="exact"/>
        <w:rPr>
          <w:sz w:val="20"/>
          <w:szCs w:val="20"/>
          <w:color w:val="auto"/>
        </w:rPr>
      </w:pPr>
    </w:p>
    <w:p>
      <w:pPr>
        <w:sectPr>
          <w:pgSz w:w="11900" w:h="16838" w:orient="portrait"/>
          <w:cols w:equalWidth="0" w:num="2">
            <w:col w:w="7740" w:space="100"/>
            <w:col w:w="1179"/>
          </w:cols>
          <w:pgMar w:left="1440" w:top="134" w:right="1440" w:bottom="1440" w:gutter="0" w:footer="0" w:header="0"/>
          <w:type w:val="continuous"/>
        </w:sectPr>
      </w:pPr>
    </w:p>
    <w:p>
      <w:pPr>
        <w:spacing w:after="0" w:line="22" w:lineRule="exact"/>
        <w:rPr>
          <w:sz w:val="20"/>
          <w:szCs w:val="20"/>
          <w:color w:val="auto"/>
        </w:rPr>
      </w:pPr>
    </w:p>
    <w:p>
      <w:pPr>
        <w:ind w:left="1240" w:hanging="69"/>
        <w:spacing w:after="0"/>
        <w:tabs>
          <w:tab w:leader="none" w:pos="1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3.7</w:t>
      </w:r>
    </w:p>
    <w:p>
      <w:pPr>
        <w:spacing w:after="0" w:line="200" w:lineRule="exact"/>
        <w:rPr>
          <w:rFonts w:ascii="Arial" w:cs="Arial" w:eastAsia="Arial" w:hAnsi="Arial"/>
          <w:sz w:val="14"/>
          <w:szCs w:val="14"/>
          <w:color w:val="auto"/>
        </w:rPr>
      </w:pPr>
    </w:p>
    <w:p>
      <w:pPr>
        <w:spacing w:after="0" w:line="209" w:lineRule="exact"/>
        <w:rPr>
          <w:rFonts w:ascii="Arial" w:cs="Arial" w:eastAsia="Arial" w:hAnsi="Arial"/>
          <w:sz w:val="14"/>
          <w:szCs w:val="14"/>
          <w:color w:val="auto"/>
        </w:rPr>
      </w:pPr>
    </w:p>
    <w:p>
      <w:pPr>
        <w:ind w:left="1240" w:hanging="69"/>
        <w:spacing w:after="0"/>
        <w:tabs>
          <w:tab w:leader="none" w:pos="1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3.8</w:t>
      </w:r>
    </w:p>
    <w:p>
      <w:pPr>
        <w:spacing w:after="0" w:line="200" w:lineRule="exact"/>
        <w:rPr>
          <w:rFonts w:ascii="Arial" w:cs="Arial" w:eastAsia="Arial" w:hAnsi="Arial"/>
          <w:sz w:val="14"/>
          <w:szCs w:val="14"/>
          <w:color w:val="auto"/>
        </w:rPr>
      </w:pPr>
    </w:p>
    <w:p>
      <w:pPr>
        <w:spacing w:after="0" w:line="209" w:lineRule="exact"/>
        <w:rPr>
          <w:rFonts w:ascii="Arial" w:cs="Arial" w:eastAsia="Arial" w:hAnsi="Arial"/>
          <w:sz w:val="14"/>
          <w:szCs w:val="14"/>
          <w:color w:val="auto"/>
        </w:rPr>
      </w:pPr>
    </w:p>
    <w:p>
      <w:pPr>
        <w:ind w:left="1240" w:hanging="69"/>
        <w:spacing w:after="0"/>
        <w:tabs>
          <w:tab w:leader="none" w:pos="1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6260" w:type="dxa"/>
            <w:vAlign w:val="bottom"/>
            <w:gridSpan w:val="9"/>
          </w:tcPr>
          <w:p>
            <w:pPr>
              <w:spacing w:after="0"/>
              <w:rPr>
                <w:rFonts w:ascii="Arial" w:cs="Arial" w:eastAsia="Arial" w:hAnsi="Arial"/>
                <w:sz w:val="15"/>
                <w:szCs w:val="15"/>
                <w:color w:val="auto"/>
              </w:rPr>
            </w:pPr>
            <w:r>
              <w:rPr>
                <w:rFonts w:ascii="Arial" w:cs="Arial" w:eastAsia="Arial" w:hAnsi="Arial"/>
                <w:sz w:val="15"/>
                <w:szCs w:val="15"/>
                <w:color w:val="auto"/>
              </w:rPr>
              <w:t xml:space="preserve">​ ​ — ​ ​ </w:t>
            </w:r>
            <w:hyperlink r:id="rId70">
              <w:r>
                <w:rPr>
                  <w:rFonts w:ascii="Arial" w:cs="Arial" w:eastAsia="Arial" w:hAnsi="Arial"/>
                  <w:sz w:val="15"/>
                  <w:szCs w:val="15"/>
                  <w:color w:val="0000EE"/>
                </w:rPr>
                <w:t>Seventh Amended and Restated Limited Liability Company Agreement of Plains All</w:t>
              </w:r>
            </w:hyperlink>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20"/>
        </w:trPr>
        <w:tc>
          <w:tcPr>
            <w:tcW w:w="5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520" w:type="dxa"/>
            <w:vAlign w:val="bottom"/>
          </w:tcPr>
          <w:p>
            <w:pPr>
              <w:spacing w:after="0"/>
              <w:rPr>
                <w:sz w:val="13"/>
                <w:szCs w:val="13"/>
                <w:color w:val="auto"/>
              </w:rPr>
            </w:pPr>
          </w:p>
        </w:tc>
        <w:tc>
          <w:tcPr>
            <w:tcW w:w="5740" w:type="dxa"/>
            <w:vAlign w:val="bottom"/>
            <w:tcBorders>
              <w:bottom w:val="single" w:sz="8" w:color="0000EE"/>
            </w:tcBorders>
            <w:gridSpan w:val="8"/>
          </w:tcPr>
          <w:p>
            <w:pPr>
              <w:spacing w:after="0" w:line="156" w:lineRule="exact"/>
              <w:rPr>
                <w:rFonts w:ascii="Arial" w:cs="Arial" w:eastAsia="Arial" w:hAnsi="Arial"/>
                <w:sz w:val="15"/>
                <w:szCs w:val="15"/>
                <w:color w:val="0000EE"/>
                <w:w w:val="93"/>
              </w:rPr>
            </w:pPr>
            <w:hyperlink r:id="rId70">
              <w:r>
                <w:rPr>
                  <w:rFonts w:ascii="Arial" w:cs="Arial" w:eastAsia="Arial" w:hAnsi="Arial"/>
                  <w:sz w:val="15"/>
                  <w:szCs w:val="15"/>
                  <w:color w:val="0000EE"/>
                  <w:w w:val="93"/>
                </w:rPr>
                <w:t>American GP LLC dated November 15, 2016 (incorporated by reference to Exhibit 3.3 to our</w:t>
              </w:r>
            </w:hyperlink>
          </w:p>
        </w:tc>
        <w:tc>
          <w:tcPr>
            <w:tcW w:w="40" w:type="dxa"/>
            <w:vAlign w:val="bottom"/>
          </w:tcPr>
          <w:p>
            <w:pPr>
              <w:spacing w:after="0"/>
              <w:rPr>
                <w:sz w:val="13"/>
                <w:szCs w:val="13"/>
                <w:color w:val="auto"/>
              </w:rPr>
            </w:pPr>
          </w:p>
        </w:tc>
      </w:tr>
      <w:tr>
        <w:trPr>
          <w:trHeight w:val="155"/>
        </w:trPr>
        <w:tc>
          <w:tcPr>
            <w:tcW w:w="520" w:type="dxa"/>
            <w:vAlign w:val="bottom"/>
          </w:tcPr>
          <w:p>
            <w:pPr>
              <w:spacing w:after="0"/>
              <w:rPr>
                <w:sz w:val="13"/>
                <w:szCs w:val="13"/>
                <w:color w:val="auto"/>
              </w:rPr>
            </w:pPr>
          </w:p>
        </w:tc>
        <w:tc>
          <w:tcPr>
            <w:tcW w:w="5740" w:type="dxa"/>
            <w:vAlign w:val="bottom"/>
            <w:gridSpan w:val="8"/>
          </w:tcPr>
          <w:p>
            <w:pPr>
              <w:spacing w:after="0" w:line="156" w:lineRule="exact"/>
              <w:rPr>
                <w:rFonts w:ascii="Arial" w:cs="Arial" w:eastAsia="Arial" w:hAnsi="Arial"/>
                <w:sz w:val="15"/>
                <w:szCs w:val="15"/>
                <w:color w:val="0000EE"/>
              </w:rPr>
            </w:pPr>
            <w:hyperlink r:id="rId70">
              <w:r>
                <w:rPr>
                  <w:rFonts w:ascii="Arial" w:cs="Arial" w:eastAsia="Arial" w:hAnsi="Arial"/>
                  <w:sz w:val="15"/>
                  <w:szCs w:val="15"/>
                  <w:color w:val="0000EE"/>
                </w:rPr>
                <w:t>Current Report on Form 8-K filed November 21, 2016).</w:t>
              </w:r>
            </w:hyperlink>
          </w:p>
        </w:tc>
        <w:tc>
          <w:tcPr>
            <w:tcW w:w="4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6260" w:type="dxa"/>
            <w:vAlign w:val="bottom"/>
            <w:gridSpan w:val="9"/>
          </w:tcPr>
          <w:p>
            <w:pPr>
              <w:spacing w:after="0"/>
              <w:rPr>
                <w:rFonts w:ascii="Arial" w:cs="Arial" w:eastAsia="Arial" w:hAnsi="Arial"/>
                <w:sz w:val="15"/>
                <w:szCs w:val="15"/>
                <w:color w:val="auto"/>
              </w:rPr>
            </w:pPr>
            <w:r>
              <w:rPr>
                <w:rFonts w:ascii="Arial" w:cs="Arial" w:eastAsia="Arial" w:hAnsi="Arial"/>
                <w:sz w:val="15"/>
                <w:szCs w:val="15"/>
                <w:color w:val="auto"/>
              </w:rPr>
              <w:t xml:space="preserve">​ ​ — ​ ​ </w:t>
            </w:r>
            <w:hyperlink r:id="rId71">
              <w:r>
                <w:rPr>
                  <w:rFonts w:ascii="Arial" w:cs="Arial" w:eastAsia="Arial" w:hAnsi="Arial"/>
                  <w:sz w:val="15"/>
                  <w:szCs w:val="15"/>
                  <w:color w:val="0000EE"/>
                </w:rPr>
                <w:t>Eighth Amended and Restated Limited Partnership Agreement of Plains AAP, L.P. dated</w:t>
              </w:r>
            </w:hyperlink>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20"/>
        </w:trPr>
        <w:tc>
          <w:tcPr>
            <w:tcW w:w="5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520" w:type="dxa"/>
            <w:vAlign w:val="bottom"/>
          </w:tcPr>
          <w:p>
            <w:pPr>
              <w:spacing w:after="0"/>
              <w:rPr>
                <w:sz w:val="13"/>
                <w:szCs w:val="13"/>
                <w:color w:val="auto"/>
              </w:rPr>
            </w:pPr>
          </w:p>
        </w:tc>
        <w:tc>
          <w:tcPr>
            <w:tcW w:w="5740" w:type="dxa"/>
            <w:vAlign w:val="bottom"/>
            <w:gridSpan w:val="8"/>
          </w:tcPr>
          <w:p>
            <w:pPr>
              <w:spacing w:after="0" w:line="156" w:lineRule="exact"/>
              <w:rPr>
                <w:rFonts w:ascii="Arial" w:cs="Arial" w:eastAsia="Arial" w:hAnsi="Arial"/>
                <w:sz w:val="15"/>
                <w:szCs w:val="15"/>
                <w:color w:val="0000EE"/>
                <w:w w:val="93"/>
              </w:rPr>
            </w:pPr>
            <w:hyperlink r:id="rId71">
              <w:r>
                <w:rPr>
                  <w:rFonts w:ascii="Arial" w:cs="Arial" w:eastAsia="Arial" w:hAnsi="Arial"/>
                  <w:sz w:val="15"/>
                  <w:szCs w:val="15"/>
                  <w:color w:val="0000EE"/>
                  <w:w w:val="93"/>
                </w:rPr>
                <w:t>November 15, 2016 (incorporated by reference to Exhibit 3.4 to our Current Report on Form</w:t>
              </w:r>
            </w:hyperlink>
          </w:p>
        </w:tc>
        <w:tc>
          <w:tcPr>
            <w:tcW w:w="40" w:type="dxa"/>
            <w:vAlign w:val="bottom"/>
          </w:tcPr>
          <w:p>
            <w:pPr>
              <w:spacing w:after="0"/>
              <w:rPr>
                <w:sz w:val="13"/>
                <w:szCs w:val="13"/>
                <w:color w:val="auto"/>
              </w:rPr>
            </w:pPr>
          </w:p>
        </w:tc>
      </w:tr>
      <w:tr>
        <w:trPr>
          <w:trHeight w:val="155"/>
        </w:trPr>
        <w:tc>
          <w:tcPr>
            <w:tcW w:w="520" w:type="dxa"/>
            <w:vAlign w:val="bottom"/>
          </w:tcPr>
          <w:p>
            <w:pPr>
              <w:spacing w:after="0"/>
              <w:rPr>
                <w:sz w:val="13"/>
                <w:szCs w:val="13"/>
                <w:color w:val="auto"/>
              </w:rPr>
            </w:pPr>
          </w:p>
        </w:tc>
        <w:tc>
          <w:tcPr>
            <w:tcW w:w="5680" w:type="dxa"/>
            <w:vAlign w:val="bottom"/>
            <w:tcBorders>
              <w:top w:val="single" w:sz="8" w:color="0000EE"/>
            </w:tcBorders>
            <w:gridSpan w:val="7"/>
          </w:tcPr>
          <w:p>
            <w:pPr>
              <w:spacing w:after="0" w:line="156" w:lineRule="exact"/>
              <w:rPr>
                <w:rFonts w:ascii="Arial" w:cs="Arial" w:eastAsia="Arial" w:hAnsi="Arial"/>
                <w:sz w:val="15"/>
                <w:szCs w:val="15"/>
                <w:color w:val="0000EE"/>
              </w:rPr>
            </w:pPr>
            <w:hyperlink r:id="rId71">
              <w:r>
                <w:rPr>
                  <w:rFonts w:ascii="Arial" w:cs="Arial" w:eastAsia="Arial" w:hAnsi="Arial"/>
                  <w:sz w:val="15"/>
                  <w:szCs w:val="15"/>
                  <w:color w:val="0000EE"/>
                </w:rPr>
                <w:t>8-K filed November 21, 2016).</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6260" w:type="dxa"/>
            <w:vAlign w:val="bottom"/>
            <w:gridSpan w:val="9"/>
          </w:tcPr>
          <w:p>
            <w:pPr>
              <w:spacing w:after="0"/>
              <w:rPr>
                <w:rFonts w:ascii="Arial" w:cs="Arial" w:eastAsia="Arial" w:hAnsi="Arial"/>
                <w:sz w:val="15"/>
                <w:szCs w:val="15"/>
                <w:color w:val="auto"/>
                <w:w w:val="97"/>
              </w:rPr>
            </w:pPr>
            <w:r>
              <w:rPr>
                <w:rFonts w:ascii="Arial" w:cs="Arial" w:eastAsia="Arial" w:hAnsi="Arial"/>
                <w:sz w:val="15"/>
                <w:szCs w:val="15"/>
                <w:color w:val="auto"/>
                <w:w w:val="97"/>
              </w:rPr>
              <w:t xml:space="preserve">​ ​ — ​ ​ </w:t>
            </w:r>
            <w:hyperlink r:id="rId72">
              <w:r>
                <w:rPr>
                  <w:rFonts w:ascii="Arial" w:cs="Arial" w:eastAsia="Arial" w:hAnsi="Arial"/>
                  <w:sz w:val="15"/>
                  <w:szCs w:val="15"/>
                  <w:color w:val="0000EE"/>
                  <w:w w:val="97"/>
                </w:rPr>
                <w:t>Amendment No. 1 dated September 26, 2018 to the Eighth Amended and Restated Limited</w:t>
              </w:r>
            </w:hyperlink>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20"/>
        </w:trPr>
        <w:tc>
          <w:tcPr>
            <w:tcW w:w="52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520" w:type="dxa"/>
            <w:vAlign w:val="bottom"/>
          </w:tcPr>
          <w:p>
            <w:pPr>
              <w:spacing w:after="0"/>
              <w:rPr>
                <w:sz w:val="13"/>
                <w:szCs w:val="13"/>
                <w:color w:val="auto"/>
              </w:rPr>
            </w:pPr>
          </w:p>
        </w:tc>
        <w:tc>
          <w:tcPr>
            <w:tcW w:w="5740" w:type="dxa"/>
            <w:vAlign w:val="bottom"/>
            <w:gridSpan w:val="8"/>
          </w:tcPr>
          <w:p>
            <w:pPr>
              <w:spacing w:after="0" w:line="156" w:lineRule="exact"/>
              <w:rPr>
                <w:rFonts w:ascii="Arial" w:cs="Arial" w:eastAsia="Arial" w:hAnsi="Arial"/>
                <w:sz w:val="15"/>
                <w:szCs w:val="15"/>
                <w:color w:val="0000EE"/>
                <w:w w:val="95"/>
              </w:rPr>
            </w:pPr>
            <w:hyperlink r:id="rId72">
              <w:r>
                <w:rPr>
                  <w:rFonts w:ascii="Arial" w:cs="Arial" w:eastAsia="Arial" w:hAnsi="Arial"/>
                  <w:sz w:val="15"/>
                  <w:szCs w:val="15"/>
                  <w:color w:val="0000EE"/>
                  <w:w w:val="95"/>
                </w:rPr>
                <w:t>Partnership Agreement of Plains AAP, L.P. (incorporated by reference to Exhibit 3.1 to our</w:t>
              </w:r>
            </w:hyperlink>
          </w:p>
        </w:tc>
        <w:tc>
          <w:tcPr>
            <w:tcW w:w="40" w:type="dxa"/>
            <w:vAlign w:val="bottom"/>
          </w:tcPr>
          <w:p>
            <w:pPr>
              <w:spacing w:after="0"/>
              <w:rPr>
                <w:sz w:val="13"/>
                <w:szCs w:val="13"/>
                <w:color w:val="auto"/>
              </w:rPr>
            </w:pPr>
          </w:p>
        </w:tc>
      </w:tr>
      <w:tr>
        <w:trPr>
          <w:trHeight w:val="155"/>
        </w:trPr>
        <w:tc>
          <w:tcPr>
            <w:tcW w:w="520" w:type="dxa"/>
            <w:vAlign w:val="bottom"/>
          </w:tcPr>
          <w:p>
            <w:pPr>
              <w:spacing w:after="0"/>
              <w:rPr>
                <w:sz w:val="13"/>
                <w:szCs w:val="13"/>
                <w:color w:val="auto"/>
              </w:rPr>
            </w:pPr>
          </w:p>
        </w:tc>
        <w:tc>
          <w:tcPr>
            <w:tcW w:w="3200" w:type="dxa"/>
            <w:vAlign w:val="bottom"/>
            <w:tcBorders>
              <w:top w:val="single" w:sz="8" w:color="0000EE"/>
              <w:bottom w:val="single" w:sz="8" w:color="0000EE"/>
            </w:tcBorders>
            <w:gridSpan w:val="2"/>
          </w:tcPr>
          <w:p>
            <w:pPr>
              <w:spacing w:after="0" w:line="156" w:lineRule="exact"/>
              <w:rPr>
                <w:rFonts w:ascii="Arial" w:cs="Arial" w:eastAsia="Arial" w:hAnsi="Arial"/>
                <w:sz w:val="15"/>
                <w:szCs w:val="15"/>
                <w:color w:val="0000EE"/>
                <w:w w:val="93"/>
              </w:rPr>
            </w:pPr>
            <w:hyperlink r:id="rId72">
              <w:r>
                <w:rPr>
                  <w:rFonts w:ascii="Arial" w:cs="Arial" w:eastAsia="Arial" w:hAnsi="Arial"/>
                  <w:sz w:val="15"/>
                  <w:szCs w:val="15"/>
                  <w:color w:val="0000EE"/>
                  <w:w w:val="93"/>
                </w:rPr>
                <w:t>Current Report on Form 8-K filed October 2, 2018).</w:t>
              </w:r>
            </w:hyperlink>
          </w:p>
        </w:tc>
        <w:tc>
          <w:tcPr>
            <w:tcW w:w="2380" w:type="dxa"/>
            <w:vAlign w:val="bottom"/>
            <w:tcBorders>
              <w:top w:val="single" w:sz="8" w:color="0000EE"/>
            </w:tcBorders>
            <w:gridSpan w:val="4"/>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bl>
    <w:p>
      <w:pPr>
        <w:spacing w:after="0" w:line="33" w:lineRule="exact"/>
        <w:rPr>
          <w:sz w:val="20"/>
          <w:szCs w:val="20"/>
          <w:color w:val="auto"/>
        </w:rPr>
      </w:pPr>
    </w:p>
    <w:p>
      <w:pPr>
        <w:sectPr>
          <w:pgSz w:w="11900" w:h="16838" w:orient="portrait"/>
          <w:cols w:equalWidth="0" w:num="2">
            <w:col w:w="1440" w:space="140"/>
            <w:col w:w="7439"/>
          </w:cols>
          <w:pgMar w:left="1440" w:top="134" w:right="1440" w:bottom="1440" w:gutter="0" w:footer="0" w:header="0"/>
          <w:type w:val="continuous"/>
        </w:sectPr>
      </w:pPr>
    </w:p>
    <w:p>
      <w:pPr>
        <w:spacing w:after="0" w:line="22" w:lineRule="exact"/>
        <w:rPr>
          <w:sz w:val="20"/>
          <w:szCs w:val="20"/>
          <w:color w:val="auto"/>
        </w:rPr>
      </w:pPr>
    </w:p>
    <w:p>
      <w:pPr>
        <w:ind w:left="1240" w:hanging="69"/>
        <w:spacing w:after="0"/>
        <w:tabs>
          <w:tab w:leader="none" w:pos="1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3.10</w:t>
      </w:r>
    </w:p>
    <w:p>
      <w:pPr>
        <w:spacing w:after="0" w:line="200" w:lineRule="exact"/>
        <w:rPr>
          <w:rFonts w:ascii="Arial" w:cs="Arial" w:eastAsia="Arial" w:hAnsi="Arial"/>
          <w:sz w:val="14"/>
          <w:szCs w:val="14"/>
          <w:color w:val="auto"/>
        </w:rPr>
      </w:pPr>
    </w:p>
    <w:p>
      <w:pPr>
        <w:spacing w:after="0" w:line="209" w:lineRule="exact"/>
        <w:rPr>
          <w:rFonts w:ascii="Arial" w:cs="Arial" w:eastAsia="Arial" w:hAnsi="Arial"/>
          <w:sz w:val="14"/>
          <w:szCs w:val="14"/>
          <w:color w:val="auto"/>
        </w:rPr>
      </w:pPr>
    </w:p>
    <w:p>
      <w:pPr>
        <w:ind w:left="1240" w:hanging="69"/>
        <w:spacing w:after="0"/>
        <w:tabs>
          <w:tab w:leader="none" w:pos="1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3.11</w:t>
      </w:r>
    </w:p>
    <w:p>
      <w:pPr>
        <w:spacing w:after="0" w:line="272" w:lineRule="exact"/>
        <w:rPr>
          <w:rFonts w:ascii="Arial" w:cs="Arial" w:eastAsia="Arial" w:hAnsi="Arial"/>
          <w:sz w:val="14"/>
          <w:szCs w:val="14"/>
          <w:color w:val="auto"/>
        </w:rPr>
      </w:pPr>
    </w:p>
    <w:p>
      <w:pPr>
        <w:ind w:left="1240" w:hanging="69"/>
        <w:spacing w:after="0"/>
        <w:tabs>
          <w:tab w:leader="none" w:pos="1240" w:val="left"/>
        </w:tabs>
        <w:numPr>
          <w:ilvl w:val="0"/>
          <w:numId w:val="16"/>
        </w:numPr>
        <w:rPr>
          <w:rFonts w:ascii="Arial" w:cs="Arial" w:eastAsia="Arial" w:hAnsi="Arial"/>
          <w:sz w:val="29"/>
          <w:szCs w:val="29"/>
          <w:color w:val="auto"/>
          <w:vertAlign w:val="superscript"/>
        </w:rPr>
      </w:pPr>
      <w:r>
        <w:rPr>
          <w:rFonts w:ascii="Arial" w:cs="Arial" w:eastAsia="Arial" w:hAnsi="Arial"/>
          <w:sz w:val="15"/>
          <w:szCs w:val="15"/>
          <w:color w:val="auto"/>
        </w:rPr>
        <w:t>5.1*</w:t>
      </w:r>
    </w:p>
    <w:p>
      <w:pPr>
        <w:spacing w:after="0" w:line="45" w:lineRule="exact"/>
        <w:rPr>
          <w:rFonts w:ascii="Arial" w:cs="Arial" w:eastAsia="Arial" w:hAnsi="Arial"/>
          <w:sz w:val="29"/>
          <w:szCs w:val="29"/>
          <w:color w:val="auto"/>
          <w:vertAlign w:val="superscript"/>
        </w:rPr>
      </w:pPr>
    </w:p>
    <w:p>
      <w:pPr>
        <w:jc w:val="both"/>
        <w:ind w:left="1180" w:hanging="9"/>
        <w:spacing w:after="0" w:line="185" w:lineRule="auto"/>
        <w:tabs>
          <w:tab w:leader="none" w:pos="1253" w:val="left"/>
        </w:tabs>
        <w:numPr>
          <w:ilvl w:val="0"/>
          <w:numId w:val="16"/>
        </w:numPr>
        <w:rPr>
          <w:rFonts w:ascii="Arial" w:cs="Arial" w:eastAsia="Arial" w:hAnsi="Arial"/>
          <w:sz w:val="27"/>
          <w:szCs w:val="27"/>
          <w:color w:val="auto"/>
          <w:vertAlign w:val="superscript"/>
        </w:rPr>
      </w:pPr>
      <w:r>
        <w:rPr>
          <w:rFonts w:ascii="Arial" w:cs="Arial" w:eastAsia="Arial" w:hAnsi="Arial"/>
          <w:sz w:val="14"/>
          <w:szCs w:val="14"/>
          <w:color w:val="auto"/>
        </w:rPr>
        <w:t xml:space="preserve">8.1* </w:t>
      </w:r>
      <w:r>
        <w:rPr>
          <w:rFonts w:ascii="Arial" w:cs="Arial" w:eastAsia="Arial" w:hAnsi="Arial"/>
          <w:sz w:val="27"/>
          <w:szCs w:val="27"/>
          <w:color w:val="auto"/>
          <w:vertAlign w:val="superscript"/>
        </w:rPr>
        <w:t>​</w:t>
      </w:r>
      <w:r>
        <w:rPr>
          <w:rFonts w:ascii="Arial" w:cs="Arial" w:eastAsia="Arial" w:hAnsi="Arial"/>
          <w:sz w:val="14"/>
          <w:szCs w:val="14"/>
          <w:color w:val="auto"/>
        </w:rPr>
        <w:t xml:space="preserve">23.1* </w:t>
      </w:r>
      <w:r>
        <w:rPr>
          <w:rFonts w:ascii="Arial" w:cs="Arial" w:eastAsia="Arial" w:hAnsi="Arial"/>
          <w:sz w:val="27"/>
          <w:szCs w:val="27"/>
          <w:color w:val="auto"/>
          <w:vertAlign w:val="superscript"/>
        </w:rPr>
        <w:t>​</w:t>
      </w:r>
      <w:r>
        <w:rPr>
          <w:rFonts w:ascii="Arial" w:cs="Arial" w:eastAsia="Arial" w:hAnsi="Arial"/>
          <w:sz w:val="14"/>
          <w:szCs w:val="14"/>
          <w:color w:val="auto"/>
        </w:rPr>
        <w:t xml:space="preserve">23.2* </w:t>
      </w:r>
      <w:r>
        <w:rPr>
          <w:rFonts w:ascii="Arial" w:cs="Arial" w:eastAsia="Arial" w:hAnsi="Arial"/>
          <w:sz w:val="27"/>
          <w:szCs w:val="27"/>
          <w:color w:val="auto"/>
          <w:vertAlign w:val="superscript"/>
        </w:rPr>
        <w:t>​</w:t>
      </w:r>
      <w:r>
        <w:rPr>
          <w:rFonts w:ascii="Arial" w:cs="Arial" w:eastAsia="Arial" w:hAnsi="Arial"/>
          <w:sz w:val="14"/>
          <w:szCs w:val="14"/>
          <w:color w:val="auto"/>
        </w:rPr>
        <w:t xml:space="preserve">24.1* </w:t>
      </w:r>
      <w:r>
        <w:rPr>
          <w:rFonts w:ascii="Arial" w:cs="Arial" w:eastAsia="Arial" w:hAnsi="Arial"/>
          <w:sz w:val="27"/>
          <w:szCs w:val="27"/>
          <w:color w:val="auto"/>
          <w:vertAlign w:val="superscript"/>
        </w:rPr>
        <w:t>​</w:t>
      </w: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br w:type="column"/>
      </w:r>
    </w:p>
    <w:p>
      <w:pPr>
        <w:ind w:left="520" w:hanging="513"/>
        <w:spacing w:after="0" w:line="264" w:lineRule="auto"/>
        <w:tabs>
          <w:tab w:leader="none" w:pos="81" w:val="left"/>
        </w:tabs>
        <w:numPr>
          <w:ilvl w:val="0"/>
          <w:numId w:val="17"/>
        </w:numPr>
        <w:rPr>
          <w:rFonts w:ascii="Arial" w:cs="Arial" w:eastAsia="Arial" w:hAnsi="Arial"/>
          <w:sz w:val="15"/>
          <w:szCs w:val="15"/>
          <w:u w:val="single" w:color="auto"/>
          <w:color w:val="0000EE"/>
        </w:rPr>
      </w:pPr>
      <w:r>
        <w:rPr>
          <w:rFonts w:ascii="Arial" w:cs="Arial" w:eastAsia="Arial" w:hAnsi="Arial"/>
          <w:sz w:val="15"/>
          <w:szCs w:val="15"/>
          <w:color w:val="auto"/>
        </w:rPr>
        <w:t xml:space="preserve">​ — ​ ​ </w:t>
      </w:r>
      <w:hyperlink r:id="rId73">
        <w:r>
          <w:rPr>
            <w:rFonts w:ascii="Arial" w:cs="Arial" w:eastAsia="Arial" w:hAnsi="Arial"/>
            <w:sz w:val="15"/>
            <w:szCs w:val="15"/>
            <w:u w:val="single" w:color="auto"/>
            <w:color w:val="0000EE"/>
          </w:rPr>
          <w:t>Amendment No. 2 dated May 23, 2019 to the Eighth Amended and Restated Limited</w:t>
        </w:r>
      </w:hyperlink>
      <w:r>
        <w:rPr>
          <w:rFonts w:ascii="Arial" w:cs="Arial" w:eastAsia="Arial" w:hAnsi="Arial"/>
          <w:sz w:val="15"/>
          <w:szCs w:val="15"/>
          <w:color w:val="auto"/>
        </w:rPr>
        <w:t xml:space="preserve"> </w:t>
      </w:r>
      <w:hyperlink r:id="rId73">
        <w:r>
          <w:rPr>
            <w:rFonts w:ascii="Arial" w:cs="Arial" w:eastAsia="Arial" w:hAnsi="Arial"/>
            <w:sz w:val="15"/>
            <w:szCs w:val="15"/>
            <w:u w:val="single" w:color="auto"/>
            <w:color w:val="0000EE"/>
          </w:rPr>
          <w:t>Partnership Agreement of Plains AAP, L.P. (incorporated by reference to Exhibit 3.1 to our</w:t>
        </w:r>
      </w:hyperlink>
      <w:r>
        <w:rPr>
          <w:rFonts w:ascii="Arial" w:cs="Arial" w:eastAsia="Arial" w:hAnsi="Arial"/>
          <w:sz w:val="15"/>
          <w:szCs w:val="15"/>
          <w:u w:val="single" w:color="auto"/>
          <w:color w:val="0000EE"/>
        </w:rPr>
        <w:t xml:space="preserve"> </w:t>
      </w:r>
      <w:hyperlink r:id="rId73">
        <w:r>
          <w:rPr>
            <w:rFonts w:ascii="Arial" w:cs="Arial" w:eastAsia="Arial" w:hAnsi="Arial"/>
            <w:sz w:val="15"/>
            <w:szCs w:val="15"/>
            <w:u w:val="single" w:color="auto"/>
            <w:color w:val="0000EE"/>
          </w:rPr>
          <w:t>Current Report on Form 8-K filed May 30, 2019).</w:t>
        </w:r>
      </w:hyperlink>
    </w:p>
    <w:p>
      <w:pPr>
        <w:spacing w:after="0" w:line="1" w:lineRule="exact"/>
        <w:rPr>
          <w:rFonts w:ascii="Arial" w:cs="Arial" w:eastAsia="Arial" w:hAnsi="Arial"/>
          <w:sz w:val="15"/>
          <w:szCs w:val="15"/>
          <w:u w:val="single" w:color="auto"/>
          <w:color w:val="0000EE"/>
        </w:rPr>
      </w:pPr>
    </w:p>
    <w:p>
      <w:pPr>
        <w:ind w:left="520" w:right="380" w:hanging="513"/>
        <w:spacing w:after="0" w:line="259" w:lineRule="auto"/>
        <w:tabs>
          <w:tab w:leader="none" w:pos="81" w:val="left"/>
        </w:tabs>
        <w:numPr>
          <w:ilvl w:val="0"/>
          <w:numId w:val="17"/>
        </w:numPr>
        <w:rPr>
          <w:rFonts w:ascii="Arial" w:cs="Arial" w:eastAsia="Arial" w:hAnsi="Arial"/>
          <w:sz w:val="15"/>
          <w:szCs w:val="15"/>
          <w:u w:val="single" w:color="auto"/>
          <w:color w:val="0000EE"/>
        </w:rPr>
      </w:pPr>
      <w:r>
        <w:rPr>
          <w:rFonts w:ascii="Arial" w:cs="Arial" w:eastAsia="Arial" w:hAnsi="Arial"/>
          <w:sz w:val="15"/>
          <w:szCs w:val="15"/>
          <w:color w:val="auto"/>
        </w:rPr>
        <w:t xml:space="preserve">​ — ​ ​ </w:t>
      </w:r>
      <w:hyperlink r:id="rId74">
        <w:r>
          <w:rPr>
            <w:rFonts w:ascii="Arial" w:cs="Arial" w:eastAsia="Arial" w:hAnsi="Arial"/>
            <w:sz w:val="15"/>
            <w:szCs w:val="15"/>
            <w:u w:val="single" w:color="auto"/>
            <w:color w:val="0000EE"/>
          </w:rPr>
          <w:t>Limited Liability Company Agreement of PAA GP LLC dated December 28, 2007</w:t>
        </w:r>
      </w:hyperlink>
      <w:r>
        <w:rPr>
          <w:rFonts w:ascii="Arial" w:cs="Arial" w:eastAsia="Arial" w:hAnsi="Arial"/>
          <w:sz w:val="15"/>
          <w:szCs w:val="15"/>
          <w:color w:val="auto"/>
        </w:rPr>
        <w:t xml:space="preserve"> </w:t>
      </w:r>
      <w:hyperlink r:id="rId74">
        <w:r>
          <w:rPr>
            <w:rFonts w:ascii="Arial" w:cs="Arial" w:eastAsia="Arial" w:hAnsi="Arial"/>
            <w:sz w:val="15"/>
            <w:szCs w:val="15"/>
            <w:u w:val="single" w:color="auto"/>
            <w:color w:val="0000EE"/>
          </w:rPr>
          <w:t>(incorporated by reference to Exhibit 3.3 to PAA’s Current Report on Form 8-K filed</w:t>
        </w:r>
      </w:hyperlink>
      <w:r>
        <w:rPr>
          <w:rFonts w:ascii="Arial" w:cs="Arial" w:eastAsia="Arial" w:hAnsi="Arial"/>
          <w:sz w:val="15"/>
          <w:szCs w:val="15"/>
          <w:u w:val="single" w:color="auto"/>
          <w:color w:val="0000EE"/>
        </w:rPr>
        <w:t xml:space="preserve"> </w:t>
      </w:r>
      <w:hyperlink r:id="rId74">
        <w:r>
          <w:rPr>
            <w:rFonts w:ascii="Arial" w:cs="Arial" w:eastAsia="Arial" w:hAnsi="Arial"/>
            <w:sz w:val="15"/>
            <w:szCs w:val="15"/>
            <w:u w:val="single" w:color="auto"/>
            <w:color w:val="0000EE"/>
          </w:rPr>
          <w:t>January 4, 2008).</w:t>
        </w:r>
      </w:hyperlink>
    </w:p>
    <w:p>
      <w:pPr>
        <w:spacing w:after="0" w:line="186" w:lineRule="auto"/>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 </w:t>
      </w:r>
      <w:r>
        <w:rPr>
          <w:rFonts w:ascii="Arial" w:cs="Arial" w:eastAsia="Arial" w:hAnsi="Arial"/>
          <w:sz w:val="26"/>
          <w:szCs w:val="26"/>
          <w:color w:val="auto"/>
          <w:vertAlign w:val="superscript"/>
        </w:rPr>
        <w:t>​ ​</w:t>
      </w:r>
      <w:r>
        <w:rPr>
          <w:rFonts w:ascii="Arial" w:cs="Arial" w:eastAsia="Arial" w:hAnsi="Arial"/>
          <w:sz w:val="14"/>
          <w:szCs w:val="14"/>
          <w:color w:val="auto"/>
        </w:rPr>
        <w:t xml:space="preserve"> </w:t>
      </w:r>
      <w:r>
        <w:rPr>
          <w:rFonts w:ascii="Arial" w:cs="Arial" w:eastAsia="Arial" w:hAnsi="Arial"/>
          <w:sz w:val="14"/>
          <w:szCs w:val="14"/>
          <w:u w:val="single" w:color="auto"/>
          <w:color w:val="0000EE"/>
        </w:rPr>
        <w:t>Opinion of Vinson &amp; Elkins L.L.P. as to the legality of the securities being registered.</w:t>
      </w:r>
    </w:p>
    <w:p>
      <w:pPr>
        <w:ind w:left="80" w:hanging="73"/>
        <w:spacing w:after="0" w:line="189" w:lineRule="auto"/>
        <w:tabs>
          <w:tab w:leader="none" w:pos="80" w:val="left"/>
        </w:tabs>
        <w:numPr>
          <w:ilvl w:val="0"/>
          <w:numId w:val="18"/>
        </w:numPr>
        <w:rPr>
          <w:rFonts w:ascii="Arial" w:cs="Arial" w:eastAsia="Arial" w:hAnsi="Arial"/>
          <w:sz w:val="29"/>
          <w:szCs w:val="29"/>
          <w:color w:val="auto"/>
          <w:vertAlign w:val="superscript"/>
        </w:rPr>
      </w:pPr>
      <w:r>
        <w:rPr>
          <w:rFonts w:ascii="Arial" w:cs="Arial" w:eastAsia="Arial" w:hAnsi="Arial"/>
          <w:sz w:val="29"/>
          <w:szCs w:val="29"/>
          <w:color w:val="auto"/>
          <w:vertAlign w:val="superscript"/>
        </w:rPr>
        <w:t>​</w:t>
      </w:r>
      <w:r>
        <w:rPr>
          <w:rFonts w:ascii="Arial" w:cs="Arial" w:eastAsia="Arial" w:hAnsi="Arial"/>
          <w:sz w:val="15"/>
          <w:szCs w:val="15"/>
          <w:color w:val="auto"/>
        </w:rPr>
        <w:t xml:space="preserve"> — </w:t>
      </w:r>
      <w:r>
        <w:rPr>
          <w:rFonts w:ascii="Arial" w:cs="Arial" w:eastAsia="Arial" w:hAnsi="Arial"/>
          <w:sz w:val="29"/>
          <w:szCs w:val="29"/>
          <w:color w:val="auto"/>
          <w:vertAlign w:val="superscript"/>
        </w:rPr>
        <w:t>​ ​</w:t>
      </w:r>
      <w:r>
        <w:rPr>
          <w:rFonts w:ascii="Arial" w:cs="Arial" w:eastAsia="Arial" w:hAnsi="Arial"/>
          <w:sz w:val="15"/>
          <w:szCs w:val="15"/>
          <w:color w:val="auto"/>
        </w:rPr>
        <w:t xml:space="preserve"> </w:t>
      </w:r>
      <w:r>
        <w:rPr>
          <w:rFonts w:ascii="Arial" w:cs="Arial" w:eastAsia="Arial" w:hAnsi="Arial"/>
          <w:sz w:val="15"/>
          <w:szCs w:val="15"/>
          <w:u w:val="single" w:color="auto"/>
          <w:color w:val="0000EE"/>
        </w:rPr>
        <w:t>Opinion of Vinson &amp; Elkins L.L.P. relating to tax matters</w:t>
      </w:r>
      <w:r>
        <w:rPr>
          <w:rFonts w:ascii="Arial" w:cs="Arial" w:eastAsia="Arial" w:hAnsi="Arial"/>
          <w:sz w:val="15"/>
          <w:szCs w:val="15"/>
          <w:color w:val="auto"/>
        </w:rPr>
        <w:t>.</w:t>
      </w:r>
    </w:p>
    <w:p>
      <w:pPr>
        <w:ind w:left="80" w:hanging="73"/>
        <w:spacing w:after="0" w:line="183" w:lineRule="auto"/>
        <w:tabs>
          <w:tab w:leader="none" w:pos="80" w:val="left"/>
        </w:tabs>
        <w:numPr>
          <w:ilvl w:val="0"/>
          <w:numId w:val="18"/>
        </w:numPr>
        <w:rPr>
          <w:rFonts w:ascii="Arial" w:cs="Arial" w:eastAsia="Arial" w:hAnsi="Arial"/>
          <w:sz w:val="25"/>
          <w:szCs w:val="25"/>
          <w:color w:val="auto"/>
          <w:vertAlign w:val="superscript"/>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w:t>
      </w:r>
      <w:r>
        <w:rPr>
          <w:rFonts w:ascii="Arial" w:cs="Arial" w:eastAsia="Arial" w:hAnsi="Arial"/>
          <w:sz w:val="25"/>
          <w:szCs w:val="25"/>
          <w:color w:val="auto"/>
          <w:vertAlign w:val="superscript"/>
        </w:rPr>
        <w:t>​ ​</w:t>
      </w:r>
      <w:r>
        <w:rPr>
          <w:rFonts w:ascii="Arial" w:cs="Arial" w:eastAsia="Arial" w:hAnsi="Arial"/>
          <w:sz w:val="13"/>
          <w:szCs w:val="13"/>
          <w:color w:val="auto"/>
        </w:rPr>
        <w:t xml:space="preserve"> </w:t>
      </w:r>
      <w:r>
        <w:rPr>
          <w:rFonts w:ascii="Arial" w:cs="Arial" w:eastAsia="Arial" w:hAnsi="Arial"/>
          <w:sz w:val="13"/>
          <w:szCs w:val="13"/>
          <w:u w:val="single" w:color="auto"/>
          <w:color w:val="0000EE"/>
        </w:rPr>
        <w:t>Consent of PricewaterhouseCoopers LLP.</w:t>
      </w:r>
    </w:p>
    <w:p>
      <w:pPr>
        <w:ind w:left="80" w:hanging="73"/>
        <w:spacing w:after="0" w:line="183" w:lineRule="auto"/>
        <w:tabs>
          <w:tab w:leader="none" w:pos="80" w:val="left"/>
        </w:tabs>
        <w:numPr>
          <w:ilvl w:val="0"/>
          <w:numId w:val="18"/>
        </w:numPr>
        <w:rPr>
          <w:rFonts w:ascii="Arial" w:cs="Arial" w:eastAsia="Arial" w:hAnsi="Arial"/>
          <w:sz w:val="25"/>
          <w:szCs w:val="25"/>
          <w:color w:val="auto"/>
          <w:vertAlign w:val="superscript"/>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w:t>
      </w:r>
      <w:r>
        <w:rPr>
          <w:rFonts w:ascii="Arial" w:cs="Arial" w:eastAsia="Arial" w:hAnsi="Arial"/>
          <w:sz w:val="25"/>
          <w:szCs w:val="25"/>
          <w:color w:val="auto"/>
          <w:vertAlign w:val="superscript"/>
        </w:rPr>
        <w:t>​ ​</w:t>
      </w:r>
      <w:r>
        <w:rPr>
          <w:rFonts w:ascii="Arial" w:cs="Arial" w:eastAsia="Arial" w:hAnsi="Arial"/>
          <w:sz w:val="13"/>
          <w:szCs w:val="13"/>
          <w:color w:val="auto"/>
        </w:rPr>
        <w:t xml:space="preserve"> Consent of Vinson &amp; Elkins L.L.P. (contained in </w:t>
      </w:r>
      <w:r>
        <w:rPr>
          <w:rFonts w:ascii="Arial" w:cs="Arial" w:eastAsia="Arial" w:hAnsi="Arial"/>
          <w:sz w:val="13"/>
          <w:szCs w:val="13"/>
          <w:u w:val="single" w:color="auto"/>
          <w:color w:val="0000EE"/>
        </w:rPr>
        <w:t>Exhibits 5.1</w:t>
      </w:r>
      <w:r>
        <w:rPr>
          <w:rFonts w:ascii="Arial" w:cs="Arial" w:eastAsia="Arial" w:hAnsi="Arial"/>
          <w:sz w:val="13"/>
          <w:szCs w:val="13"/>
          <w:color w:val="auto"/>
        </w:rPr>
        <w:t xml:space="preserve"> and </w:t>
      </w:r>
      <w:r>
        <w:rPr>
          <w:rFonts w:ascii="Arial" w:cs="Arial" w:eastAsia="Arial" w:hAnsi="Arial"/>
          <w:sz w:val="13"/>
          <w:szCs w:val="13"/>
          <w:u w:val="single" w:color="auto"/>
          <w:color w:val="0000EE"/>
        </w:rPr>
        <w:t>8.1</w:t>
      </w:r>
      <w:r>
        <w:rPr>
          <w:rFonts w:ascii="Arial" w:cs="Arial" w:eastAsia="Arial" w:hAnsi="Arial"/>
          <w:sz w:val="13"/>
          <w:szCs w:val="13"/>
          <w:color w:val="auto"/>
        </w:rPr>
        <w:t>).</w:t>
      </w:r>
    </w:p>
    <w:p>
      <w:pPr>
        <w:ind w:left="80" w:hanging="73"/>
        <w:spacing w:after="0" w:line="183" w:lineRule="auto"/>
        <w:tabs>
          <w:tab w:leader="none" w:pos="80" w:val="left"/>
        </w:tabs>
        <w:numPr>
          <w:ilvl w:val="0"/>
          <w:numId w:val="18"/>
        </w:numPr>
        <w:rPr>
          <w:rFonts w:ascii="Arial" w:cs="Arial" w:eastAsia="Arial" w:hAnsi="Arial"/>
          <w:sz w:val="25"/>
          <w:szCs w:val="25"/>
          <w:color w:val="auto"/>
          <w:vertAlign w:val="superscript"/>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 </w:t>
      </w:r>
      <w:r>
        <w:rPr>
          <w:rFonts w:ascii="Arial" w:cs="Arial" w:eastAsia="Arial" w:hAnsi="Arial"/>
          <w:sz w:val="25"/>
          <w:szCs w:val="25"/>
          <w:color w:val="auto"/>
          <w:vertAlign w:val="superscript"/>
        </w:rPr>
        <w:t>​ ​</w:t>
      </w:r>
      <w:r>
        <w:rPr>
          <w:rFonts w:ascii="Arial" w:cs="Arial" w:eastAsia="Arial" w:hAnsi="Arial"/>
          <w:sz w:val="13"/>
          <w:szCs w:val="13"/>
          <w:color w:val="auto"/>
        </w:rPr>
        <w:t xml:space="preserve"> </w:t>
      </w:r>
      <w:r>
        <w:rPr>
          <w:rFonts w:ascii="Arial" w:cs="Arial" w:eastAsia="Arial" w:hAnsi="Arial"/>
          <w:sz w:val="13"/>
          <w:szCs w:val="13"/>
          <w:u w:val="single" w:color="auto"/>
          <w:color w:val="0000EE"/>
        </w:rPr>
        <w:t>Power of Attorney (included on signature pages of this registration statement).</w:t>
      </w:r>
    </w:p>
    <w:p>
      <w:pPr>
        <w:ind w:left="80" w:hanging="73"/>
        <w:spacing w:after="0" w:line="234" w:lineRule="auto"/>
        <w:tabs>
          <w:tab w:leader="none" w:pos="80" w:val="left"/>
        </w:tabs>
        <w:numPr>
          <w:ilvl w:val="0"/>
          <w:numId w:val="18"/>
        </w:numPr>
        <w:rPr>
          <w:rFonts w:ascii="Arial" w:cs="Arial" w:eastAsia="Arial" w:hAnsi="Arial"/>
          <w:sz w:val="29"/>
          <w:szCs w:val="29"/>
          <w:color w:val="auto"/>
          <w:vertAlign w:val="superscript"/>
        </w:rPr>
      </w:pPr>
      <w:r>
        <w:rPr>
          <w:rFonts w:ascii="Arial" w:cs="Arial" w:eastAsia="Arial" w:hAnsi="Arial"/>
          <w:sz w:val="29"/>
          <w:szCs w:val="29"/>
          <w:color w:val="auto"/>
          <w:vertAlign w:val="superscript"/>
        </w:rPr>
        <w:t>​</w:t>
      </w:r>
      <w:r>
        <w:rPr>
          <w:rFonts w:ascii="Arial" w:cs="Arial" w:eastAsia="Arial" w:hAnsi="Arial"/>
          <w:sz w:val="15"/>
          <w:szCs w:val="15"/>
          <w:color w:val="auto"/>
        </w:rPr>
        <w:t xml:space="preserve"> — </w:t>
      </w:r>
      <w:r>
        <w:rPr>
          <w:rFonts w:ascii="Arial" w:cs="Arial" w:eastAsia="Arial" w:hAnsi="Arial"/>
          <w:sz w:val="29"/>
          <w:szCs w:val="29"/>
          <w:color w:val="auto"/>
          <w:vertAlign w:val="superscript"/>
        </w:rPr>
        <w:t>​ ​</w:t>
      </w:r>
      <w:r>
        <w:rPr>
          <w:rFonts w:ascii="Arial" w:cs="Arial" w:eastAsia="Arial" w:hAnsi="Arial"/>
          <w:sz w:val="15"/>
          <w:szCs w:val="15"/>
          <w:color w:val="auto"/>
        </w:rPr>
        <w:t xml:space="preserve"> </w:t>
      </w:r>
      <w:r>
        <w:rPr>
          <w:rFonts w:ascii="Arial" w:cs="Arial" w:eastAsia="Arial" w:hAnsi="Arial"/>
          <w:sz w:val="15"/>
          <w:szCs w:val="15"/>
          <w:u w:val="single" w:color="auto"/>
          <w:color w:val="0000EE"/>
        </w:rPr>
        <w:t>Filing Fee Table</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-259715</wp:posOffset>
            </wp:positionH>
            <wp:positionV relativeFrom="paragraph">
              <wp:posOffset>22225</wp:posOffset>
            </wp:positionV>
            <wp:extent cx="100266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extLst>
                    </a:blip>
                    <a:srcRect/>
                    <a:stretch>
                      <a:fillRect/>
                    </a:stretch>
                  </pic:blipFill>
                  <pic:spPr bwMode="auto">
                    <a:xfrm>
                      <a:off x="0" y="0"/>
                      <a:ext cx="1002665" cy="6985"/>
                    </a:xfrm>
                    <a:prstGeom prst="rect">
                      <a:avLst/>
                    </a:prstGeom>
                    <a:noFill/>
                  </pic:spPr>
                </pic:pic>
              </a:graphicData>
            </a:graphic>
          </wp:anchor>
        </w:drawing>
      </w:r>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spacing w:after="0"/>
        <w:rPr>
          <w:sz w:val="20"/>
          <w:szCs w:val="20"/>
          <w:color w:val="auto"/>
        </w:rPr>
      </w:pPr>
      <w:r>
        <w:rPr>
          <w:rFonts w:ascii="Arial" w:cs="Arial" w:eastAsia="Arial" w:hAnsi="Arial"/>
          <w:sz w:val="15"/>
          <w:szCs w:val="15"/>
          <w:color w:val="auto"/>
        </w:rPr>
        <w:t>​</w:t>
      </w:r>
    </w:p>
    <w:p>
      <w:pPr>
        <w:spacing w:after="0" w:line="398"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5"/>
          <w:szCs w:val="15"/>
          <w:color w:val="auto"/>
        </w:rPr>
        <w:t>​</w:t>
      </w:r>
    </w:p>
    <w:p>
      <w:pPr>
        <w:spacing w:after="0" w:line="387"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5"/>
          <w:szCs w:val="15"/>
          <w:color w:val="auto"/>
        </w:rPr>
        <w:t>​</w:t>
      </w:r>
    </w:p>
    <w:p>
      <w:pPr>
        <w:spacing w:after="0" w:line="47"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5"/>
          <w:szCs w:val="15"/>
          <w:color w:val="auto"/>
        </w:rPr>
        <w:t>​</w:t>
      </w:r>
    </w:p>
    <w:p>
      <w:pPr>
        <w:spacing w:after="0" w:line="47"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5"/>
          <w:szCs w:val="15"/>
          <w:color w:val="auto"/>
        </w:rPr>
        <w:t>​</w:t>
      </w:r>
    </w:p>
    <w:p>
      <w:pPr>
        <w:spacing w:after="0" w:line="47"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5"/>
          <w:szCs w:val="15"/>
          <w:color w:val="auto"/>
        </w:rPr>
        <w:t>​</w:t>
      </w:r>
    </w:p>
    <w:p>
      <w:pPr>
        <w:spacing w:after="0" w:line="47"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5"/>
          <w:szCs w:val="15"/>
          <w:color w:val="auto"/>
        </w:rPr>
        <w:t>​</w:t>
      </w:r>
    </w:p>
    <w:p>
      <w:pPr>
        <w:spacing w:after="0" w:line="47"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5"/>
          <w:szCs w:val="15"/>
          <w:color w:val="auto"/>
        </w:rPr>
        <w:t>​</w:t>
      </w:r>
    </w:p>
    <w:p>
      <w:pPr>
        <w:spacing w:after="0" w:line="342" w:lineRule="exact"/>
        <w:rPr>
          <w:rFonts w:ascii="Arial" w:cs="Arial" w:eastAsia="Arial" w:hAnsi="Arial"/>
          <w:sz w:val="15"/>
          <w:szCs w:val="15"/>
          <w:color w:val="auto"/>
        </w:rPr>
      </w:pPr>
    </w:p>
    <w:p>
      <w:pPr>
        <w:sectPr>
          <w:pgSz w:w="11900" w:h="16838" w:orient="portrait"/>
          <w:cols w:equalWidth="0" w:num="3">
            <w:col w:w="1520" w:space="60"/>
            <w:col w:w="6100" w:space="160"/>
            <w:col w:w="1179"/>
          </w:cols>
          <w:pgMar w:left="1440" w:top="134" w:right="1440" w:bottom="1440" w:gutter="0" w:footer="0" w:header="0"/>
          <w:type w:val="continuous"/>
        </w:sectPr>
      </w:pPr>
    </w:p>
    <w:p>
      <w:pPr>
        <w:ind w:left="1460" w:hanging="289"/>
        <w:spacing w:after="0"/>
        <w:tabs>
          <w:tab w:leader="none" w:pos="1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332" w:lineRule="exact"/>
        <w:rPr>
          <w:rFonts w:ascii="Arial" w:cs="Arial" w:eastAsia="Arial" w:hAnsi="Arial"/>
          <w:sz w:val="15"/>
          <w:szCs w:val="15"/>
          <w:color w:val="auto"/>
        </w:rPr>
      </w:pPr>
    </w:p>
    <w:p>
      <w:pPr>
        <w:jc w:val="center"/>
        <w:ind w:right="39"/>
        <w:spacing w:after="0"/>
        <w:rPr>
          <w:sz w:val="20"/>
          <w:szCs w:val="20"/>
          <w:color w:val="auto"/>
        </w:rPr>
      </w:pPr>
      <w:r>
        <w:rPr>
          <w:rFonts w:ascii="Arial" w:cs="Arial" w:eastAsia="Arial" w:hAnsi="Arial"/>
          <w:sz w:val="15"/>
          <w:szCs w:val="15"/>
          <w:color w:val="auto"/>
        </w:rPr>
        <w:t>II-2</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5" w:name="page26"/>
    <w:bookmarkEnd w:id="25"/>
    <w:p>
      <w:pPr>
        <w:ind w:left="16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60" w:right="1339" w:hanging="289"/>
        <w:spacing w:after="0" w:line="263" w:lineRule="auto"/>
        <w:tabs>
          <w:tab w:leader="none" w:pos="1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To be filed as an exhibit to a report pursuant to Section 13(a) or 15(d) of the Securities Exchange Act of 1934 or in a post-effective amendment to this registration statement.</w:t>
      </w:r>
    </w:p>
    <w:p>
      <w:pPr>
        <w:spacing w:after="0" w:line="144"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Item 17. Undertakings.</w:t>
      </w:r>
    </w:p>
    <w:p>
      <w:pPr>
        <w:spacing w:after="0" w:line="128" w:lineRule="exact"/>
        <w:rPr>
          <w:sz w:val="20"/>
          <w:szCs w:val="20"/>
          <w:color w:val="auto"/>
        </w:rPr>
      </w:pPr>
    </w:p>
    <w:p>
      <w:pPr>
        <w:ind w:left="1760" w:hanging="297"/>
        <w:spacing w:after="0"/>
        <w:tabs>
          <w:tab w:leader="none" w:pos="17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undersigned registrant hereby undertakes:</w:t>
      </w:r>
    </w:p>
    <w:p>
      <w:pPr>
        <w:spacing w:after="0" w:line="112" w:lineRule="exact"/>
        <w:rPr>
          <w:rFonts w:ascii="Arial" w:cs="Arial" w:eastAsia="Arial" w:hAnsi="Arial"/>
          <w:sz w:val="15"/>
          <w:szCs w:val="15"/>
          <w:color w:val="auto"/>
        </w:rPr>
      </w:pPr>
    </w:p>
    <w:p>
      <w:pPr>
        <w:ind w:left="2040" w:right="1939" w:hanging="285"/>
        <w:spacing w:after="0" w:line="263" w:lineRule="auto"/>
        <w:tabs>
          <w:tab w:leader="none" w:pos="20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w:t>
      </w:r>
    </w:p>
    <w:p>
      <w:pPr>
        <w:spacing w:after="0" w:line="82" w:lineRule="exact"/>
        <w:rPr>
          <w:rFonts w:ascii="Arial" w:cs="Arial" w:eastAsia="Arial" w:hAnsi="Arial"/>
          <w:sz w:val="15"/>
          <w:szCs w:val="15"/>
          <w:color w:val="auto"/>
        </w:rPr>
      </w:pPr>
    </w:p>
    <w:p>
      <w:pPr>
        <w:ind w:left="2340" w:hanging="292"/>
        <w:spacing w:after="0"/>
        <w:tabs>
          <w:tab w:leader="none" w:pos="2340" w:val="left"/>
        </w:tabs>
        <w:numPr>
          <w:ilvl w:val="2"/>
          <w:numId w:val="21"/>
        </w:numPr>
        <w:rPr>
          <w:rFonts w:ascii="Arial" w:cs="Arial" w:eastAsia="Arial" w:hAnsi="Arial"/>
          <w:sz w:val="15"/>
          <w:szCs w:val="15"/>
          <w:color w:val="auto"/>
        </w:rPr>
      </w:pPr>
      <w:r>
        <w:rPr>
          <w:rFonts w:ascii="Arial" w:cs="Arial" w:eastAsia="Arial" w:hAnsi="Arial"/>
          <w:sz w:val="15"/>
          <w:szCs w:val="15"/>
          <w:color w:val="auto"/>
        </w:rPr>
        <w:t>To include any prospectus required by Section 10(a)(3) of the Securities Act;</w:t>
      </w:r>
    </w:p>
    <w:p>
      <w:pPr>
        <w:spacing w:after="0" w:line="112" w:lineRule="exact"/>
        <w:rPr>
          <w:rFonts w:ascii="Arial" w:cs="Arial" w:eastAsia="Arial" w:hAnsi="Arial"/>
          <w:sz w:val="15"/>
          <w:szCs w:val="15"/>
          <w:color w:val="auto"/>
        </w:rPr>
      </w:pPr>
    </w:p>
    <w:p>
      <w:pPr>
        <w:ind w:left="2340" w:right="1199" w:hanging="292"/>
        <w:spacing w:after="0" w:line="246" w:lineRule="auto"/>
        <w:tabs>
          <w:tab w:leader="none" w:pos="2340" w:val="left"/>
        </w:tabs>
        <w:numPr>
          <w:ilvl w:val="2"/>
          <w:numId w:val="21"/>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05" w:lineRule="exact"/>
        <w:rPr>
          <w:rFonts w:ascii="Arial" w:cs="Arial" w:eastAsia="Arial" w:hAnsi="Arial"/>
          <w:sz w:val="15"/>
          <w:szCs w:val="15"/>
          <w:color w:val="auto"/>
        </w:rPr>
      </w:pPr>
    </w:p>
    <w:p>
      <w:pPr>
        <w:ind w:left="2340" w:right="1759" w:hanging="292"/>
        <w:spacing w:after="0" w:line="253" w:lineRule="auto"/>
        <w:tabs>
          <w:tab w:leader="none" w:pos="2340" w:val="left"/>
        </w:tabs>
        <w:numPr>
          <w:ilvl w:val="2"/>
          <w:numId w:val="21"/>
        </w:numPr>
        <w:rPr>
          <w:rFonts w:ascii="Arial" w:cs="Arial" w:eastAsia="Arial" w:hAnsi="Arial"/>
          <w:sz w:val="15"/>
          <w:szCs w:val="15"/>
          <w:color w:val="auto"/>
        </w:rPr>
      </w:pPr>
      <w:r>
        <w:rPr>
          <w:rFonts w:ascii="Arial" w:cs="Arial" w:eastAsia="Arial" w:hAnsi="Arial"/>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91" w:lineRule="exact"/>
        <w:rPr>
          <w:sz w:val="20"/>
          <w:szCs w:val="20"/>
          <w:color w:val="auto"/>
        </w:rPr>
      </w:pPr>
    </w:p>
    <w:p>
      <w:pPr>
        <w:ind w:left="2040" w:right="1259"/>
        <w:spacing w:after="0" w:line="238" w:lineRule="auto"/>
        <w:rPr>
          <w:sz w:val="20"/>
          <w:szCs w:val="20"/>
          <w:color w:val="auto"/>
        </w:rPr>
      </w:pPr>
      <w:r>
        <w:rPr>
          <w:rFonts w:ascii="Arial" w:cs="Arial" w:eastAsia="Arial" w:hAnsi="Arial"/>
          <w:sz w:val="15"/>
          <w:szCs w:val="15"/>
          <w:i w:val="1"/>
          <w:iCs w:val="1"/>
          <w:color w:val="auto"/>
        </w:rPr>
        <w:t>provided, however</w:t>
      </w:r>
      <w:r>
        <w:rPr>
          <w:rFonts w:ascii="Arial" w:cs="Arial" w:eastAsia="Arial" w:hAnsi="Arial"/>
          <w:sz w:val="15"/>
          <w:szCs w:val="15"/>
          <w:color w:val="auto"/>
        </w:rPr>
        <w:t>, that paragraphs (i), (ii) and (iii) above do not apply if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required to be included in a post- 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03" w:lineRule="exact"/>
        <w:rPr>
          <w:sz w:val="20"/>
          <w:szCs w:val="20"/>
          <w:color w:val="auto"/>
        </w:rPr>
      </w:pPr>
    </w:p>
    <w:p>
      <w:pPr>
        <w:ind w:left="2040" w:right="1179" w:hanging="285"/>
        <w:spacing w:after="0" w:line="250" w:lineRule="auto"/>
        <w:tabs>
          <w:tab w:leader="none" w:pos="20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Arial" w:cs="Arial" w:eastAsia="Arial" w:hAnsi="Arial"/>
          <w:sz w:val="15"/>
          <w:szCs w:val="15"/>
          <w:color w:val="auto"/>
        </w:rPr>
      </w:pPr>
    </w:p>
    <w:p>
      <w:pPr>
        <w:ind w:left="2040" w:right="1459" w:hanging="285"/>
        <w:spacing w:after="0" w:line="263" w:lineRule="auto"/>
        <w:tabs>
          <w:tab w:leader="none" w:pos="20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93" w:lineRule="exact"/>
        <w:rPr>
          <w:rFonts w:ascii="Arial" w:cs="Arial" w:eastAsia="Arial" w:hAnsi="Arial"/>
          <w:sz w:val="15"/>
          <w:szCs w:val="15"/>
          <w:color w:val="auto"/>
        </w:rPr>
      </w:pPr>
    </w:p>
    <w:p>
      <w:pPr>
        <w:ind w:left="2040" w:hanging="285"/>
        <w:spacing w:after="0"/>
        <w:tabs>
          <w:tab w:leader="none" w:pos="20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That, for the purpose of determining liability under the Securities Act to any purchaser:</w:t>
      </w:r>
    </w:p>
    <w:p>
      <w:pPr>
        <w:spacing w:after="0" w:line="112" w:lineRule="exact"/>
        <w:rPr>
          <w:rFonts w:ascii="Arial" w:cs="Arial" w:eastAsia="Arial" w:hAnsi="Arial"/>
          <w:sz w:val="15"/>
          <w:szCs w:val="15"/>
          <w:color w:val="auto"/>
        </w:rPr>
      </w:pPr>
    </w:p>
    <w:p>
      <w:pPr>
        <w:ind w:left="2340" w:right="1279" w:hanging="292"/>
        <w:spacing w:after="0" w:line="253" w:lineRule="auto"/>
        <w:tabs>
          <w:tab w:leader="none" w:pos="23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0" w:lineRule="exact"/>
        <w:rPr>
          <w:rFonts w:ascii="Arial" w:cs="Arial" w:eastAsia="Arial" w:hAnsi="Arial"/>
          <w:sz w:val="15"/>
          <w:szCs w:val="15"/>
          <w:color w:val="auto"/>
        </w:rPr>
      </w:pPr>
    </w:p>
    <w:p>
      <w:pPr>
        <w:ind w:left="2340" w:right="1199" w:hanging="292"/>
        <w:spacing w:after="0" w:line="245" w:lineRule="auto"/>
        <w:tabs>
          <w:tab w:leader="none" w:pos="23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 w:name="page27"/>
    <w:bookmarkEnd w:id="26"/>
    <w:p>
      <w:pPr>
        <w:ind w:left="16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340" w:right="1219"/>
        <w:spacing w:after="0" w:line="228" w:lineRule="auto"/>
        <w:rPr>
          <w:sz w:val="20"/>
          <w:szCs w:val="20"/>
          <w:color w:val="auto"/>
        </w:rPr>
      </w:pPr>
      <w:r>
        <w:rPr>
          <w:rFonts w:ascii="Arial" w:cs="Arial" w:eastAsia="Arial" w:hAnsi="Arial"/>
          <w:sz w:val="15"/>
          <w:szCs w:val="15"/>
          <w:color w:val="auto"/>
        </w:rPr>
        <w:t>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3" w:lineRule="exact"/>
        <w:rPr>
          <w:sz w:val="20"/>
          <w:szCs w:val="20"/>
          <w:color w:val="auto"/>
        </w:rPr>
      </w:pPr>
    </w:p>
    <w:p>
      <w:pPr>
        <w:ind w:left="2040" w:right="1179" w:hanging="285"/>
        <w:spacing w:after="0" w:line="267" w:lineRule="auto"/>
        <w:tabs>
          <w:tab w:leader="none" w:pos="2040" w:val="left"/>
        </w:tabs>
        <w:numPr>
          <w:ilvl w:val="1"/>
          <w:numId w:val="23"/>
        </w:numPr>
        <w:rPr>
          <w:rFonts w:ascii="Arial" w:cs="Arial" w:eastAsia="Arial" w:hAnsi="Arial"/>
          <w:sz w:val="14"/>
          <w:szCs w:val="14"/>
          <w:color w:val="auto"/>
        </w:rPr>
      </w:pPr>
      <w:r>
        <w:rPr>
          <w:rFonts w:ascii="Arial" w:cs="Arial" w:eastAsia="Arial" w:hAnsi="Arial"/>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4" w:lineRule="exact"/>
        <w:rPr>
          <w:rFonts w:ascii="Arial" w:cs="Arial" w:eastAsia="Arial" w:hAnsi="Arial"/>
          <w:sz w:val="14"/>
          <w:szCs w:val="14"/>
          <w:color w:val="auto"/>
        </w:rPr>
      </w:pPr>
    </w:p>
    <w:p>
      <w:pPr>
        <w:ind w:left="2340" w:right="1419" w:hanging="292"/>
        <w:spacing w:after="0" w:line="263" w:lineRule="auto"/>
        <w:tabs>
          <w:tab w:leader="none" w:pos="2340" w:val="left"/>
        </w:tabs>
        <w:numPr>
          <w:ilvl w:val="2"/>
          <w:numId w:val="23"/>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82" w:lineRule="exact"/>
        <w:rPr>
          <w:rFonts w:ascii="Arial" w:cs="Arial" w:eastAsia="Arial" w:hAnsi="Arial"/>
          <w:sz w:val="15"/>
          <w:szCs w:val="15"/>
          <w:color w:val="auto"/>
        </w:rPr>
      </w:pPr>
    </w:p>
    <w:p>
      <w:pPr>
        <w:ind w:left="2340" w:right="1599" w:hanging="292"/>
        <w:spacing w:after="0" w:line="299" w:lineRule="auto"/>
        <w:tabs>
          <w:tab w:leader="none" w:pos="2340" w:val="left"/>
        </w:tabs>
        <w:numPr>
          <w:ilvl w:val="2"/>
          <w:numId w:val="23"/>
        </w:numPr>
        <w:rPr>
          <w:rFonts w:ascii="Arial" w:cs="Arial" w:eastAsia="Arial" w:hAnsi="Arial"/>
          <w:sz w:val="14"/>
          <w:szCs w:val="14"/>
          <w:color w:val="auto"/>
        </w:rPr>
      </w:pPr>
      <w:r>
        <w:rPr>
          <w:rFonts w:ascii="Arial" w:cs="Arial" w:eastAsia="Arial" w:hAnsi="Arial"/>
          <w:sz w:val="14"/>
          <w:szCs w:val="14"/>
          <w:color w:val="auto"/>
        </w:rPr>
        <w:t>Any free writing prospectus relating to the offering prepared by or on behalf of the undersigned registrant or used or referred to by the undersigned registrant;</w:t>
      </w:r>
    </w:p>
    <w:p>
      <w:pPr>
        <w:spacing w:after="0" w:line="48" w:lineRule="exact"/>
        <w:rPr>
          <w:rFonts w:ascii="Arial" w:cs="Arial" w:eastAsia="Arial" w:hAnsi="Arial"/>
          <w:sz w:val="14"/>
          <w:szCs w:val="14"/>
          <w:color w:val="auto"/>
        </w:rPr>
      </w:pPr>
    </w:p>
    <w:p>
      <w:pPr>
        <w:ind w:left="2340" w:right="1299" w:hanging="292"/>
        <w:spacing w:after="0" w:line="253" w:lineRule="auto"/>
        <w:tabs>
          <w:tab w:leader="none" w:pos="2340" w:val="left"/>
        </w:tabs>
        <w:numPr>
          <w:ilvl w:val="2"/>
          <w:numId w:val="23"/>
        </w:numPr>
        <w:rPr>
          <w:rFonts w:ascii="Arial" w:cs="Arial" w:eastAsia="Arial" w:hAnsi="Arial"/>
          <w:sz w:val="15"/>
          <w:szCs w:val="15"/>
          <w:color w:val="auto"/>
        </w:rPr>
      </w:pPr>
      <w:r>
        <w:rPr>
          <w:rFonts w:ascii="Arial" w:cs="Arial" w:eastAsia="Arial" w:hAnsi="Arial"/>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90" w:lineRule="exact"/>
        <w:rPr>
          <w:rFonts w:ascii="Arial" w:cs="Arial" w:eastAsia="Arial" w:hAnsi="Arial"/>
          <w:sz w:val="15"/>
          <w:szCs w:val="15"/>
          <w:color w:val="auto"/>
        </w:rPr>
      </w:pPr>
    </w:p>
    <w:p>
      <w:pPr>
        <w:ind w:left="2340" w:right="1659" w:hanging="292"/>
        <w:spacing w:after="0" w:line="263" w:lineRule="auto"/>
        <w:tabs>
          <w:tab w:leader="none" w:pos="2340" w:val="left"/>
        </w:tabs>
        <w:numPr>
          <w:ilvl w:val="2"/>
          <w:numId w:val="23"/>
        </w:numPr>
        <w:rPr>
          <w:rFonts w:ascii="Arial" w:cs="Arial" w:eastAsia="Arial" w:hAnsi="Arial"/>
          <w:sz w:val="15"/>
          <w:szCs w:val="15"/>
          <w:color w:val="auto"/>
        </w:rPr>
      </w:pPr>
      <w:r>
        <w:rPr>
          <w:rFonts w:ascii="Arial" w:cs="Arial" w:eastAsia="Arial" w:hAnsi="Arial"/>
          <w:sz w:val="15"/>
          <w:szCs w:val="15"/>
          <w:color w:val="auto"/>
        </w:rPr>
        <w:t>Any other communication that is an offer in the offering made by the undersigned registrant to the purchaser.</w:t>
      </w:r>
    </w:p>
    <w:p>
      <w:pPr>
        <w:spacing w:after="0" w:line="82" w:lineRule="exact"/>
        <w:rPr>
          <w:rFonts w:ascii="Arial" w:cs="Arial" w:eastAsia="Arial" w:hAnsi="Arial"/>
          <w:sz w:val="15"/>
          <w:szCs w:val="15"/>
          <w:color w:val="auto"/>
        </w:rPr>
      </w:pPr>
    </w:p>
    <w:p>
      <w:pPr>
        <w:ind w:left="1760" w:right="1219" w:hanging="297"/>
        <w:spacing w:after="0" w:line="247" w:lineRule="auto"/>
        <w:tabs>
          <w:tab w:leader="none" w:pos="17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5" w:lineRule="exact"/>
        <w:rPr>
          <w:rFonts w:ascii="Arial" w:cs="Arial" w:eastAsia="Arial" w:hAnsi="Arial"/>
          <w:sz w:val="15"/>
          <w:szCs w:val="15"/>
          <w:color w:val="auto"/>
        </w:rPr>
      </w:pPr>
    </w:p>
    <w:p>
      <w:pPr>
        <w:ind w:left="1760" w:right="1279" w:hanging="297"/>
        <w:spacing w:after="0" w:line="264" w:lineRule="auto"/>
        <w:tabs>
          <w:tab w:leader="none" w:pos="1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9" w:lineRule="exact"/>
        <w:rPr>
          <w:rFonts w:ascii="Arial" w:cs="Arial" w:eastAsia="Arial" w:hAnsi="Arial"/>
          <w:sz w:val="14"/>
          <w:szCs w:val="14"/>
          <w:color w:val="auto"/>
        </w:rPr>
      </w:pPr>
    </w:p>
    <w:p>
      <w:pPr>
        <w:ind w:left="1760" w:right="1239" w:hanging="297"/>
        <w:spacing w:after="0" w:line="263" w:lineRule="auto"/>
        <w:tabs>
          <w:tab w:leader="none" w:pos="17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undersigned registrant hereby undertakes that, for purposes of determining any liability under the Securities Act:</w:t>
      </w:r>
    </w:p>
    <w:p>
      <w:pPr>
        <w:spacing w:after="0" w:line="82" w:lineRule="exact"/>
        <w:rPr>
          <w:rFonts w:ascii="Arial" w:cs="Arial" w:eastAsia="Arial" w:hAnsi="Arial"/>
          <w:sz w:val="15"/>
          <w:szCs w:val="15"/>
          <w:color w:val="auto"/>
        </w:rPr>
      </w:pPr>
    </w:p>
    <w:p>
      <w:pPr>
        <w:ind w:left="2040" w:right="1639" w:hanging="285"/>
        <w:spacing w:after="0" w:line="301" w:lineRule="auto"/>
        <w:tabs>
          <w:tab w:leader="none" w:pos="2040" w:val="left"/>
        </w:tabs>
        <w:numPr>
          <w:ilvl w:val="1"/>
          <w:numId w:val="24"/>
        </w:numPr>
        <w:rPr>
          <w:rFonts w:ascii="Arial" w:cs="Arial" w:eastAsia="Arial" w:hAnsi="Arial"/>
          <w:sz w:val="13"/>
          <w:szCs w:val="13"/>
          <w:color w:val="auto"/>
        </w:rPr>
      </w:pPr>
      <w:r>
        <w:rPr>
          <w:rFonts w:ascii="Arial" w:cs="Arial" w:eastAsia="Arial" w:hAnsi="Arial"/>
          <w:sz w:val="13"/>
          <w:szCs w:val="13"/>
          <w:color w:val="auto"/>
        </w:rPr>
        <w:t>The information omitted from the form of prospectus filed as part of this registration statement in reliance on Rule 430A and contained in a form of prospectus filed by the registrant pursuant to Rule 424(b) (1) or (4) or 497(h) under the Securities Act shall be deemed to be part of this registration statement as of the time it was declared effective.</w:t>
      </w:r>
    </w:p>
    <w:p>
      <w:pPr>
        <w:spacing w:after="0" w:line="61" w:lineRule="exact"/>
        <w:rPr>
          <w:rFonts w:ascii="Arial" w:cs="Arial" w:eastAsia="Arial" w:hAnsi="Arial"/>
          <w:sz w:val="13"/>
          <w:szCs w:val="13"/>
          <w:color w:val="auto"/>
        </w:rPr>
      </w:pPr>
    </w:p>
    <w:p>
      <w:pPr>
        <w:ind w:left="2040" w:right="1359" w:hanging="285"/>
        <w:spacing w:after="0" w:line="280" w:lineRule="auto"/>
        <w:tabs>
          <w:tab w:leader="none" w:pos="20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 w:name="page28"/>
    <w:bookmarkEnd w:id="27"/>
    <w:p>
      <w:pPr>
        <w:ind w:left="160"/>
        <w:spacing w:after="0"/>
        <w:rPr>
          <w:sz w:val="20"/>
          <w:szCs w:val="20"/>
          <w:color w:val="auto"/>
        </w:rPr>
      </w:pPr>
      <w:r>
        <w:rPr>
          <w:rFonts w:ascii="Arial" w:cs="Arial" w:eastAsia="Arial" w:hAnsi="Arial"/>
          <w:sz w:val="12"/>
          <w:szCs w:val="12"/>
          <w:color w:val="003366"/>
        </w:rPr>
        <w:t>TABLE OF CONTENTS</w:t>
      </w:r>
      <w:r>
        <w:rPr>
          <w:rFonts w:ascii="Arial" w:cs="Arial" w:eastAsia="Arial" w:hAnsi="Arial"/>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17" w:lineRule="exact"/>
        <w:rPr>
          <w:sz w:val="20"/>
          <w:szCs w:val="20"/>
          <w:color w:val="auto"/>
        </w:rPr>
      </w:pPr>
    </w:p>
    <w:p>
      <w:pPr>
        <w:ind w:left="1180" w:right="1259" w:firstLine="292"/>
        <w:spacing w:after="0"/>
        <w:rPr>
          <w:sz w:val="20"/>
          <w:szCs w:val="20"/>
          <w:color w:val="auto"/>
        </w:rPr>
      </w:pPr>
      <w:r>
        <w:rPr>
          <w:rFonts w:ascii="Arial" w:cs="Arial" w:eastAsia="Arial" w:hAnsi="Arial"/>
          <w:sz w:val="15"/>
          <w:szCs w:val="15"/>
          <w:color w:val="auto"/>
        </w:rPr>
        <w:t>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December 16, 2022.</w:t>
      </w:r>
    </w:p>
    <w:p>
      <w:pPr>
        <w:spacing w:after="0" w:line="150" w:lineRule="exact"/>
        <w:rPr>
          <w:sz w:val="20"/>
          <w:szCs w:val="20"/>
          <w:color w:val="auto"/>
        </w:rPr>
      </w:pPr>
    </w:p>
    <w:p>
      <w:pPr>
        <w:ind w:left="4680"/>
        <w:spacing w:after="0"/>
        <w:rPr>
          <w:sz w:val="20"/>
          <w:szCs w:val="20"/>
          <w:color w:val="auto"/>
        </w:rPr>
      </w:pPr>
      <w:r>
        <w:rPr>
          <w:rFonts w:ascii="Arial" w:cs="Arial" w:eastAsia="Arial" w:hAnsi="Arial"/>
          <w:sz w:val="15"/>
          <w:szCs w:val="15"/>
          <w:b w:val="1"/>
          <w:bCs w:val="1"/>
          <w:color w:val="auto"/>
        </w:rPr>
        <w:t>PLAINS GP HOLDINGS, L.P.</w:t>
      </w:r>
    </w:p>
    <w:p>
      <w:pPr>
        <w:spacing w:after="0" w:line="117"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By: PAA GP HOLDINGS LLC,</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15"/>
          <w:szCs w:val="15"/>
          <w:color w:val="auto"/>
        </w:rPr>
        <w:t>its general partner</w:t>
      </w:r>
    </w:p>
    <w:p>
      <w:pPr>
        <w:spacing w:after="0" w:line="157"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By: /s/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29845</wp:posOffset>
            </wp:positionV>
            <wp:extent cx="181737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1817370" cy="6985"/>
                    </a:xfrm>
                    <a:prstGeom prst="rect">
                      <a:avLst/>
                    </a:prstGeom>
                    <a:noFill/>
                  </pic:spPr>
                </pic:pic>
              </a:graphicData>
            </a:graphic>
          </wp:anchor>
        </w:drawing>
      </w:r>
    </w:p>
    <w:p>
      <w:pPr>
        <w:spacing w:after="0" w:line="49" w:lineRule="exact"/>
        <w:rPr>
          <w:sz w:val="20"/>
          <w:szCs w:val="20"/>
          <w:color w:val="auto"/>
        </w:rPr>
      </w:pPr>
    </w:p>
    <w:p>
      <w:pPr>
        <w:ind w:left="4980"/>
        <w:spacing w:after="0"/>
        <w:rPr>
          <w:sz w:val="20"/>
          <w:szCs w:val="20"/>
          <w:color w:val="auto"/>
        </w:rPr>
      </w:pPr>
      <w:r>
        <w:rPr>
          <w:rFonts w:ascii="Arial" w:cs="Arial" w:eastAsia="Arial" w:hAnsi="Arial"/>
          <w:sz w:val="15"/>
          <w:szCs w:val="15"/>
          <w:color w:val="auto"/>
        </w:rPr>
        <w:t>Name: Willie Chiang</w:t>
      </w:r>
    </w:p>
    <w:p>
      <w:pPr>
        <w:spacing w:after="0" w:line="14" w:lineRule="exact"/>
        <w:rPr>
          <w:sz w:val="20"/>
          <w:szCs w:val="20"/>
          <w:color w:val="auto"/>
        </w:rPr>
      </w:pPr>
    </w:p>
    <w:p>
      <w:pPr>
        <w:ind w:left="4980"/>
        <w:spacing w:after="0"/>
        <w:tabs>
          <w:tab w:leader="none" w:pos="5440" w:val="left"/>
        </w:tabs>
        <w:rPr>
          <w:sz w:val="20"/>
          <w:szCs w:val="20"/>
          <w:color w:val="auto"/>
        </w:rPr>
      </w:pPr>
      <w:r>
        <w:rPr>
          <w:rFonts w:ascii="Arial" w:cs="Arial" w:eastAsia="Arial" w:hAnsi="Arial"/>
          <w:sz w:val="15"/>
          <w:szCs w:val="15"/>
          <w:color w:val="auto"/>
        </w:rPr>
        <w:t>Title:</w:t>
        <w:tab/>
        <w:t>Chairman of the Board and Chief</w:t>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Executive Officer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106" w:lineRule="exact"/>
        <w:rPr>
          <w:sz w:val="20"/>
          <w:szCs w:val="20"/>
          <w:color w:val="auto"/>
        </w:rPr>
      </w:pPr>
    </w:p>
    <w:p>
      <w:pPr>
        <w:ind w:left="1180" w:right="1199" w:firstLine="292"/>
        <w:spacing w:after="0" w:line="275" w:lineRule="auto"/>
        <w:rPr>
          <w:sz w:val="20"/>
          <w:szCs w:val="20"/>
          <w:color w:val="auto"/>
        </w:rPr>
      </w:pPr>
      <w:r>
        <w:rPr>
          <w:rFonts w:ascii="Arial" w:cs="Arial" w:eastAsia="Arial" w:hAnsi="Arial"/>
          <w:sz w:val="13"/>
          <w:szCs w:val="13"/>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as amended,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79" w:lineRule="exact"/>
        <w:rPr>
          <w:sz w:val="20"/>
          <w:szCs w:val="20"/>
          <w:color w:val="auto"/>
        </w:rPr>
      </w:pPr>
    </w:p>
    <w:p>
      <w:pPr>
        <w:ind w:left="1180" w:right="1219" w:firstLine="292"/>
        <w:spacing w:after="0" w:line="299" w:lineRule="auto"/>
        <w:rPr>
          <w:sz w:val="20"/>
          <w:szCs w:val="20"/>
          <w:color w:val="auto"/>
        </w:rPr>
      </w:pPr>
      <w:r>
        <w:rPr>
          <w:rFonts w:ascii="Arial" w:cs="Arial" w:eastAsia="Arial" w:hAnsi="Arial"/>
          <w:sz w:val="14"/>
          <w:szCs w:val="14"/>
          <w:color w:val="auto"/>
        </w:rPr>
        <w:t>Pursuant to the requirements of the Securities Act of 1933, as amended, this Registration Statement has been signed below by the following persons in the capacities and on the dates indicated below.</w:t>
      </w:r>
    </w:p>
    <w:p>
      <w:pPr>
        <w:spacing w:after="0" w:line="59"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PAA GP HOLDINGS LLC, for itself and as the general partner of PLAINS GP HOLDINGS, L.P.</w:t>
      </w:r>
    </w:p>
    <w:p>
      <w:pPr>
        <w:spacing w:after="0" w:line="128" w:lineRule="exact"/>
        <w:rPr>
          <w:sz w:val="20"/>
          <w:szCs w:val="20"/>
          <w:color w:val="auto"/>
        </w:rPr>
      </w:pPr>
    </w:p>
    <w:tbl>
      <w:tblPr>
        <w:tblLayout w:type="fixed"/>
        <w:tblInd w:w="1180" w:type="dxa"/>
        <w:tblCellMar>
          <w:top w:w="0" w:type="dxa"/>
          <w:left w:w="0" w:type="dxa"/>
          <w:bottom w:w="0" w:type="dxa"/>
          <w:right w:w="0" w:type="dxa"/>
        </w:tblCellMar>
      </w:tblPr>
      <w:tr>
        <w:trPr>
          <w:trHeight w:val="182"/>
        </w:trPr>
        <w:tc>
          <w:tcPr>
            <w:tcW w:w="2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1900" w:type="dxa"/>
            <w:vAlign w:val="bottom"/>
            <w:tcBorders>
              <w:bottom w:val="single" w:sz="8" w:color="auto"/>
            </w:tcBorders>
          </w:tcPr>
          <w:p>
            <w:pPr>
              <w:jc w:val="center"/>
              <w:ind w:right="108"/>
              <w:spacing w:after="0"/>
              <w:rPr>
                <w:sz w:val="20"/>
                <w:szCs w:val="20"/>
                <w:color w:val="auto"/>
              </w:rPr>
            </w:pPr>
            <w:r>
              <w:rPr>
                <w:rFonts w:ascii="Arial" w:cs="Arial" w:eastAsia="Arial" w:hAnsi="Arial"/>
                <w:sz w:val="12"/>
                <w:szCs w:val="12"/>
                <w:b w:val="1"/>
                <w:bCs w:val="1"/>
                <w:color w:val="auto"/>
                <w:w w:val="85"/>
              </w:rPr>
              <w:t>Name</w:t>
            </w:r>
          </w:p>
        </w:tc>
        <w:tc>
          <w:tcPr>
            <w:tcW w:w="20" w:type="dxa"/>
            <w:vAlign w:val="bottom"/>
            <w:tcBorders>
              <w:bottom w:val="single" w:sz="8" w:color="auto"/>
            </w:tcBorders>
          </w:tcPr>
          <w:p>
            <w:pPr>
              <w:spacing w:after="0"/>
              <w:rPr>
                <w:sz w:val="15"/>
                <w:szCs w:val="15"/>
                <w:color w:val="auto"/>
              </w:rPr>
            </w:pPr>
          </w:p>
        </w:tc>
        <w:tc>
          <w:tcPr>
            <w:tcW w:w="140" w:type="dxa"/>
            <w:vAlign w:val="bottom"/>
          </w:tcPr>
          <w:p>
            <w:pPr>
              <w:ind w:left="40"/>
              <w:spacing w:after="0"/>
              <w:rPr>
                <w:sz w:val="20"/>
                <w:szCs w:val="20"/>
                <w:color w:val="auto"/>
              </w:rPr>
            </w:pPr>
            <w:r>
              <w:rPr>
                <w:rFonts w:ascii="Arial" w:cs="Arial" w:eastAsia="Arial" w:hAnsi="Arial"/>
                <w:sz w:val="12"/>
                <w:szCs w:val="12"/>
                <w:b w:val="1"/>
                <w:bCs w:val="1"/>
                <w:color w:val="auto"/>
              </w:rPr>
              <w:t>​ ​</w:t>
            </w:r>
          </w:p>
        </w:tc>
        <w:tc>
          <w:tcPr>
            <w:tcW w:w="2660" w:type="dxa"/>
            <w:vAlign w:val="bottom"/>
            <w:tcBorders>
              <w:bottom w:val="single" w:sz="8" w:color="auto"/>
            </w:tcBorders>
          </w:tcPr>
          <w:p>
            <w:pPr>
              <w:ind w:left="122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ind w:left="40"/>
              <w:spacing w:after="0"/>
              <w:rPr>
                <w:sz w:val="20"/>
                <w:szCs w:val="20"/>
                <w:color w:val="auto"/>
              </w:rPr>
            </w:pPr>
            <w:r>
              <w:rPr>
                <w:rFonts w:ascii="Arial" w:cs="Arial" w:eastAsia="Arial" w:hAnsi="Arial"/>
                <w:sz w:val="12"/>
                <w:szCs w:val="12"/>
                <w:b w:val="1"/>
                <w:bCs w:val="1"/>
                <w:color w:val="auto"/>
              </w:rPr>
              <w:t>​ ​</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Date</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397"/>
        </w:trPr>
        <w:tc>
          <w:tcPr>
            <w:tcW w:w="200" w:type="dxa"/>
            <w:vAlign w:val="bottom"/>
          </w:tcPr>
          <w:p>
            <w:pPr>
              <w:spacing w:after="0"/>
              <w:rPr>
                <w:sz w:val="24"/>
                <w:szCs w:val="24"/>
                <w:color w:val="auto"/>
              </w:rPr>
            </w:pPr>
          </w:p>
        </w:tc>
        <w:tc>
          <w:tcPr>
            <w:tcW w:w="1900" w:type="dxa"/>
            <w:vAlign w:val="bottom"/>
            <w:vMerge w:val="restart"/>
          </w:tcPr>
          <w:p>
            <w:pPr>
              <w:jc w:val="center"/>
              <w:ind w:right="108"/>
              <w:spacing w:after="0"/>
              <w:rPr>
                <w:sz w:val="20"/>
                <w:szCs w:val="20"/>
                <w:color w:val="auto"/>
              </w:rPr>
            </w:pPr>
            <w:r>
              <w:rPr>
                <w:rFonts w:ascii="Arial" w:cs="Arial" w:eastAsia="Arial" w:hAnsi="Arial"/>
                <w:sz w:val="15"/>
                <w:szCs w:val="15"/>
                <w:color w:val="auto"/>
                <w:w w:val="96"/>
              </w:rPr>
              <w:t>/s/ Willie Chiang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5"/>
                <w:szCs w:val="15"/>
                <w:color w:val="auto"/>
              </w:rPr>
              <w:t>Chairman of the Board and Chief</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0" w:type="dxa"/>
            <w:vAlign w:val="bottom"/>
            <w:vMerge w:val="restart"/>
          </w:tcPr>
          <w:p>
            <w:pPr>
              <w:spacing w:after="0" w:line="123" w:lineRule="exact"/>
              <w:rPr>
                <w:sz w:val="20"/>
                <w:szCs w:val="20"/>
                <w:color w:val="auto"/>
              </w:rPr>
            </w:pPr>
            <w:r>
              <w:rPr>
                <w:rFonts w:ascii="Arial" w:cs="Arial" w:eastAsia="Arial" w:hAnsi="Arial"/>
                <w:sz w:val="14"/>
                <w:szCs w:val="14"/>
                <w:color w:val="auto"/>
              </w:rPr>
              <w:t>​</w:t>
            </w:r>
          </w:p>
        </w:tc>
        <w:tc>
          <w:tcPr>
            <w:tcW w:w="19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gridSpan w:val="2"/>
            <w:vMerge w:val="restart"/>
          </w:tcPr>
          <w:p>
            <w:pPr>
              <w:ind w:left="40"/>
              <w:spacing w:after="0" w:line="209"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Executive Officer (Principal Executive</w:t>
            </w:r>
          </w:p>
        </w:tc>
        <w:tc>
          <w:tcPr>
            <w:tcW w:w="160" w:type="dxa"/>
            <w:vAlign w:val="bottom"/>
            <w:vMerge w:val="restart"/>
          </w:tcPr>
          <w:p>
            <w:pPr>
              <w:ind w:left="40"/>
              <w:spacing w:after="0" w:line="133" w:lineRule="exact"/>
              <w:rPr>
                <w:sz w:val="20"/>
                <w:szCs w:val="20"/>
                <w:color w:val="auto"/>
              </w:rPr>
            </w:pPr>
            <w:r>
              <w:rPr>
                <w:rFonts w:ascii="Arial" w:cs="Arial" w:eastAsia="Arial" w:hAnsi="Arial"/>
                <w:sz w:val="15"/>
                <w:szCs w:val="15"/>
                <w:color w:val="auto"/>
              </w:rPr>
              <w:t>​ ​</w:t>
            </w:r>
          </w:p>
        </w:tc>
        <w:tc>
          <w:tcPr>
            <w:tcW w:w="1580" w:type="dxa"/>
            <w:vAlign w:val="bottom"/>
            <w:vMerge w:val="restart"/>
          </w:tcPr>
          <w:p>
            <w:pPr>
              <w:jc w:val="center"/>
              <w:spacing w:after="0"/>
              <w:rPr>
                <w:sz w:val="20"/>
                <w:szCs w:val="20"/>
                <w:color w:val="auto"/>
              </w:rPr>
            </w:pPr>
            <w:r>
              <w:rPr>
                <w:rFonts w:ascii="Arial" w:cs="Arial" w:eastAsia="Arial" w:hAnsi="Arial"/>
                <w:sz w:val="15"/>
                <w:szCs w:val="15"/>
                <w:color w:val="auto"/>
                <w:w w:val="91"/>
              </w:rPr>
              <w:t>December 16, 2022</w:t>
            </w:r>
          </w:p>
        </w:tc>
        <w:tc>
          <w:tcPr>
            <w:tcW w:w="40" w:type="dxa"/>
            <w:vAlign w:val="bottom"/>
            <w:vMerge w:val="restart"/>
          </w:tcPr>
          <w:p>
            <w:pPr>
              <w:spacing w:after="0" w:line="133"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4"/>
        </w:trPr>
        <w:tc>
          <w:tcPr>
            <w:tcW w:w="200" w:type="dxa"/>
            <w:vAlign w:val="bottom"/>
            <w:tcBorders>
              <w:bottom w:val="single" w:sz="8" w:color="auto"/>
            </w:tcBorders>
            <w:vMerge w:val="continue"/>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280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6"/>
        </w:trPr>
        <w:tc>
          <w:tcPr>
            <w:tcW w:w="200" w:type="dxa"/>
            <w:vAlign w:val="bottom"/>
          </w:tcPr>
          <w:p>
            <w:pPr>
              <w:spacing w:after="0"/>
              <w:rPr>
                <w:sz w:val="4"/>
                <w:szCs w:val="4"/>
                <w:color w:val="auto"/>
              </w:rPr>
            </w:pPr>
          </w:p>
        </w:tc>
        <w:tc>
          <w:tcPr>
            <w:tcW w:w="1900" w:type="dxa"/>
            <w:vAlign w:val="bottom"/>
            <w:vMerge w:val="restart"/>
          </w:tcPr>
          <w:p>
            <w:pPr>
              <w:jc w:val="center"/>
              <w:ind w:right="128"/>
              <w:spacing w:after="0"/>
              <w:rPr>
                <w:sz w:val="20"/>
                <w:szCs w:val="20"/>
                <w:color w:val="auto"/>
              </w:rPr>
            </w:pPr>
            <w:r>
              <w:rPr>
                <w:rFonts w:ascii="Arial" w:cs="Arial" w:eastAsia="Arial" w:hAnsi="Arial"/>
                <w:sz w:val="15"/>
                <w:szCs w:val="15"/>
                <w:color w:val="auto"/>
                <w:w w:val="98"/>
              </w:rPr>
              <w:t>Willie Chiang</w:t>
            </w:r>
          </w:p>
        </w:tc>
        <w:tc>
          <w:tcPr>
            <w:tcW w:w="20" w:type="dxa"/>
            <w:vAlign w:val="bottom"/>
            <w:vMerge w:val="continue"/>
          </w:tcPr>
          <w:p>
            <w:pPr>
              <w:spacing w:after="0"/>
              <w:rPr>
                <w:sz w:val="4"/>
                <w:szCs w:val="4"/>
                <w:color w:val="auto"/>
              </w:rPr>
            </w:pPr>
          </w:p>
        </w:tc>
        <w:tc>
          <w:tcPr>
            <w:tcW w:w="28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Arial" w:cs="Arial" w:eastAsia="Arial" w:hAnsi="Arial"/>
                <w:sz w:val="15"/>
                <w:szCs w:val="15"/>
                <w:color w:val="auto"/>
              </w:rPr>
              <w:t>Officer)</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200" w:type="dxa"/>
            <w:vAlign w:val="bottom"/>
            <w:vMerge w:val="restart"/>
          </w:tcPr>
          <w:p>
            <w:pPr>
              <w:spacing w:after="0"/>
              <w:rPr>
                <w:sz w:val="20"/>
                <w:szCs w:val="20"/>
                <w:color w:val="auto"/>
              </w:rPr>
            </w:pPr>
            <w:r>
              <w:rPr>
                <w:rFonts w:ascii="Arial" w:cs="Arial" w:eastAsia="Arial" w:hAnsi="Arial"/>
                <w:sz w:val="15"/>
                <w:szCs w:val="15"/>
                <w:color w:val="auto"/>
              </w:rPr>
              <w:t>​</w:t>
            </w:r>
          </w:p>
        </w:tc>
        <w:tc>
          <w:tcPr>
            <w:tcW w:w="1900" w:type="dxa"/>
            <w:vAlign w:val="bottom"/>
          </w:tcPr>
          <w:p>
            <w:pPr>
              <w:jc w:val="center"/>
              <w:ind w:right="128"/>
              <w:spacing w:after="0"/>
              <w:rPr>
                <w:sz w:val="20"/>
                <w:szCs w:val="20"/>
                <w:color w:val="auto"/>
              </w:rPr>
            </w:pPr>
            <w:r>
              <w:rPr>
                <w:rFonts w:ascii="Arial" w:cs="Arial" w:eastAsia="Arial" w:hAnsi="Arial"/>
                <w:sz w:val="15"/>
                <w:szCs w:val="15"/>
                <w:color w:val="auto"/>
                <w:w w:val="93"/>
              </w:rPr>
              <w:t>/s/ Harry N. Pefanis</w:t>
            </w:r>
          </w:p>
        </w:tc>
        <w:tc>
          <w:tcPr>
            <w:tcW w:w="20" w:type="dxa"/>
            <w:vAlign w:val="bottom"/>
          </w:tcPr>
          <w:p>
            <w:pPr>
              <w:spacing w:after="0"/>
              <w:rPr>
                <w:sz w:val="24"/>
                <w:szCs w:val="24"/>
                <w:color w:val="auto"/>
              </w:rPr>
            </w:pPr>
          </w:p>
        </w:tc>
        <w:tc>
          <w:tcPr>
            <w:tcW w:w="2800" w:type="dxa"/>
            <w:vAlign w:val="bottom"/>
            <w:gridSpan w:val="2"/>
            <w:vMerge w:val="restart"/>
          </w:tcPr>
          <w:p>
            <w:pPr>
              <w:ind w:left="40"/>
              <w:spacing w:after="0"/>
              <w:rPr>
                <w:sz w:val="20"/>
                <w:szCs w:val="20"/>
                <w:color w:val="auto"/>
              </w:rPr>
            </w:pPr>
            <w:r>
              <w:rPr>
                <w:rFonts w:ascii="Arial" w:cs="Arial" w:eastAsia="Arial" w:hAnsi="Arial"/>
                <w:sz w:val="15"/>
                <w:szCs w:val="15"/>
                <w:color w:val="auto"/>
              </w:rPr>
              <w:t>​ ​Director and President</w:t>
            </w:r>
          </w:p>
        </w:tc>
        <w:tc>
          <w:tcPr>
            <w:tcW w:w="16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1580" w:type="dxa"/>
            <w:vAlign w:val="bottom"/>
            <w:vMerge w:val="restart"/>
          </w:tcPr>
          <w:p>
            <w:pPr>
              <w:jc w:val="center"/>
              <w:spacing w:after="0"/>
              <w:rPr>
                <w:sz w:val="20"/>
                <w:szCs w:val="20"/>
                <w:color w:val="auto"/>
              </w:rPr>
            </w:pPr>
            <w:r>
              <w:rPr>
                <w:rFonts w:ascii="Arial" w:cs="Arial" w:eastAsia="Arial" w:hAnsi="Arial"/>
                <w:sz w:val="15"/>
                <w:szCs w:val="15"/>
                <w:color w:val="auto"/>
                <w:w w:val="91"/>
              </w:rPr>
              <w:t>December 16, 2022</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2"/>
        </w:trPr>
        <w:tc>
          <w:tcPr>
            <w:tcW w:w="200" w:type="dxa"/>
            <w:vAlign w:val="bottom"/>
            <w:vMerge w:val="continue"/>
          </w:tcPr>
          <w:p>
            <w:pPr>
              <w:spacing w:after="0"/>
              <w:rPr>
                <w:sz w:val="11"/>
                <w:szCs w:val="11"/>
                <w:color w:val="auto"/>
              </w:rPr>
            </w:pPr>
          </w:p>
        </w:tc>
        <w:tc>
          <w:tcPr>
            <w:tcW w:w="1900" w:type="dxa"/>
            <w:vAlign w:val="bottom"/>
            <w:vMerge w:val="restart"/>
          </w:tcPr>
          <w:p>
            <w:pPr>
              <w:jc w:val="center"/>
              <w:ind w:right="128"/>
              <w:spacing w:after="0"/>
              <w:rPr>
                <w:sz w:val="20"/>
                <w:szCs w:val="20"/>
                <w:color w:val="auto"/>
              </w:rPr>
            </w:pPr>
            <w:r>
              <w:rPr>
                <w:rFonts w:ascii="Arial" w:cs="Arial" w:eastAsia="Arial" w:hAnsi="Arial"/>
                <w:sz w:val="15"/>
                <w:szCs w:val="15"/>
                <w:color w:val="auto"/>
                <w:w w:val="92"/>
              </w:rPr>
              <w:t>Harry N. Pefanis</w:t>
            </w:r>
          </w:p>
        </w:tc>
        <w:tc>
          <w:tcPr>
            <w:tcW w:w="20" w:type="dxa"/>
            <w:vAlign w:val="bottom"/>
          </w:tcPr>
          <w:p>
            <w:pPr>
              <w:spacing w:after="0"/>
              <w:rPr>
                <w:sz w:val="11"/>
                <w:szCs w:val="11"/>
                <w:color w:val="auto"/>
              </w:rPr>
            </w:pPr>
          </w:p>
        </w:tc>
        <w:tc>
          <w:tcPr>
            <w:tcW w:w="280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7"/>
        </w:trPr>
        <w:tc>
          <w:tcPr>
            <w:tcW w:w="200" w:type="dxa"/>
            <w:vAlign w:val="bottom"/>
          </w:tcPr>
          <w:p>
            <w:pPr>
              <w:spacing w:after="0"/>
              <w:rPr>
                <w:sz w:val="24"/>
                <w:szCs w:val="24"/>
                <w:color w:val="auto"/>
              </w:rPr>
            </w:pPr>
          </w:p>
        </w:tc>
        <w:tc>
          <w:tcPr>
            <w:tcW w:w="1900" w:type="dxa"/>
            <w:vAlign w:val="bottom"/>
            <w:vMerge w:val="restart"/>
          </w:tcPr>
          <w:p>
            <w:pPr>
              <w:jc w:val="center"/>
              <w:ind w:right="108"/>
              <w:spacing w:after="0"/>
              <w:rPr>
                <w:sz w:val="20"/>
                <w:szCs w:val="20"/>
                <w:color w:val="auto"/>
              </w:rPr>
            </w:pPr>
            <w:r>
              <w:rPr>
                <w:rFonts w:ascii="Arial" w:cs="Arial" w:eastAsia="Arial" w:hAnsi="Arial"/>
                <w:sz w:val="15"/>
                <w:szCs w:val="15"/>
                <w:color w:val="auto"/>
                <w:w w:val="92"/>
              </w:rPr>
              <w:t>/s/ Al Swanson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5"/>
                <w:szCs w:val="15"/>
                <w:color w:val="auto"/>
              </w:rPr>
              <w:t>Executive Vice President and Chief</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0" w:type="dxa"/>
            <w:vAlign w:val="bottom"/>
            <w:vMerge w:val="restart"/>
          </w:tcPr>
          <w:p>
            <w:pPr>
              <w:spacing w:after="0"/>
              <w:rPr>
                <w:sz w:val="20"/>
                <w:szCs w:val="20"/>
                <w:color w:val="auto"/>
              </w:rPr>
            </w:pPr>
            <w:r>
              <w:rPr>
                <w:rFonts w:ascii="Arial" w:cs="Arial" w:eastAsia="Arial" w:hAnsi="Arial"/>
                <w:sz w:val="15"/>
                <w:szCs w:val="15"/>
                <w:color w:val="auto"/>
              </w:rPr>
              <w:t>​</w:t>
            </w:r>
          </w:p>
        </w:tc>
        <w:tc>
          <w:tcPr>
            <w:tcW w:w="1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800" w:type="dxa"/>
            <w:vAlign w:val="bottom"/>
            <w:gridSpan w:val="2"/>
            <w:vMerge w:val="restart"/>
          </w:tcPr>
          <w:p>
            <w:pPr>
              <w:ind w:left="40"/>
              <w:spacing w:after="0"/>
              <w:rPr>
                <w:sz w:val="20"/>
                <w:szCs w:val="20"/>
                <w:color w:val="auto"/>
              </w:rPr>
            </w:pPr>
            <w:r>
              <w:rPr>
                <w:rFonts w:ascii="Arial" w:cs="Arial" w:eastAsia="Arial" w:hAnsi="Arial"/>
                <w:sz w:val="15"/>
                <w:szCs w:val="15"/>
                <w:color w:val="auto"/>
              </w:rPr>
              <w:t>​ ​Financial Officer (Principal Financial</w:t>
            </w:r>
          </w:p>
        </w:tc>
        <w:tc>
          <w:tcPr>
            <w:tcW w:w="16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1580" w:type="dxa"/>
            <w:vAlign w:val="bottom"/>
            <w:vMerge w:val="restart"/>
          </w:tcPr>
          <w:p>
            <w:pPr>
              <w:jc w:val="center"/>
              <w:spacing w:after="0"/>
              <w:rPr>
                <w:sz w:val="20"/>
                <w:szCs w:val="20"/>
                <w:color w:val="auto"/>
              </w:rPr>
            </w:pPr>
            <w:r>
              <w:rPr>
                <w:rFonts w:ascii="Arial" w:cs="Arial" w:eastAsia="Arial" w:hAnsi="Arial"/>
                <w:sz w:val="15"/>
                <w:szCs w:val="15"/>
                <w:color w:val="auto"/>
                <w:w w:val="91"/>
              </w:rPr>
              <w:t>December 16, 2022</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0"/>
        </w:trPr>
        <w:tc>
          <w:tcPr>
            <w:tcW w:w="200" w:type="dxa"/>
            <w:vAlign w:val="bottom"/>
            <w:vMerge w:val="continue"/>
          </w:tcPr>
          <w:p>
            <w:pPr>
              <w:spacing w:after="0"/>
              <w:rPr>
                <w:sz w:val="9"/>
                <w:szCs w:val="9"/>
                <w:color w:val="auto"/>
              </w:rPr>
            </w:pPr>
          </w:p>
        </w:tc>
        <w:tc>
          <w:tcPr>
            <w:tcW w:w="1900" w:type="dxa"/>
            <w:vAlign w:val="bottom"/>
            <w:vMerge w:val="restart"/>
          </w:tcPr>
          <w:p>
            <w:pPr>
              <w:jc w:val="center"/>
              <w:ind w:right="128"/>
              <w:spacing w:after="0"/>
              <w:rPr>
                <w:sz w:val="20"/>
                <w:szCs w:val="20"/>
                <w:color w:val="auto"/>
              </w:rPr>
            </w:pPr>
            <w:r>
              <w:rPr>
                <w:rFonts w:ascii="Arial" w:cs="Arial" w:eastAsia="Arial" w:hAnsi="Arial"/>
                <w:sz w:val="15"/>
                <w:szCs w:val="15"/>
                <w:color w:val="auto"/>
                <w:w w:val="93"/>
              </w:rPr>
              <w:t>Al Swanson</w:t>
            </w:r>
          </w:p>
        </w:tc>
        <w:tc>
          <w:tcPr>
            <w:tcW w:w="2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tcPr>
          <w:p>
            <w:pPr>
              <w:ind w:left="20"/>
              <w:spacing w:after="0"/>
              <w:rPr>
                <w:sz w:val="20"/>
                <w:szCs w:val="20"/>
                <w:color w:val="auto"/>
              </w:rPr>
            </w:pPr>
            <w:r>
              <w:rPr>
                <w:rFonts w:ascii="Arial" w:cs="Arial" w:eastAsia="Arial" w:hAnsi="Arial"/>
                <w:sz w:val="15"/>
                <w:szCs w:val="15"/>
                <w:color w:val="auto"/>
              </w:rPr>
              <w:t>Officer)</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00" w:type="dxa"/>
            <w:vAlign w:val="bottom"/>
          </w:tcPr>
          <w:p>
            <w:pPr>
              <w:spacing w:after="0"/>
              <w:rPr>
                <w:sz w:val="24"/>
                <w:szCs w:val="24"/>
                <w:color w:val="auto"/>
              </w:rPr>
            </w:pPr>
          </w:p>
        </w:tc>
        <w:tc>
          <w:tcPr>
            <w:tcW w:w="1900" w:type="dxa"/>
            <w:vAlign w:val="bottom"/>
            <w:vMerge w:val="restart"/>
          </w:tcPr>
          <w:p>
            <w:pPr>
              <w:jc w:val="center"/>
              <w:ind w:right="128"/>
              <w:spacing w:after="0"/>
              <w:rPr>
                <w:sz w:val="20"/>
                <w:szCs w:val="20"/>
                <w:color w:val="auto"/>
              </w:rPr>
            </w:pPr>
            <w:r>
              <w:rPr>
                <w:rFonts w:ascii="Arial" w:cs="Arial" w:eastAsia="Arial" w:hAnsi="Arial"/>
                <w:sz w:val="15"/>
                <w:szCs w:val="15"/>
                <w:color w:val="auto"/>
                <w:w w:val="94"/>
              </w:rPr>
              <w:t>/s/ Chris Herbold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5"/>
                <w:szCs w:val="15"/>
                <w:color w:val="auto"/>
                <w:w w:val="95"/>
              </w:rPr>
              <w:t>Senior Vice President, Finance and Chief</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0" w:type="dxa"/>
            <w:vAlign w:val="bottom"/>
            <w:vMerge w:val="restart"/>
          </w:tcPr>
          <w:p>
            <w:pPr>
              <w:spacing w:after="0"/>
              <w:rPr>
                <w:sz w:val="20"/>
                <w:szCs w:val="20"/>
                <w:color w:val="auto"/>
              </w:rPr>
            </w:pPr>
            <w:r>
              <w:rPr>
                <w:rFonts w:ascii="Arial" w:cs="Arial" w:eastAsia="Arial" w:hAnsi="Arial"/>
                <w:sz w:val="15"/>
                <w:szCs w:val="15"/>
                <w:color w:val="auto"/>
              </w:rPr>
              <w:t>​</w:t>
            </w:r>
          </w:p>
        </w:tc>
        <w:tc>
          <w:tcPr>
            <w:tcW w:w="1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800" w:type="dxa"/>
            <w:vAlign w:val="bottom"/>
            <w:gridSpan w:val="2"/>
            <w:vMerge w:val="restart"/>
          </w:tcPr>
          <w:p>
            <w:pPr>
              <w:ind w:left="40"/>
              <w:spacing w:after="0"/>
              <w:rPr>
                <w:sz w:val="20"/>
                <w:szCs w:val="20"/>
                <w:color w:val="auto"/>
              </w:rPr>
            </w:pPr>
            <w:r>
              <w:rPr>
                <w:rFonts w:ascii="Arial" w:cs="Arial" w:eastAsia="Arial" w:hAnsi="Arial"/>
                <w:sz w:val="15"/>
                <w:szCs w:val="15"/>
                <w:color w:val="auto"/>
              </w:rPr>
              <w:t>​ ​Accounting Officer (Principal</w:t>
            </w:r>
          </w:p>
        </w:tc>
        <w:tc>
          <w:tcPr>
            <w:tcW w:w="16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1580" w:type="dxa"/>
            <w:vAlign w:val="bottom"/>
            <w:vMerge w:val="restart"/>
          </w:tcPr>
          <w:p>
            <w:pPr>
              <w:jc w:val="center"/>
              <w:spacing w:after="0"/>
              <w:rPr>
                <w:sz w:val="20"/>
                <w:szCs w:val="20"/>
                <w:color w:val="auto"/>
              </w:rPr>
            </w:pPr>
            <w:r>
              <w:rPr>
                <w:rFonts w:ascii="Arial" w:cs="Arial" w:eastAsia="Arial" w:hAnsi="Arial"/>
                <w:sz w:val="15"/>
                <w:szCs w:val="15"/>
                <w:color w:val="auto"/>
                <w:w w:val="91"/>
              </w:rPr>
              <w:t>December 16, 2022</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0"/>
        </w:trPr>
        <w:tc>
          <w:tcPr>
            <w:tcW w:w="200" w:type="dxa"/>
            <w:vAlign w:val="bottom"/>
            <w:vMerge w:val="continue"/>
          </w:tcPr>
          <w:p>
            <w:pPr>
              <w:spacing w:after="0"/>
              <w:rPr>
                <w:sz w:val="9"/>
                <w:szCs w:val="9"/>
                <w:color w:val="auto"/>
              </w:rPr>
            </w:pPr>
          </w:p>
        </w:tc>
        <w:tc>
          <w:tcPr>
            <w:tcW w:w="1900" w:type="dxa"/>
            <w:vAlign w:val="bottom"/>
            <w:vMerge w:val="restart"/>
          </w:tcPr>
          <w:p>
            <w:pPr>
              <w:jc w:val="center"/>
              <w:ind w:right="128"/>
              <w:spacing w:after="0"/>
              <w:rPr>
                <w:sz w:val="20"/>
                <w:szCs w:val="20"/>
                <w:color w:val="auto"/>
              </w:rPr>
            </w:pPr>
            <w:r>
              <w:rPr>
                <w:rFonts w:ascii="Arial" w:cs="Arial" w:eastAsia="Arial" w:hAnsi="Arial"/>
                <w:sz w:val="15"/>
                <w:szCs w:val="15"/>
                <w:color w:val="auto"/>
                <w:w w:val="93"/>
              </w:rPr>
              <w:t>Chris Herbold</w:t>
            </w:r>
          </w:p>
        </w:tc>
        <w:tc>
          <w:tcPr>
            <w:tcW w:w="2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tcPr>
          <w:p>
            <w:pPr>
              <w:ind w:left="20"/>
              <w:spacing w:after="0"/>
              <w:rPr>
                <w:sz w:val="20"/>
                <w:szCs w:val="20"/>
                <w:color w:val="auto"/>
              </w:rPr>
            </w:pPr>
            <w:r>
              <w:rPr>
                <w:rFonts w:ascii="Arial" w:cs="Arial" w:eastAsia="Arial" w:hAnsi="Arial"/>
                <w:sz w:val="15"/>
                <w:szCs w:val="15"/>
                <w:color w:val="auto"/>
              </w:rPr>
              <w:t>Accounting Officer)</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00" w:type="dxa"/>
            <w:vAlign w:val="bottom"/>
            <w:vMerge w:val="restart"/>
          </w:tcPr>
          <w:p>
            <w:pPr>
              <w:spacing w:after="0"/>
              <w:rPr>
                <w:sz w:val="20"/>
                <w:szCs w:val="20"/>
                <w:color w:val="auto"/>
              </w:rPr>
            </w:pPr>
            <w:r>
              <w:rPr>
                <w:rFonts w:ascii="Arial" w:cs="Arial" w:eastAsia="Arial" w:hAnsi="Arial"/>
                <w:sz w:val="15"/>
                <w:szCs w:val="15"/>
                <w:color w:val="auto"/>
              </w:rPr>
              <w:t>​</w:t>
            </w:r>
          </w:p>
        </w:tc>
        <w:tc>
          <w:tcPr>
            <w:tcW w:w="1900" w:type="dxa"/>
            <w:vAlign w:val="bottom"/>
          </w:tcPr>
          <w:p>
            <w:pPr>
              <w:jc w:val="center"/>
              <w:ind w:right="108"/>
              <w:spacing w:after="0"/>
              <w:rPr>
                <w:sz w:val="20"/>
                <w:szCs w:val="20"/>
                <w:color w:val="auto"/>
              </w:rPr>
            </w:pPr>
            <w:r>
              <w:rPr>
                <w:rFonts w:ascii="Arial" w:cs="Arial" w:eastAsia="Arial" w:hAnsi="Arial"/>
                <w:sz w:val="15"/>
                <w:szCs w:val="15"/>
                <w:color w:val="auto"/>
                <w:w w:val="94"/>
              </w:rPr>
              <w:t>/s/ Greg L. Armstrong</w:t>
            </w:r>
          </w:p>
        </w:tc>
        <w:tc>
          <w:tcPr>
            <w:tcW w:w="20" w:type="dxa"/>
            <w:vAlign w:val="bottom"/>
          </w:tcPr>
          <w:p>
            <w:pPr>
              <w:spacing w:after="0"/>
              <w:rPr>
                <w:sz w:val="24"/>
                <w:szCs w:val="24"/>
                <w:color w:val="auto"/>
              </w:rPr>
            </w:pPr>
          </w:p>
        </w:tc>
        <w:tc>
          <w:tcPr>
            <w:tcW w:w="2800" w:type="dxa"/>
            <w:vAlign w:val="bottom"/>
            <w:gridSpan w:val="2"/>
            <w:vMerge w:val="restart"/>
          </w:tcPr>
          <w:p>
            <w:pPr>
              <w:ind w:left="40"/>
              <w:spacing w:after="0"/>
              <w:rPr>
                <w:sz w:val="20"/>
                <w:szCs w:val="20"/>
                <w:color w:val="auto"/>
              </w:rPr>
            </w:pPr>
            <w:r>
              <w:rPr>
                <w:rFonts w:ascii="Arial" w:cs="Arial" w:eastAsia="Arial" w:hAnsi="Arial"/>
                <w:sz w:val="15"/>
                <w:szCs w:val="15"/>
                <w:color w:val="auto"/>
              </w:rPr>
              <w:t>​ ​Director</w:t>
            </w:r>
          </w:p>
        </w:tc>
        <w:tc>
          <w:tcPr>
            <w:tcW w:w="160" w:type="dxa"/>
            <w:vAlign w:val="bottom"/>
            <w:vMerge w:val="restart"/>
          </w:tcPr>
          <w:p>
            <w:pPr>
              <w:ind w:left="40"/>
              <w:spacing w:after="0"/>
              <w:rPr>
                <w:sz w:val="20"/>
                <w:szCs w:val="20"/>
                <w:color w:val="auto"/>
              </w:rPr>
            </w:pPr>
            <w:r>
              <w:rPr>
                <w:rFonts w:ascii="Arial" w:cs="Arial" w:eastAsia="Arial" w:hAnsi="Arial"/>
                <w:sz w:val="15"/>
                <w:szCs w:val="15"/>
                <w:color w:val="auto"/>
              </w:rPr>
              <w:t>​ ​</w:t>
            </w:r>
          </w:p>
        </w:tc>
        <w:tc>
          <w:tcPr>
            <w:tcW w:w="1580" w:type="dxa"/>
            <w:vAlign w:val="bottom"/>
            <w:vMerge w:val="restart"/>
          </w:tcPr>
          <w:p>
            <w:pPr>
              <w:jc w:val="center"/>
              <w:spacing w:after="0"/>
              <w:rPr>
                <w:sz w:val="20"/>
                <w:szCs w:val="20"/>
                <w:color w:val="auto"/>
              </w:rPr>
            </w:pPr>
            <w:r>
              <w:rPr>
                <w:rFonts w:ascii="Arial" w:cs="Arial" w:eastAsia="Arial" w:hAnsi="Arial"/>
                <w:sz w:val="15"/>
                <w:szCs w:val="15"/>
                <w:color w:val="auto"/>
                <w:w w:val="91"/>
              </w:rPr>
              <w:t>December 16, 2022</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8"/>
        </w:trPr>
        <w:tc>
          <w:tcPr>
            <w:tcW w:w="200" w:type="dxa"/>
            <w:vAlign w:val="bottom"/>
            <w:vMerge w:val="continue"/>
          </w:tcPr>
          <w:p>
            <w:pPr>
              <w:spacing w:after="0"/>
              <w:rPr>
                <w:sz w:val="6"/>
                <w:szCs w:val="6"/>
                <w:color w:val="auto"/>
              </w:rPr>
            </w:pPr>
          </w:p>
        </w:tc>
        <w:tc>
          <w:tcPr>
            <w:tcW w:w="19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-1441450</wp:posOffset>
            </wp:positionV>
            <wp:extent cx="133667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1336675" cy="698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-975360</wp:posOffset>
            </wp:positionV>
            <wp:extent cx="133667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1336675" cy="698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-466725</wp:posOffset>
            </wp:positionV>
            <wp:extent cx="133667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1336675" cy="698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-20955</wp:posOffset>
            </wp:positionV>
            <wp:extent cx="133667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1336675" cy="6985"/>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5"/>
          <w:szCs w:val="15"/>
          <w:color w:val="auto"/>
        </w:rPr>
        <w:t>Greg L. Armstrong</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198120</wp:posOffset>
            </wp:positionV>
            <wp:extent cx="555434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8" w:name="page29"/>
    <w:bookmarkEnd w:id="28"/>
    <w:p>
      <w:pPr>
        <w:ind w:left="160"/>
        <w:spacing w:after="0"/>
        <w:rPr>
          <w:sz w:val="20"/>
          <w:szCs w:val="20"/>
          <w:color w:val="auto"/>
        </w:rPr>
      </w:pPr>
      <w:r>
        <w:rPr>
          <w:rFonts w:ascii="Arial" w:cs="Arial" w:eastAsia="Arial" w:hAnsi="Arial"/>
          <w:sz w:val="12"/>
          <w:szCs w:val="12"/>
          <w:color w:val="003366"/>
        </w:rPr>
        <w:t>TABLE OF CONTENTS</w:t>
      </w:r>
    </w:p>
    <w:p>
      <w:pPr>
        <w:spacing w:after="0" w:line="200" w:lineRule="exact"/>
        <w:rPr>
          <w:sz w:val="20"/>
          <w:szCs w:val="20"/>
          <w:color w:val="auto"/>
        </w:rPr>
      </w:pPr>
    </w:p>
    <w:p>
      <w:pPr>
        <w:spacing w:after="0" w:line="202" w:lineRule="exact"/>
        <w:rPr>
          <w:sz w:val="20"/>
          <w:szCs w:val="20"/>
          <w:color w:val="auto"/>
        </w:rPr>
      </w:pPr>
    </w:p>
    <w:p>
      <w:pPr>
        <w:jc w:val="both"/>
        <w:ind w:left="1180"/>
        <w:spacing w:after="0"/>
        <w:tabs>
          <w:tab w:leader="none" w:pos="2080" w:val="left"/>
          <w:tab w:leader="none" w:pos="3320" w:val="left"/>
          <w:tab w:leader="none" w:pos="4640" w:val="left"/>
          <w:tab w:leader="none" w:pos="6080" w:val="left"/>
          <w:tab w:leader="none" w:pos="6900" w:val="left"/>
          <w:tab w:leader="none" w:pos="7820" w:val="left"/>
        </w:tabs>
        <w:rPr>
          <w:sz w:val="20"/>
          <w:szCs w:val="20"/>
          <w:color w:val="auto"/>
        </w:rPr>
      </w:pPr>
      <w:r>
        <w:rPr>
          <w:rFonts w:ascii="Arial" w:cs="Arial" w:eastAsia="Arial" w:hAnsi="Arial"/>
          <w:sz w:val="23"/>
          <w:szCs w:val="23"/>
          <w:b w:val="1"/>
          <w:bCs w:val="1"/>
          <w:color w:val="auto"/>
          <w:vertAlign w:val="subscript"/>
        </w:rPr>
        <w:t>​</w:t>
      </w:r>
      <w:r>
        <w:rPr>
          <w:sz w:val="20"/>
          <w:szCs w:val="20"/>
          <w:color w:val="auto"/>
        </w:rPr>
        <w:tab/>
      </w:r>
      <w:r>
        <w:rPr>
          <w:rFonts w:ascii="Arial" w:cs="Arial" w:eastAsia="Arial" w:hAnsi="Arial"/>
          <w:sz w:val="12"/>
          <w:szCs w:val="12"/>
          <w:b w:val="1"/>
          <w:bCs w:val="1"/>
          <w:color w:val="auto"/>
        </w:rPr>
        <w:t>Name</w:t>
      </w:r>
      <w:r>
        <w:rPr>
          <w:sz w:val="20"/>
          <w:szCs w:val="20"/>
          <w:color w:val="auto"/>
        </w:rPr>
        <w:tab/>
      </w:r>
      <w:r>
        <w:rPr>
          <w:rFonts w:ascii="Arial" w:cs="Arial" w:eastAsia="Arial" w:hAnsi="Arial"/>
          <w:sz w:val="23"/>
          <w:szCs w:val="23"/>
          <w:b w:val="1"/>
          <w:bCs w:val="1"/>
          <w:color w:val="auto"/>
          <w:vertAlign w:val="subscript"/>
        </w:rPr>
        <w:t>​ ​</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23"/>
          <w:szCs w:val="23"/>
          <w:b w:val="1"/>
          <w:bCs w:val="1"/>
          <w:color w:val="auto"/>
          <w:vertAlign w:val="subscript"/>
        </w:rPr>
        <w:t>​ ​</w:t>
      </w:r>
      <w:r>
        <w:rPr>
          <w:sz w:val="20"/>
          <w:szCs w:val="20"/>
          <w:color w:val="auto"/>
        </w:rPr>
        <w:tab/>
      </w:r>
      <w:r>
        <w:rPr>
          <w:rFonts w:ascii="Arial" w:cs="Arial" w:eastAsia="Arial" w:hAnsi="Arial"/>
          <w:sz w:val="12"/>
          <w:szCs w:val="12"/>
          <w:b w:val="1"/>
          <w:bCs w:val="1"/>
          <w:color w:val="auto"/>
        </w:rPr>
        <w:t>Date</w:t>
      </w:r>
      <w:r>
        <w:rPr>
          <w:sz w:val="20"/>
          <w:szCs w:val="20"/>
          <w:color w:val="auto"/>
        </w:rPr>
        <w:tab/>
      </w:r>
      <w:r>
        <w:rPr>
          <w:rFonts w:ascii="Arial" w:cs="Arial" w:eastAsia="Arial" w:hAnsi="Arial"/>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26035</wp:posOffset>
            </wp:positionV>
            <wp:extent cx="423354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4233545" cy="698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348" w:lineRule="exact"/>
        <w:rPr>
          <w:sz w:val="20"/>
          <w:szCs w:val="20"/>
          <w:color w:val="auto"/>
        </w:rPr>
      </w:pPr>
    </w:p>
    <w:p>
      <w:pPr>
        <w:ind w:left="1780" w:hanging="609"/>
        <w:spacing w:after="0"/>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 Victor Burk</w:t>
      </w:r>
    </w:p>
    <w:p>
      <w:pPr>
        <w:spacing w:after="0" w:line="90" w:lineRule="exact"/>
        <w:rPr>
          <w:rFonts w:ascii="Arial" w:cs="Arial" w:eastAsia="Arial" w:hAnsi="Arial"/>
          <w:sz w:val="15"/>
          <w:szCs w:val="15"/>
          <w:color w:val="auto"/>
        </w:rPr>
      </w:pPr>
    </w:p>
    <w:p>
      <w:pPr>
        <w:ind w:left="1880"/>
        <w:spacing w:after="0"/>
        <w:rPr>
          <w:rFonts w:ascii="Arial" w:cs="Arial" w:eastAsia="Arial" w:hAnsi="Arial"/>
          <w:sz w:val="15"/>
          <w:szCs w:val="15"/>
          <w:color w:val="auto"/>
        </w:rPr>
      </w:pPr>
      <w:r>
        <w:rPr>
          <w:rFonts w:ascii="Arial" w:cs="Arial" w:eastAsia="Arial" w:hAnsi="Arial"/>
          <w:sz w:val="15"/>
          <w:szCs w:val="15"/>
          <w:color w:val="auto"/>
        </w:rPr>
        <w:t>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-130175</wp:posOffset>
            </wp:positionV>
            <wp:extent cx="133667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extLst>
                    </a:blip>
                    <a:srcRect/>
                    <a:stretch>
                      <a:fillRect/>
                    </a:stretch>
                  </pic:blipFill>
                  <pic:spPr bwMode="auto">
                    <a:xfrm>
                      <a:off x="0" y="0"/>
                      <a:ext cx="1336675" cy="6985"/>
                    </a:xfrm>
                    <a:prstGeom prst="rect">
                      <a:avLst/>
                    </a:prstGeom>
                    <a:noFill/>
                  </pic:spPr>
                </pic:pic>
              </a:graphicData>
            </a:graphic>
          </wp:anchor>
        </w:drawing>
      </w:r>
    </w:p>
    <w:p>
      <w:pPr>
        <w:spacing w:after="0" w:line="97"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/s/ Ellen R. DeSanctis</w:t>
      </w:r>
    </w:p>
    <w:p>
      <w:pPr>
        <w:ind w:left="1180"/>
        <w:spacing w:after="0" w:line="183" w:lineRule="auto"/>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-27940</wp:posOffset>
            </wp:positionV>
            <wp:extent cx="133667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7">
                      <a:extLst>
                        <a:ext uri="{28A0092B-C50C-407E-A947-70E740481C1C}"/>
                      </a:extLst>
                    </a:blip>
                    <a:srcRect/>
                    <a:stretch>
                      <a:fillRect/>
                    </a:stretch>
                  </pic:blipFill>
                  <pic:spPr bwMode="auto">
                    <a:xfrm>
                      <a:off x="0" y="0"/>
                      <a:ext cx="1336675" cy="6985"/>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5"/>
          <w:szCs w:val="15"/>
          <w:color w:val="auto"/>
        </w:rPr>
        <w:t>Ellen R. DeSanctis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/s/ Gary R. Petersen</w:t>
      </w:r>
    </w:p>
    <w:p>
      <w:pPr>
        <w:ind w:left="1180"/>
        <w:spacing w:after="0" w:line="183" w:lineRule="auto"/>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-27940</wp:posOffset>
            </wp:positionV>
            <wp:extent cx="133667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extLst>
                    </a:blip>
                    <a:srcRect/>
                    <a:stretch>
                      <a:fillRect/>
                    </a:stretch>
                  </pic:blipFill>
                  <pic:spPr bwMode="auto">
                    <a:xfrm>
                      <a:off x="0" y="0"/>
                      <a:ext cx="1336675" cy="698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5"/>
          <w:szCs w:val="15"/>
          <w:color w:val="auto"/>
        </w:rPr>
        <w:t>Gary R. Petersen</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/s/ Alexandra D. Pruner</w:t>
      </w:r>
    </w:p>
    <w:p>
      <w:pPr>
        <w:ind w:left="1180"/>
        <w:spacing w:after="0" w:line="183" w:lineRule="auto"/>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-27940</wp:posOffset>
            </wp:positionV>
            <wp:extent cx="133667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9">
                      <a:extLst>
                        <a:ext uri="{28A0092B-C50C-407E-A947-70E740481C1C}"/>
                      </a:extLst>
                    </a:blip>
                    <a:srcRect/>
                    <a:stretch>
                      <a:fillRect/>
                    </a:stretch>
                  </pic:blipFill>
                  <pic:spPr bwMode="auto">
                    <a:xfrm>
                      <a:off x="0" y="0"/>
                      <a:ext cx="1336675" cy="6985"/>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5"/>
          <w:szCs w:val="15"/>
          <w:color w:val="auto"/>
        </w:rPr>
        <w:t>Alexandra D. Pruner</w:t>
      </w:r>
    </w:p>
    <w:p>
      <w:pPr>
        <w:spacing w:after="0" w:line="181"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/s/ John T. Raymond</w:t>
      </w:r>
    </w:p>
    <w:p>
      <w:pPr>
        <w:ind w:left="1180"/>
        <w:spacing w:after="0" w:line="183" w:lineRule="auto"/>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-27940</wp:posOffset>
            </wp:positionV>
            <wp:extent cx="133667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0">
                      <a:extLst>
                        <a:ext uri="{28A0092B-C50C-407E-A947-70E740481C1C}"/>
                      </a:extLst>
                    </a:blip>
                    <a:srcRect/>
                    <a:stretch>
                      <a:fillRect/>
                    </a:stretch>
                  </pic:blipFill>
                  <pic:spPr bwMode="auto">
                    <a:xfrm>
                      <a:off x="0" y="0"/>
                      <a:ext cx="1336675" cy="698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5"/>
          <w:szCs w:val="15"/>
          <w:color w:val="auto"/>
        </w:rPr>
        <w:t>John T. Raymond</w:t>
      </w:r>
    </w:p>
    <w:p>
      <w:pPr>
        <w:spacing w:after="0" w:line="193"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/s/ Bobby S. Shackouls</w:t>
      </w:r>
    </w:p>
    <w:p>
      <w:pPr>
        <w:ind w:left="1180"/>
        <w:spacing w:after="0" w:line="183" w:lineRule="auto"/>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-27940</wp:posOffset>
            </wp:positionV>
            <wp:extent cx="133667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1">
                      <a:extLst>
                        <a:ext uri="{28A0092B-C50C-407E-A947-70E740481C1C}"/>
                      </a:extLst>
                    </a:blip>
                    <a:srcRect/>
                    <a:stretch>
                      <a:fillRect/>
                    </a:stretch>
                  </pic:blipFill>
                  <pic:spPr bwMode="auto">
                    <a:xfrm>
                      <a:off x="0" y="0"/>
                      <a:ext cx="1336675" cy="6985"/>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5"/>
          <w:szCs w:val="15"/>
          <w:color w:val="auto"/>
        </w:rPr>
        <w:t>Bobby S. Shackouls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/s/ Kevin McCarthy</w:t>
      </w:r>
    </w:p>
    <w:p>
      <w:pPr>
        <w:ind w:left="1180"/>
        <w:spacing w:after="0" w:line="183" w:lineRule="auto"/>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-27940</wp:posOffset>
            </wp:positionV>
            <wp:extent cx="133667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a:extLst>
                        <a:ext uri="{28A0092B-C50C-407E-A947-70E740481C1C}"/>
                      </a:extLst>
                    </a:blip>
                    <a:srcRect/>
                    <a:stretch>
                      <a:fillRect/>
                    </a:stretch>
                  </pic:blipFill>
                  <pic:spPr bwMode="auto">
                    <a:xfrm>
                      <a:off x="0" y="0"/>
                      <a:ext cx="1336675" cy="698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5"/>
          <w:szCs w:val="15"/>
          <w:color w:val="auto"/>
        </w:rPr>
        <w:t>Kevin McCarthy</w:t>
      </w:r>
    </w:p>
    <w:p>
      <w:pPr>
        <w:spacing w:after="0" w:line="193"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/s/ Lawrence M. Ziemba</w:t>
      </w:r>
    </w:p>
    <w:p>
      <w:pPr>
        <w:ind w:left="1180"/>
        <w:spacing w:after="0" w:line="183" w:lineRule="auto"/>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-27940</wp:posOffset>
            </wp:positionV>
            <wp:extent cx="133667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extLst>
                    </a:blip>
                    <a:srcRect/>
                    <a:stretch>
                      <a:fillRect/>
                    </a:stretch>
                  </pic:blipFill>
                  <pic:spPr bwMode="auto">
                    <a:xfrm>
                      <a:off x="0" y="0"/>
                      <a:ext cx="1336675" cy="6985"/>
                    </a:xfrm>
                    <a:prstGeom prst="rect">
                      <a:avLst/>
                    </a:prstGeom>
                    <a:noFill/>
                  </pic:spPr>
                </pic:pic>
              </a:graphicData>
            </a:graphic>
          </wp:anchor>
        </w:drawing>
      </w:r>
    </w:p>
    <w:p>
      <w:pPr>
        <w:jc w:val="center"/>
        <w:ind w:left="1420"/>
        <w:spacing w:after="0"/>
        <w:rPr>
          <w:sz w:val="20"/>
          <w:szCs w:val="20"/>
          <w:color w:val="auto"/>
        </w:rPr>
      </w:pPr>
      <w:r>
        <w:rPr>
          <w:rFonts w:ascii="Arial" w:cs="Arial" w:eastAsia="Arial" w:hAnsi="Arial"/>
          <w:sz w:val="15"/>
          <w:szCs w:val="15"/>
          <w:color w:val="auto"/>
        </w:rPr>
        <w:t>Lawrence M. Ziemba</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 Christopher M. Temple</w:t>
      </w:r>
    </w:p>
    <w:p>
      <w:pPr>
        <w:ind w:left="1180"/>
        <w:spacing w:after="0" w:line="198" w:lineRule="auto"/>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-27940</wp:posOffset>
            </wp:positionV>
            <wp:extent cx="133667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1336675" cy="698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4"/>
          <w:szCs w:val="14"/>
          <w:color w:val="auto"/>
        </w:rPr>
        <w:t>Christopher M. Temple</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700" w:type="dxa"/>
            <w:vAlign w:val="bottom"/>
          </w:tcPr>
          <w:p>
            <w:pPr>
              <w:spacing w:after="0"/>
              <w:rPr>
                <w:sz w:val="20"/>
                <w:szCs w:val="20"/>
                <w:color w:val="auto"/>
              </w:rPr>
            </w:pPr>
            <w:r>
              <w:rPr>
                <w:rFonts w:ascii="Arial" w:cs="Arial" w:eastAsia="Arial" w:hAnsi="Arial"/>
                <w:sz w:val="15"/>
                <w:szCs w:val="15"/>
                <w:color w:val="auto"/>
              </w:rPr>
              <w:t>​ ​</w:t>
            </w:r>
          </w:p>
        </w:tc>
        <w:tc>
          <w:tcPr>
            <w:tcW w:w="1300" w:type="dxa"/>
            <w:vAlign w:val="bottom"/>
          </w:tcPr>
          <w:p>
            <w:pPr>
              <w:ind w:left="1060"/>
              <w:spacing w:after="0"/>
              <w:rPr>
                <w:sz w:val="20"/>
                <w:szCs w:val="20"/>
                <w:color w:val="auto"/>
              </w:rPr>
            </w:pPr>
            <w:r>
              <w:rPr>
                <w:rFonts w:ascii="Arial" w:cs="Arial" w:eastAsia="Arial" w:hAnsi="Arial"/>
                <w:sz w:val="15"/>
                <w:szCs w:val="15"/>
                <w:color w:val="auto"/>
              </w:rPr>
              <w:t>​ ​</w:t>
            </w:r>
          </w:p>
        </w:tc>
        <w:tc>
          <w:tcPr>
            <w:tcW w:w="1400" w:type="dxa"/>
            <w:vAlign w:val="bottom"/>
            <w:vMerge w:val="restart"/>
          </w:tcPr>
          <w:p>
            <w:pPr>
              <w:ind w:left="100"/>
              <w:spacing w:after="0"/>
              <w:rPr>
                <w:sz w:val="20"/>
                <w:szCs w:val="20"/>
                <w:color w:val="auto"/>
              </w:rPr>
            </w:pPr>
            <w:r>
              <w:rPr>
                <w:rFonts w:ascii="Arial" w:cs="Arial" w:eastAsia="Arial" w:hAnsi="Arial"/>
                <w:sz w:val="15"/>
                <w:szCs w:val="15"/>
                <w:color w:val="auto"/>
                <w:w w:val="97"/>
              </w:rPr>
              <w:t>December 16, 2022</w:t>
            </w:r>
          </w:p>
        </w:tc>
        <w:tc>
          <w:tcPr>
            <w:tcW w:w="140" w:type="dxa"/>
            <w:vAlign w:val="bottom"/>
          </w:tcPr>
          <w:p>
            <w:pPr>
              <w:ind w:lef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170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3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1"/>
        </w:trPr>
        <w:tc>
          <w:tcPr>
            <w:tcW w:w="1700" w:type="dxa"/>
            <w:vAlign w:val="bottom"/>
          </w:tcPr>
          <w:p>
            <w:pPr>
              <w:spacing w:after="0"/>
              <w:rPr>
                <w:sz w:val="20"/>
                <w:szCs w:val="20"/>
                <w:color w:val="auto"/>
              </w:rPr>
            </w:pPr>
            <w:r>
              <w:rPr>
                <w:rFonts w:ascii="Arial" w:cs="Arial" w:eastAsia="Arial" w:hAnsi="Arial"/>
                <w:sz w:val="15"/>
                <w:szCs w:val="15"/>
                <w:color w:val="auto"/>
              </w:rPr>
              <w:t>​ ​Director</w:t>
            </w:r>
          </w:p>
        </w:tc>
        <w:tc>
          <w:tcPr>
            <w:tcW w:w="1300" w:type="dxa"/>
            <w:vAlign w:val="bottom"/>
          </w:tcPr>
          <w:p>
            <w:pPr>
              <w:ind w:left="1060"/>
              <w:spacing w:after="0"/>
              <w:rPr>
                <w:sz w:val="20"/>
                <w:szCs w:val="20"/>
                <w:color w:val="auto"/>
              </w:rPr>
            </w:pPr>
            <w:r>
              <w:rPr>
                <w:rFonts w:ascii="Arial" w:cs="Arial" w:eastAsia="Arial" w:hAnsi="Arial"/>
                <w:sz w:val="15"/>
                <w:szCs w:val="15"/>
                <w:color w:val="auto"/>
              </w:rPr>
              <w:t>​ ​</w:t>
            </w:r>
          </w:p>
        </w:tc>
        <w:tc>
          <w:tcPr>
            <w:tcW w:w="1400" w:type="dxa"/>
            <w:vAlign w:val="bottom"/>
          </w:tcPr>
          <w:p>
            <w:pPr>
              <w:ind w:left="100"/>
              <w:spacing w:after="0"/>
              <w:rPr>
                <w:sz w:val="20"/>
                <w:szCs w:val="20"/>
                <w:color w:val="auto"/>
              </w:rPr>
            </w:pPr>
            <w:r>
              <w:rPr>
                <w:rFonts w:ascii="Arial" w:cs="Arial" w:eastAsia="Arial" w:hAnsi="Arial"/>
                <w:sz w:val="15"/>
                <w:szCs w:val="15"/>
                <w:color w:val="auto"/>
                <w:w w:val="97"/>
              </w:rPr>
              <w:t>December 16, 2022</w:t>
            </w:r>
          </w:p>
        </w:tc>
        <w:tc>
          <w:tcPr>
            <w:tcW w:w="140" w:type="dxa"/>
            <w:vAlign w:val="bottom"/>
          </w:tcPr>
          <w:p>
            <w:pPr>
              <w:ind w:lef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58"/>
        </w:trPr>
        <w:tc>
          <w:tcPr>
            <w:tcW w:w="1700" w:type="dxa"/>
            <w:vAlign w:val="bottom"/>
          </w:tcPr>
          <w:p>
            <w:pPr>
              <w:spacing w:after="0"/>
              <w:rPr>
                <w:sz w:val="20"/>
                <w:szCs w:val="20"/>
                <w:color w:val="auto"/>
              </w:rPr>
            </w:pPr>
            <w:r>
              <w:rPr>
                <w:rFonts w:ascii="Arial" w:cs="Arial" w:eastAsia="Arial" w:hAnsi="Arial"/>
                <w:sz w:val="15"/>
                <w:szCs w:val="15"/>
                <w:color w:val="auto"/>
              </w:rPr>
              <w:t>​ ​Director</w:t>
            </w:r>
          </w:p>
        </w:tc>
        <w:tc>
          <w:tcPr>
            <w:tcW w:w="1300" w:type="dxa"/>
            <w:vAlign w:val="bottom"/>
          </w:tcPr>
          <w:p>
            <w:pPr>
              <w:ind w:left="1060"/>
              <w:spacing w:after="0"/>
              <w:rPr>
                <w:sz w:val="20"/>
                <w:szCs w:val="20"/>
                <w:color w:val="auto"/>
              </w:rPr>
            </w:pPr>
            <w:r>
              <w:rPr>
                <w:rFonts w:ascii="Arial" w:cs="Arial" w:eastAsia="Arial" w:hAnsi="Arial"/>
                <w:sz w:val="15"/>
                <w:szCs w:val="15"/>
                <w:color w:val="auto"/>
              </w:rPr>
              <w:t>​ ​</w:t>
            </w:r>
          </w:p>
        </w:tc>
        <w:tc>
          <w:tcPr>
            <w:tcW w:w="1400" w:type="dxa"/>
            <w:vAlign w:val="bottom"/>
          </w:tcPr>
          <w:p>
            <w:pPr>
              <w:ind w:left="100"/>
              <w:spacing w:after="0"/>
              <w:rPr>
                <w:sz w:val="20"/>
                <w:szCs w:val="20"/>
                <w:color w:val="auto"/>
              </w:rPr>
            </w:pPr>
            <w:r>
              <w:rPr>
                <w:rFonts w:ascii="Arial" w:cs="Arial" w:eastAsia="Arial" w:hAnsi="Arial"/>
                <w:sz w:val="15"/>
                <w:szCs w:val="15"/>
                <w:color w:val="auto"/>
                <w:w w:val="97"/>
              </w:rPr>
              <w:t>December 16, 2022</w:t>
            </w:r>
          </w:p>
        </w:tc>
        <w:tc>
          <w:tcPr>
            <w:tcW w:w="140" w:type="dxa"/>
            <w:vAlign w:val="bottom"/>
          </w:tcPr>
          <w:p>
            <w:pPr>
              <w:ind w:lef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58"/>
        </w:trPr>
        <w:tc>
          <w:tcPr>
            <w:tcW w:w="1700" w:type="dxa"/>
            <w:vAlign w:val="bottom"/>
          </w:tcPr>
          <w:p>
            <w:pPr>
              <w:spacing w:after="0"/>
              <w:rPr>
                <w:sz w:val="20"/>
                <w:szCs w:val="20"/>
                <w:color w:val="auto"/>
              </w:rPr>
            </w:pPr>
            <w:r>
              <w:rPr>
                <w:rFonts w:ascii="Arial" w:cs="Arial" w:eastAsia="Arial" w:hAnsi="Arial"/>
                <w:sz w:val="15"/>
                <w:szCs w:val="15"/>
                <w:color w:val="auto"/>
              </w:rPr>
              <w:t>​ ​Director</w:t>
            </w:r>
          </w:p>
        </w:tc>
        <w:tc>
          <w:tcPr>
            <w:tcW w:w="1300" w:type="dxa"/>
            <w:vAlign w:val="bottom"/>
          </w:tcPr>
          <w:p>
            <w:pPr>
              <w:ind w:left="1060"/>
              <w:spacing w:after="0"/>
              <w:rPr>
                <w:sz w:val="20"/>
                <w:szCs w:val="20"/>
                <w:color w:val="auto"/>
              </w:rPr>
            </w:pPr>
            <w:r>
              <w:rPr>
                <w:rFonts w:ascii="Arial" w:cs="Arial" w:eastAsia="Arial" w:hAnsi="Arial"/>
                <w:sz w:val="15"/>
                <w:szCs w:val="15"/>
                <w:color w:val="auto"/>
              </w:rPr>
              <w:t>​ ​</w:t>
            </w:r>
          </w:p>
        </w:tc>
        <w:tc>
          <w:tcPr>
            <w:tcW w:w="1400" w:type="dxa"/>
            <w:vAlign w:val="bottom"/>
          </w:tcPr>
          <w:p>
            <w:pPr>
              <w:ind w:left="100"/>
              <w:spacing w:after="0"/>
              <w:rPr>
                <w:sz w:val="20"/>
                <w:szCs w:val="20"/>
                <w:color w:val="auto"/>
              </w:rPr>
            </w:pPr>
            <w:r>
              <w:rPr>
                <w:rFonts w:ascii="Arial" w:cs="Arial" w:eastAsia="Arial" w:hAnsi="Arial"/>
                <w:sz w:val="15"/>
                <w:szCs w:val="15"/>
                <w:color w:val="auto"/>
                <w:w w:val="97"/>
              </w:rPr>
              <w:t>December 16, 2022</w:t>
            </w:r>
          </w:p>
        </w:tc>
        <w:tc>
          <w:tcPr>
            <w:tcW w:w="140" w:type="dxa"/>
            <w:vAlign w:val="bottom"/>
          </w:tcPr>
          <w:p>
            <w:pPr>
              <w:ind w:lef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58"/>
        </w:trPr>
        <w:tc>
          <w:tcPr>
            <w:tcW w:w="1700" w:type="dxa"/>
            <w:vAlign w:val="bottom"/>
          </w:tcPr>
          <w:p>
            <w:pPr>
              <w:spacing w:after="0"/>
              <w:rPr>
                <w:sz w:val="20"/>
                <w:szCs w:val="20"/>
                <w:color w:val="auto"/>
              </w:rPr>
            </w:pPr>
            <w:r>
              <w:rPr>
                <w:rFonts w:ascii="Arial" w:cs="Arial" w:eastAsia="Arial" w:hAnsi="Arial"/>
                <w:sz w:val="15"/>
                <w:szCs w:val="15"/>
                <w:color w:val="auto"/>
              </w:rPr>
              <w:t>​ ​Director</w:t>
            </w:r>
          </w:p>
        </w:tc>
        <w:tc>
          <w:tcPr>
            <w:tcW w:w="1300" w:type="dxa"/>
            <w:vAlign w:val="bottom"/>
          </w:tcPr>
          <w:p>
            <w:pPr>
              <w:ind w:left="1060"/>
              <w:spacing w:after="0"/>
              <w:rPr>
                <w:sz w:val="20"/>
                <w:szCs w:val="20"/>
                <w:color w:val="auto"/>
              </w:rPr>
            </w:pPr>
            <w:r>
              <w:rPr>
                <w:rFonts w:ascii="Arial" w:cs="Arial" w:eastAsia="Arial" w:hAnsi="Arial"/>
                <w:sz w:val="15"/>
                <w:szCs w:val="15"/>
                <w:color w:val="auto"/>
              </w:rPr>
              <w:t>​ ​</w:t>
            </w:r>
          </w:p>
        </w:tc>
        <w:tc>
          <w:tcPr>
            <w:tcW w:w="1400" w:type="dxa"/>
            <w:vAlign w:val="bottom"/>
          </w:tcPr>
          <w:p>
            <w:pPr>
              <w:ind w:left="100"/>
              <w:spacing w:after="0"/>
              <w:rPr>
                <w:sz w:val="20"/>
                <w:szCs w:val="20"/>
                <w:color w:val="auto"/>
              </w:rPr>
            </w:pPr>
            <w:r>
              <w:rPr>
                <w:rFonts w:ascii="Arial" w:cs="Arial" w:eastAsia="Arial" w:hAnsi="Arial"/>
                <w:sz w:val="15"/>
                <w:szCs w:val="15"/>
                <w:color w:val="auto"/>
                <w:w w:val="97"/>
              </w:rPr>
              <w:t>December 16, 2022</w:t>
            </w:r>
          </w:p>
        </w:tc>
        <w:tc>
          <w:tcPr>
            <w:tcW w:w="140" w:type="dxa"/>
            <w:vAlign w:val="bottom"/>
          </w:tcPr>
          <w:p>
            <w:pPr>
              <w:ind w:lef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58"/>
        </w:trPr>
        <w:tc>
          <w:tcPr>
            <w:tcW w:w="1700" w:type="dxa"/>
            <w:vAlign w:val="bottom"/>
          </w:tcPr>
          <w:p>
            <w:pPr>
              <w:spacing w:after="0"/>
              <w:rPr>
                <w:sz w:val="20"/>
                <w:szCs w:val="20"/>
                <w:color w:val="auto"/>
              </w:rPr>
            </w:pPr>
            <w:r>
              <w:rPr>
                <w:rFonts w:ascii="Arial" w:cs="Arial" w:eastAsia="Arial" w:hAnsi="Arial"/>
                <w:sz w:val="15"/>
                <w:szCs w:val="15"/>
                <w:color w:val="auto"/>
              </w:rPr>
              <w:t>​ ​Director</w:t>
            </w:r>
          </w:p>
        </w:tc>
        <w:tc>
          <w:tcPr>
            <w:tcW w:w="1300" w:type="dxa"/>
            <w:vAlign w:val="bottom"/>
          </w:tcPr>
          <w:p>
            <w:pPr>
              <w:ind w:left="1060"/>
              <w:spacing w:after="0"/>
              <w:rPr>
                <w:sz w:val="20"/>
                <w:szCs w:val="20"/>
                <w:color w:val="auto"/>
              </w:rPr>
            </w:pPr>
            <w:r>
              <w:rPr>
                <w:rFonts w:ascii="Arial" w:cs="Arial" w:eastAsia="Arial" w:hAnsi="Arial"/>
                <w:sz w:val="15"/>
                <w:szCs w:val="15"/>
                <w:color w:val="auto"/>
              </w:rPr>
              <w:t>​ ​</w:t>
            </w:r>
          </w:p>
        </w:tc>
        <w:tc>
          <w:tcPr>
            <w:tcW w:w="1400" w:type="dxa"/>
            <w:vAlign w:val="bottom"/>
          </w:tcPr>
          <w:p>
            <w:pPr>
              <w:ind w:left="100"/>
              <w:spacing w:after="0"/>
              <w:rPr>
                <w:sz w:val="20"/>
                <w:szCs w:val="20"/>
                <w:color w:val="auto"/>
              </w:rPr>
            </w:pPr>
            <w:r>
              <w:rPr>
                <w:rFonts w:ascii="Arial" w:cs="Arial" w:eastAsia="Arial" w:hAnsi="Arial"/>
                <w:sz w:val="15"/>
                <w:szCs w:val="15"/>
                <w:color w:val="auto"/>
                <w:w w:val="97"/>
              </w:rPr>
              <w:t>December 16, 2022</w:t>
            </w:r>
          </w:p>
        </w:tc>
        <w:tc>
          <w:tcPr>
            <w:tcW w:w="140" w:type="dxa"/>
            <w:vAlign w:val="bottom"/>
          </w:tcPr>
          <w:p>
            <w:pPr>
              <w:ind w:lef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58"/>
        </w:trPr>
        <w:tc>
          <w:tcPr>
            <w:tcW w:w="1700" w:type="dxa"/>
            <w:vAlign w:val="bottom"/>
          </w:tcPr>
          <w:p>
            <w:pPr>
              <w:spacing w:after="0"/>
              <w:rPr>
                <w:sz w:val="20"/>
                <w:szCs w:val="20"/>
                <w:color w:val="auto"/>
              </w:rPr>
            </w:pPr>
            <w:r>
              <w:rPr>
                <w:rFonts w:ascii="Arial" w:cs="Arial" w:eastAsia="Arial" w:hAnsi="Arial"/>
                <w:sz w:val="15"/>
                <w:szCs w:val="15"/>
                <w:color w:val="auto"/>
              </w:rPr>
              <w:t>​ ​Director</w:t>
            </w:r>
          </w:p>
        </w:tc>
        <w:tc>
          <w:tcPr>
            <w:tcW w:w="1300" w:type="dxa"/>
            <w:vAlign w:val="bottom"/>
          </w:tcPr>
          <w:p>
            <w:pPr>
              <w:ind w:left="1060"/>
              <w:spacing w:after="0"/>
              <w:rPr>
                <w:sz w:val="20"/>
                <w:szCs w:val="20"/>
                <w:color w:val="auto"/>
              </w:rPr>
            </w:pPr>
            <w:r>
              <w:rPr>
                <w:rFonts w:ascii="Arial" w:cs="Arial" w:eastAsia="Arial" w:hAnsi="Arial"/>
                <w:sz w:val="15"/>
                <w:szCs w:val="15"/>
                <w:color w:val="auto"/>
              </w:rPr>
              <w:t>​ ​</w:t>
            </w:r>
          </w:p>
        </w:tc>
        <w:tc>
          <w:tcPr>
            <w:tcW w:w="1400" w:type="dxa"/>
            <w:vAlign w:val="bottom"/>
          </w:tcPr>
          <w:p>
            <w:pPr>
              <w:ind w:left="100"/>
              <w:spacing w:after="0"/>
              <w:rPr>
                <w:sz w:val="20"/>
                <w:szCs w:val="20"/>
                <w:color w:val="auto"/>
              </w:rPr>
            </w:pPr>
            <w:r>
              <w:rPr>
                <w:rFonts w:ascii="Arial" w:cs="Arial" w:eastAsia="Arial" w:hAnsi="Arial"/>
                <w:sz w:val="15"/>
                <w:szCs w:val="15"/>
                <w:color w:val="auto"/>
                <w:w w:val="97"/>
              </w:rPr>
              <w:t>December 16, 2022</w:t>
            </w:r>
          </w:p>
        </w:tc>
        <w:tc>
          <w:tcPr>
            <w:tcW w:w="140" w:type="dxa"/>
            <w:vAlign w:val="bottom"/>
          </w:tcPr>
          <w:p>
            <w:pPr>
              <w:ind w:lef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58"/>
        </w:trPr>
        <w:tc>
          <w:tcPr>
            <w:tcW w:w="1700" w:type="dxa"/>
            <w:vAlign w:val="bottom"/>
          </w:tcPr>
          <w:p>
            <w:pPr>
              <w:spacing w:after="0"/>
              <w:rPr>
                <w:sz w:val="20"/>
                <w:szCs w:val="20"/>
                <w:color w:val="auto"/>
              </w:rPr>
            </w:pPr>
            <w:r>
              <w:rPr>
                <w:rFonts w:ascii="Arial" w:cs="Arial" w:eastAsia="Arial" w:hAnsi="Arial"/>
                <w:sz w:val="15"/>
                <w:szCs w:val="15"/>
                <w:color w:val="auto"/>
              </w:rPr>
              <w:t>​ ​Director</w:t>
            </w:r>
          </w:p>
        </w:tc>
        <w:tc>
          <w:tcPr>
            <w:tcW w:w="1300" w:type="dxa"/>
            <w:vAlign w:val="bottom"/>
          </w:tcPr>
          <w:p>
            <w:pPr>
              <w:ind w:left="1060"/>
              <w:spacing w:after="0"/>
              <w:rPr>
                <w:sz w:val="20"/>
                <w:szCs w:val="20"/>
                <w:color w:val="auto"/>
              </w:rPr>
            </w:pPr>
            <w:r>
              <w:rPr>
                <w:rFonts w:ascii="Arial" w:cs="Arial" w:eastAsia="Arial" w:hAnsi="Arial"/>
                <w:sz w:val="15"/>
                <w:szCs w:val="15"/>
                <w:color w:val="auto"/>
              </w:rPr>
              <w:t>​ ​</w:t>
            </w:r>
          </w:p>
        </w:tc>
        <w:tc>
          <w:tcPr>
            <w:tcW w:w="1400" w:type="dxa"/>
            <w:vAlign w:val="bottom"/>
          </w:tcPr>
          <w:p>
            <w:pPr>
              <w:ind w:left="100"/>
              <w:spacing w:after="0"/>
              <w:rPr>
                <w:sz w:val="20"/>
                <w:szCs w:val="20"/>
                <w:color w:val="auto"/>
              </w:rPr>
            </w:pPr>
            <w:r>
              <w:rPr>
                <w:rFonts w:ascii="Arial" w:cs="Arial" w:eastAsia="Arial" w:hAnsi="Arial"/>
                <w:sz w:val="15"/>
                <w:szCs w:val="15"/>
                <w:color w:val="auto"/>
                <w:w w:val="97"/>
              </w:rPr>
              <w:t>December 16, 2022</w:t>
            </w:r>
          </w:p>
        </w:tc>
        <w:tc>
          <w:tcPr>
            <w:tcW w:w="140" w:type="dxa"/>
            <w:vAlign w:val="bottom"/>
          </w:tcPr>
          <w:p>
            <w:pPr>
              <w:ind w:lef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5"/>
        </w:trPr>
        <w:tc>
          <w:tcPr>
            <w:tcW w:w="1700" w:type="dxa"/>
            <w:vAlign w:val="bottom"/>
          </w:tcPr>
          <w:p>
            <w:pPr>
              <w:spacing w:after="0"/>
              <w:rPr>
                <w:sz w:val="20"/>
                <w:szCs w:val="20"/>
                <w:color w:val="auto"/>
              </w:rPr>
            </w:pPr>
            <w:r>
              <w:rPr>
                <w:rFonts w:ascii="Arial" w:cs="Arial" w:eastAsia="Arial" w:hAnsi="Arial"/>
                <w:sz w:val="15"/>
                <w:szCs w:val="15"/>
                <w:color w:val="auto"/>
              </w:rPr>
              <w:t>​ ​Director</w:t>
            </w:r>
          </w:p>
        </w:tc>
        <w:tc>
          <w:tcPr>
            <w:tcW w:w="1300" w:type="dxa"/>
            <w:vAlign w:val="bottom"/>
          </w:tcPr>
          <w:p>
            <w:pPr>
              <w:ind w:left="1060"/>
              <w:spacing w:after="0"/>
              <w:rPr>
                <w:sz w:val="20"/>
                <w:szCs w:val="20"/>
                <w:color w:val="auto"/>
              </w:rPr>
            </w:pPr>
            <w:r>
              <w:rPr>
                <w:rFonts w:ascii="Arial" w:cs="Arial" w:eastAsia="Arial" w:hAnsi="Arial"/>
                <w:sz w:val="15"/>
                <w:szCs w:val="15"/>
                <w:color w:val="auto"/>
              </w:rPr>
              <w:t>​ ​</w:t>
            </w:r>
          </w:p>
        </w:tc>
        <w:tc>
          <w:tcPr>
            <w:tcW w:w="1400" w:type="dxa"/>
            <w:vAlign w:val="bottom"/>
          </w:tcPr>
          <w:p>
            <w:pPr>
              <w:ind w:left="100"/>
              <w:spacing w:after="0"/>
              <w:rPr>
                <w:sz w:val="20"/>
                <w:szCs w:val="20"/>
                <w:color w:val="auto"/>
              </w:rPr>
            </w:pPr>
            <w:r>
              <w:rPr>
                <w:rFonts w:ascii="Arial" w:cs="Arial" w:eastAsia="Arial" w:hAnsi="Arial"/>
                <w:sz w:val="15"/>
                <w:szCs w:val="15"/>
                <w:color w:val="auto"/>
                <w:w w:val="97"/>
              </w:rPr>
              <w:t>December 16, 2022</w:t>
            </w:r>
          </w:p>
        </w:tc>
        <w:tc>
          <w:tcPr>
            <w:tcW w:w="140" w:type="dxa"/>
            <w:vAlign w:val="bottom"/>
          </w:tcPr>
          <w:p>
            <w:pPr>
              <w:ind w:lef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198120</wp:posOffset>
            </wp:positionV>
            <wp:extent cx="555434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5">
                      <a:extLst>
                        <a:ext uri="{28A0092B-C50C-407E-A947-70E740481C1C}"/>
                      </a:extLst>
                    </a:blip>
                    <a:srcRect/>
                    <a:stretch>
                      <a:fillRect/>
                    </a:stretch>
                  </pic:blipFill>
                  <pic:spPr bwMode="auto">
                    <a:xfrm>
                      <a:off x="0" y="0"/>
                      <a:ext cx="5554345" cy="39370"/>
                    </a:xfrm>
                    <a:prstGeom prst="rect">
                      <a:avLst/>
                    </a:prstGeom>
                    <a:noFill/>
                  </pic:spPr>
                </pic:pic>
              </a:graphicData>
            </a:graphic>
          </wp:anchor>
        </w:drawing>
      </w:r>
    </w:p>
    <w:p>
      <w:pPr>
        <w:sectPr>
          <w:pgSz w:w="11900" w:h="16838" w:orient="portrait"/>
          <w:cols w:equalWidth="0" w:num="2">
            <w:col w:w="3040" w:space="300"/>
            <w:col w:w="5679"/>
          </w:cols>
          <w:pgMar w:left="1440" w:top="134" w:right="1440"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39954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139954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December 16, 2022</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Plains GP Holdings, L.P.</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333 Clay Street, Suite 1600</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Houston, TX 77002</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78" w:lineRule="exact"/>
        <w:rPr>
          <w:sz w:val="20"/>
          <w:szCs w:val="20"/>
          <w:color w:val="auto"/>
        </w:rPr>
      </w:pPr>
    </w:p>
    <w:p>
      <w:pPr>
        <w:ind w:right="200" w:firstLine="263"/>
        <w:spacing w:after="0" w:line="274" w:lineRule="auto"/>
        <w:rPr>
          <w:sz w:val="20"/>
          <w:szCs w:val="20"/>
          <w:color w:val="auto"/>
        </w:rPr>
      </w:pPr>
      <w:r>
        <w:rPr>
          <w:rFonts w:ascii="Arial" w:cs="Arial" w:eastAsia="Arial" w:hAnsi="Arial"/>
          <w:sz w:val="14"/>
          <w:szCs w:val="14"/>
          <w:color w:val="auto"/>
        </w:rPr>
        <w:t>We have acted as counsel to Plains GP Holdings, L.P., a Delaware limited partnership (the “</w:t>
      </w:r>
      <w:r>
        <w:rPr>
          <w:rFonts w:ascii="Arial" w:cs="Arial" w:eastAsia="Arial" w:hAnsi="Arial"/>
          <w:sz w:val="14"/>
          <w:szCs w:val="14"/>
          <w:b w:val="1"/>
          <w:bCs w:val="1"/>
          <w:i w:val="1"/>
          <w:iCs w:val="1"/>
          <w:color w:val="auto"/>
        </w:rPr>
        <w:t>Partnership</w:t>
      </w:r>
      <w:r>
        <w:rPr>
          <w:rFonts w:ascii="Arial" w:cs="Arial" w:eastAsia="Arial" w:hAnsi="Arial"/>
          <w:sz w:val="14"/>
          <w:szCs w:val="14"/>
          <w:color w:val="auto"/>
        </w:rPr>
        <w:t>”), in connection with the preparation and filing of a registration statement on Form S-3 (the “</w:t>
      </w:r>
      <w:r>
        <w:rPr>
          <w:rFonts w:ascii="Arial" w:cs="Arial" w:eastAsia="Arial" w:hAnsi="Arial"/>
          <w:sz w:val="14"/>
          <w:szCs w:val="14"/>
          <w:b w:val="1"/>
          <w:bCs w:val="1"/>
          <w:i w:val="1"/>
          <w:iCs w:val="1"/>
          <w:color w:val="auto"/>
        </w:rPr>
        <w:t>Registration Statement</w:t>
      </w:r>
      <w:r>
        <w:rPr>
          <w:rFonts w:ascii="Arial" w:cs="Arial" w:eastAsia="Arial" w:hAnsi="Arial"/>
          <w:sz w:val="14"/>
          <w:szCs w:val="14"/>
          <w:color w:val="auto"/>
        </w:rPr>
        <w:t>”) filed on or about the date hereof with the U.S. Securities and Exchange Commission (the “</w:t>
      </w:r>
      <w:r>
        <w:rPr>
          <w:rFonts w:ascii="Arial" w:cs="Arial" w:eastAsia="Arial" w:hAnsi="Arial"/>
          <w:sz w:val="14"/>
          <w:szCs w:val="14"/>
          <w:b w:val="1"/>
          <w:bCs w:val="1"/>
          <w:i w:val="1"/>
          <w:iCs w:val="1"/>
          <w:color w:val="auto"/>
        </w:rPr>
        <w:t>Commission</w:t>
      </w:r>
      <w:r>
        <w:rPr>
          <w:rFonts w:ascii="Arial" w:cs="Arial" w:eastAsia="Arial" w:hAnsi="Arial"/>
          <w:sz w:val="14"/>
          <w:szCs w:val="14"/>
          <w:color w:val="auto"/>
        </w:rPr>
        <w:t>”) in connection with the registration by the Partnership under the Securities Act of 1933, as amended (the “</w:t>
      </w:r>
      <w:r>
        <w:rPr>
          <w:rFonts w:ascii="Arial" w:cs="Arial" w:eastAsia="Arial" w:hAnsi="Arial"/>
          <w:sz w:val="14"/>
          <w:szCs w:val="14"/>
          <w:b w:val="1"/>
          <w:bCs w:val="1"/>
          <w:i w:val="1"/>
          <w:iCs w:val="1"/>
          <w:color w:val="auto"/>
        </w:rPr>
        <w:t>Securities Act</w:t>
      </w:r>
      <w:r>
        <w:rPr>
          <w:rFonts w:ascii="Arial" w:cs="Arial" w:eastAsia="Arial" w:hAnsi="Arial"/>
          <w:sz w:val="14"/>
          <w:szCs w:val="14"/>
          <w:color w:val="auto"/>
        </w:rPr>
        <w:t>”), of the offer and sale, from time to time, pursuant to Rule 415 under the Securities Act, by the Partnership, of Class A shares representing limited partner interests in the Partnership (the “</w:t>
      </w:r>
      <w:r>
        <w:rPr>
          <w:rFonts w:ascii="Arial" w:cs="Arial" w:eastAsia="Arial" w:hAnsi="Arial"/>
          <w:sz w:val="14"/>
          <w:szCs w:val="14"/>
          <w:b w:val="1"/>
          <w:bCs w:val="1"/>
          <w:i w:val="1"/>
          <w:iCs w:val="1"/>
          <w:color w:val="auto"/>
        </w:rPr>
        <w:t>Shares</w:t>
      </w:r>
      <w:r>
        <w:rPr>
          <w:rFonts w:ascii="Arial" w:cs="Arial" w:eastAsia="Arial" w:hAnsi="Arial"/>
          <w:sz w:val="14"/>
          <w:szCs w:val="14"/>
          <w:color w:val="auto"/>
        </w:rPr>
        <w:t>”).</w:t>
      </w:r>
    </w:p>
    <w:p>
      <w:pPr>
        <w:spacing w:after="0" w:line="142" w:lineRule="exact"/>
        <w:rPr>
          <w:sz w:val="20"/>
          <w:szCs w:val="20"/>
          <w:color w:val="auto"/>
        </w:rPr>
      </w:pPr>
    </w:p>
    <w:p>
      <w:pPr>
        <w:ind w:right="120" w:firstLine="263"/>
        <w:spacing w:after="0" w:line="263" w:lineRule="auto"/>
        <w:rPr>
          <w:sz w:val="20"/>
          <w:szCs w:val="20"/>
          <w:color w:val="auto"/>
        </w:rPr>
      </w:pPr>
      <w:r>
        <w:rPr>
          <w:rFonts w:ascii="Arial" w:cs="Arial" w:eastAsia="Arial" w:hAnsi="Arial"/>
          <w:sz w:val="15"/>
          <w:szCs w:val="15"/>
          <w:color w:val="auto"/>
        </w:rPr>
        <w:t>The aggregate initial offering price of the Shares that may be offered and sold by the Partnership pursuant to the Registration Statement will not exceed $938,900,000 or, if applicable, the equivalent thereof in any other security or currency unit.</w:t>
      </w:r>
    </w:p>
    <w:p>
      <w:pPr>
        <w:spacing w:after="0" w:line="148" w:lineRule="exact"/>
        <w:rPr>
          <w:sz w:val="20"/>
          <w:szCs w:val="20"/>
          <w:color w:val="auto"/>
        </w:rPr>
      </w:pPr>
    </w:p>
    <w:p>
      <w:pPr>
        <w:ind w:right="120" w:firstLine="263"/>
        <w:spacing w:after="0" w:line="340" w:lineRule="auto"/>
        <w:rPr>
          <w:sz w:val="20"/>
          <w:szCs w:val="20"/>
          <w:color w:val="auto"/>
        </w:rPr>
      </w:pPr>
      <w:r>
        <w:rPr>
          <w:rFonts w:ascii="Arial" w:cs="Arial" w:eastAsia="Arial" w:hAnsi="Arial"/>
          <w:sz w:val="13"/>
          <w:szCs w:val="13"/>
          <w:color w:val="auto"/>
        </w:rPr>
        <w:t>We have also participated in the preparation of the Prospectus (the “</w:t>
      </w:r>
      <w:r>
        <w:rPr>
          <w:rFonts w:ascii="Arial" w:cs="Arial" w:eastAsia="Arial" w:hAnsi="Arial"/>
          <w:sz w:val="13"/>
          <w:szCs w:val="13"/>
          <w:b w:val="1"/>
          <w:bCs w:val="1"/>
          <w:i w:val="1"/>
          <w:iCs w:val="1"/>
          <w:color w:val="auto"/>
        </w:rPr>
        <w:t>Prospectus</w:t>
      </w:r>
      <w:r>
        <w:rPr>
          <w:rFonts w:ascii="Arial" w:cs="Arial" w:eastAsia="Arial" w:hAnsi="Arial"/>
          <w:sz w:val="13"/>
          <w:szCs w:val="13"/>
          <w:color w:val="auto"/>
        </w:rPr>
        <w:t>”) contained in the Registration Statement to which this opinion is an exhibit. The Shares will be offered in amounts, at prices and on terms to be determined in light of market conditions and other factors at the time of sale and, if necessary, will be set forth in supplements to the Prospectus.</w:t>
      </w:r>
    </w:p>
    <w:p>
      <w:pPr>
        <w:spacing w:after="0" w:line="103" w:lineRule="exact"/>
        <w:rPr>
          <w:sz w:val="20"/>
          <w:szCs w:val="20"/>
          <w:color w:val="auto"/>
        </w:rPr>
      </w:pPr>
    </w:p>
    <w:p>
      <w:pPr>
        <w:ind w:right="80" w:firstLine="263"/>
        <w:spacing w:after="0" w:line="285" w:lineRule="auto"/>
        <w:rPr>
          <w:sz w:val="20"/>
          <w:szCs w:val="20"/>
          <w:color w:val="auto"/>
        </w:rPr>
      </w:pPr>
      <w:r>
        <w:rPr>
          <w:rFonts w:ascii="Arial" w:cs="Arial" w:eastAsia="Arial" w:hAnsi="Arial"/>
          <w:sz w:val="13"/>
          <w:szCs w:val="13"/>
          <w:color w:val="auto"/>
        </w:rPr>
        <w:t>As the basis for the opinion hereinafter expressed, we examined such statutes and questions of law as we have deemed necessary or appropriate for purposes of this opinion, including the Delaware Revised Uniform Limited Partnership Act (the “</w:t>
      </w:r>
      <w:r>
        <w:rPr>
          <w:rFonts w:ascii="Arial" w:cs="Arial" w:eastAsia="Arial" w:hAnsi="Arial"/>
          <w:sz w:val="13"/>
          <w:szCs w:val="13"/>
          <w:b w:val="1"/>
          <w:bCs w:val="1"/>
          <w:i w:val="1"/>
          <w:iCs w:val="1"/>
          <w:color w:val="auto"/>
        </w:rPr>
        <w:t>Delaware LP Act</w:t>
      </w:r>
      <w:r>
        <w:rPr>
          <w:rFonts w:ascii="Arial" w:cs="Arial" w:eastAsia="Arial" w:hAnsi="Arial"/>
          <w:sz w:val="13"/>
          <w:szCs w:val="13"/>
          <w:color w:val="auto"/>
        </w:rPr>
        <w:t>”), the Second Amended and Restated Agreement of Limited Partnership of the Partnership as amended (the “</w:t>
      </w:r>
      <w:r>
        <w:rPr>
          <w:rFonts w:ascii="Arial" w:cs="Arial" w:eastAsia="Arial" w:hAnsi="Arial"/>
          <w:sz w:val="13"/>
          <w:szCs w:val="13"/>
          <w:b w:val="1"/>
          <w:bCs w:val="1"/>
          <w:i w:val="1"/>
          <w:iCs w:val="1"/>
          <w:color w:val="auto"/>
        </w:rPr>
        <w:t>Partnership Agreement</w:t>
      </w:r>
      <w:r>
        <w:rPr>
          <w:rFonts w:ascii="Arial" w:cs="Arial" w:eastAsia="Arial" w:hAnsi="Arial"/>
          <w:sz w:val="13"/>
          <w:szCs w:val="13"/>
          <w:color w:val="auto"/>
        </w:rPr>
        <w:t>”), the Certificate of Limited Partnership of the Partnership filed with the Secretary of State of the State of Delaware, resolutions of PAA GP Holdings LLC, a Delaware limited liability company and the general partner of the Partnership, the Registration Statement, including the Prospectus, the Partnership’s records and documents, certificates of the Partnership and public officials, and such other instruments and documents as we deemed necessary or advisable for the purposes of this opinion. In such examination, we have assumed that</w:t>
      </w:r>
    </w:p>
    <w:p>
      <w:pPr>
        <w:ind w:right="60" w:firstLine="8"/>
        <w:spacing w:after="0" w:line="265" w:lineRule="auto"/>
        <w:tabs>
          <w:tab w:leader="none" w:pos="174"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information contained in all documents submitted to us for review is accurate and complete; (ii) the authenticity of all documents submitted to us as originals and the conformity with the original documents of all documents submitted to us as copies; (iii) all signatures on each such document examined by us are genuine and by individuals with legal capacity to execute such document; (iv) each certificate from governmental officials reviewed by us is accurate, complete and authentic, and all official public records are accurate and complete; (v) the Registration Statement, and any amendments thereto (including post-effective amendments), will be effective and comply with applicable laws; (vi) one or more prospectus supplements will have been prepared and filed with the Commission describing the Shares offered thereby; (vii) a definitive purchase, underwriting or similar agreement with respect to any Shares offered will have been duly authorized and validly executed and delivered by the Partnership and the other parties thereto; and (viii) all Shares will be issued and sold in compliance with applicable federal and state securities laws and in the manner stated in the Registration Statement and the appropriate prospectus supplement.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20"/>
                <w:szCs w:val="20"/>
                <w:color w:val="auto"/>
              </w:rPr>
            </w:pPr>
            <w:r>
              <w:rPr>
                <w:rFonts w:ascii="Arial" w:cs="Arial" w:eastAsia="Arial" w:hAnsi="Arial"/>
                <w:sz w:val="15"/>
                <w:szCs w:val="15"/>
                <w:b w:val="1"/>
                <w:bCs w:val="1"/>
                <w:color w:val="auto"/>
              </w:rPr>
              <w:t>Vinson &amp; Elkins LLP Attorneys at Law</w:t>
            </w:r>
          </w:p>
        </w:tc>
        <w:tc>
          <w:tcPr>
            <w:tcW w:w="6180" w:type="dxa"/>
            <w:vAlign w:val="bottom"/>
          </w:tcPr>
          <w:p>
            <w:pPr>
              <w:ind w:left="1460"/>
              <w:spacing w:after="0"/>
              <w:rPr>
                <w:sz w:val="20"/>
                <w:szCs w:val="20"/>
                <w:color w:val="auto"/>
              </w:rPr>
            </w:pPr>
            <w:r>
              <w:rPr>
                <w:rFonts w:ascii="Arial" w:cs="Arial" w:eastAsia="Arial" w:hAnsi="Arial"/>
                <w:sz w:val="15"/>
                <w:szCs w:val="15"/>
                <w:color w:val="auto"/>
              </w:rPr>
              <w:t>845 Texas Ave, Suite 4700</w:t>
            </w:r>
          </w:p>
        </w:tc>
      </w:tr>
      <w:tr>
        <w:trPr>
          <w:trHeight w:val="351"/>
        </w:trPr>
        <w:tc>
          <w:tcPr>
            <w:tcW w:w="5100" w:type="dxa"/>
            <w:vAlign w:val="bottom"/>
          </w:tcPr>
          <w:p>
            <w:pPr>
              <w:spacing w:after="0"/>
              <w:rPr>
                <w:sz w:val="20"/>
                <w:szCs w:val="20"/>
                <w:color w:val="auto"/>
              </w:rPr>
            </w:pPr>
            <w:r>
              <w:rPr>
                <w:rFonts w:ascii="Arial" w:cs="Arial" w:eastAsia="Arial" w:hAnsi="Arial"/>
                <w:sz w:val="15"/>
                <w:szCs w:val="15"/>
                <w:color w:val="auto"/>
              </w:rPr>
              <w:t>Austin Dallas Dubai Houston London Los Angeles New York</w:t>
            </w:r>
          </w:p>
        </w:tc>
        <w:tc>
          <w:tcPr>
            <w:tcW w:w="6180" w:type="dxa"/>
            <w:vAlign w:val="bottom"/>
          </w:tcPr>
          <w:p>
            <w:pPr>
              <w:ind w:left="1460"/>
              <w:spacing w:after="0"/>
              <w:rPr>
                <w:sz w:val="20"/>
                <w:szCs w:val="20"/>
                <w:color w:val="auto"/>
              </w:rPr>
            </w:pPr>
            <w:r>
              <w:rPr>
                <w:rFonts w:ascii="Arial" w:cs="Arial" w:eastAsia="Arial" w:hAnsi="Arial"/>
                <w:sz w:val="15"/>
                <w:szCs w:val="15"/>
                <w:color w:val="auto"/>
              </w:rPr>
              <w:t>Houston, TX 77002-6760</w:t>
            </w:r>
          </w:p>
        </w:tc>
      </w:tr>
      <w:tr>
        <w:trPr>
          <w:trHeight w:val="351"/>
        </w:trPr>
        <w:tc>
          <w:tcPr>
            <w:tcW w:w="5100" w:type="dxa"/>
            <w:vAlign w:val="bottom"/>
          </w:tcPr>
          <w:p>
            <w:pPr>
              <w:spacing w:after="0"/>
              <w:rPr>
                <w:sz w:val="20"/>
                <w:szCs w:val="20"/>
                <w:color w:val="auto"/>
              </w:rPr>
            </w:pPr>
            <w:r>
              <w:rPr>
                <w:rFonts w:ascii="Arial" w:cs="Arial" w:eastAsia="Arial" w:hAnsi="Arial"/>
                <w:sz w:val="15"/>
                <w:szCs w:val="15"/>
                <w:color w:val="auto"/>
              </w:rPr>
              <w:t>Richmond Riyadh San Francisco Tokyo Washington</w:t>
            </w:r>
          </w:p>
        </w:tc>
        <w:tc>
          <w:tcPr>
            <w:tcW w:w="6180" w:type="dxa"/>
            <w:vAlign w:val="bottom"/>
          </w:tcPr>
          <w:p>
            <w:pPr>
              <w:ind w:left="1460"/>
              <w:spacing w:after="0"/>
              <w:rPr>
                <w:sz w:val="20"/>
                <w:szCs w:val="20"/>
                <w:color w:val="auto"/>
              </w:rPr>
            </w:pPr>
            <w:r>
              <w:rPr>
                <w:rFonts w:ascii="Arial" w:cs="Arial" w:eastAsia="Arial" w:hAnsi="Arial"/>
                <w:sz w:val="15"/>
                <w:szCs w:val="15"/>
                <w:b w:val="1"/>
                <w:bCs w:val="1"/>
                <w:color w:val="auto"/>
              </w:rPr>
              <w:t xml:space="preserve">Tel </w:t>
            </w:r>
            <w:r>
              <w:rPr>
                <w:rFonts w:ascii="Arial" w:cs="Arial" w:eastAsia="Arial" w:hAnsi="Arial"/>
                <w:sz w:val="15"/>
                <w:szCs w:val="15"/>
                <w:color w:val="auto"/>
              </w:rPr>
              <w:t>+1.713.758.2222</w:t>
            </w:r>
            <w:r>
              <w:rPr>
                <w:rFonts w:ascii="Arial" w:cs="Arial" w:eastAsia="Arial" w:hAnsi="Arial"/>
                <w:sz w:val="15"/>
                <w:szCs w:val="15"/>
                <w:b w:val="1"/>
                <w:bCs w:val="1"/>
                <w:color w:val="auto"/>
              </w:rPr>
              <w:t xml:space="preserve"> Fax </w:t>
            </w:r>
            <w:r>
              <w:rPr>
                <w:rFonts w:ascii="Arial" w:cs="Arial" w:eastAsia="Arial" w:hAnsi="Arial"/>
                <w:sz w:val="15"/>
                <w:szCs w:val="15"/>
                <w:color w:val="auto"/>
              </w:rPr>
              <w:t>+1.713.758.2346</w:t>
            </w:r>
            <w:r>
              <w:rPr>
                <w:rFonts w:ascii="Arial" w:cs="Arial" w:eastAsia="Arial" w:hAnsi="Arial"/>
                <w:sz w:val="15"/>
                <w:szCs w:val="15"/>
                <w:b w:val="1"/>
                <w:bCs w:val="1"/>
                <w:color w:val="auto"/>
              </w:rPr>
              <w:t xml:space="preserve"> velaw.com</w:t>
            </w:r>
          </w:p>
        </w:tc>
      </w:tr>
      <w:tr>
        <w:trPr>
          <w:trHeight w:val="351"/>
        </w:trPr>
        <w:tc>
          <w:tcPr>
            <w:tcW w:w="510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14" w:right="319" w:bottom="1440" w:gutter="0" w:footer="0" w:header="0"/>
        </w:sectPr>
      </w:pPr>
    </w:p>
    <w:bookmarkStart w:id="30" w:name="page31"/>
    <w:bookmarkEnd w:id="30"/>
    <w:p>
      <w:pPr>
        <w:ind w:left="96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195580</wp:posOffset>
            </wp:positionH>
            <wp:positionV relativeFrom="page">
              <wp:posOffset>200025</wp:posOffset>
            </wp:positionV>
            <wp:extent cx="487680" cy="2647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487680" cy="264795"/>
                    </a:xfrm>
                    <a:prstGeom prst="rect">
                      <a:avLst/>
                    </a:prstGeom>
                    <a:noFill/>
                  </pic:spPr>
                </pic:pic>
              </a:graphicData>
            </a:graphic>
          </wp:anchor>
        </w:drawing>
        <w:t>December 16, 2022 Page  2</w:t>
      </w:r>
    </w:p>
    <w:p>
      <w:pPr>
        <w:sectPr>
          <w:pgSz w:w="11900" w:h="16838" w:orient="portrait"/>
          <w:cols w:equalWidth="0" w:num="1">
            <w:col w:w="11280"/>
          </w:cols>
          <w:pgMar w:left="300" w:top="447" w:right="319" w:bottom="1440" w:gutter="0" w:footer="0" w:header="0"/>
        </w:sectPr>
      </w:pPr>
    </w:p>
    <w:p>
      <w:pPr>
        <w:spacing w:after="0" w:line="344" w:lineRule="exact"/>
        <w:rPr>
          <w:sz w:val="20"/>
          <w:szCs w:val="20"/>
          <w:color w:val="auto"/>
        </w:rPr>
      </w:pPr>
    </w:p>
    <w:p>
      <w:pPr>
        <w:ind w:right="40" w:firstLine="263"/>
        <w:spacing w:after="0" w:line="296" w:lineRule="auto"/>
        <w:rPr>
          <w:sz w:val="20"/>
          <w:szCs w:val="20"/>
          <w:color w:val="auto"/>
        </w:rPr>
      </w:pPr>
      <w:r>
        <w:rPr>
          <w:rFonts w:ascii="Arial" w:cs="Arial" w:eastAsia="Arial" w:hAnsi="Arial"/>
          <w:sz w:val="13"/>
          <w:szCs w:val="13"/>
          <w:color w:val="auto"/>
        </w:rPr>
        <w:t>Based upon and subject to the foregoing and subject to the qualifications, exceptions and limitations set forth herein, we are of the opinion that the Shares, when (i) the Partnership has taken all necessary action to approve the issuance of such Shares, the terms of the offering thereof and related matters; and (ii) the Shares have been issued and delivered in accordance with the terms of the applicable definitive purchase, underwriting or similar agreement approved by the Partnership upon payment of the consideration thereof or provided for therein, will be duly authorized, issued and delivered against payment therefor as described in the Registration Statement, will be validly issued, fully paid (to the extent required under the Partnership Agreement) and non-assessable (except as such nonassessability may be affected by Sections 17-303, 17-607 or 17-804 of the Delaware LP Act).</w:t>
      </w:r>
    </w:p>
    <w:p>
      <w:pPr>
        <w:spacing w:after="0" w:line="131" w:lineRule="exact"/>
        <w:rPr>
          <w:sz w:val="20"/>
          <w:szCs w:val="20"/>
          <w:color w:val="auto"/>
        </w:rPr>
      </w:pPr>
    </w:p>
    <w:p>
      <w:pPr>
        <w:ind w:right="80" w:firstLine="263"/>
        <w:spacing w:after="0" w:line="269" w:lineRule="auto"/>
        <w:rPr>
          <w:sz w:val="20"/>
          <w:szCs w:val="20"/>
          <w:color w:val="auto"/>
        </w:rPr>
      </w:pPr>
      <w:r>
        <w:rPr>
          <w:rFonts w:ascii="Arial" w:cs="Arial" w:eastAsia="Arial" w:hAnsi="Arial"/>
          <w:sz w:val="14"/>
          <w:szCs w:val="14"/>
          <w:color w:val="auto"/>
        </w:rPr>
        <w:t>As to any facts material to the opinion contained herein, and as to factual matters arising in connection with our examination of corporate documents, records and other documents and writings, we have made no independent investigation of such facts and have relied, to the extent that we deem such reliance proper, upon certificates of public officials and officers or other representatives of the general partner of the Partnership and the Partnership. This opinion is being furnished in connection with the requirements of Item 601(b)(5) of Regulation S-K under the Securities Act of 1933, as amended, and the foregoing opinions are limited to the matters expressly stated herein, and no opinion is to be inferred or implied beyond the opinions expressly set forth herein. We undertake no, and hereby disclaim any, obligation to make any inquiry after the date hereof or to advise you of any changes in any matter set forth herein, whether based on a change in the law, a change in any fact relating to the Partnership or any other person or any other circumstance.</w:t>
      </w:r>
    </w:p>
    <w:p>
      <w:pPr>
        <w:spacing w:after="0" w:line="145" w:lineRule="exact"/>
        <w:rPr>
          <w:sz w:val="20"/>
          <w:szCs w:val="20"/>
          <w:color w:val="auto"/>
        </w:rPr>
      </w:pPr>
    </w:p>
    <w:p>
      <w:pPr>
        <w:ind w:right="540" w:firstLine="263"/>
        <w:spacing w:after="0" w:line="263" w:lineRule="auto"/>
        <w:rPr>
          <w:sz w:val="20"/>
          <w:szCs w:val="20"/>
          <w:color w:val="auto"/>
        </w:rPr>
      </w:pPr>
      <w:r>
        <w:rPr>
          <w:rFonts w:ascii="Arial" w:cs="Arial" w:eastAsia="Arial" w:hAnsi="Arial"/>
          <w:sz w:val="15"/>
          <w:szCs w:val="15"/>
          <w:color w:val="auto"/>
        </w:rPr>
        <w:t>We express no opinions concerning the enforceability of indemnification provisions to the extent they purport to relate to liabilities resulting from or based upon negligence or any violation of federal or state securities or blue sky laws.</w:t>
      </w:r>
    </w:p>
    <w:p>
      <w:pPr>
        <w:spacing w:after="0" w:line="148" w:lineRule="exact"/>
        <w:rPr>
          <w:sz w:val="20"/>
          <w:szCs w:val="20"/>
          <w:color w:val="auto"/>
        </w:rPr>
      </w:pPr>
    </w:p>
    <w:p>
      <w:pPr>
        <w:ind w:right="120" w:firstLine="263"/>
        <w:spacing w:after="0" w:line="263" w:lineRule="auto"/>
        <w:rPr>
          <w:sz w:val="20"/>
          <w:szCs w:val="20"/>
          <w:color w:val="auto"/>
        </w:rPr>
      </w:pPr>
      <w:r>
        <w:rPr>
          <w:rFonts w:ascii="Arial" w:cs="Arial" w:eastAsia="Arial" w:hAnsi="Arial"/>
          <w:sz w:val="15"/>
          <w:szCs w:val="15"/>
          <w:color w:val="auto"/>
        </w:rPr>
        <w:t>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5835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447" w:right="319" w:bottom="1440" w:gutter="0" w:footer="0" w:header="0"/>
          <w:type w:val="continuous"/>
        </w:sectPr>
      </w:pPr>
    </w:p>
    <w:bookmarkStart w:id="31" w:name="page32"/>
    <w:bookmarkEnd w:id="31"/>
    <w:p>
      <w:pPr>
        <w:ind w:left="96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195580</wp:posOffset>
            </wp:positionH>
            <wp:positionV relativeFrom="page">
              <wp:posOffset>200025</wp:posOffset>
            </wp:positionV>
            <wp:extent cx="487680" cy="2647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487680" cy="264795"/>
                    </a:xfrm>
                    <a:prstGeom prst="rect">
                      <a:avLst/>
                    </a:prstGeom>
                    <a:noFill/>
                  </pic:spPr>
                </pic:pic>
              </a:graphicData>
            </a:graphic>
          </wp:anchor>
        </w:drawing>
        <w:t>December 16, 2022 Page  3</w:t>
      </w:r>
    </w:p>
    <w:p>
      <w:pPr>
        <w:sectPr>
          <w:pgSz w:w="11900" w:h="16838" w:orient="portrait"/>
          <w:cols w:equalWidth="0" w:num="1">
            <w:col w:w="11280"/>
          </w:cols>
          <w:pgMar w:left="300" w:top="447" w:right="319" w:bottom="1440" w:gutter="0" w:footer="0" w:header="0"/>
        </w:sectPr>
      </w:pPr>
    </w:p>
    <w:p>
      <w:pPr>
        <w:spacing w:after="0" w:line="344" w:lineRule="exact"/>
        <w:rPr>
          <w:sz w:val="20"/>
          <w:szCs w:val="20"/>
          <w:color w:val="auto"/>
        </w:rPr>
      </w:pPr>
    </w:p>
    <w:p>
      <w:pPr>
        <w:jc w:val="both"/>
        <w:ind w:right="100" w:firstLine="263"/>
        <w:spacing w:after="0" w:line="253" w:lineRule="auto"/>
        <w:rPr>
          <w:sz w:val="20"/>
          <w:szCs w:val="20"/>
          <w:color w:val="auto"/>
        </w:rPr>
      </w:pPr>
      <w:r>
        <w:rPr>
          <w:rFonts w:ascii="Arial" w:cs="Arial" w:eastAsia="Arial" w:hAnsi="Arial"/>
          <w:sz w:val="15"/>
          <w:szCs w:val="15"/>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56"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Very truly yours,</w:t>
      </w:r>
    </w:p>
    <w:p>
      <w:pPr>
        <w:spacing w:after="0" w:line="178"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5835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447" w:right="31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5"/>
          <w:szCs w:val="15"/>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378585" cy="229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1378585" cy="22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color w:val="auto"/>
        </w:rPr>
        <w:t>December 16, 2022</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Plains GP Holdings, L.P.</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333 Clay Street, Suite 1600</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Houston, Texas 77002</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Re: Plains GP Holdings, L.P. Registration Statement on Form S-3</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78" w:lineRule="exact"/>
        <w:rPr>
          <w:sz w:val="20"/>
          <w:szCs w:val="20"/>
          <w:color w:val="auto"/>
        </w:rPr>
      </w:pPr>
    </w:p>
    <w:p>
      <w:pPr>
        <w:jc w:val="both"/>
        <w:ind w:firstLine="263"/>
        <w:spacing w:after="0" w:line="250" w:lineRule="auto"/>
        <w:rPr>
          <w:sz w:val="20"/>
          <w:szCs w:val="20"/>
          <w:color w:val="auto"/>
        </w:rPr>
      </w:pPr>
      <w:r>
        <w:rPr>
          <w:rFonts w:ascii="Arial" w:cs="Arial" w:eastAsia="Arial" w:hAnsi="Arial"/>
          <w:sz w:val="15"/>
          <w:szCs w:val="15"/>
          <w:color w:val="auto"/>
        </w:rPr>
        <w:t>We have acted as counsel for Plains GP Holdings, L.P. (“</w:t>
      </w:r>
      <w:r>
        <w:rPr>
          <w:rFonts w:ascii="Arial" w:cs="Arial" w:eastAsia="Arial" w:hAnsi="Arial"/>
          <w:sz w:val="15"/>
          <w:szCs w:val="15"/>
          <w:b w:val="1"/>
          <w:bCs w:val="1"/>
          <w:i w:val="1"/>
          <w:iCs w:val="1"/>
          <w:color w:val="auto"/>
        </w:rPr>
        <w:t>PAGP</w:t>
      </w:r>
      <w:r>
        <w:rPr>
          <w:rFonts w:ascii="Arial" w:cs="Arial" w:eastAsia="Arial" w:hAnsi="Arial"/>
          <w:sz w:val="15"/>
          <w:szCs w:val="15"/>
          <w:color w:val="auto"/>
        </w:rPr>
        <w:t xml:space="preserve">”), a Delaware limited partnership that has elected to be treated as a corporation for U.S. federal income tax purposes, with respect to certain legal matters in connection with the preparation of a prospectus dated on or about the date hereof, forming part of the Registration Statement on Form S-3 (the </w:t>
      </w:r>
      <w:r>
        <w:rPr>
          <w:rFonts w:ascii="Arial" w:cs="Arial" w:eastAsia="Arial" w:hAnsi="Arial"/>
          <w:sz w:val="15"/>
          <w:szCs w:val="15"/>
          <w:b w:val="1"/>
          <w:bCs w:val="1"/>
          <w:i w:val="1"/>
          <w:iCs w:val="1"/>
          <w:color w:val="auto"/>
        </w:rPr>
        <w:t>“Registration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Statement”</w:t>
      </w:r>
      <w:r>
        <w:rPr>
          <w:rFonts w:ascii="Arial" w:cs="Arial" w:eastAsia="Arial" w:hAnsi="Arial"/>
          <w:sz w:val="15"/>
          <w:szCs w:val="15"/>
          <w:color w:val="auto"/>
        </w:rPr>
        <w:t>), to which this opinion is an exhibit. The Registration Statement relates to the registration under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of Class A shares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representing limited partner interests in PAGP.</w:t>
      </w:r>
    </w:p>
    <w:p>
      <w:pPr>
        <w:spacing w:after="0" w:line="159" w:lineRule="exact"/>
        <w:rPr>
          <w:sz w:val="20"/>
          <w:szCs w:val="20"/>
          <w:color w:val="auto"/>
        </w:rPr>
      </w:pPr>
    </w:p>
    <w:p>
      <w:pPr>
        <w:jc w:val="both"/>
        <w:ind w:firstLine="263"/>
        <w:spacing w:after="0" w:line="253" w:lineRule="auto"/>
        <w:rPr>
          <w:sz w:val="20"/>
          <w:szCs w:val="20"/>
          <w:color w:val="auto"/>
        </w:rPr>
      </w:pPr>
      <w:r>
        <w:rPr>
          <w:rFonts w:ascii="Arial" w:cs="Arial" w:eastAsia="Arial" w:hAnsi="Arial"/>
          <w:sz w:val="15"/>
          <w:szCs w:val="15"/>
          <w:color w:val="auto"/>
        </w:rPr>
        <w:t xml:space="preserve">This opinion is based on various facts and assumptions, and is conditioned upon certain representations made by Plains All American Pipeline, L.P. (the </w:t>
      </w:r>
      <w:r>
        <w:rPr>
          <w:rFonts w:ascii="Arial" w:cs="Arial" w:eastAsia="Arial" w:hAnsi="Arial"/>
          <w:sz w:val="15"/>
          <w:szCs w:val="15"/>
          <w:b w:val="1"/>
          <w:bCs w:val="1"/>
          <w:i w:val="1"/>
          <w:iCs w:val="1"/>
          <w:color w:val="auto"/>
        </w:rPr>
        <w:t>“Partnership”</w:t>
      </w:r>
      <w:r>
        <w:rPr>
          <w:rFonts w:ascii="Arial" w:cs="Arial" w:eastAsia="Arial" w:hAnsi="Arial"/>
          <w:sz w:val="15"/>
          <w:szCs w:val="15"/>
          <w:color w:val="auto"/>
        </w:rPr>
        <w:t>), a Delaware limited partnership, as to factual matters through a certificate of an officer of the Partnership (the “</w:t>
      </w:r>
      <w:r>
        <w:rPr>
          <w:rFonts w:ascii="Arial" w:cs="Arial" w:eastAsia="Arial" w:hAnsi="Arial"/>
          <w:sz w:val="15"/>
          <w:szCs w:val="15"/>
          <w:b w:val="1"/>
          <w:bCs w:val="1"/>
          <w:i w:val="1"/>
          <w:iCs w:val="1"/>
          <w:color w:val="auto"/>
        </w:rPr>
        <w:t>Officer’s Certificate</w:t>
      </w:r>
      <w:r>
        <w:rPr>
          <w:rFonts w:ascii="Arial" w:cs="Arial" w:eastAsia="Arial" w:hAnsi="Arial"/>
          <w:sz w:val="15"/>
          <w:szCs w:val="15"/>
          <w:color w:val="auto"/>
        </w:rPr>
        <w:t>”). In addition, this opinion is based upon the factual representations of PAGP concerning its business, properties and governing documents as set forth in the Registration Statement.</w:t>
      </w:r>
    </w:p>
    <w:p>
      <w:pPr>
        <w:spacing w:after="0" w:line="156" w:lineRule="exact"/>
        <w:rPr>
          <w:sz w:val="20"/>
          <w:szCs w:val="20"/>
          <w:color w:val="auto"/>
        </w:rPr>
      </w:pPr>
    </w:p>
    <w:p>
      <w:pPr>
        <w:jc w:val="both"/>
        <w:ind w:firstLine="263"/>
        <w:spacing w:after="0" w:line="269" w:lineRule="auto"/>
        <w:rPr>
          <w:sz w:val="20"/>
          <w:szCs w:val="20"/>
          <w:color w:val="auto"/>
        </w:rPr>
      </w:pPr>
      <w:r>
        <w:rPr>
          <w:rFonts w:ascii="Arial" w:cs="Arial" w:eastAsia="Arial" w:hAnsi="Arial"/>
          <w:sz w:val="14"/>
          <w:szCs w:val="14"/>
          <w:color w:val="auto"/>
        </w:rPr>
        <w:t>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45" w:lineRule="exact"/>
        <w:rPr>
          <w:sz w:val="20"/>
          <w:szCs w:val="20"/>
          <w:color w:val="auto"/>
        </w:rPr>
      </w:pPr>
    </w:p>
    <w:p>
      <w:pPr>
        <w:jc w:val="both"/>
        <w:ind w:firstLine="263"/>
        <w:spacing w:after="0" w:line="296" w:lineRule="auto"/>
        <w:rPr>
          <w:sz w:val="20"/>
          <w:szCs w:val="20"/>
          <w:color w:val="auto"/>
        </w:rPr>
      </w:pPr>
      <w:r>
        <w:rPr>
          <w:rFonts w:ascii="Arial" w:cs="Arial" w:eastAsia="Arial" w:hAnsi="Arial"/>
          <w:sz w:val="13"/>
          <w:szCs w:val="13"/>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00" w:type="dxa"/>
            <w:vAlign w:val="bottom"/>
          </w:tcPr>
          <w:p>
            <w:pPr>
              <w:spacing w:after="0"/>
              <w:rPr>
                <w:sz w:val="20"/>
                <w:szCs w:val="20"/>
                <w:color w:val="auto"/>
              </w:rPr>
            </w:pPr>
            <w:r>
              <w:rPr>
                <w:rFonts w:ascii="Arial" w:cs="Arial" w:eastAsia="Arial" w:hAnsi="Arial"/>
                <w:sz w:val="15"/>
                <w:szCs w:val="15"/>
                <w:b w:val="1"/>
                <w:bCs w:val="1"/>
                <w:color w:val="auto"/>
              </w:rPr>
              <w:t>Vinson &amp; Elkins LLP Attorneys at Law</w:t>
            </w:r>
          </w:p>
        </w:tc>
        <w:tc>
          <w:tcPr>
            <w:tcW w:w="6180" w:type="dxa"/>
            <w:vAlign w:val="bottom"/>
          </w:tcPr>
          <w:p>
            <w:pPr>
              <w:ind w:left="1460"/>
              <w:spacing w:after="0"/>
              <w:rPr>
                <w:sz w:val="20"/>
                <w:szCs w:val="20"/>
                <w:color w:val="auto"/>
              </w:rPr>
            </w:pPr>
            <w:r>
              <w:rPr>
                <w:rFonts w:ascii="Arial" w:cs="Arial" w:eastAsia="Arial" w:hAnsi="Arial"/>
                <w:sz w:val="15"/>
                <w:szCs w:val="15"/>
                <w:color w:val="auto"/>
              </w:rPr>
              <w:t>845 Texas Avenue, Suite 4700</w:t>
            </w:r>
          </w:p>
        </w:tc>
      </w:tr>
      <w:tr>
        <w:trPr>
          <w:trHeight w:val="171"/>
        </w:trPr>
        <w:tc>
          <w:tcPr>
            <w:tcW w:w="5100" w:type="dxa"/>
            <w:vAlign w:val="bottom"/>
          </w:tcPr>
          <w:p>
            <w:pPr>
              <w:spacing w:after="0" w:line="172" w:lineRule="exact"/>
              <w:rPr>
                <w:sz w:val="20"/>
                <w:szCs w:val="20"/>
                <w:color w:val="auto"/>
              </w:rPr>
            </w:pPr>
            <w:r>
              <w:rPr>
                <w:rFonts w:ascii="Arial" w:cs="Arial" w:eastAsia="Arial" w:hAnsi="Arial"/>
                <w:sz w:val="15"/>
                <w:szCs w:val="15"/>
                <w:color w:val="auto"/>
              </w:rPr>
              <w:t>Austin Dallas Dubai Houston London Los Angeles New York</w:t>
            </w:r>
          </w:p>
        </w:tc>
        <w:tc>
          <w:tcPr>
            <w:tcW w:w="6180" w:type="dxa"/>
            <w:vAlign w:val="bottom"/>
          </w:tcPr>
          <w:p>
            <w:pPr>
              <w:ind w:left="1460"/>
              <w:spacing w:after="0" w:line="172" w:lineRule="exact"/>
              <w:rPr>
                <w:sz w:val="20"/>
                <w:szCs w:val="20"/>
                <w:color w:val="auto"/>
              </w:rPr>
            </w:pPr>
            <w:r>
              <w:rPr>
                <w:rFonts w:ascii="Arial" w:cs="Arial" w:eastAsia="Arial" w:hAnsi="Arial"/>
                <w:sz w:val="15"/>
                <w:szCs w:val="15"/>
                <w:color w:val="auto"/>
              </w:rPr>
              <w:t>Houston, TX 77002-6760</w:t>
            </w:r>
          </w:p>
        </w:tc>
      </w:tr>
      <w:tr>
        <w:trPr>
          <w:trHeight w:val="190"/>
        </w:trPr>
        <w:tc>
          <w:tcPr>
            <w:tcW w:w="5100" w:type="dxa"/>
            <w:vAlign w:val="bottom"/>
          </w:tcPr>
          <w:p>
            <w:pPr>
              <w:spacing w:after="0"/>
              <w:rPr>
                <w:sz w:val="20"/>
                <w:szCs w:val="20"/>
                <w:color w:val="auto"/>
              </w:rPr>
            </w:pPr>
            <w:r>
              <w:rPr>
                <w:rFonts w:ascii="Arial" w:cs="Arial" w:eastAsia="Arial" w:hAnsi="Arial"/>
                <w:sz w:val="15"/>
                <w:szCs w:val="15"/>
                <w:color w:val="auto"/>
              </w:rPr>
              <w:t>Richmond Riyadh San Francisco Tokyo Washington</w:t>
            </w:r>
          </w:p>
        </w:tc>
        <w:tc>
          <w:tcPr>
            <w:tcW w:w="6180" w:type="dxa"/>
            <w:vAlign w:val="bottom"/>
          </w:tcPr>
          <w:p>
            <w:pPr>
              <w:ind w:left="1460"/>
              <w:spacing w:after="0"/>
              <w:rPr>
                <w:sz w:val="20"/>
                <w:szCs w:val="20"/>
                <w:color w:val="auto"/>
              </w:rPr>
            </w:pPr>
            <w:r>
              <w:rPr>
                <w:rFonts w:ascii="Arial" w:cs="Arial" w:eastAsia="Arial" w:hAnsi="Arial"/>
                <w:sz w:val="15"/>
                <w:szCs w:val="15"/>
                <w:b w:val="1"/>
                <w:bCs w:val="1"/>
                <w:color w:val="auto"/>
              </w:rPr>
              <w:t xml:space="preserve">Tel </w:t>
            </w:r>
            <w:r>
              <w:rPr>
                <w:rFonts w:ascii="Arial" w:cs="Arial" w:eastAsia="Arial" w:hAnsi="Arial"/>
                <w:sz w:val="15"/>
                <w:szCs w:val="15"/>
                <w:color w:val="auto"/>
              </w:rPr>
              <w:t>+1.713.758.2222</w:t>
            </w:r>
            <w:r>
              <w:rPr>
                <w:rFonts w:ascii="Arial" w:cs="Arial" w:eastAsia="Arial" w:hAnsi="Arial"/>
                <w:sz w:val="15"/>
                <w:szCs w:val="15"/>
                <w:b w:val="1"/>
                <w:bCs w:val="1"/>
                <w:color w:val="auto"/>
              </w:rPr>
              <w:t xml:space="preserve"> Fax </w:t>
            </w:r>
            <w:r>
              <w:rPr>
                <w:rFonts w:ascii="Arial" w:cs="Arial" w:eastAsia="Arial" w:hAnsi="Arial"/>
                <w:sz w:val="15"/>
                <w:szCs w:val="15"/>
                <w:color w:val="auto"/>
              </w:rPr>
              <w:t>+1.713.758.2346</w:t>
            </w:r>
            <w:r>
              <w:rPr>
                <w:rFonts w:ascii="Arial" w:cs="Arial" w:eastAsia="Arial" w:hAnsi="Arial"/>
                <w:sz w:val="15"/>
                <w:szCs w:val="15"/>
                <w:b w:val="1"/>
                <w:bCs w:val="1"/>
                <w:color w:val="auto"/>
              </w:rPr>
              <w:t xml:space="preserve"> velaw.com</w:t>
            </w:r>
          </w:p>
        </w:tc>
      </w:tr>
      <w:tr>
        <w:trPr>
          <w:trHeight w:val="548"/>
        </w:trPr>
        <w:tc>
          <w:tcPr>
            <w:tcW w:w="510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33" w:name="page34"/>
    <w:bookmarkEnd w:id="33"/>
    <w:p>
      <w:pPr>
        <w:ind w:left="10800"/>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480695" cy="2438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480695" cy="24384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firstLine="263"/>
        <w:spacing w:after="0" w:line="280" w:lineRule="auto"/>
        <w:rPr>
          <w:sz w:val="20"/>
          <w:szCs w:val="20"/>
          <w:color w:val="auto"/>
        </w:rPr>
      </w:pPr>
      <w:r>
        <w:rPr>
          <w:rFonts w:ascii="Arial" w:cs="Arial" w:eastAsia="Arial" w:hAnsi="Arial"/>
          <w:sz w:val="14"/>
          <w:szCs w:val="14"/>
          <w:color w:val="auto"/>
        </w:rPr>
        <w:t>No opinion is expressed as to any matter not discussed in the Registration Statement under the caption “Material U.S. Federal Income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38" w:lineRule="exact"/>
        <w:rPr>
          <w:sz w:val="20"/>
          <w:szCs w:val="20"/>
          <w:color w:val="auto"/>
        </w:rPr>
      </w:pPr>
    </w:p>
    <w:p>
      <w:pPr>
        <w:jc w:val="both"/>
        <w:ind w:firstLine="263"/>
        <w:spacing w:after="0" w:line="301" w:lineRule="auto"/>
        <w:rPr>
          <w:sz w:val="20"/>
          <w:szCs w:val="20"/>
          <w:color w:val="auto"/>
        </w:rPr>
      </w:pPr>
      <w:r>
        <w:rPr>
          <w:rFonts w:ascii="Arial" w:cs="Arial" w:eastAsia="Arial" w:hAnsi="Arial"/>
          <w:sz w:val="13"/>
          <w:szCs w:val="13"/>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Class A shares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27" w:lineRule="exact"/>
        <w:rPr>
          <w:sz w:val="20"/>
          <w:szCs w:val="20"/>
          <w:color w:val="auto"/>
        </w:rPr>
      </w:pPr>
    </w:p>
    <w:p>
      <w:pPr>
        <w:jc w:val="both"/>
        <w:ind w:firstLine="263"/>
        <w:spacing w:after="0" w:line="253" w:lineRule="auto"/>
        <w:rPr>
          <w:sz w:val="20"/>
          <w:szCs w:val="20"/>
          <w:color w:val="auto"/>
        </w:rPr>
      </w:pPr>
      <w:r>
        <w:rPr>
          <w:rFonts w:ascii="Arial" w:cs="Arial" w:eastAsia="Arial" w:hAnsi="Arial"/>
          <w:sz w:val="15"/>
          <w:szCs w:val="15"/>
          <w:color w:val="auto"/>
        </w:rPr>
        <w:t>We hereby consent to the filing of this opinion of counsel as an exhibit to the Registration Statement and the use of our name under the captions “Material U.S. Federal Income Tax Consequences” and “Legal Matters” in the Registration Statement. In giving such consent, we do not admit that we are within the category of persons whose consent is required under Section 7 of the Securities Act.</w:t>
      </w:r>
    </w:p>
    <w:p>
      <w:pPr>
        <w:spacing w:after="0" w:line="156"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Very truly yours,</w:t>
      </w:r>
    </w:p>
    <w:p>
      <w:pPr>
        <w:spacing w:after="0" w:line="178"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/s/ VINSON &amp; ELKINS L.L.P.</w:t>
      </w:r>
    </w:p>
    <w:p>
      <w:pPr>
        <w:spacing w:after="0" w:line="178"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5835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CONSENT OF INDEPENDENT REGISTERED PUBLIC ACCOUNTING FIRM</w:t>
      </w:r>
    </w:p>
    <w:p>
      <w:pPr>
        <w:spacing w:after="0" w:line="178" w:lineRule="exact"/>
        <w:rPr>
          <w:sz w:val="20"/>
          <w:szCs w:val="20"/>
          <w:color w:val="auto"/>
        </w:rPr>
      </w:pPr>
    </w:p>
    <w:p>
      <w:pPr>
        <w:ind w:right="140"/>
        <w:spacing w:after="0" w:line="253" w:lineRule="auto"/>
        <w:rPr>
          <w:sz w:val="20"/>
          <w:szCs w:val="20"/>
          <w:color w:val="auto"/>
        </w:rPr>
      </w:pPr>
      <w:r>
        <w:rPr>
          <w:rFonts w:ascii="Arial" w:cs="Arial" w:eastAsia="Arial" w:hAnsi="Arial"/>
          <w:sz w:val="15"/>
          <w:szCs w:val="15"/>
          <w:color w:val="auto"/>
        </w:rPr>
        <w:t>We hereby consent to the incorporation by reference in this Registration Statement on Form S-3 of Plains GP Holdings, L.P. of our report dated February 28, 2022 relating to the financial statements and the effectiveness of internal control over financial reporting, which appears in Plains GP Holdings, L.P.’s Annual Report on Form 10-K for the year ended December 31, 2021. We also consent to the reference to us under the heading “Experts” in such Registration Statement.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Houston, Texas</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December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5835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35" w:name="page36"/>
    <w:bookmarkEnd w:id="35"/>
    <w:p>
      <w:pPr>
        <w:ind w:left="10560"/>
        <w:spacing w:after="0"/>
        <w:rPr>
          <w:sz w:val="20"/>
          <w:szCs w:val="20"/>
          <w:color w:val="auto"/>
        </w:rPr>
      </w:pPr>
      <w:r>
        <w:rPr>
          <w:rFonts w:ascii="Arial" w:cs="Arial" w:eastAsia="Arial" w:hAnsi="Arial"/>
          <w:sz w:val="15"/>
          <w:szCs w:val="15"/>
          <w:b w:val="1"/>
          <w:bCs w:val="1"/>
          <w:color w:val="auto"/>
        </w:rPr>
        <w:t>Exhibit 107</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Calculation of Filing Fee Tables</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Form S-3</w:t>
      </w:r>
    </w:p>
    <w:p>
      <w:pPr>
        <w:spacing w:after="0" w:line="1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(Form Type)</w:t>
      </w:r>
    </w:p>
    <w:p>
      <w:pPr>
        <w:spacing w:after="0" w:line="164"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Plains GP Holdings, L.P.</w:t>
      </w:r>
    </w:p>
    <w:p>
      <w:pPr>
        <w:spacing w:after="0" w:line="1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(Exact Name of Registrant as Specified in its Charter)</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5"/>
          <w:szCs w:val="15"/>
          <w:u w:val="single" w:color="auto"/>
          <w:color w:val="auto"/>
        </w:rPr>
        <w:t>Table 1: Newly Registered and Carry Forward Securities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820" w:type="dxa"/>
            <w:vAlign w:val="bottom"/>
            <w:tcBorders>
              <w:top w:val="single" w:sz="8" w:color="auto"/>
              <w:left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spacing w:after="0"/>
              <w:rPr>
                <w:sz w:val="15"/>
                <w:szCs w:val="15"/>
                <w:color w:val="auto"/>
              </w:rPr>
            </w:pPr>
          </w:p>
        </w:tc>
        <w:tc>
          <w:tcPr>
            <w:tcW w:w="106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126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1060" w:type="dxa"/>
            <w:vAlign w:val="bottom"/>
            <w:tcBorders>
              <w:top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spacing w:after="0"/>
              <w:rPr>
                <w:sz w:val="15"/>
                <w:szCs w:val="15"/>
                <w:color w:val="auto"/>
              </w:rPr>
            </w:pPr>
          </w:p>
        </w:tc>
        <w:tc>
          <w:tcPr>
            <w:tcW w:w="66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Filing Fee</w:t>
            </w:r>
          </w:p>
        </w:tc>
      </w:tr>
      <w:tr>
        <w:trPr>
          <w:trHeight w:val="175"/>
        </w:trPr>
        <w:tc>
          <w:tcPr>
            <w:tcW w:w="820" w:type="dxa"/>
            <w:vAlign w:val="bottom"/>
            <w:tcBorders>
              <w:left w:val="single" w:sz="8" w:color="auto"/>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Previously</w:t>
            </w:r>
          </w:p>
        </w:tc>
      </w:tr>
      <w:tr>
        <w:trPr>
          <w:trHeight w:val="175"/>
        </w:trPr>
        <w:tc>
          <w:tcPr>
            <w:tcW w:w="820" w:type="dxa"/>
            <w:vAlign w:val="bottom"/>
            <w:tcBorders>
              <w:left w:val="single" w:sz="8" w:color="auto"/>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Paid In</w:t>
            </w:r>
          </w:p>
        </w:tc>
      </w:tr>
      <w:tr>
        <w:trPr>
          <w:trHeight w:val="175"/>
        </w:trPr>
        <w:tc>
          <w:tcPr>
            <w:tcW w:w="820" w:type="dxa"/>
            <w:vAlign w:val="bottom"/>
            <w:tcBorders>
              <w:left w:val="single" w:sz="8" w:color="auto"/>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Connection</w:t>
            </w:r>
          </w:p>
        </w:tc>
      </w:tr>
      <w:tr>
        <w:trPr>
          <w:trHeight w:val="175"/>
        </w:trPr>
        <w:tc>
          <w:tcPr>
            <w:tcW w:w="820" w:type="dxa"/>
            <w:vAlign w:val="bottom"/>
            <w:tcBorders>
              <w:left w:val="single" w:sz="8" w:color="auto"/>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with</w:t>
            </w:r>
          </w:p>
        </w:tc>
      </w:tr>
      <w:tr>
        <w:trPr>
          <w:trHeight w:val="175"/>
        </w:trPr>
        <w:tc>
          <w:tcPr>
            <w:tcW w:w="820" w:type="dxa"/>
            <w:vAlign w:val="bottom"/>
            <w:tcBorders>
              <w:left w:val="single" w:sz="8" w:color="auto"/>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Proposed</w:t>
            </w: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Carry</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Unsold</w:t>
            </w:r>
          </w:p>
        </w:tc>
      </w:tr>
      <w:tr>
        <w:trPr>
          <w:trHeight w:val="175"/>
        </w:trPr>
        <w:tc>
          <w:tcPr>
            <w:tcW w:w="820" w:type="dxa"/>
            <w:vAlign w:val="bottom"/>
            <w:tcBorders>
              <w:left w:val="single" w:sz="8" w:color="auto"/>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7"/>
              </w:rPr>
              <w:t>Fee</w:t>
            </w: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Maximum</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Maximum</w:t>
            </w: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Carry</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Carry</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Forward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Securities</w:t>
            </w:r>
          </w:p>
        </w:tc>
      </w:tr>
      <w:tr>
        <w:trPr>
          <w:trHeight w:val="175"/>
        </w:trPr>
        <w:tc>
          <w:tcPr>
            <w:tcW w:w="820" w:type="dxa"/>
            <w:vAlign w:val="bottom"/>
            <w:tcBorders>
              <w:left w:val="single" w:sz="8" w:color="auto"/>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Calculation</w:t>
            </w: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Offering</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Aggregate</w:t>
            </w: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Amount of</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Forward</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Forward</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6"/>
              </w:rPr>
              <w:t>Initial</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3"/>
              </w:rPr>
              <w:t>to be</w:t>
            </w:r>
          </w:p>
        </w:tc>
      </w:tr>
      <w:tr>
        <w:trPr>
          <w:trHeight w:val="175"/>
        </w:trPr>
        <w:tc>
          <w:tcPr>
            <w:tcW w:w="820" w:type="dxa"/>
            <w:vAlign w:val="bottom"/>
            <w:tcBorders>
              <w:left w:val="single" w:sz="8" w:color="auto"/>
              <w:right w:val="single" w:sz="8" w:color="auto"/>
            </w:tcBorders>
          </w:tcPr>
          <w:p>
            <w:pPr>
              <w:spacing w:after="0"/>
              <w:rPr>
                <w:sz w:val="15"/>
                <w:szCs w:val="15"/>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Security</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Security Class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or Carry</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Amount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Price Per</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Offering</w:t>
            </w:r>
          </w:p>
        </w:tc>
        <w:tc>
          <w:tcPr>
            <w:tcW w:w="80" w:type="dxa"/>
            <w:vAlign w:val="bottom"/>
          </w:tcPr>
          <w:p>
            <w:pPr>
              <w:spacing w:after="0"/>
              <w:rPr>
                <w:sz w:val="15"/>
                <w:szCs w:val="15"/>
                <w:color w:val="auto"/>
              </w:rPr>
            </w:pP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5"/>
                <w:szCs w:val="15"/>
                <w:color w:val="auto"/>
              </w:rPr>
              <w:t>Fee</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Registration</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Form</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File</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effective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Carried</w:t>
            </w:r>
          </w:p>
        </w:tc>
      </w:tr>
      <w:tr>
        <w:trPr>
          <w:trHeight w:val="192"/>
        </w:trPr>
        <w:tc>
          <w:tcPr>
            <w:tcW w:w="820" w:type="dxa"/>
            <w:vAlign w:val="bottom"/>
            <w:tcBorders>
              <w:left w:val="single" w:sz="8" w:color="auto"/>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3"/>
              </w:rPr>
              <w:t>Type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8"/>
              </w:rPr>
              <w:t>Title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Forward Rule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5"/>
              </w:rPr>
              <w:t>Registered</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Unit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Price</w:t>
            </w: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5"/>
                <w:szCs w:val="15"/>
                <w:color w:val="auto"/>
              </w:rPr>
              <w:t>Rate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4"/>
              </w:rPr>
              <w:t>Fee</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Type</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Number</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2"/>
              </w:rPr>
              <w:t>date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Forward</w:t>
            </w:r>
          </w:p>
        </w:tc>
      </w:tr>
      <w:tr>
        <w:trPr>
          <w:trHeight w:val="183"/>
        </w:trPr>
        <w:tc>
          <w:tcPr>
            <w:tcW w:w="820" w:type="dxa"/>
            <w:vAlign w:val="bottom"/>
            <w:tcBorders>
              <w:left w:val="single" w:sz="8" w:color="auto"/>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center"/>
              <w:ind w:right="107"/>
              <w:spacing w:after="0"/>
              <w:rPr>
                <w:sz w:val="20"/>
                <w:szCs w:val="20"/>
                <w:color w:val="auto"/>
              </w:rPr>
            </w:pPr>
            <w:r>
              <w:rPr>
                <w:rFonts w:ascii="Arial" w:cs="Arial" w:eastAsia="Arial" w:hAnsi="Arial"/>
                <w:sz w:val="15"/>
                <w:szCs w:val="15"/>
                <w:color w:val="auto"/>
                <w:w w:val="88"/>
              </w:rPr>
              <w:t>Newly Registered Securities</w:t>
            </w:r>
          </w:p>
        </w:tc>
        <w:tc>
          <w:tcPr>
            <w:tcW w:w="10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r>
        <w:trPr>
          <w:trHeight w:val="156"/>
        </w:trPr>
        <w:tc>
          <w:tcPr>
            <w:tcW w:w="820" w:type="dxa"/>
            <w:vAlign w:val="bottom"/>
            <w:tcBorders>
              <w:left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85"/>
              </w:rPr>
              <w:t>Fees to Be</w:t>
            </w:r>
          </w:p>
        </w:tc>
        <w:tc>
          <w:tcPr>
            <w:tcW w:w="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95"/>
              </w:rPr>
              <w:t>Equity</w:t>
            </w:r>
          </w:p>
        </w:tc>
        <w:tc>
          <w:tcPr>
            <w:tcW w:w="1060" w:type="dxa"/>
            <w:vAlign w:val="bottom"/>
            <w:tcBorders>
              <w:right w:val="single" w:sz="8" w:color="auto"/>
            </w:tcBorders>
          </w:tcPr>
          <w:p>
            <w:pPr>
              <w:jc w:val="center"/>
              <w:ind w:right="7"/>
              <w:spacing w:after="0" w:line="156" w:lineRule="exact"/>
              <w:rPr>
                <w:sz w:val="20"/>
                <w:szCs w:val="20"/>
                <w:color w:val="auto"/>
              </w:rPr>
            </w:pPr>
            <w:r>
              <w:rPr>
                <w:rFonts w:ascii="Arial" w:cs="Arial" w:eastAsia="Arial" w:hAnsi="Arial"/>
                <w:sz w:val="15"/>
                <w:szCs w:val="15"/>
                <w:color w:val="auto"/>
                <w:w w:val="85"/>
              </w:rPr>
              <w:t>Class A shares</w:t>
            </w:r>
          </w:p>
        </w:tc>
        <w:tc>
          <w:tcPr>
            <w:tcW w:w="9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jc w:val="right"/>
              <w:ind w:right="167"/>
              <w:spacing w:after="0" w:line="156" w:lineRule="exact"/>
              <w:rPr>
                <w:sz w:val="20"/>
                <w:szCs w:val="20"/>
                <w:color w:val="auto"/>
              </w:rPr>
            </w:pPr>
            <w:r>
              <w:rPr>
                <w:rFonts w:ascii="Arial" w:cs="Arial" w:eastAsia="Arial" w:hAnsi="Arial"/>
                <w:sz w:val="15"/>
                <w:szCs w:val="15"/>
                <w:color w:val="auto"/>
              </w:rPr>
              <w:t>(1)(2)</w:t>
            </w:r>
          </w:p>
        </w:tc>
        <w:tc>
          <w:tcPr>
            <w:tcW w:w="780" w:type="dxa"/>
            <w:vAlign w:val="bottom"/>
            <w:tcBorders>
              <w:right w:val="single" w:sz="8" w:color="auto"/>
            </w:tcBorders>
          </w:tcPr>
          <w:p>
            <w:pPr>
              <w:jc w:val="right"/>
              <w:ind w:right="247"/>
              <w:spacing w:after="0" w:line="156" w:lineRule="exact"/>
              <w:rPr>
                <w:sz w:val="20"/>
                <w:szCs w:val="20"/>
                <w:color w:val="auto"/>
              </w:rPr>
            </w:pPr>
            <w:r>
              <w:rPr>
                <w:rFonts w:ascii="Arial" w:cs="Arial" w:eastAsia="Arial" w:hAnsi="Arial"/>
                <w:sz w:val="15"/>
                <w:szCs w:val="15"/>
                <w:color w:val="auto"/>
              </w:rPr>
              <w:t>(2)</w:t>
            </w:r>
          </w:p>
        </w:tc>
        <w:tc>
          <w:tcPr>
            <w:tcW w:w="12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87"/>
              </w:rPr>
              <w:t>$938,900,000</w:t>
            </w:r>
          </w:p>
        </w:tc>
        <w:tc>
          <w:tcPr>
            <w:tcW w:w="80" w:type="dxa"/>
            <w:vAlign w:val="bottom"/>
          </w:tcPr>
          <w:p>
            <w:pPr>
              <w:spacing w:after="0"/>
              <w:rPr>
                <w:sz w:val="13"/>
                <w:szCs w:val="13"/>
                <w:color w:val="auto"/>
              </w:rPr>
            </w:pPr>
          </w:p>
        </w:tc>
        <w:tc>
          <w:tcPr>
            <w:tcW w:w="800" w:type="dxa"/>
            <w:vAlign w:val="bottom"/>
            <w:tcBorders>
              <w:right w:val="single" w:sz="8" w:color="auto"/>
            </w:tcBorders>
          </w:tcPr>
          <w:p>
            <w:pPr>
              <w:jc w:val="right"/>
              <w:ind w:right="47"/>
              <w:spacing w:after="0" w:line="156" w:lineRule="exact"/>
              <w:rPr>
                <w:sz w:val="20"/>
                <w:szCs w:val="20"/>
                <w:color w:val="auto"/>
              </w:rPr>
            </w:pPr>
            <w:r>
              <w:rPr>
                <w:rFonts w:ascii="Arial" w:cs="Arial" w:eastAsia="Arial" w:hAnsi="Arial"/>
                <w:sz w:val="15"/>
                <w:szCs w:val="15"/>
                <w:color w:val="auto"/>
                <w:w w:val="83"/>
              </w:rPr>
              <w:t>0.00011020</w:t>
            </w:r>
          </w:p>
        </w:tc>
        <w:tc>
          <w:tcPr>
            <w:tcW w:w="10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88"/>
              </w:rPr>
              <w:t>$103,466.78(3)</w:t>
            </w:r>
          </w:p>
        </w:tc>
        <w:tc>
          <w:tcPr>
            <w:tcW w:w="68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75"/>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Paid</w:t>
            </w: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representing</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Rule 457(o)</w:t>
            </w: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5"/>
        </w:trPr>
        <w:tc>
          <w:tcPr>
            <w:tcW w:w="820" w:type="dxa"/>
            <w:vAlign w:val="bottom"/>
            <w:tcBorders>
              <w:left w:val="single" w:sz="8" w:color="auto"/>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limited</w:t>
            </w:r>
          </w:p>
        </w:tc>
        <w:tc>
          <w:tcPr>
            <w:tcW w:w="9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5"/>
        </w:trPr>
        <w:tc>
          <w:tcPr>
            <w:tcW w:w="820" w:type="dxa"/>
            <w:vAlign w:val="bottom"/>
            <w:tcBorders>
              <w:left w:val="single" w:sz="8" w:color="auto"/>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7"/>
              </w:rPr>
              <w:t>partnership</w:t>
            </w:r>
          </w:p>
        </w:tc>
        <w:tc>
          <w:tcPr>
            <w:tcW w:w="9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92"/>
        </w:trPr>
        <w:tc>
          <w:tcPr>
            <w:tcW w:w="820" w:type="dxa"/>
            <w:vAlign w:val="bottom"/>
            <w:tcBorders>
              <w:left w:val="single" w:sz="8" w:color="auto"/>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4"/>
              </w:rPr>
              <w:t>interests</w:t>
            </w:r>
          </w:p>
        </w:tc>
        <w:tc>
          <w:tcPr>
            <w:tcW w:w="96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61"/>
        </w:trPr>
        <w:tc>
          <w:tcPr>
            <w:tcW w:w="820" w:type="dxa"/>
            <w:vAlign w:val="bottom"/>
            <w:tcBorders>
              <w:left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77"/>
              </w:rPr>
              <w:t>Fees</w:t>
            </w:r>
          </w:p>
        </w:tc>
        <w:tc>
          <w:tcPr>
            <w:tcW w:w="68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rPr>
              <w:t>—</w:t>
            </w:r>
          </w:p>
        </w:tc>
        <w:tc>
          <w:tcPr>
            <w:tcW w:w="9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rPr>
              <w:t>—</w:t>
            </w:r>
          </w:p>
        </w:tc>
        <w:tc>
          <w:tcPr>
            <w:tcW w:w="80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3"/>
              </w:rPr>
              <w:t>—</w:t>
            </w:r>
          </w:p>
        </w:tc>
        <w:tc>
          <w:tcPr>
            <w:tcW w:w="78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rPr>
              <w:t>—</w:t>
            </w:r>
          </w:p>
        </w:tc>
        <w:tc>
          <w:tcPr>
            <w:tcW w:w="12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00" w:type="dxa"/>
            <w:vAlign w:val="bottom"/>
            <w:tcBorders>
              <w:right w:val="single" w:sz="8" w:color="auto"/>
            </w:tcBorders>
          </w:tcPr>
          <w:p>
            <w:pPr>
              <w:jc w:val="center"/>
              <w:ind w:right="27"/>
              <w:spacing w:after="0" w:line="161" w:lineRule="exact"/>
              <w:rPr>
                <w:sz w:val="20"/>
                <w:szCs w:val="20"/>
                <w:color w:val="auto"/>
              </w:rPr>
            </w:pPr>
            <w:r>
              <w:rPr>
                <w:rFonts w:ascii="Arial" w:cs="Arial" w:eastAsia="Arial" w:hAnsi="Arial"/>
                <w:sz w:val="15"/>
                <w:szCs w:val="15"/>
                <w:color w:val="auto"/>
                <w:w w:val="93"/>
              </w:rPr>
              <w:t>—</w:t>
            </w:r>
          </w:p>
        </w:tc>
        <w:tc>
          <w:tcPr>
            <w:tcW w:w="10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3"/>
              </w:rPr>
              <w:t>—</w:t>
            </w:r>
          </w:p>
        </w:tc>
        <w:tc>
          <w:tcPr>
            <w:tcW w:w="68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r>
      <w:tr>
        <w:trPr>
          <w:trHeight w:val="175"/>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Previously</w:t>
            </w: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92"/>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6"/>
              </w:rPr>
              <w:t>Paid</w:t>
            </w:r>
          </w:p>
        </w:tc>
        <w:tc>
          <w:tcPr>
            <w:tcW w:w="68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83"/>
        </w:trPr>
        <w:tc>
          <w:tcPr>
            <w:tcW w:w="820" w:type="dxa"/>
            <w:vAlign w:val="bottom"/>
            <w:tcBorders>
              <w:left w:val="single" w:sz="8" w:color="auto"/>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center"/>
              <w:ind w:left="527"/>
              <w:spacing w:after="0"/>
              <w:rPr>
                <w:sz w:val="20"/>
                <w:szCs w:val="20"/>
                <w:color w:val="auto"/>
              </w:rPr>
            </w:pPr>
            <w:r>
              <w:rPr>
                <w:rFonts w:ascii="Arial" w:cs="Arial" w:eastAsia="Arial" w:hAnsi="Arial"/>
                <w:sz w:val="15"/>
                <w:szCs w:val="15"/>
                <w:color w:val="auto"/>
                <w:w w:val="89"/>
              </w:rPr>
              <w:t>Carry Forward Securities</w:t>
            </w:r>
          </w:p>
        </w:tc>
        <w:tc>
          <w:tcPr>
            <w:tcW w:w="8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r>
        <w:trPr>
          <w:trHeight w:val="156"/>
        </w:trPr>
        <w:tc>
          <w:tcPr>
            <w:tcW w:w="820" w:type="dxa"/>
            <w:vAlign w:val="bottom"/>
            <w:tcBorders>
              <w:left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92"/>
              </w:rPr>
              <w:t>Carry</w:t>
            </w:r>
          </w:p>
        </w:tc>
        <w:tc>
          <w:tcPr>
            <w:tcW w:w="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95"/>
              </w:rPr>
              <w:t>Equity</w:t>
            </w:r>
          </w:p>
        </w:tc>
        <w:tc>
          <w:tcPr>
            <w:tcW w:w="1060" w:type="dxa"/>
            <w:vAlign w:val="bottom"/>
            <w:tcBorders>
              <w:right w:val="single" w:sz="8" w:color="auto"/>
            </w:tcBorders>
          </w:tcPr>
          <w:p>
            <w:pPr>
              <w:jc w:val="center"/>
              <w:ind w:right="7"/>
              <w:spacing w:after="0" w:line="156" w:lineRule="exact"/>
              <w:rPr>
                <w:sz w:val="20"/>
                <w:szCs w:val="20"/>
                <w:color w:val="auto"/>
              </w:rPr>
            </w:pPr>
            <w:r>
              <w:rPr>
                <w:rFonts w:ascii="Arial" w:cs="Arial" w:eastAsia="Arial" w:hAnsi="Arial"/>
                <w:sz w:val="15"/>
                <w:szCs w:val="15"/>
                <w:color w:val="auto"/>
                <w:w w:val="85"/>
              </w:rPr>
              <w:t>Class A shares</w:t>
            </w:r>
          </w:p>
        </w:tc>
        <w:tc>
          <w:tcPr>
            <w:tcW w:w="9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86"/>
              </w:rPr>
              <w:t>Rule 415(a)</w:t>
            </w: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88"/>
              </w:rPr>
              <w:t>$1,000,000,000(4)</w:t>
            </w:r>
          </w:p>
        </w:tc>
        <w:tc>
          <w:tcPr>
            <w:tcW w:w="8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85"/>
              </w:rPr>
              <w:t>S-3</w:t>
            </w:r>
          </w:p>
        </w:tc>
        <w:tc>
          <w:tcPr>
            <w:tcW w:w="660" w:type="dxa"/>
            <w:vAlign w:val="bottom"/>
            <w:tcBorders>
              <w:right w:val="single" w:sz="8" w:color="auto"/>
            </w:tcBorders>
          </w:tcPr>
          <w:p>
            <w:pPr>
              <w:jc w:val="right"/>
              <w:ind w:right="147"/>
              <w:spacing w:after="0" w:line="156" w:lineRule="exact"/>
              <w:rPr>
                <w:sz w:val="20"/>
                <w:szCs w:val="20"/>
                <w:color w:val="auto"/>
              </w:rPr>
            </w:pPr>
            <w:r>
              <w:rPr>
                <w:rFonts w:ascii="Arial" w:cs="Arial" w:eastAsia="Arial" w:hAnsi="Arial"/>
                <w:sz w:val="15"/>
                <w:szCs w:val="15"/>
                <w:color w:val="auto"/>
              </w:rPr>
              <w:t>333-</w:t>
            </w:r>
          </w:p>
        </w:tc>
        <w:tc>
          <w:tcPr>
            <w:tcW w:w="8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87"/>
              </w:rPr>
              <w:t>12/20/2016</w:t>
            </w:r>
          </w:p>
        </w:tc>
        <w:tc>
          <w:tcPr>
            <w:tcW w:w="9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88"/>
              </w:rPr>
              <w:t>$115,900(4)</w:t>
            </w:r>
          </w:p>
        </w:tc>
      </w:tr>
      <w:tr>
        <w:trPr>
          <w:trHeight w:val="175"/>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Forward</w:t>
            </w: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representing</w:t>
            </w:r>
          </w:p>
        </w:tc>
        <w:tc>
          <w:tcPr>
            <w:tcW w:w="960" w:type="dxa"/>
            <w:vAlign w:val="bottom"/>
            <w:tcBorders>
              <w:right w:val="single" w:sz="8" w:color="auto"/>
            </w:tcBorders>
          </w:tcPr>
          <w:p>
            <w:pPr>
              <w:jc w:val="right"/>
              <w:ind w:right="347"/>
              <w:spacing w:after="0"/>
              <w:rPr>
                <w:sz w:val="20"/>
                <w:szCs w:val="20"/>
                <w:color w:val="auto"/>
              </w:rPr>
            </w:pPr>
            <w:r>
              <w:rPr>
                <w:rFonts w:ascii="Arial" w:cs="Arial" w:eastAsia="Arial" w:hAnsi="Arial"/>
                <w:sz w:val="15"/>
                <w:szCs w:val="15"/>
                <w:color w:val="auto"/>
              </w:rPr>
              <w:t>(6)</w:t>
            </w: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jc w:val="right"/>
              <w:ind w:right="47"/>
              <w:spacing w:after="0"/>
              <w:rPr>
                <w:sz w:val="20"/>
                <w:szCs w:val="20"/>
                <w:color w:val="auto"/>
              </w:rPr>
            </w:pPr>
            <w:r>
              <w:rPr>
                <w:rFonts w:ascii="Arial" w:cs="Arial" w:eastAsia="Arial" w:hAnsi="Arial"/>
                <w:sz w:val="15"/>
                <w:szCs w:val="15"/>
                <w:color w:val="auto"/>
              </w:rPr>
              <w:t>214694</w:t>
            </w:r>
          </w:p>
        </w:tc>
        <w:tc>
          <w:tcPr>
            <w:tcW w:w="8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5"/>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Securities</w:t>
            </w: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limited</w:t>
            </w:r>
          </w:p>
        </w:tc>
        <w:tc>
          <w:tcPr>
            <w:tcW w:w="9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5"/>
        </w:trPr>
        <w:tc>
          <w:tcPr>
            <w:tcW w:w="820" w:type="dxa"/>
            <w:vAlign w:val="bottom"/>
            <w:tcBorders>
              <w:left w:val="single" w:sz="8" w:color="auto"/>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center"/>
              <w:ind w:right="7"/>
              <w:spacing w:after="0"/>
              <w:rPr>
                <w:sz w:val="20"/>
                <w:szCs w:val="20"/>
                <w:color w:val="auto"/>
              </w:rPr>
            </w:pPr>
            <w:r>
              <w:rPr>
                <w:rFonts w:ascii="Arial" w:cs="Arial" w:eastAsia="Arial" w:hAnsi="Arial"/>
                <w:sz w:val="15"/>
                <w:szCs w:val="15"/>
                <w:color w:val="auto"/>
                <w:w w:val="87"/>
              </w:rPr>
              <w:t>partnership</w:t>
            </w:r>
          </w:p>
        </w:tc>
        <w:tc>
          <w:tcPr>
            <w:tcW w:w="9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92"/>
        </w:trPr>
        <w:tc>
          <w:tcPr>
            <w:tcW w:w="820" w:type="dxa"/>
            <w:vAlign w:val="bottom"/>
            <w:tcBorders>
              <w:left w:val="single" w:sz="8" w:color="auto"/>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4"/>
              </w:rPr>
              <w:t>interests</w:t>
            </w:r>
          </w:p>
        </w:tc>
        <w:tc>
          <w:tcPr>
            <w:tcW w:w="96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83"/>
        </w:trPr>
        <w:tc>
          <w:tcPr>
            <w:tcW w:w="82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2"/>
          </w:tcPr>
          <w:p>
            <w:pPr>
              <w:jc w:val="center"/>
              <w:ind w:left="27"/>
              <w:spacing w:after="0"/>
              <w:rPr>
                <w:sz w:val="20"/>
                <w:szCs w:val="20"/>
                <w:color w:val="auto"/>
              </w:rPr>
            </w:pPr>
            <w:r>
              <w:rPr>
                <w:rFonts w:ascii="Arial" w:cs="Arial" w:eastAsia="Arial" w:hAnsi="Arial"/>
                <w:sz w:val="15"/>
                <w:szCs w:val="15"/>
                <w:color w:val="auto"/>
                <w:w w:val="90"/>
              </w:rPr>
              <w:t>Total Offering Amounts</w:t>
            </w:r>
          </w:p>
        </w:tc>
        <w:tc>
          <w:tcPr>
            <w:tcW w:w="8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$938,900,000</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$103,466.78(3)</w:t>
            </w:r>
          </w:p>
        </w:tc>
        <w:tc>
          <w:tcPr>
            <w:tcW w:w="68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r>
        <w:trPr>
          <w:trHeight w:val="177"/>
        </w:trPr>
        <w:tc>
          <w:tcPr>
            <w:tcW w:w="82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2"/>
          </w:tcPr>
          <w:p>
            <w:pPr>
              <w:jc w:val="center"/>
              <w:ind w:left="27"/>
              <w:spacing w:after="0"/>
              <w:rPr>
                <w:sz w:val="20"/>
                <w:szCs w:val="20"/>
                <w:color w:val="auto"/>
              </w:rPr>
            </w:pPr>
            <w:r>
              <w:rPr>
                <w:rFonts w:ascii="Arial" w:cs="Arial" w:eastAsia="Arial" w:hAnsi="Arial"/>
                <w:sz w:val="15"/>
                <w:szCs w:val="15"/>
                <w:color w:val="auto"/>
                <w:w w:val="87"/>
              </w:rPr>
              <w:t>Total Fees Previously Paid</w:t>
            </w:r>
          </w:p>
        </w:tc>
        <w:tc>
          <w:tcPr>
            <w:tcW w:w="8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w:t>
            </w:r>
          </w:p>
        </w:tc>
        <w:tc>
          <w:tcPr>
            <w:tcW w:w="68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r>
        <w:trPr>
          <w:trHeight w:val="177"/>
        </w:trPr>
        <w:tc>
          <w:tcPr>
            <w:tcW w:w="82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2"/>
          </w:tcPr>
          <w:p>
            <w:pPr>
              <w:jc w:val="center"/>
              <w:ind w:left="27"/>
              <w:spacing w:after="0"/>
              <w:rPr>
                <w:sz w:val="20"/>
                <w:szCs w:val="20"/>
                <w:color w:val="auto"/>
              </w:rPr>
            </w:pPr>
            <w:r>
              <w:rPr>
                <w:rFonts w:ascii="Arial" w:cs="Arial" w:eastAsia="Arial" w:hAnsi="Arial"/>
                <w:sz w:val="15"/>
                <w:szCs w:val="15"/>
                <w:color w:val="auto"/>
                <w:w w:val="86"/>
              </w:rPr>
              <w:t>Total Fee Offsets</w:t>
            </w:r>
          </w:p>
        </w:tc>
        <w:tc>
          <w:tcPr>
            <w:tcW w:w="8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$103,466.78(4)</w:t>
            </w:r>
          </w:p>
        </w:tc>
        <w:tc>
          <w:tcPr>
            <w:tcW w:w="68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r>
        <w:trPr>
          <w:trHeight w:val="177"/>
        </w:trPr>
        <w:tc>
          <w:tcPr>
            <w:tcW w:w="82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2"/>
          </w:tcPr>
          <w:p>
            <w:pPr>
              <w:jc w:val="center"/>
              <w:ind w:left="47"/>
              <w:spacing w:after="0"/>
              <w:rPr>
                <w:sz w:val="20"/>
                <w:szCs w:val="20"/>
                <w:color w:val="auto"/>
              </w:rPr>
            </w:pPr>
            <w:r>
              <w:rPr>
                <w:rFonts w:ascii="Arial" w:cs="Arial" w:eastAsia="Arial" w:hAnsi="Arial"/>
                <w:sz w:val="15"/>
                <w:szCs w:val="15"/>
                <w:color w:val="auto"/>
                <w:w w:val="86"/>
              </w:rPr>
              <w:t>Net Fee Due</w:t>
            </w:r>
          </w:p>
        </w:tc>
        <w:tc>
          <w:tcPr>
            <w:tcW w:w="8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$0(4)</w:t>
            </w:r>
          </w:p>
        </w:tc>
        <w:tc>
          <w:tcPr>
            <w:tcW w:w="68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8943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7" w:lineRule="exact"/>
        <w:rPr>
          <w:sz w:val="20"/>
          <w:szCs w:val="20"/>
          <w:color w:val="auto"/>
        </w:rPr>
      </w:pPr>
    </w:p>
    <w:p>
      <w:pPr>
        <w:ind w:left="280" w:right="120" w:hanging="272"/>
        <w:spacing w:after="0" w:line="250" w:lineRule="auto"/>
        <w:tabs>
          <w:tab w:leader="none" w:pos="2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This registration statement registers such indeterminate number of Class A shares representing limited partnership interests (“Class A shares”) in Plains GP Holdings, L.P. (“Plains GP”) as shall have a maximum aggregate offering price not to exceed $938,900,000. Pursuant to Rule 416 under the Securities Act of 1933, as amended (the “Securities Act”), the Class A shares being registered hereunder include such indeterminate number of Class A shares as may be issuable with respect to the Class A shares being registered hereunder as a result of splits, dividends or similar transactions.</w:t>
      </w:r>
    </w:p>
    <w:p>
      <w:pPr>
        <w:spacing w:after="0" w:line="158" w:lineRule="exact"/>
        <w:rPr>
          <w:rFonts w:ascii="Arial" w:cs="Arial" w:eastAsia="Arial" w:hAnsi="Arial"/>
          <w:sz w:val="15"/>
          <w:szCs w:val="15"/>
          <w:color w:val="auto"/>
        </w:rPr>
      </w:pPr>
    </w:p>
    <w:p>
      <w:pPr>
        <w:ind w:left="280" w:right="120" w:hanging="272"/>
        <w:spacing w:after="0" w:line="253" w:lineRule="auto"/>
        <w:tabs>
          <w:tab w:leader="none" w:pos="2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proposed maximum aggregate offering price per Class A shares will be determined from time to time by the registrant in connection with the issuance by the registrant of the Class A shares registered hereunder and is not specified as to the Class A shares pursuant to Instruction 2.A.ii.b of the Instructions to the Calculation of Filing Fee Tables and Related Disclosure of Form S-3 under the Securities Act, or the Securities Act.</w:t>
      </w:r>
    </w:p>
    <w:p>
      <w:pPr>
        <w:spacing w:after="0" w:line="156" w:lineRule="exact"/>
        <w:rPr>
          <w:rFonts w:ascii="Arial" w:cs="Arial" w:eastAsia="Arial" w:hAnsi="Arial"/>
          <w:sz w:val="15"/>
          <w:szCs w:val="15"/>
          <w:color w:val="auto"/>
        </w:rPr>
      </w:pPr>
    </w:p>
    <w:p>
      <w:pPr>
        <w:ind w:left="280" w:hanging="272"/>
        <w:spacing w:after="0"/>
        <w:tabs>
          <w:tab w:leader="none" w:pos="2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Estimated solely for the purpose of computing the registration fee pursuant to Rule 457(o) under the Securities Act.</w:t>
      </w:r>
    </w:p>
    <w:p>
      <w:pPr>
        <w:spacing w:after="0" w:line="178" w:lineRule="exact"/>
        <w:rPr>
          <w:rFonts w:ascii="Arial" w:cs="Arial" w:eastAsia="Arial" w:hAnsi="Arial"/>
          <w:sz w:val="15"/>
          <w:szCs w:val="15"/>
          <w:color w:val="auto"/>
        </w:rPr>
      </w:pPr>
    </w:p>
    <w:p>
      <w:pPr>
        <w:ind w:left="280" w:right="120" w:hanging="272"/>
        <w:spacing w:after="0" w:line="287" w:lineRule="auto"/>
        <w:tabs>
          <w:tab w:leader="none" w:pos="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Pursuant to Rule 457(p) under the Securities Act, this registration statement includes unsold Class A shares with a maximum aggregate offering price of $938,900,000 that were previously registered under a Registration Statement on Form S-3 with the U.S. Securities and Exchange Commission (the “SEC”) on December 8, 2016 (File No. 333-214964) (“Registration Statement I”) and declared effective on December 20, 2016, which was subsequently updated and replaced by that certain Registration Statement on Form S-3, filed with the SEC on December 13, 2019 (File No. 333-235482) (“Registration Statement II” and, together with the Registration Statement I, the “Prior Registration Statements”) and declared effective on December 23, 2019, registering the unsold Class A shares with a maximum aggregate offering price of $938,900,000. A filing fee of $115,900.00 with respect to Class A shares with a maximum aggregate offering price of $1,000,000,000 was paid in connection with the filing of Registration Statement I, which will continue to be applied to the unsold Class A shares included on this registration statement. Pursuant to Rule 457(p) under the Securities Act, the registration fee applicable to the Class A shares with a maximum aggregate offering price of $938,900,000 being registered hereby in the amount of $103,466.78 is offset by $103,466.78 in registration fees previously paid by Plains GP with respect to the Class A shares that were registered but not issued pursuant to the Prior Registration Statements. Accordingly, no registration fees are being paid at this time. Concurrently with the filing of this registration statement, any offering of unsold securities pursuant to Registration Statement II is hereby terminated. Pursuant to Rule 457(p) under the Securities Act, the remaining unused fees from Registration Statement II ($12,433.22) will be applied to the fees payable pursuant to this registration statement under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5835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p>
      <w:pPr>
        <w:sectPr>
          <w:pgSz w:w="11900" w:h="16838" w:orient="portrait"/>
          <w:cols w:equalWidth="0" w:num="1">
            <w:col w:w="11360"/>
          </w:cols>
          <w:pgMar w:left="300" w:top="322" w:right="23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5"/>
          <w:szCs w:val="15"/>
          <w:u w:val="single" w:color="auto"/>
          <w:color w:val="auto"/>
        </w:rPr>
        <w:t>Table 2: Fee Offset Claims and Sources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940" w:type="dxa"/>
            <w:vAlign w:val="bottom"/>
            <w:tcBorders>
              <w:top w:val="single" w:sz="8" w:color="auto"/>
              <w:left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Unsold</w:t>
            </w:r>
          </w:p>
        </w:tc>
        <w:tc>
          <w:tcPr>
            <w:tcW w:w="880" w:type="dxa"/>
            <w:vAlign w:val="bottom"/>
            <w:tcBorders>
              <w:top w:val="single" w:sz="8" w:color="auto"/>
              <w:right w:val="single" w:sz="8" w:color="auto"/>
            </w:tcBorders>
          </w:tcPr>
          <w:p>
            <w:pPr>
              <w:spacing w:after="0"/>
              <w:rPr>
                <w:sz w:val="15"/>
                <w:szCs w:val="15"/>
                <w:color w:val="auto"/>
              </w:rPr>
            </w:pPr>
          </w:p>
        </w:tc>
      </w:tr>
      <w:tr>
        <w:trPr>
          <w:trHeight w:val="175"/>
        </w:trPr>
        <w:tc>
          <w:tcPr>
            <w:tcW w:w="940" w:type="dxa"/>
            <w:vAlign w:val="bottom"/>
            <w:tcBorders>
              <w:left w:val="single" w:sz="8" w:color="auto"/>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Aggregate</w:t>
            </w:r>
          </w:p>
        </w:tc>
        <w:tc>
          <w:tcPr>
            <w:tcW w:w="880" w:type="dxa"/>
            <w:vAlign w:val="bottom"/>
            <w:tcBorders>
              <w:right w:val="single" w:sz="8" w:color="auto"/>
            </w:tcBorders>
          </w:tcPr>
          <w:p>
            <w:pPr>
              <w:spacing w:after="0"/>
              <w:rPr>
                <w:sz w:val="15"/>
                <w:szCs w:val="15"/>
                <w:color w:val="auto"/>
              </w:rPr>
            </w:pPr>
          </w:p>
        </w:tc>
      </w:tr>
      <w:tr>
        <w:trPr>
          <w:trHeight w:val="175"/>
        </w:trPr>
        <w:tc>
          <w:tcPr>
            <w:tcW w:w="940" w:type="dxa"/>
            <w:vAlign w:val="bottom"/>
            <w:tcBorders>
              <w:left w:val="single" w:sz="8" w:color="auto"/>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3"/>
              </w:rPr>
              <w:t>Offering</w:t>
            </w:r>
          </w:p>
        </w:tc>
        <w:tc>
          <w:tcPr>
            <w:tcW w:w="880" w:type="dxa"/>
            <w:vAlign w:val="bottom"/>
            <w:tcBorders>
              <w:right w:val="single" w:sz="8" w:color="auto"/>
            </w:tcBorders>
          </w:tcPr>
          <w:p>
            <w:pPr>
              <w:spacing w:after="0"/>
              <w:rPr>
                <w:sz w:val="15"/>
                <w:szCs w:val="15"/>
                <w:color w:val="auto"/>
              </w:rPr>
            </w:pPr>
          </w:p>
        </w:tc>
      </w:tr>
      <w:tr>
        <w:trPr>
          <w:trHeight w:val="175"/>
        </w:trPr>
        <w:tc>
          <w:tcPr>
            <w:tcW w:w="940" w:type="dxa"/>
            <w:vAlign w:val="bottom"/>
            <w:tcBorders>
              <w:left w:val="single" w:sz="8" w:color="auto"/>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Borders>
              <w:right w:val="single" w:sz="8" w:color="auto"/>
            </w:tcBorders>
          </w:tcPr>
          <w:p>
            <w:pPr>
              <w:jc w:val="center"/>
              <w:ind w:right="487"/>
              <w:spacing w:after="0"/>
              <w:rPr>
                <w:sz w:val="20"/>
                <w:szCs w:val="20"/>
                <w:color w:val="auto"/>
              </w:rPr>
            </w:pPr>
            <w:r>
              <w:rPr>
                <w:rFonts w:ascii="Arial" w:cs="Arial" w:eastAsia="Arial" w:hAnsi="Arial"/>
                <w:sz w:val="15"/>
                <w:szCs w:val="15"/>
                <w:color w:val="auto"/>
                <w:w w:val="88"/>
              </w:rPr>
              <w:t>Security</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Security</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Unsold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2"/>
              </w:rPr>
              <w:t>Amount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Fee</w:t>
            </w:r>
          </w:p>
        </w:tc>
      </w:tr>
      <w:tr>
        <w:trPr>
          <w:trHeight w:val="175"/>
        </w:trPr>
        <w:tc>
          <w:tcPr>
            <w:tcW w:w="940" w:type="dxa"/>
            <w:vAlign w:val="bottom"/>
            <w:tcBorders>
              <w:left w:val="single" w:sz="8" w:color="auto"/>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Borders>
              <w:right w:val="single" w:sz="8" w:color="auto"/>
            </w:tcBorders>
          </w:tcPr>
          <w:p>
            <w:pPr>
              <w:jc w:val="center"/>
              <w:ind w:right="507"/>
              <w:spacing w:after="0"/>
              <w:rPr>
                <w:sz w:val="20"/>
                <w:szCs w:val="20"/>
                <w:color w:val="auto"/>
              </w:rPr>
            </w:pPr>
            <w:r>
              <w:rPr>
                <w:rFonts w:ascii="Arial" w:cs="Arial" w:eastAsia="Arial" w:hAnsi="Arial"/>
                <w:sz w:val="15"/>
                <w:szCs w:val="15"/>
                <w:color w:val="auto"/>
                <w:w w:val="89"/>
              </w:rPr>
              <w:t>Type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Title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Securities</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Associated</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Paid</w:t>
            </w:r>
          </w:p>
        </w:tc>
      </w:tr>
      <w:tr>
        <w:trPr>
          <w:trHeight w:val="175"/>
        </w:trPr>
        <w:tc>
          <w:tcPr>
            <w:tcW w:w="940" w:type="dxa"/>
            <w:vAlign w:val="bottom"/>
            <w:tcBorders>
              <w:left w:val="single" w:sz="8" w:color="auto"/>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Form</w:t>
            </w:r>
          </w:p>
        </w:tc>
        <w:tc>
          <w:tcPr>
            <w:tcW w:w="8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Borders>
              <w:right w:val="single" w:sz="8" w:color="auto"/>
            </w:tcBorders>
          </w:tcPr>
          <w:p>
            <w:pPr>
              <w:jc w:val="center"/>
              <w:ind w:right="527"/>
              <w:spacing w:after="0"/>
              <w:rPr>
                <w:sz w:val="20"/>
                <w:szCs w:val="20"/>
                <w:color w:val="auto"/>
              </w:rPr>
            </w:pPr>
            <w:r>
              <w:rPr>
                <w:rFonts w:ascii="Arial" w:cs="Arial" w:eastAsia="Arial" w:hAnsi="Arial"/>
                <w:sz w:val="15"/>
                <w:szCs w:val="15"/>
                <w:color w:val="auto"/>
                <w:w w:val="87"/>
              </w:rPr>
              <w:t>Associated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Associated</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Associated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with</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with</w:t>
            </w:r>
          </w:p>
        </w:tc>
      </w:tr>
      <w:tr>
        <w:trPr>
          <w:trHeight w:val="175"/>
        </w:trPr>
        <w:tc>
          <w:tcPr>
            <w:tcW w:w="940" w:type="dxa"/>
            <w:vAlign w:val="bottom"/>
            <w:tcBorders>
              <w:left w:val="single" w:sz="8" w:color="auto"/>
              <w:right w:val="single" w:sz="8" w:color="auto"/>
            </w:tcBorders>
          </w:tcPr>
          <w:p>
            <w:pPr>
              <w:spacing w:after="0"/>
              <w:rPr>
                <w:sz w:val="15"/>
                <w:szCs w:val="15"/>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Registrant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or</w:t>
            </w:r>
          </w:p>
        </w:tc>
        <w:tc>
          <w:tcPr>
            <w:tcW w:w="8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Initial</w:t>
            </w: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Borders>
              <w:right w:val="single" w:sz="8" w:color="auto"/>
            </w:tcBorders>
          </w:tcPr>
          <w:p>
            <w:pPr>
              <w:jc w:val="center"/>
              <w:ind w:right="507"/>
              <w:spacing w:after="0"/>
              <w:rPr>
                <w:sz w:val="20"/>
                <w:szCs w:val="20"/>
                <w:color w:val="auto"/>
              </w:rPr>
            </w:pPr>
            <w:r>
              <w:rPr>
                <w:rFonts w:ascii="Arial" w:cs="Arial" w:eastAsia="Arial" w:hAnsi="Arial"/>
                <w:sz w:val="15"/>
                <w:szCs w:val="15"/>
                <w:color w:val="auto"/>
                <w:w w:val="88"/>
              </w:rPr>
              <w:t>with Fee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1"/>
              </w:rPr>
              <w:t>with Fee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with Fee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Fee</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4"/>
              </w:rPr>
              <w:t>Fee</w:t>
            </w:r>
          </w:p>
        </w:tc>
      </w:tr>
      <w:tr>
        <w:trPr>
          <w:trHeight w:val="175"/>
        </w:trPr>
        <w:tc>
          <w:tcPr>
            <w:tcW w:w="940" w:type="dxa"/>
            <w:vAlign w:val="bottom"/>
            <w:tcBorders>
              <w:left w:val="single" w:sz="8" w:color="auto"/>
              <w:right w:val="single" w:sz="8" w:color="auto"/>
            </w:tcBorders>
          </w:tcPr>
          <w:p>
            <w:pPr>
              <w:spacing w:after="0"/>
              <w:rPr>
                <w:sz w:val="15"/>
                <w:szCs w:val="15"/>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or Filer</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4"/>
              </w:rPr>
              <w:t>Filing</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0"/>
              </w:rPr>
              <w:t>File</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Filing</w:t>
            </w:r>
          </w:p>
        </w:tc>
        <w:tc>
          <w:tcPr>
            <w:tcW w:w="78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Filing</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5"/>
              </w:rPr>
              <w:t>Fee Offset</w:t>
            </w:r>
          </w:p>
        </w:tc>
        <w:tc>
          <w:tcPr>
            <w:tcW w:w="520" w:type="dxa"/>
            <w:vAlign w:val="bottom"/>
          </w:tcPr>
          <w:p>
            <w:pPr>
              <w:spacing w:after="0"/>
              <w:rPr>
                <w:sz w:val="15"/>
                <w:szCs w:val="15"/>
                <w:color w:val="auto"/>
              </w:rPr>
            </w:pPr>
          </w:p>
        </w:tc>
        <w:tc>
          <w:tcPr>
            <w:tcW w:w="1400" w:type="dxa"/>
            <w:vAlign w:val="bottom"/>
            <w:tcBorders>
              <w:right w:val="single" w:sz="8" w:color="auto"/>
            </w:tcBorders>
          </w:tcPr>
          <w:p>
            <w:pPr>
              <w:jc w:val="center"/>
              <w:ind w:right="527"/>
              <w:spacing w:after="0"/>
              <w:rPr>
                <w:sz w:val="20"/>
                <w:szCs w:val="20"/>
                <w:color w:val="auto"/>
              </w:rPr>
            </w:pPr>
            <w:r>
              <w:rPr>
                <w:rFonts w:ascii="Arial" w:cs="Arial" w:eastAsia="Arial" w:hAnsi="Arial"/>
                <w:sz w:val="15"/>
                <w:szCs w:val="15"/>
                <w:color w:val="auto"/>
                <w:w w:val="89"/>
              </w:rPr>
              <w:t>Offset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Offset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Offset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Offset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9"/>
              </w:rPr>
              <w:t>Offset</w:t>
            </w:r>
          </w:p>
        </w:tc>
      </w:tr>
      <w:tr>
        <w:trPr>
          <w:trHeight w:val="186"/>
        </w:trPr>
        <w:tc>
          <w:tcPr>
            <w:tcW w:w="94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Name</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Type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Number</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Date</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Date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Claimed</w:t>
            </w: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jc w:val="center"/>
              <w:ind w:right="467"/>
              <w:spacing w:after="0"/>
              <w:rPr>
                <w:sz w:val="20"/>
                <w:szCs w:val="20"/>
                <w:color w:val="auto"/>
              </w:rPr>
            </w:pPr>
            <w:r>
              <w:rPr>
                <w:rFonts w:ascii="Arial" w:cs="Arial" w:eastAsia="Arial" w:hAnsi="Arial"/>
                <w:sz w:val="15"/>
                <w:szCs w:val="15"/>
                <w:color w:val="auto"/>
                <w:w w:val="90"/>
              </w:rPr>
              <w:t>Claimed</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Claimed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Claimed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Claimed</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4"/>
              </w:rPr>
              <w:t>Source</w:t>
            </w:r>
          </w:p>
        </w:tc>
      </w:tr>
      <w:tr>
        <w:trPr>
          <w:trHeight w:val="210"/>
        </w:trPr>
        <w:tc>
          <w:tcPr>
            <w:tcW w:w="940" w:type="dxa"/>
            <w:vAlign w:val="bottom"/>
            <w:tcBorders>
              <w:left w:val="single" w:sz="8" w:color="auto"/>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640"/>
              <w:spacing w:after="0"/>
              <w:rPr>
                <w:sz w:val="20"/>
                <w:szCs w:val="20"/>
                <w:color w:val="auto"/>
              </w:rPr>
            </w:pPr>
            <w:r>
              <w:rPr>
                <w:rFonts w:ascii="Arial" w:cs="Arial" w:eastAsia="Arial" w:hAnsi="Arial"/>
                <w:sz w:val="15"/>
                <w:szCs w:val="15"/>
                <w:color w:val="auto"/>
                <w:w w:val="96"/>
              </w:rPr>
              <w:t>Rule 457(p)</w:t>
            </w:r>
          </w:p>
        </w:tc>
        <w:tc>
          <w:tcPr>
            <w:tcW w:w="1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r>
        <w:trPr>
          <w:trHeight w:val="166"/>
        </w:trPr>
        <w:tc>
          <w:tcPr>
            <w:tcW w:w="940" w:type="dxa"/>
            <w:vAlign w:val="bottom"/>
            <w:tcBorders>
              <w:left w:val="single" w:sz="8" w:color="auto"/>
              <w:right w:val="single" w:sz="8" w:color="auto"/>
            </w:tcBorders>
          </w:tcPr>
          <w:p>
            <w:pPr>
              <w:ind w:left="160"/>
              <w:spacing w:after="0" w:line="167" w:lineRule="exact"/>
              <w:rPr>
                <w:sz w:val="20"/>
                <w:szCs w:val="20"/>
                <w:color w:val="auto"/>
              </w:rPr>
            </w:pPr>
            <w:r>
              <w:rPr>
                <w:rFonts w:ascii="Arial" w:cs="Arial" w:eastAsia="Arial" w:hAnsi="Arial"/>
                <w:sz w:val="15"/>
                <w:szCs w:val="15"/>
                <w:color w:val="auto"/>
              </w:rPr>
              <w:t>Fee Offset</w:t>
            </w:r>
          </w:p>
        </w:tc>
        <w:tc>
          <w:tcPr>
            <w:tcW w:w="780" w:type="dxa"/>
            <w:vAlign w:val="bottom"/>
            <w:tcBorders>
              <w:right w:val="single" w:sz="8" w:color="auto"/>
            </w:tcBorders>
          </w:tcPr>
          <w:p>
            <w:pPr>
              <w:spacing w:after="0" w:line="167" w:lineRule="exact"/>
              <w:rPr>
                <w:sz w:val="20"/>
                <w:szCs w:val="20"/>
                <w:color w:val="auto"/>
              </w:rPr>
            </w:pPr>
            <w:r>
              <w:rPr>
                <w:rFonts w:ascii="Arial" w:cs="Arial" w:eastAsia="Arial" w:hAnsi="Arial"/>
                <w:sz w:val="15"/>
                <w:szCs w:val="15"/>
                <w:color w:val="auto"/>
              </w:rPr>
              <w:t>Plain GP</w:t>
            </w:r>
          </w:p>
        </w:tc>
        <w:tc>
          <w:tcPr>
            <w:tcW w:w="68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85"/>
              </w:rPr>
              <w:t>S-3</w:t>
            </w:r>
          </w:p>
        </w:tc>
        <w:tc>
          <w:tcPr>
            <w:tcW w:w="80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87"/>
              </w:rPr>
              <w:t>333-214964</w:t>
            </w:r>
          </w:p>
        </w:tc>
        <w:tc>
          <w:tcPr>
            <w:tcW w:w="68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86"/>
              </w:rPr>
              <w:t>12/8/2016</w:t>
            </w:r>
          </w:p>
        </w:tc>
        <w:tc>
          <w:tcPr>
            <w:tcW w:w="7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88"/>
              </w:rPr>
              <w:t>$103,466.78</w:t>
            </w:r>
          </w:p>
        </w:tc>
        <w:tc>
          <w:tcPr>
            <w:tcW w:w="520" w:type="dxa"/>
            <w:vAlign w:val="bottom"/>
          </w:tcPr>
          <w:p>
            <w:pPr>
              <w:spacing w:after="0"/>
              <w:rPr>
                <w:sz w:val="14"/>
                <w:szCs w:val="14"/>
                <w:color w:val="auto"/>
              </w:rPr>
            </w:pPr>
          </w:p>
        </w:tc>
        <w:tc>
          <w:tcPr>
            <w:tcW w:w="1400" w:type="dxa"/>
            <w:vAlign w:val="bottom"/>
            <w:tcBorders>
              <w:right w:val="single" w:sz="8" w:color="auto"/>
            </w:tcBorders>
          </w:tcPr>
          <w:p>
            <w:pPr>
              <w:jc w:val="center"/>
              <w:ind w:right="467"/>
              <w:spacing w:after="0" w:line="167" w:lineRule="exact"/>
              <w:rPr>
                <w:sz w:val="20"/>
                <w:szCs w:val="20"/>
                <w:color w:val="auto"/>
              </w:rPr>
            </w:pPr>
            <w:r>
              <w:rPr>
                <w:rFonts w:ascii="Arial" w:cs="Arial" w:eastAsia="Arial" w:hAnsi="Arial"/>
                <w:sz w:val="15"/>
                <w:szCs w:val="15"/>
                <w:color w:val="auto"/>
                <w:w w:val="91"/>
              </w:rPr>
              <w:t>Equity</w:t>
            </w:r>
          </w:p>
        </w:tc>
        <w:tc>
          <w:tcPr>
            <w:tcW w:w="100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85"/>
              </w:rPr>
              <w:t>Class A shares</w:t>
            </w:r>
          </w:p>
        </w:tc>
        <w:tc>
          <w:tcPr>
            <w:tcW w:w="102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95"/>
              </w:rPr>
              <w:t>N/A</w:t>
            </w:r>
          </w:p>
        </w:tc>
        <w:tc>
          <w:tcPr>
            <w:tcW w:w="90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87"/>
              </w:rPr>
              <w:t>$938,900,000</w:t>
            </w:r>
          </w:p>
        </w:tc>
        <w:tc>
          <w:tcPr>
            <w:tcW w:w="880" w:type="dxa"/>
            <w:vAlign w:val="bottom"/>
            <w:tcBorders>
              <w:right w:val="single" w:sz="8" w:color="auto"/>
            </w:tcBorders>
          </w:tcPr>
          <w:p>
            <w:pPr>
              <w:spacing w:after="0"/>
              <w:rPr>
                <w:sz w:val="14"/>
                <w:szCs w:val="14"/>
                <w:color w:val="auto"/>
              </w:rPr>
            </w:pPr>
          </w:p>
        </w:tc>
      </w:tr>
      <w:tr>
        <w:trPr>
          <w:trHeight w:val="209"/>
        </w:trPr>
        <w:tc>
          <w:tcPr>
            <w:tcW w:w="94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5"/>
                <w:szCs w:val="15"/>
                <w:color w:val="auto"/>
              </w:rPr>
              <w:t>Claims</w:t>
            </w:r>
          </w:p>
        </w:tc>
        <w:tc>
          <w:tcPr>
            <w:tcW w:w="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Holdings,</w:t>
            </w:r>
          </w:p>
        </w:tc>
        <w:tc>
          <w:tcPr>
            <w:tcW w:w="6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8"/>
              </w:rPr>
              <w:t>representing</w:t>
            </w:r>
          </w:p>
        </w:tc>
        <w:tc>
          <w:tcPr>
            <w:tcW w:w="10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175"/>
        </w:trPr>
        <w:tc>
          <w:tcPr>
            <w:tcW w:w="940" w:type="dxa"/>
            <w:vAlign w:val="bottom"/>
            <w:tcBorders>
              <w:left w:val="single" w:sz="8" w:color="auto"/>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L.P.</w:t>
            </w:r>
          </w:p>
        </w:tc>
        <w:tc>
          <w:tcPr>
            <w:tcW w:w="6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6"/>
              </w:rPr>
              <w:t>limited</w:t>
            </w:r>
          </w:p>
        </w:tc>
        <w:tc>
          <w:tcPr>
            <w:tcW w:w="10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r>
      <w:tr>
        <w:trPr>
          <w:trHeight w:val="175"/>
        </w:trPr>
        <w:tc>
          <w:tcPr>
            <w:tcW w:w="940" w:type="dxa"/>
            <w:vAlign w:val="bottom"/>
            <w:tcBorders>
              <w:left w:val="single" w:sz="8" w:color="auto"/>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7"/>
              </w:rPr>
              <w:t>partnership</w:t>
            </w:r>
          </w:p>
        </w:tc>
        <w:tc>
          <w:tcPr>
            <w:tcW w:w="10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r>
      <w:tr>
        <w:trPr>
          <w:trHeight w:val="186"/>
        </w:trPr>
        <w:tc>
          <w:tcPr>
            <w:tcW w:w="94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8"/>
              </w:rPr>
              <w:t>interests</w:t>
            </w:r>
          </w:p>
        </w:tc>
        <w:tc>
          <w:tcPr>
            <w:tcW w:w="102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r>
      <w:tr>
        <w:trPr>
          <w:trHeight w:val="166"/>
        </w:trPr>
        <w:tc>
          <w:tcPr>
            <w:tcW w:w="940" w:type="dxa"/>
            <w:vAlign w:val="bottom"/>
            <w:tcBorders>
              <w:left w:val="single" w:sz="8" w:color="auto"/>
              <w:right w:val="single" w:sz="8" w:color="auto"/>
            </w:tcBorders>
          </w:tcPr>
          <w:p>
            <w:pPr>
              <w:ind w:left="200"/>
              <w:spacing w:after="0" w:line="167" w:lineRule="exact"/>
              <w:rPr>
                <w:sz w:val="20"/>
                <w:szCs w:val="20"/>
                <w:color w:val="auto"/>
              </w:rPr>
            </w:pPr>
            <w:r>
              <w:rPr>
                <w:rFonts w:ascii="Arial" w:cs="Arial" w:eastAsia="Arial" w:hAnsi="Arial"/>
                <w:sz w:val="15"/>
                <w:szCs w:val="15"/>
                <w:color w:val="auto"/>
                <w:w w:val="99"/>
              </w:rPr>
              <w:t>Fee Offset</w:t>
            </w:r>
          </w:p>
        </w:tc>
        <w:tc>
          <w:tcPr>
            <w:tcW w:w="780" w:type="dxa"/>
            <w:vAlign w:val="bottom"/>
            <w:tcBorders>
              <w:right w:val="single" w:sz="8" w:color="auto"/>
            </w:tcBorders>
          </w:tcPr>
          <w:p>
            <w:pPr>
              <w:ind w:left="360"/>
              <w:spacing w:after="0" w:line="167" w:lineRule="exact"/>
              <w:rPr>
                <w:sz w:val="20"/>
                <w:szCs w:val="20"/>
                <w:color w:val="auto"/>
              </w:rPr>
            </w:pPr>
            <w:r>
              <w:rPr>
                <w:rFonts w:ascii="Arial" w:cs="Arial" w:eastAsia="Arial" w:hAnsi="Arial"/>
                <w:sz w:val="15"/>
                <w:szCs w:val="15"/>
                <w:color w:val="auto"/>
              </w:rPr>
              <w:t>X</w:t>
            </w:r>
          </w:p>
        </w:tc>
        <w:tc>
          <w:tcPr>
            <w:tcW w:w="68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99"/>
              </w:rPr>
              <w:t>X</w:t>
            </w:r>
          </w:p>
        </w:tc>
        <w:tc>
          <w:tcPr>
            <w:tcW w:w="6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w w:val="98"/>
              </w:rPr>
              <w:t>12/8/2016</w:t>
            </w:r>
          </w:p>
        </w:tc>
        <w:tc>
          <w:tcPr>
            <w:tcW w:w="90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87"/>
              </w:rPr>
              <w:t>103,466.78(1)</w:t>
            </w:r>
          </w:p>
        </w:tc>
      </w:tr>
      <w:tr>
        <w:trPr>
          <w:trHeight w:val="175"/>
        </w:trPr>
        <w:tc>
          <w:tcPr>
            <w:tcW w:w="94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Sources</w:t>
            </w:r>
          </w:p>
        </w:tc>
        <w:tc>
          <w:tcPr>
            <w:tcW w:w="7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8943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(1) See Note (4) under Table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5835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extLst>
                    </a:blip>
                    <a:srcRect/>
                    <a:stretch>
                      <a:fillRect/>
                    </a:stretch>
                  </pic:blipFill>
                  <pic:spPr bwMode="auto">
                    <a:xfrm>
                      <a:off x="0" y="0"/>
                      <a:ext cx="7158355" cy="6985"/>
                    </a:xfrm>
                    <a:prstGeom prst="rect">
                      <a:avLst/>
                    </a:prstGeom>
                    <a:noFill/>
                  </pic:spPr>
                </pic:pic>
              </a:graphicData>
            </a:graphic>
          </wp:anchor>
        </w:drawing>
      </w:r>
    </w:p>
    <w:sectPr>
      <w:pgSz w:w="11900" w:h="16838" w:orient="portrait"/>
      <w:cols w:equalWidth="0" w:num="1">
        <w:col w:w="11280"/>
      </w:cols>
      <w:pgMar w:left="300" w:top="30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
    <w:nsid w:val="8EDBDAB"/>
    <w:multiLevelType w:val="hybridMultilevel"/>
    <w:lvl w:ilvl="0">
      <w:lvlJc w:val="left"/>
      <w:lvlText w:val="(%1)"/>
      <w:numFmt w:val="lowerLetter"/>
      <w:start w:val="2"/>
    </w:lvl>
    <w:lvl w:ilvl="1">
      <w:lvlJc w:val="left"/>
      <w:lvlText w:val="(%2)"/>
      <w:numFmt w:val="lowerRoman"/>
      <w:start w:val="1"/>
    </w:lvl>
  </w:abstractNum>
  <w:abstractNum w:abstractNumId="22">
    <w:nsid w:val="79838CB2"/>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3">
    <w:nsid w:val="4353D0C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lowerRoman"/>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75" Type="http://schemas.openxmlformats.org/officeDocument/2006/relationships/image" Target="media/image44.png"/><Relationship Id="rId76" Type="http://schemas.openxmlformats.org/officeDocument/2006/relationships/image" Target="media/image45.png"/><Relationship Id="rId77" Type="http://schemas.openxmlformats.org/officeDocument/2006/relationships/image" Target="media/image46.png"/><Relationship Id="rId78" Type="http://schemas.openxmlformats.org/officeDocument/2006/relationships/image" Target="media/image47.png"/><Relationship Id="rId79"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85" Type="http://schemas.openxmlformats.org/officeDocument/2006/relationships/image" Target="media/image54.png"/><Relationship Id="rId86" Type="http://schemas.openxmlformats.org/officeDocument/2006/relationships/image" Target="media/image55.png"/><Relationship Id="rId87" Type="http://schemas.openxmlformats.org/officeDocument/2006/relationships/image" Target="media/image56.png"/><Relationship Id="rId88" Type="http://schemas.openxmlformats.org/officeDocument/2006/relationships/image" Target="media/image57.png"/><Relationship Id="rId89" Type="http://schemas.openxmlformats.org/officeDocument/2006/relationships/image" Target="media/image58.png"/><Relationship Id="rId90" Type="http://schemas.openxmlformats.org/officeDocument/2006/relationships/image" Target="media/image59.png"/><Relationship Id="rId91" Type="http://schemas.openxmlformats.org/officeDocument/2006/relationships/image" Target="media/image60.png"/><Relationship Id="rId92" Type="http://schemas.openxmlformats.org/officeDocument/2006/relationships/image" Target="media/image61.png"/><Relationship Id="rId93" Type="http://schemas.openxmlformats.org/officeDocument/2006/relationships/image" Target="media/image62.png"/><Relationship Id="rId94" Type="http://schemas.openxmlformats.org/officeDocument/2006/relationships/image" Target="media/image63.png"/><Relationship Id="rId95" Type="http://schemas.openxmlformats.org/officeDocument/2006/relationships/image" Target="media/image64.png"/><Relationship Id="rId96" Type="http://schemas.openxmlformats.org/officeDocument/2006/relationships/image" Target="media/image65.jpeg"/><Relationship Id="rId97" Type="http://schemas.openxmlformats.org/officeDocument/2006/relationships/image" Target="media/image66.jpeg"/><Relationship Id="rId98" Type="http://schemas.openxmlformats.org/officeDocument/2006/relationships/image" Target="media/image67.png"/><Relationship Id="rId99" Type="http://schemas.openxmlformats.org/officeDocument/2006/relationships/image" Target="media/image68.jpeg"/><Relationship Id="rId100" Type="http://schemas.openxmlformats.org/officeDocument/2006/relationships/image" Target="media/image69.png"/><Relationship Id="rId101" Type="http://schemas.openxmlformats.org/officeDocument/2006/relationships/image" Target="media/image70.jpeg"/><Relationship Id="rId102" Type="http://schemas.openxmlformats.org/officeDocument/2006/relationships/image" Target="media/image71.jpeg"/><Relationship Id="rId103"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06" Type="http://schemas.openxmlformats.org/officeDocument/2006/relationships/image" Target="media/image75.png"/><Relationship Id="rId107" Type="http://schemas.openxmlformats.org/officeDocument/2006/relationships/image" Target="media/image76.png"/><Relationship Id="rId108" Type="http://schemas.openxmlformats.org/officeDocument/2006/relationships/image" Target="media/image77.png"/><Relationship Id="rId27" Type="http://schemas.openxmlformats.org/officeDocument/2006/relationships/hyperlink" Target="http://www.sec.gov/ix?doc=/Archives/edgar/data/1581990/000158199022000006/pagp-20211231.htm" TargetMode="External"/><Relationship Id="rId28" Type="http://schemas.openxmlformats.org/officeDocument/2006/relationships/hyperlink" Target="http://www.sec.gov/ix?doc=/Archives/edgar/data/1581990/000158199022000011/pagp-20220331.htm" TargetMode="External"/><Relationship Id="rId29" Type="http://schemas.openxmlformats.org/officeDocument/2006/relationships/hyperlink" Target="http://www.sec.gov/ix?doc=/Archives/edgar/data/1581990/000158199022000018/pagp-20220630.htm" TargetMode="External"/><Relationship Id="rId30" Type="http://schemas.openxmlformats.org/officeDocument/2006/relationships/hyperlink" Target="http://www.sec.gov/ix?doc=/Archives/edgar/data/1581990/000158199022000023/pagp-20220930.htm" TargetMode="External"/><Relationship Id="rId31" Type="http://schemas.openxmlformats.org/officeDocument/2006/relationships/hyperlink" Target="http://www.sec.gov/ix?doc=/Archives/edgar/data/1581990/000110465922028163/tm227689d1_8k.htm" TargetMode="External"/><Relationship Id="rId32" Type="http://schemas.openxmlformats.org/officeDocument/2006/relationships/hyperlink" Target="http://www.sec.gov/ix?doc=/Archives/edgar/data/1581990/000110465922065810/tm2216980d1_8k.htm" TargetMode="External"/><Relationship Id="rId33" Type="http://schemas.openxmlformats.org/officeDocument/2006/relationships/hyperlink" Target="http://www.sec.gov/ix?doc=/Archives/edgar/data/1581990/000110465922083718/tm2222016d1_8k.htm" TargetMode="External"/><Relationship Id="rId34" Type="http://schemas.openxmlformats.org/officeDocument/2006/relationships/hyperlink" Target="http://www.sec.gov/ix?doc=/Archives/edgar/data/1581990/000110465922094485/tm2224525d1_8k.htm" TargetMode="External"/><Relationship Id="rId35" Type="http://schemas.openxmlformats.org/officeDocument/2006/relationships/hyperlink" Target="http://www.sec.gov/Archives/edgar/data/1581990/000110465922045589/tm223468-1_def14a.htm" TargetMode="External"/><Relationship Id="rId36" Type="http://schemas.openxmlformats.org/officeDocument/2006/relationships/hyperlink" Target="http://www.sec.gov/Archives/edgar/data/1581990/000110465916157336/a16-21686_18a12ba.htm" TargetMode="External"/><Relationship Id="rId37" Type="http://schemas.openxmlformats.org/officeDocument/2006/relationships/hyperlink" Target="http://www.sec.gov/Archives/edgar/data/1581990/000110465920134603/tm2037371-3_8a12b.htm" TargetMode="External"/><Relationship Id="rId45" Type="http://schemas.openxmlformats.org/officeDocument/2006/relationships/hyperlink" Target="http://www.sec.gov/Archives/edgar/data/1581990/000158199022000006/pagp202110-kexhibit417.htm" TargetMode="External"/><Relationship Id="rId46" Type="http://schemas.openxmlformats.org/officeDocument/2006/relationships/hyperlink" Target="https://www.sec.gov/ix?doc=/Archives/edgar/data/1581990/000158199022000006/pagp-20211231.htm" TargetMode="External"/><Relationship Id="rId64" Type="http://schemas.openxmlformats.org/officeDocument/2006/relationships/hyperlink" Target="http://www.sec.gov/Archives/edgar/data/1581990/000104746913007875/a2216069zex-3_1.htm" TargetMode="External"/><Relationship Id="rId65" Type="http://schemas.openxmlformats.org/officeDocument/2006/relationships/hyperlink" Target="http://www.sec.gov/Archives/edgar/data/1581990/000110465916158356/a16-21845_1ex3d2.htm" TargetMode="External"/><Relationship Id="rId66" Type="http://schemas.openxmlformats.org/officeDocument/2006/relationships/hyperlink" Target="http://www.sec.gov/Archives/edgar/data/1581990/000158199020000012/exhibit31.htm" TargetMode="External"/><Relationship Id="rId67" Type="http://schemas.openxmlformats.org/officeDocument/2006/relationships/hyperlink" Target="http://www.sec.gov/Archives/edgar/data/1581990/000104746913007875/a2216069zex-3_3.htm" TargetMode="External"/><Relationship Id="rId68" Type="http://schemas.openxmlformats.org/officeDocument/2006/relationships/hyperlink" Target="http://www.sec.gov/Archives/edgar/data/1581990/000158199022000006/pagp202110-kexhibit311a.htm" TargetMode="External"/><Relationship Id="rId69" Type="http://schemas.openxmlformats.org/officeDocument/2006/relationships/hyperlink" Target="http://www.sec.gov/Archives/edgar/data/1070423/000110465917061889/a17-22685_5ex3d1.htm" TargetMode="External"/><Relationship Id="rId70" Type="http://schemas.openxmlformats.org/officeDocument/2006/relationships/hyperlink" Target="http://www.sec.gov/Archives/edgar/data/1581990/000110465916158356/a16-21845_1ex3d3.htm" TargetMode="External"/><Relationship Id="rId71" Type="http://schemas.openxmlformats.org/officeDocument/2006/relationships/hyperlink" Target="http://www.sec.gov/Archives/edgar/data/1581990/000110465916158356/a16-21845_1ex3d4.htm" TargetMode="External"/><Relationship Id="rId72" Type="http://schemas.openxmlformats.org/officeDocument/2006/relationships/hyperlink" Target="http://www.sec.gov/Archives/edgar/data/1581990/000110465918060012/a18-36197_1ex3d1.htm" TargetMode="External"/><Relationship Id="rId73" Type="http://schemas.openxmlformats.org/officeDocument/2006/relationships/hyperlink" Target="http://www.sec.gov/Archives/edgar/data/1581990/000110465919032813/a19-10857_1ex3d1.htm" TargetMode="External"/><Relationship Id="rId74" Type="http://schemas.openxmlformats.org/officeDocument/2006/relationships/hyperlink" Target="http://www.sec.gov/Archives/edgar/data/1070423/000095012908000071/h52770exv3w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2022-12-16T15:54:39Z</dcterms:created>
  <dcterms:modified xsi:type="dcterms:W3CDTF">2022-12-16T15:54:39Z</dcterms:modified>
</cp:coreProperties>
</file>