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51">
        <w:r>
          <w:rPr>
            <w:rFonts w:ascii="Arial" w:cs="Arial" w:eastAsia="Arial" w:hAnsi="Arial"/>
            <w:sz w:val="22"/>
            <w:szCs w:val="22"/>
            <w:u w:val="single" w:color="auto"/>
            <w:color w:val="0000EE"/>
          </w:rPr>
          <w:t>TABLE OF CONTENTS</w:t>
        </w:r>
      </w:hyperlink>
    </w:p>
    <w:p>
      <w:pPr>
        <w:spacing w:after="0" w:line="19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333-227358</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0" w:lineRule="exact"/>
        <w:rPr>
          <w:sz w:val="24"/>
          <w:szCs w:val="24"/>
          <w:color w:val="auto"/>
        </w:rPr>
      </w:pPr>
    </w:p>
    <w:p>
      <w:pPr>
        <w:spacing w:after="0" w:line="262" w:lineRule="exact"/>
        <w:rPr>
          <w:sz w:val="24"/>
          <w:szCs w:val="24"/>
          <w:color w:val="auto"/>
        </w:rPr>
      </w:pPr>
    </w:p>
    <w:tbl>
      <w:tblPr>
        <w:tblLayout w:type="fixed"/>
        <w:tblInd w:w="13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940" w:type="dxa"/>
            <w:vAlign w:val="bottom"/>
            <w:tcBorders>
              <w:top w:val="single" w:sz="8" w:color="auto"/>
              <w:bottom w:val="single" w:sz="8" w:color="auto"/>
            </w:tcBorders>
          </w:tcPr>
          <w:p>
            <w:pPr>
              <w:spacing w:after="0"/>
              <w:rPr>
                <w:sz w:val="3"/>
                <w:szCs w:val="3"/>
                <w:color w:val="auto"/>
              </w:rPr>
            </w:pPr>
          </w:p>
        </w:tc>
        <w:tc>
          <w:tcPr>
            <w:tcW w:w="234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340" w:type="dxa"/>
            <w:vAlign w:val="bottom"/>
          </w:tcPr>
          <w:p>
            <w:pPr>
              <w:jc w:val="center"/>
              <w:ind w:left="506"/>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126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5"/>
              </w:rPr>
              <w:t>Amount of</w:t>
            </w:r>
          </w:p>
        </w:tc>
      </w:tr>
      <w:tr>
        <w:trPr>
          <w:trHeight w:val="182"/>
        </w:trPr>
        <w:tc>
          <w:tcPr>
            <w:tcW w:w="20" w:type="dxa"/>
            <w:vAlign w:val="bottom"/>
          </w:tcPr>
          <w:p>
            <w:pPr>
              <w:spacing w:after="0"/>
              <w:rPr>
                <w:sz w:val="15"/>
                <w:szCs w:val="15"/>
                <w:color w:val="auto"/>
              </w:rPr>
            </w:pPr>
          </w:p>
        </w:tc>
        <w:tc>
          <w:tcPr>
            <w:tcW w:w="4940" w:type="dxa"/>
            <w:vAlign w:val="bottom"/>
            <w:tcBorders>
              <w:bottom w:val="single" w:sz="8" w:color="auto"/>
            </w:tcBorders>
          </w:tcPr>
          <w:p>
            <w:pPr>
              <w:ind w:left="138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2340" w:type="dxa"/>
            <w:vAlign w:val="bottom"/>
            <w:tcBorders>
              <w:bottom w:val="single" w:sz="8" w:color="auto"/>
            </w:tcBorders>
          </w:tcPr>
          <w:p>
            <w:pPr>
              <w:jc w:val="center"/>
              <w:ind w:left="486"/>
              <w:spacing w:after="0"/>
              <w:rPr>
                <w:sz w:val="20"/>
                <w:szCs w:val="20"/>
                <w:color w:val="auto"/>
              </w:rPr>
            </w:pPr>
            <w:r>
              <w:rPr>
                <w:rFonts w:ascii="Arial" w:cs="Arial" w:eastAsia="Arial" w:hAnsi="Arial"/>
                <w:sz w:val="13"/>
                <w:szCs w:val="13"/>
                <w:b w:val="1"/>
                <w:bCs w:val="1"/>
                <w:color w:val="auto"/>
                <w:w w:val="92"/>
              </w:rPr>
              <w:t>aggregate offering price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registration fee</w:t>
            </w: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3.800% Senior Notes due 2030</w:t>
            </w:r>
          </w:p>
        </w:tc>
        <w:tc>
          <w:tcPr>
            <w:tcW w:w="2340" w:type="dxa"/>
            <w:vAlign w:val="bottom"/>
          </w:tcPr>
          <w:p>
            <w:pPr>
              <w:jc w:val="center"/>
              <w:ind w:left="506"/>
              <w:spacing w:after="0"/>
              <w:rPr>
                <w:sz w:val="20"/>
                <w:szCs w:val="20"/>
                <w:color w:val="auto"/>
              </w:rPr>
            </w:pPr>
            <w:r>
              <w:rPr>
                <w:rFonts w:ascii="Arial" w:cs="Arial" w:eastAsia="Arial" w:hAnsi="Arial"/>
                <w:sz w:val="18"/>
                <w:szCs w:val="18"/>
                <w:color w:val="auto"/>
                <w:w w:val="87"/>
              </w:rPr>
              <w:t>$750,000,000</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$97,350(1)</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1" w:lineRule="exact"/>
        <w:rPr>
          <w:sz w:val="24"/>
          <w:szCs w:val="24"/>
          <w:color w:val="auto"/>
        </w:rPr>
      </w:pPr>
    </w:p>
    <w:p>
      <w:pPr>
        <w:ind w:left="540" w:right="22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calculated in accordance with Rule 457(r), has been transmitted to the SEC in connection with the securities offered from Registration Statement File No. 333-227358 by means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14, 2018)</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160020</wp:posOffset>
            </wp:positionV>
            <wp:extent cx="2237105"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710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3.800%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160020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Plains All American Pipeline, L.P. and PAA Finance Corp. are offering $750 million aggregate principal amount of 3.800% Senior Notes due 2030 (the "Notes").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will pay interest on the Notes semi-annually in arrears on March 15 and September 15 of each year, beginning on September 15, 2020. The Notes will mature on September 15, 2030, unless redeemed prior to the maturity date.</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may, at our option, redeem the Notes at any time in whole or from time to time in part, prior to maturity, at the redemption prices as described herein under "Description of Notes—Optional Redemption."</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Notes will be the unsecured senior obligations of Plains All American Pipeline, L.P. and PAA Finance Corp. and will rank equally in right of payment with their other senior indebtedness from time to time outstanding.</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123190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Investing in the Notes involves risks. See "Risk Factors" beginning on page S-6 of this prospectus supplement.</w:t>
      </w:r>
    </w:p>
    <w:p>
      <w:pPr>
        <w:spacing w:after="0" w:line="260"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94615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5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400" w:type="dxa"/>
            <w:vAlign w:val="bottom"/>
            <w:tcBorders>
              <w:top w:val="single" w:sz="8" w:color="auto"/>
              <w:bottom w:val="single" w:sz="8" w:color="auto"/>
            </w:tcBorders>
          </w:tcPr>
          <w:p>
            <w:pPr>
              <w:spacing w:after="0"/>
              <w:rPr>
                <w:sz w:val="3"/>
                <w:szCs w:val="3"/>
                <w:color w:val="auto"/>
              </w:rPr>
            </w:pPr>
          </w:p>
        </w:tc>
        <w:tc>
          <w:tcPr>
            <w:tcW w:w="304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40" w:type="dxa"/>
            <w:vAlign w:val="bottom"/>
          </w:tcPr>
          <w:p>
            <w:pPr>
              <w:ind w:left="1820"/>
              <w:spacing w:after="0" w:line="116" w:lineRule="exact"/>
              <w:rPr>
                <w:sz w:val="20"/>
                <w:szCs w:val="20"/>
                <w:color w:val="auto"/>
              </w:rPr>
            </w:pPr>
            <w:r>
              <w:rPr>
                <w:rFonts w:ascii="Arial" w:cs="Arial" w:eastAsia="Arial" w:hAnsi="Arial"/>
                <w:sz w:val="13"/>
                <w:szCs w:val="13"/>
                <w:b w:val="1"/>
                <w:bCs w:val="1"/>
                <w:color w:val="auto"/>
              </w:rPr>
              <w:t>Public Offering</w:t>
            </w:r>
          </w:p>
        </w:tc>
        <w:tc>
          <w:tcPr>
            <w:tcW w:w="136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9"/>
              </w:rPr>
              <w:t>Underwriting</w:t>
            </w:r>
          </w:p>
        </w:tc>
        <w:tc>
          <w:tcPr>
            <w:tcW w:w="1440" w:type="dxa"/>
            <w:vAlign w:val="bottom"/>
          </w:tcPr>
          <w:p>
            <w:pPr>
              <w:jc w:val="center"/>
              <w:ind w:left="42"/>
              <w:spacing w:after="0" w:line="116" w:lineRule="exact"/>
              <w:rPr>
                <w:sz w:val="20"/>
                <w:szCs w:val="20"/>
                <w:color w:val="auto"/>
              </w:rPr>
            </w:pPr>
            <w:r>
              <w:rPr>
                <w:rFonts w:ascii="Arial" w:cs="Arial" w:eastAsia="Arial" w:hAnsi="Arial"/>
                <w:sz w:val="13"/>
                <w:szCs w:val="13"/>
                <w:b w:val="1"/>
                <w:bCs w:val="1"/>
                <w:color w:val="auto"/>
                <w:w w:val="89"/>
              </w:rPr>
              <w:t>Proceeds, Before</w:t>
            </w:r>
          </w:p>
        </w:tc>
      </w:tr>
      <w:tr>
        <w:trPr>
          <w:trHeight w:val="182"/>
        </w:trPr>
        <w:tc>
          <w:tcPr>
            <w:tcW w:w="20" w:type="dxa"/>
            <w:vAlign w:val="bottom"/>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jc w:val="center"/>
              <w:ind w:left="1422"/>
              <w:spacing w:after="0"/>
              <w:rPr>
                <w:sz w:val="20"/>
                <w:szCs w:val="20"/>
                <w:color w:val="auto"/>
              </w:rPr>
            </w:pPr>
            <w:r>
              <w:rPr>
                <w:rFonts w:ascii="Arial" w:cs="Arial" w:eastAsia="Arial" w:hAnsi="Arial"/>
                <w:sz w:val="13"/>
                <w:szCs w:val="13"/>
                <w:b w:val="1"/>
                <w:bCs w:val="1"/>
                <w:color w:val="auto"/>
                <w:w w:val="96"/>
              </w:rPr>
              <w:t>Price(1)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Discount</w:t>
            </w:r>
          </w:p>
        </w:tc>
        <w:tc>
          <w:tcPr>
            <w:tcW w:w="1440" w:type="dxa"/>
            <w:vAlign w:val="bottom"/>
            <w:tcBorders>
              <w:bottom w:val="single" w:sz="8" w:color="auto"/>
            </w:tcBorders>
          </w:tcPr>
          <w:p>
            <w:pPr>
              <w:jc w:val="center"/>
              <w:ind w:left="42"/>
              <w:spacing w:after="0"/>
              <w:rPr>
                <w:sz w:val="20"/>
                <w:szCs w:val="20"/>
                <w:color w:val="auto"/>
              </w:rPr>
            </w:pPr>
            <w:r>
              <w:rPr>
                <w:rFonts w:ascii="Arial" w:cs="Arial" w:eastAsia="Arial" w:hAnsi="Arial"/>
                <w:sz w:val="13"/>
                <w:szCs w:val="13"/>
                <w:b w:val="1"/>
                <w:bCs w:val="1"/>
                <w:color w:val="auto"/>
                <w:w w:val="87"/>
              </w:rPr>
              <w:t>Expenses, to Us</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Per Note</w:t>
            </w:r>
          </w:p>
        </w:tc>
        <w:tc>
          <w:tcPr>
            <w:tcW w:w="3040" w:type="dxa"/>
            <w:vAlign w:val="bottom"/>
          </w:tcPr>
          <w:p>
            <w:pPr>
              <w:jc w:val="center"/>
              <w:ind w:left="1402"/>
              <w:spacing w:after="0"/>
              <w:rPr>
                <w:sz w:val="20"/>
                <w:szCs w:val="20"/>
                <w:color w:val="auto"/>
              </w:rPr>
            </w:pPr>
            <w:r>
              <w:rPr>
                <w:rFonts w:ascii="Arial" w:cs="Arial" w:eastAsia="Arial" w:hAnsi="Arial"/>
                <w:sz w:val="18"/>
                <w:szCs w:val="18"/>
                <w:color w:val="auto"/>
                <w:w w:val="90"/>
              </w:rPr>
              <w:t>99.794%</w:t>
            </w:r>
          </w:p>
        </w:tc>
        <w:tc>
          <w:tcPr>
            <w:tcW w:w="1360" w:type="dxa"/>
            <w:vAlign w:val="bottom"/>
          </w:tcPr>
          <w:p>
            <w:pPr>
              <w:jc w:val="right"/>
              <w:ind w:right="322"/>
              <w:spacing w:after="0"/>
              <w:rPr>
                <w:sz w:val="20"/>
                <w:szCs w:val="20"/>
                <w:color w:val="auto"/>
              </w:rPr>
            </w:pPr>
            <w:r>
              <w:rPr>
                <w:rFonts w:ascii="Arial" w:cs="Arial" w:eastAsia="Arial" w:hAnsi="Arial"/>
                <w:sz w:val="18"/>
                <w:szCs w:val="18"/>
                <w:color w:val="auto"/>
              </w:rPr>
              <w:t>0.650%</w:t>
            </w:r>
          </w:p>
        </w:tc>
        <w:tc>
          <w:tcPr>
            <w:tcW w:w="1440" w:type="dxa"/>
            <w:vAlign w:val="bottom"/>
          </w:tcPr>
          <w:p>
            <w:pPr>
              <w:jc w:val="right"/>
              <w:ind w:right="262"/>
              <w:spacing w:after="0"/>
              <w:rPr>
                <w:sz w:val="20"/>
                <w:szCs w:val="20"/>
                <w:color w:val="auto"/>
              </w:rPr>
            </w:pPr>
            <w:r>
              <w:rPr>
                <w:rFonts w:ascii="Arial" w:cs="Arial" w:eastAsia="Arial" w:hAnsi="Arial"/>
                <w:sz w:val="18"/>
                <w:szCs w:val="18"/>
                <w:color w:val="auto"/>
              </w:rPr>
              <w:t>99.144%</w:t>
            </w:r>
          </w:p>
        </w:tc>
      </w:tr>
      <w:tr>
        <w:trPr>
          <w:trHeight w:val="21"/>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Total</w:t>
            </w:r>
          </w:p>
        </w:tc>
        <w:tc>
          <w:tcPr>
            <w:tcW w:w="3040" w:type="dxa"/>
            <w:vAlign w:val="bottom"/>
          </w:tcPr>
          <w:p>
            <w:pPr>
              <w:jc w:val="center"/>
              <w:ind w:left="1402"/>
              <w:spacing w:after="0"/>
              <w:rPr>
                <w:sz w:val="20"/>
                <w:szCs w:val="20"/>
                <w:color w:val="auto"/>
              </w:rPr>
            </w:pPr>
            <w:r>
              <w:rPr>
                <w:rFonts w:ascii="Arial" w:cs="Arial" w:eastAsia="Arial" w:hAnsi="Arial"/>
                <w:sz w:val="18"/>
                <w:szCs w:val="18"/>
                <w:color w:val="auto"/>
                <w:w w:val="87"/>
              </w:rPr>
              <w:t>$748,455,000</w:t>
            </w:r>
          </w:p>
        </w:tc>
        <w:tc>
          <w:tcPr>
            <w:tcW w:w="1360" w:type="dxa"/>
            <w:vAlign w:val="bottom"/>
          </w:tcPr>
          <w:p>
            <w:pPr>
              <w:jc w:val="right"/>
              <w:ind w:right="202"/>
              <w:spacing w:after="0"/>
              <w:rPr>
                <w:sz w:val="20"/>
                <w:szCs w:val="20"/>
                <w:color w:val="auto"/>
              </w:rPr>
            </w:pPr>
            <w:r>
              <w:rPr>
                <w:rFonts w:ascii="Arial" w:cs="Arial" w:eastAsia="Arial" w:hAnsi="Arial"/>
                <w:sz w:val="18"/>
                <w:szCs w:val="18"/>
                <w:color w:val="auto"/>
              </w:rPr>
              <w:t>$4,875,000</w:t>
            </w:r>
          </w:p>
        </w:tc>
        <w:tc>
          <w:tcPr>
            <w:tcW w:w="1440" w:type="dxa"/>
            <w:vAlign w:val="bottom"/>
          </w:tcPr>
          <w:p>
            <w:pPr>
              <w:jc w:val="right"/>
              <w:ind w:right="102"/>
              <w:spacing w:after="0"/>
              <w:rPr>
                <w:sz w:val="20"/>
                <w:szCs w:val="20"/>
                <w:color w:val="auto"/>
              </w:rPr>
            </w:pPr>
            <w:r>
              <w:rPr>
                <w:rFonts w:ascii="Arial" w:cs="Arial" w:eastAsia="Arial" w:hAnsi="Arial"/>
                <w:sz w:val="18"/>
                <w:szCs w:val="18"/>
                <w:color w:val="auto"/>
              </w:rPr>
              <w:t>$743,580,000</w:t>
            </w:r>
          </w:p>
        </w:tc>
      </w:tr>
      <w:tr>
        <w:trPr>
          <w:trHeight w:val="21"/>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if any, from June 11, 2020 if settlement occurs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147955</wp:posOffset>
            </wp:positionV>
            <wp:extent cx="180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 xml:space="preserve">The underwriters expect to deliver the Notes in book-entry form only through facilities of The Depository Trust Company for the account of its participants, including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and Euroclear Bank SA/NV, as operator of the Euroclear System, against payment in New York, New York on or about June 11, 2020, the third trading day after the date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128270</wp:posOffset>
            </wp:positionV>
            <wp:extent cx="180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540" w:type="dxa"/>
        <w:tblCellMar>
          <w:top w:w="0" w:type="dxa"/>
          <w:left w:w="0" w:type="dxa"/>
          <w:bottom w:w="0" w:type="dxa"/>
          <w:right w:w="0" w:type="dxa"/>
        </w:tblCellMar>
      </w:tblPr>
      <w:tr>
        <w:trPr>
          <w:trHeight w:val="222"/>
        </w:trPr>
        <w:tc>
          <w:tcPr>
            <w:tcW w:w="1640" w:type="dxa"/>
            <w:vAlign w:val="bottom"/>
          </w:tcPr>
          <w:p>
            <w:pPr>
              <w:spacing w:after="0"/>
              <w:rPr>
                <w:sz w:val="19"/>
                <w:szCs w:val="19"/>
                <w:color w:val="auto"/>
              </w:rPr>
            </w:pPr>
          </w:p>
        </w:tc>
        <w:tc>
          <w:tcPr>
            <w:tcW w:w="4600" w:type="dxa"/>
            <w:vAlign w:val="bottom"/>
            <w:gridSpan w:val="2"/>
          </w:tcPr>
          <w:p>
            <w:pPr>
              <w:ind w:left="1360"/>
              <w:spacing w:after="0"/>
              <w:rPr>
                <w:sz w:val="20"/>
                <w:szCs w:val="20"/>
                <w:color w:val="auto"/>
              </w:rPr>
            </w:pPr>
            <w:r>
              <w:rPr>
                <w:rFonts w:ascii="Arial" w:cs="Arial" w:eastAsia="Arial" w:hAnsi="Arial"/>
                <w:sz w:val="18"/>
                <w:szCs w:val="18"/>
                <w:i w:val="1"/>
                <w:iCs w:val="1"/>
                <w:color w:val="auto"/>
              </w:rPr>
              <w:t>Joint Book-Running Managers</w:t>
            </w:r>
          </w:p>
        </w:tc>
        <w:tc>
          <w:tcPr>
            <w:tcW w:w="2320" w:type="dxa"/>
            <w:vAlign w:val="bottom"/>
          </w:tcPr>
          <w:p>
            <w:pPr>
              <w:spacing w:after="0"/>
              <w:rPr>
                <w:sz w:val="19"/>
                <w:szCs w:val="19"/>
                <w:color w:val="auto"/>
              </w:rPr>
            </w:pPr>
          </w:p>
        </w:tc>
      </w:tr>
      <w:tr>
        <w:trPr>
          <w:trHeight w:val="471"/>
        </w:trPr>
        <w:tc>
          <w:tcPr>
            <w:tcW w:w="164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J.P. Morgan</w:t>
            </w:r>
          </w:p>
        </w:tc>
        <w:tc>
          <w:tcPr>
            <w:tcW w:w="2540" w:type="dxa"/>
            <w:vAlign w:val="bottom"/>
          </w:tcPr>
          <w:p>
            <w:pPr>
              <w:jc w:val="center"/>
              <w:spacing w:after="0"/>
              <w:rPr>
                <w:sz w:val="20"/>
                <w:szCs w:val="20"/>
                <w:color w:val="auto"/>
              </w:rPr>
            </w:pPr>
            <w:r>
              <w:rPr>
                <w:rFonts w:ascii="Arial" w:cs="Arial" w:eastAsia="Arial" w:hAnsi="Arial"/>
                <w:sz w:val="22"/>
                <w:szCs w:val="22"/>
                <w:b w:val="1"/>
                <w:bCs w:val="1"/>
                <w:color w:val="auto"/>
                <w:w w:val="87"/>
              </w:rPr>
              <w:t>Barclays</w:t>
            </w:r>
          </w:p>
        </w:tc>
        <w:tc>
          <w:tcPr>
            <w:tcW w:w="2060" w:type="dxa"/>
            <w:vAlign w:val="bottom"/>
          </w:tcPr>
          <w:p>
            <w:pPr>
              <w:jc w:val="center"/>
              <w:spacing w:after="0"/>
              <w:rPr>
                <w:sz w:val="20"/>
                <w:szCs w:val="20"/>
                <w:color w:val="auto"/>
              </w:rPr>
            </w:pPr>
            <w:r>
              <w:rPr>
                <w:rFonts w:ascii="Arial" w:cs="Arial" w:eastAsia="Arial" w:hAnsi="Arial"/>
                <w:sz w:val="22"/>
                <w:szCs w:val="22"/>
                <w:b w:val="1"/>
                <w:bCs w:val="1"/>
                <w:color w:val="auto"/>
                <w:w w:val="86"/>
              </w:rPr>
              <w:t>BofA Securities</w:t>
            </w:r>
          </w:p>
        </w:tc>
        <w:tc>
          <w:tcPr>
            <w:tcW w:w="2320" w:type="dxa"/>
            <w:vAlign w:val="bottom"/>
          </w:tcPr>
          <w:p>
            <w:pPr>
              <w:jc w:val="center"/>
              <w:ind w:left="192"/>
              <w:spacing w:after="0"/>
              <w:rPr>
                <w:sz w:val="20"/>
                <w:szCs w:val="20"/>
                <w:color w:val="auto"/>
              </w:rPr>
            </w:pPr>
            <w:r>
              <w:rPr>
                <w:rFonts w:ascii="Arial" w:cs="Arial" w:eastAsia="Arial" w:hAnsi="Arial"/>
                <w:sz w:val="22"/>
                <w:szCs w:val="22"/>
                <w:b w:val="1"/>
                <w:bCs w:val="1"/>
                <w:color w:val="auto"/>
                <w:w w:val="93"/>
              </w:rPr>
              <w:t>RBC Capital Markets</w:t>
            </w:r>
          </w:p>
        </w:tc>
      </w:tr>
      <w:tr>
        <w:trPr>
          <w:trHeight w:val="449"/>
        </w:trPr>
        <w:tc>
          <w:tcPr>
            <w:tcW w:w="164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BBVA</w:t>
            </w:r>
          </w:p>
        </w:tc>
        <w:tc>
          <w:tcPr>
            <w:tcW w:w="2540" w:type="dxa"/>
            <w:vAlign w:val="bottom"/>
          </w:tcPr>
          <w:p>
            <w:pPr>
              <w:jc w:val="center"/>
              <w:spacing w:after="0"/>
              <w:rPr>
                <w:sz w:val="20"/>
                <w:szCs w:val="20"/>
                <w:color w:val="auto"/>
              </w:rPr>
            </w:pPr>
            <w:r>
              <w:rPr>
                <w:rFonts w:ascii="Arial" w:cs="Arial" w:eastAsia="Arial" w:hAnsi="Arial"/>
                <w:sz w:val="22"/>
                <w:szCs w:val="22"/>
                <w:b w:val="1"/>
                <w:bCs w:val="1"/>
                <w:color w:val="auto"/>
                <w:w w:val="96"/>
              </w:rPr>
              <w:t>BMO Capital</w:t>
            </w:r>
          </w:p>
        </w:tc>
        <w:tc>
          <w:tcPr>
            <w:tcW w:w="2060" w:type="dxa"/>
            <w:vAlign w:val="bottom"/>
          </w:tcPr>
          <w:p>
            <w:pPr>
              <w:jc w:val="center"/>
              <w:spacing w:after="0"/>
              <w:rPr>
                <w:sz w:val="20"/>
                <w:szCs w:val="20"/>
                <w:color w:val="auto"/>
              </w:rPr>
            </w:pPr>
            <w:r>
              <w:rPr>
                <w:rFonts w:ascii="Arial" w:cs="Arial" w:eastAsia="Arial" w:hAnsi="Arial"/>
                <w:sz w:val="22"/>
                <w:szCs w:val="22"/>
                <w:b w:val="1"/>
                <w:bCs w:val="1"/>
                <w:color w:val="auto"/>
                <w:w w:val="96"/>
              </w:rPr>
              <w:t>CIBC Capital</w:t>
            </w:r>
          </w:p>
        </w:tc>
        <w:tc>
          <w:tcPr>
            <w:tcW w:w="2320" w:type="dxa"/>
            <w:vAlign w:val="bottom"/>
          </w:tcPr>
          <w:p>
            <w:pPr>
              <w:jc w:val="center"/>
              <w:ind w:left="192"/>
              <w:spacing w:after="0"/>
              <w:rPr>
                <w:sz w:val="20"/>
                <w:szCs w:val="20"/>
                <w:color w:val="auto"/>
              </w:rPr>
            </w:pPr>
            <w:r>
              <w:rPr>
                <w:rFonts w:ascii="Arial" w:cs="Arial" w:eastAsia="Arial" w:hAnsi="Arial"/>
                <w:sz w:val="22"/>
                <w:szCs w:val="22"/>
                <w:b w:val="1"/>
                <w:bCs w:val="1"/>
                <w:color w:val="auto"/>
                <w:w w:val="93"/>
              </w:rPr>
              <w:t>PNC Capital</w:t>
            </w:r>
          </w:p>
        </w:tc>
      </w:tr>
      <w:tr>
        <w:trPr>
          <w:trHeight w:val="280"/>
        </w:trPr>
        <w:tc>
          <w:tcPr>
            <w:tcW w:w="164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22"/>
                <w:szCs w:val="22"/>
                <w:b w:val="1"/>
                <w:bCs w:val="1"/>
                <w:color w:val="auto"/>
                <w:w w:val="93"/>
              </w:rPr>
              <w:t>Markets</w:t>
            </w:r>
          </w:p>
        </w:tc>
        <w:tc>
          <w:tcPr>
            <w:tcW w:w="2060" w:type="dxa"/>
            <w:vAlign w:val="bottom"/>
          </w:tcPr>
          <w:p>
            <w:pPr>
              <w:jc w:val="center"/>
              <w:spacing w:after="0"/>
              <w:rPr>
                <w:sz w:val="20"/>
                <w:szCs w:val="20"/>
                <w:color w:val="auto"/>
              </w:rPr>
            </w:pPr>
            <w:r>
              <w:rPr>
                <w:rFonts w:ascii="Arial" w:cs="Arial" w:eastAsia="Arial" w:hAnsi="Arial"/>
                <w:sz w:val="22"/>
                <w:szCs w:val="22"/>
                <w:b w:val="1"/>
                <w:bCs w:val="1"/>
                <w:color w:val="auto"/>
                <w:w w:val="93"/>
              </w:rPr>
              <w:t>Markets</w:t>
            </w:r>
          </w:p>
        </w:tc>
        <w:tc>
          <w:tcPr>
            <w:tcW w:w="2320" w:type="dxa"/>
            <w:vAlign w:val="bottom"/>
          </w:tcPr>
          <w:p>
            <w:pPr>
              <w:jc w:val="center"/>
              <w:ind w:left="172"/>
              <w:spacing w:after="0"/>
              <w:rPr>
                <w:sz w:val="20"/>
                <w:szCs w:val="20"/>
                <w:color w:val="auto"/>
              </w:rPr>
            </w:pPr>
            <w:r>
              <w:rPr>
                <w:rFonts w:ascii="Arial" w:cs="Arial" w:eastAsia="Arial" w:hAnsi="Arial"/>
                <w:sz w:val="22"/>
                <w:szCs w:val="22"/>
                <w:b w:val="1"/>
                <w:bCs w:val="1"/>
                <w:color w:val="auto"/>
                <w:w w:val="96"/>
              </w:rPr>
              <w:t>Markets LLC</w:t>
            </w:r>
          </w:p>
        </w:tc>
      </w:tr>
      <w:tr>
        <w:trPr>
          <w:trHeight w:val="449"/>
        </w:trPr>
        <w:tc>
          <w:tcPr>
            <w:tcW w:w="1640" w:type="dxa"/>
            <w:vAlign w:val="bottom"/>
          </w:tcPr>
          <w:p>
            <w:pPr>
              <w:jc w:val="center"/>
              <w:ind w:right="292"/>
              <w:spacing w:after="0"/>
              <w:rPr>
                <w:sz w:val="20"/>
                <w:szCs w:val="20"/>
                <w:color w:val="auto"/>
              </w:rPr>
            </w:pPr>
            <w:r>
              <w:rPr>
                <w:rFonts w:ascii="Arial" w:cs="Arial" w:eastAsia="Arial" w:hAnsi="Arial"/>
                <w:sz w:val="22"/>
                <w:szCs w:val="22"/>
                <w:b w:val="1"/>
                <w:bCs w:val="1"/>
                <w:color w:val="auto"/>
                <w:w w:val="94"/>
              </w:rPr>
              <w:t>SMBC Nikko</w:t>
            </w:r>
          </w:p>
        </w:tc>
        <w:tc>
          <w:tcPr>
            <w:tcW w:w="2540" w:type="dxa"/>
            <w:vAlign w:val="bottom"/>
          </w:tcPr>
          <w:p>
            <w:pPr>
              <w:jc w:val="center"/>
              <w:spacing w:after="0"/>
              <w:rPr>
                <w:sz w:val="20"/>
                <w:szCs w:val="20"/>
                <w:color w:val="auto"/>
              </w:rPr>
            </w:pPr>
            <w:r>
              <w:rPr>
                <w:rFonts w:ascii="Arial" w:cs="Arial" w:eastAsia="Arial" w:hAnsi="Arial"/>
                <w:sz w:val="22"/>
                <w:szCs w:val="22"/>
                <w:b w:val="1"/>
                <w:bCs w:val="1"/>
                <w:color w:val="auto"/>
                <w:w w:val="87"/>
              </w:rPr>
              <w:t>SunTrust Robinson</w:t>
            </w:r>
          </w:p>
        </w:tc>
        <w:tc>
          <w:tcPr>
            <w:tcW w:w="2060" w:type="dxa"/>
            <w:vAlign w:val="bottom"/>
          </w:tcPr>
          <w:p>
            <w:pPr>
              <w:jc w:val="center"/>
              <w:spacing w:after="0"/>
              <w:rPr>
                <w:sz w:val="20"/>
                <w:szCs w:val="20"/>
                <w:color w:val="auto"/>
              </w:rPr>
            </w:pPr>
            <w:r>
              <w:rPr>
                <w:rFonts w:ascii="Arial" w:cs="Arial" w:eastAsia="Arial" w:hAnsi="Arial"/>
                <w:sz w:val="22"/>
                <w:szCs w:val="22"/>
                <w:b w:val="1"/>
                <w:bCs w:val="1"/>
                <w:color w:val="auto"/>
                <w:w w:val="88"/>
              </w:rPr>
              <w:t>TD Securities</w:t>
            </w:r>
          </w:p>
        </w:tc>
        <w:tc>
          <w:tcPr>
            <w:tcW w:w="2320" w:type="dxa"/>
            <w:vAlign w:val="bottom"/>
          </w:tcPr>
          <w:p>
            <w:pPr>
              <w:jc w:val="center"/>
              <w:ind w:left="172"/>
              <w:spacing w:after="0"/>
              <w:rPr>
                <w:sz w:val="20"/>
                <w:szCs w:val="20"/>
                <w:color w:val="auto"/>
              </w:rPr>
            </w:pPr>
            <w:r>
              <w:rPr>
                <w:rFonts w:ascii="Arial" w:cs="Arial" w:eastAsia="Arial" w:hAnsi="Arial"/>
                <w:sz w:val="22"/>
                <w:szCs w:val="22"/>
                <w:b w:val="1"/>
                <w:bCs w:val="1"/>
                <w:color w:val="auto"/>
                <w:w w:val="88"/>
              </w:rPr>
              <w:t>US Bancorp</w:t>
            </w:r>
          </w:p>
        </w:tc>
      </w:tr>
      <w:tr>
        <w:trPr>
          <w:trHeight w:val="280"/>
        </w:trPr>
        <w:tc>
          <w:tcPr>
            <w:tcW w:w="164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22"/>
                <w:szCs w:val="22"/>
                <w:b w:val="1"/>
                <w:bCs w:val="1"/>
                <w:color w:val="auto"/>
                <w:w w:val="93"/>
              </w:rPr>
              <w:t>Humphrey</w:t>
            </w:r>
          </w:p>
        </w:tc>
        <w:tc>
          <w:tcPr>
            <w:tcW w:w="206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220"/>
          </w:cols>
          <w:pgMar w:left="320" w:top="131" w:right="359" w:bottom="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i w:val="1"/>
          <w:iCs w:val="1"/>
          <w:color w:val="auto"/>
        </w:rPr>
        <w:t>Co-Managers</w:t>
      </w:r>
    </w:p>
    <w:p>
      <w:pPr>
        <w:spacing w:after="0" w:line="206" w:lineRule="exact"/>
        <w:rPr>
          <w:sz w:val="20"/>
          <w:szCs w:val="20"/>
          <w:color w:val="auto"/>
        </w:rPr>
      </w:pPr>
    </w:p>
    <w:p>
      <w:pPr>
        <w:ind w:left="400"/>
        <w:spacing w:after="0"/>
        <w:tabs>
          <w:tab w:leader="none" w:pos="4280" w:val="left"/>
          <w:tab w:leader="none" w:pos="6500" w:val="left"/>
        </w:tabs>
        <w:rPr>
          <w:sz w:val="20"/>
          <w:szCs w:val="20"/>
          <w:color w:val="auto"/>
        </w:rPr>
      </w:pPr>
      <w:r>
        <w:rPr>
          <w:rFonts w:ascii="Arial" w:cs="Arial" w:eastAsia="Arial" w:hAnsi="Arial"/>
          <w:sz w:val="22"/>
          <w:szCs w:val="22"/>
          <w:b w:val="1"/>
          <w:bCs w:val="1"/>
          <w:color w:val="auto"/>
        </w:rPr>
        <w:t>Fifth Third Securities</w:t>
      </w:r>
      <w:r>
        <w:rPr>
          <w:sz w:val="20"/>
          <w:szCs w:val="20"/>
          <w:color w:val="auto"/>
        </w:rPr>
        <w:tab/>
      </w:r>
      <w:r>
        <w:rPr>
          <w:rFonts w:ascii="Arial" w:cs="Arial" w:eastAsia="Arial" w:hAnsi="Arial"/>
          <w:sz w:val="22"/>
          <w:szCs w:val="22"/>
          <w:b w:val="1"/>
          <w:bCs w:val="1"/>
          <w:color w:val="auto"/>
        </w:rPr>
        <w:t>ING</w:t>
      </w:r>
      <w:r>
        <w:rPr>
          <w:sz w:val="20"/>
          <w:szCs w:val="20"/>
          <w:color w:val="auto"/>
        </w:rPr>
        <w:tab/>
      </w:r>
      <w:r>
        <w:rPr>
          <w:rFonts w:ascii="Arial" w:cs="Arial" w:eastAsia="Arial" w:hAnsi="Arial"/>
          <w:sz w:val="19"/>
          <w:szCs w:val="19"/>
          <w:b w:val="1"/>
          <w:bCs w:val="1"/>
          <w:color w:val="auto"/>
        </w:rPr>
        <w:t>Regions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147955</wp:posOffset>
            </wp:positionV>
            <wp:extent cx="1800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June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Prospectus Supplement</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340" w:type="dxa"/>
            <w:vAlign w:val="bottom"/>
            <w:gridSpan w:val="4"/>
            <w:vMerge w:val="restart"/>
          </w:tcPr>
          <w:p>
            <w:pPr>
              <w:spacing w:after="0"/>
              <w:rPr>
                <w:rFonts w:ascii="Arial" w:cs="Arial" w:eastAsia="Arial" w:hAnsi="Arial"/>
                <w:sz w:val="18"/>
                <w:szCs w:val="18"/>
                <w:u w:val="single" w:color="auto"/>
                <w:color w:val="0000EE"/>
                <w:w w:val="97"/>
              </w:rPr>
            </w:pPr>
            <w:hyperlink w:anchor="page5">
              <w:r>
                <w:rPr>
                  <w:rFonts w:ascii="Arial" w:cs="Arial" w:eastAsia="Arial" w:hAnsi="Arial"/>
                  <w:sz w:val="18"/>
                  <w:szCs w:val="18"/>
                  <w:u w:val="single" w:color="auto"/>
                  <w:color w:val="0000EE"/>
                  <w:w w:val="97"/>
                </w:rPr>
                <w:t>Important Notice About Information in this Prospectus Supplement and the Accompanying Base Prospectus</w:t>
              </w:r>
            </w:hyperlink>
          </w:p>
        </w:tc>
        <w:tc>
          <w:tcPr>
            <w:tcW w:w="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8340" w:type="dxa"/>
            <w:vAlign w:val="bottom"/>
            <w:gridSpan w:val="4"/>
            <w:vMerge w:val="continue"/>
          </w:tcPr>
          <w:p>
            <w:pPr>
              <w:spacing w:after="0"/>
              <w:rPr>
                <w:sz w:val="17"/>
                <w:szCs w:val="17"/>
                <w:color w:val="auto"/>
              </w:rPr>
            </w:pPr>
          </w:p>
        </w:tc>
        <w:tc>
          <w:tcPr>
            <w:tcW w:w="46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S-ii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Forward-Looking Statements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S-ii</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Prospectus Supplement Summary</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S-1</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S-6</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Use of Proceeds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S-10</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Capitalization</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S-11</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Description of Notes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S-12</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Book-Entry, Delivery and Form</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S-25</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Material U.S. Federal Income Tax Consequences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S-28</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Underwriting</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S-34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Legal Matters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S-41</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Experts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S-41</w:t>
              </w:r>
            </w:hyperlink>
          </w:p>
        </w:tc>
        <w:tc>
          <w:tcPr>
            <w:tcW w:w="0" w:type="dxa"/>
            <w:vAlign w:val="bottom"/>
          </w:tcPr>
          <w:p>
            <w:pPr>
              <w:spacing w:after="0"/>
              <w:rPr>
                <w:sz w:val="1"/>
                <w:szCs w:val="1"/>
                <w:color w:val="auto"/>
              </w:rPr>
            </w:pPr>
          </w:p>
        </w:tc>
      </w:tr>
      <w:tr>
        <w:trPr>
          <w:trHeight w:val="222"/>
        </w:trPr>
        <w:tc>
          <w:tcPr>
            <w:tcW w:w="8340" w:type="dxa"/>
            <w:vAlign w:val="bottom"/>
            <w:gridSpan w:val="4"/>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Where You Can Find More Information</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S-41</w:t>
              </w:r>
            </w:hyperlink>
          </w:p>
        </w:tc>
        <w:tc>
          <w:tcPr>
            <w:tcW w:w="0" w:type="dxa"/>
            <w:vAlign w:val="bottom"/>
          </w:tcPr>
          <w:p>
            <w:pPr>
              <w:spacing w:after="0"/>
              <w:rPr>
                <w:sz w:val="1"/>
                <w:szCs w:val="1"/>
                <w:color w:val="auto"/>
              </w:rPr>
            </w:pPr>
          </w:p>
        </w:tc>
      </w:tr>
      <w:tr>
        <w:trPr>
          <w:trHeight w:val="648"/>
        </w:trPr>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40" w:type="dxa"/>
            <w:vAlign w:val="bottom"/>
            <w:gridSpan w:val="2"/>
          </w:tcPr>
          <w:p>
            <w:pPr>
              <w:ind w:left="2960"/>
              <w:spacing w:after="0"/>
              <w:rPr>
                <w:sz w:val="20"/>
                <w:szCs w:val="20"/>
                <w:color w:val="auto"/>
              </w:rPr>
            </w:pPr>
            <w:r>
              <w:rPr>
                <w:rFonts w:ascii="Arial" w:cs="Arial" w:eastAsia="Arial" w:hAnsi="Arial"/>
                <w:sz w:val="18"/>
                <w:szCs w:val="18"/>
                <w:b w:val="1"/>
                <w:bCs w:val="1"/>
                <w:color w:val="auto"/>
              </w:rPr>
              <w:t>Prospectus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340" w:type="dxa"/>
            <w:vAlign w:val="bottom"/>
            <w:gridSpan w:val="4"/>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About This Prospectus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Where You Can Find More Information</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ii</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Forward-Looking Statements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About Plains All American Pipeline, L.P.</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Risk Factors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Use Of Proceeds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184"/>
        </w:trPr>
        <w:tc>
          <w:tcPr>
            <w:tcW w:w="8340" w:type="dxa"/>
            <w:vAlign w:val="bottom"/>
            <w:gridSpan w:val="4"/>
          </w:tcPr>
          <w:p>
            <w:pPr>
              <w:spacing w:after="0" w:line="184" w:lineRule="exact"/>
              <w:rPr>
                <w:rFonts w:ascii="Arial" w:cs="Arial" w:eastAsia="Arial" w:hAnsi="Arial"/>
                <w:sz w:val="18"/>
                <w:szCs w:val="18"/>
                <w:color w:val="0000EE"/>
                <w:w w:val="97"/>
              </w:rPr>
            </w:pPr>
            <w:hyperlink w:anchor="page59">
              <w:r>
                <w:rPr>
                  <w:rFonts w:ascii="Arial" w:cs="Arial" w:eastAsia="Arial" w:hAnsi="Arial"/>
                  <w:sz w:val="18"/>
                  <w:szCs w:val="18"/>
                  <w:color w:val="0000EE"/>
                  <w:w w:val="97"/>
                </w:rPr>
                <w:t>Ratio Of Earnings To Fixed Charges and Ratio of Earnings to Combined Fixed Charges and Preferred Unit</w:t>
              </w:r>
            </w:hyperlink>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Distributions</w:t>
              </w:r>
            </w:hyperlink>
          </w:p>
        </w:tc>
        <w:tc>
          <w:tcPr>
            <w:tcW w:w="640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gridSpan w:val="2"/>
          </w:tcPr>
          <w:p>
            <w:pPr>
              <w:jc w:val="right"/>
              <w:spacing w:after="0" w:line="196"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28"/>
        </w:trPr>
        <w:tc>
          <w:tcPr>
            <w:tcW w:w="8340" w:type="dxa"/>
            <w:vAlign w:val="bottom"/>
            <w:gridSpan w:val="4"/>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Description of Our Debt Securities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Description of Our Preferred Units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15</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Description of Our Common Units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17</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Cash Distribution Policy</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20</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Description of Our Partnership Agreement</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22</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Material U.S. Federal Income Tax Consequences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26</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Plan of Distribution</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44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Legal Matters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46</w:t>
              </w:r>
            </w:hyperlink>
          </w:p>
        </w:tc>
        <w:tc>
          <w:tcPr>
            <w:tcW w:w="0" w:type="dxa"/>
            <w:vAlign w:val="bottom"/>
          </w:tcPr>
          <w:p>
            <w:pPr>
              <w:spacing w:after="0"/>
              <w:rPr>
                <w:sz w:val="1"/>
                <w:szCs w:val="1"/>
                <w:color w:val="auto"/>
              </w:rPr>
            </w:pPr>
          </w:p>
        </w:tc>
      </w:tr>
      <w:tr>
        <w:trPr>
          <w:trHeight w:val="222"/>
        </w:trPr>
        <w:tc>
          <w:tcPr>
            <w:tcW w:w="8340" w:type="dxa"/>
            <w:vAlign w:val="bottom"/>
            <w:gridSpan w:val="4"/>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Experts</w:t>
              </w:r>
            </w:hyperlink>
          </w:p>
        </w:tc>
        <w:tc>
          <w:tcPr>
            <w:tcW w:w="480" w:type="dxa"/>
            <w:vAlign w:val="bottom"/>
            <w:gridSpan w:val="2"/>
          </w:tcPr>
          <w:p>
            <w:pPr>
              <w:jc w:val="right"/>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46</w:t>
              </w:r>
            </w:hyperlink>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IMPORTANT NOTICE ABOUT INFORMATION IN THIS PROSPECTUS SUPPLEMENT AND THE ACCOMPANYING BASE PROSPECTUS</w:t>
      </w:r>
    </w:p>
    <w:p>
      <w:pPr>
        <w:spacing w:after="0" w:line="25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document is in two parts. The first part is the prospectus supplement, which describes our business and the specific terms of this offering and also adds to and updates information contained in the accompanying base prospectus and the documents incorporated by reference in this prospectus supplement and the accompanying base prospectus. The second part, the accompanying base prospectus, gives more general information and includes disclosures regarding the Notes and additional disclosures that would pertain if at some time in the future we were to offer other series of our debt securities or our common units or preferred units. Accordingly, the accompanying base prospectus may contain information that does not apply to this offering. Generally, when we refer only to the "prospectus," we are referring to both parts combined.</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the description of the offering varies between the prospectus supplement and the accompanying base prospectus, you should rely on the information in the prospectus supplement.</w:t>
      </w:r>
    </w:p>
    <w:p>
      <w:pPr>
        <w:spacing w:after="0" w:line="186"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Neither we nor the underwriters have authorized anyone to provide you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Notes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58"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94"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This prospectus contains forward-looking statements that are subject to a number of risks and uncertainties, many of which are beyond our control. See "Forward-Looking Statements" and "Risk Factors."</w:t>
      </w:r>
    </w:p>
    <w:p>
      <w:pPr>
        <w:spacing w:after="0" w:line="186"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expect delivery of the Notes will be made against payment therefor on or about June 11, 2020, which is the third business day following the date of pricing of the Notes (such settlement being referred to as "T+3"). Under Rule 15c6-1 of the Securities Exchange Act of 1934, as amended (the "Exchange Act"), trades in the secondary market generally are required to settle in two business days unless the parties to any such trade expressly agree otherwise. Accordingly, purchasers who wish to trade the Notes on any date prior to the second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 and Excess Supply Situation:</w:t>
      </w:r>
    </w:p>
    <w:p>
      <w:pPr>
        <w:spacing w:after="0" w:line="239" w:lineRule="exact"/>
        <w:rPr>
          <w:sz w:val="20"/>
          <w:szCs w:val="20"/>
          <w:color w:val="auto"/>
        </w:rPr>
      </w:pPr>
    </w:p>
    <w:p>
      <w:pPr>
        <w:ind w:left="1080" w:right="60" w:hanging="532"/>
        <w:spacing w:after="0" w:line="29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continuation of a swift and material decline in global crude oil demand and crude oil prices for an uncertain period of time that correspondingly may lead to a significant reduction of domestic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200" w:lineRule="exact"/>
        <w:rPr>
          <w:rFonts w:ascii="Arial" w:cs="Arial" w:eastAsia="Arial" w:hAnsi="Arial"/>
          <w:sz w:val="16"/>
          <w:szCs w:val="16"/>
          <w:color w:val="auto"/>
        </w:rPr>
      </w:pPr>
    </w:p>
    <w:p>
      <w:pPr>
        <w:ind w:left="1080" w:hanging="532"/>
        <w:spacing w:after="0" w:line="298"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regarding the length of time it will take for the United States, Canada, and the rest of the world to slow the spread of the COVID-19 virus to the point where applicable authorities are comfortable easing current restrictions on various commercial and economic activities and the extent to which consumer demand and demand for crude oil rebound once such restrictions are lifted; such restrictions are designed to protect public health but also have the effect of significantly reducing demand for crude oil;</w:t>
      </w:r>
    </w:p>
    <w:p>
      <w:pPr>
        <w:spacing w:after="0" w:line="179"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regarding the future actions of foreign oil producers such as Saudi Arabia and Russia and the risk that they take actions that will prolong or exacerbate the current over-supply of crude oil;</w:t>
      </w:r>
    </w:p>
    <w:p>
      <w:pPr>
        <w:spacing w:after="0" w:line="199" w:lineRule="exact"/>
        <w:rPr>
          <w:rFonts w:ascii="Arial" w:cs="Arial" w:eastAsia="Arial" w:hAnsi="Arial"/>
          <w:sz w:val="18"/>
          <w:szCs w:val="18"/>
          <w:color w:val="auto"/>
        </w:rPr>
      </w:pPr>
    </w:p>
    <w:p>
      <w:pPr>
        <w:ind w:left="1080" w:right="220" w:hanging="532"/>
        <w:spacing w:after="0" w:line="33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167" w:lineRule="exact"/>
        <w:rPr>
          <w:rFonts w:ascii="Arial" w:cs="Arial" w:eastAsia="Arial" w:hAnsi="Arial"/>
          <w:sz w:val="16"/>
          <w:szCs w:val="16"/>
          <w:color w:val="auto"/>
        </w:rPr>
      </w:pPr>
    </w:p>
    <w:p>
      <w:pPr>
        <w:ind w:left="1080" w:right="50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an overhang of significant amounts of crude oil inventory stored in the United States and elsewhere and the impact that such inventory overhang ultimately has on the timing of a return to market conditions that are more conducive to an increase in drilling and production activities in the United States;</w:t>
      </w:r>
    </w:p>
    <w:p>
      <w:pPr>
        <w:spacing w:after="0" w:line="207" w:lineRule="exact"/>
        <w:rPr>
          <w:rFonts w:ascii="Arial" w:cs="Arial" w:eastAsia="Arial" w:hAnsi="Arial"/>
          <w:sz w:val="18"/>
          <w:szCs w:val="18"/>
          <w:color w:val="auto"/>
        </w:rPr>
      </w:pPr>
    </w:p>
    <w:p>
      <w:pPr>
        <w:ind w:left="1080" w:right="60" w:hanging="532"/>
        <w:spacing w:after="0" w:line="298"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(e.g.,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79" w:lineRule="exact"/>
        <w:rPr>
          <w:rFonts w:ascii="Arial" w:cs="Arial" w:eastAsia="Arial" w:hAnsi="Arial"/>
          <w:sz w:val="16"/>
          <w:szCs w:val="16"/>
          <w:color w:val="auto"/>
        </w:rPr>
      </w:pPr>
    </w:p>
    <w:p>
      <w:pPr>
        <w:jc w:val="both"/>
        <w:ind w:left="1080" w:right="500" w:hanging="532"/>
        <w:spacing w:after="0" w:line="369" w:lineRule="auto"/>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44" w:lineRule="exact"/>
        <w:rPr>
          <w:rFonts w:ascii="Arial" w:cs="Arial" w:eastAsia="Arial" w:hAnsi="Arial"/>
          <w:sz w:val="15"/>
          <w:szCs w:val="15"/>
          <w:color w:val="auto"/>
        </w:rPr>
      </w:pPr>
    </w:p>
    <w:p>
      <w:pPr>
        <w:ind w:left="1080" w:right="1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difficulties due to physical distancing restrictions and the additional demands such restrictions may place on our employees, which may in turn make it more challenging to retain or recruit talented labor;</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and hedging strategies;</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reduce capital expenditures to the extent forecasted, whether due to the incurrence of unexpected or unplanned expenditures, third-party claims or other factors;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inability to complete forecasted asset sale transactions due to governmental action, litigation, counterparty non-performance or other factors;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Factors:</w:t>
      </w:r>
    </w:p>
    <w:p>
      <w:pPr>
        <w:spacing w:after="0" w:line="252"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38" w:lineRule="exact"/>
        <w:rPr>
          <w:rFonts w:ascii="Arial" w:cs="Arial" w:eastAsia="Arial" w:hAnsi="Arial"/>
          <w:sz w:val="18"/>
          <w:szCs w:val="18"/>
          <w:color w:val="auto"/>
        </w:rPr>
      </w:pPr>
    </w:p>
    <w:p>
      <w:pPr>
        <w:ind w:left="1080" w:right="20" w:hanging="532"/>
        <w:spacing w:after="0" w:line="33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99" w:lineRule="exact"/>
        <w:rPr>
          <w:rFonts w:ascii="Arial" w:cs="Arial" w:eastAsia="Arial" w:hAnsi="Arial"/>
          <w:sz w:val="18"/>
          <w:szCs w:val="18"/>
          <w:color w:val="auto"/>
        </w:rPr>
      </w:pPr>
    </w:p>
    <w:p>
      <w:pPr>
        <w:ind w:left="1080" w:right="520" w:hanging="532"/>
        <w:spacing w:after="0" w:line="33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54"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199" w:lineRule="exact"/>
        <w:rPr>
          <w:rFonts w:ascii="Arial" w:cs="Arial" w:eastAsia="Arial" w:hAnsi="Arial"/>
          <w:sz w:val="18"/>
          <w:szCs w:val="18"/>
          <w:color w:val="auto"/>
        </w:rPr>
      </w:pPr>
    </w:p>
    <w:p>
      <w:pPr>
        <w:ind w:left="1080" w:right="240" w:hanging="532"/>
        <w:spacing w:after="0" w:line="33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7"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firstLine="351"/>
        <w:spacing w:after="0" w:line="317" w:lineRule="auto"/>
        <w:rPr>
          <w:rFonts w:ascii="Arial" w:cs="Arial" w:eastAsia="Arial" w:hAnsi="Arial"/>
          <w:sz w:val="15"/>
          <w:szCs w:val="15"/>
          <w:color w:val="0000EE"/>
        </w:rPr>
      </w:pPr>
      <w:r>
        <w:rPr>
          <w:rFonts w:ascii="Arial" w:cs="Arial" w:eastAsia="Arial" w:hAnsi="Arial"/>
          <w:sz w:val="15"/>
          <w:szCs w:val="15"/>
          <w:color w:val="auto"/>
        </w:rPr>
        <w:t xml:space="preserve">Other factors described or incorporated by reference herein, as well as factors that are unknown or unpredictable, could also have a material adverse effect </w:t>
      </w:r>
      <w:hyperlink r:id="rId21">
        <w:r>
          <w:rPr>
            <w:rFonts w:ascii="Arial" w:cs="Arial" w:eastAsia="Arial" w:hAnsi="Arial"/>
            <w:sz w:val="15"/>
            <w:szCs w:val="15"/>
            <w:color w:val="auto"/>
          </w:rPr>
          <w:t xml:space="preserve">on future results. See "Risk Factors" beginning on page S-6 of this prospectus supplement and in Item 1A. "Risk Factors" in our </w:t>
        </w:r>
        <w:r>
          <w:rPr>
            <w:rFonts w:ascii="Arial" w:cs="Arial" w:eastAsia="Arial" w:hAnsi="Arial"/>
            <w:sz w:val="15"/>
            <w:szCs w:val="15"/>
            <w:u w:val="single" w:color="auto"/>
            <w:color w:val="0000EE"/>
          </w:rPr>
          <w:t>Annual Report on Form 10-K</w:t>
        </w:r>
      </w:hyperlink>
      <w:r>
        <w:rPr>
          <w:rFonts w:ascii="Arial" w:cs="Arial" w:eastAsia="Arial" w:hAnsi="Arial"/>
          <w:sz w:val="15"/>
          <w:szCs w:val="15"/>
          <w:color w:val="auto"/>
        </w:rPr>
        <w:t xml:space="preserve"> </w:t>
      </w:r>
      <w:hyperlink r:id="rId21">
        <w:r>
          <w:rPr>
            <w:rFonts w:ascii="Arial" w:cs="Arial" w:eastAsia="Arial" w:hAnsi="Arial"/>
            <w:sz w:val="15"/>
            <w:szCs w:val="15"/>
            <w:u w:val="single" w:color="auto"/>
            <w:color w:val="0000EE"/>
          </w:rPr>
          <w:t>for the fiscal year ended December 31, 2019</w:t>
        </w:r>
        <w:r>
          <w:rPr>
            <w:rFonts w:ascii="Arial" w:cs="Arial" w:eastAsia="Arial" w:hAnsi="Arial"/>
            <w:sz w:val="15"/>
            <w:szCs w:val="15"/>
            <w:color w:val="0000EE"/>
          </w:rPr>
          <w:t xml:space="preserve"> </w:t>
        </w:r>
        <w:r>
          <w:rPr>
            <w:rFonts w:ascii="Arial" w:cs="Arial" w:eastAsia="Arial" w:hAnsi="Arial"/>
            <w:sz w:val="15"/>
            <w:szCs w:val="15"/>
            <w:color w:val="000000"/>
          </w:rPr>
          <w:t>(File No. 001-14569), in our</w:t>
        </w:r>
        <w:r>
          <w:rPr>
            <w:rFonts w:ascii="Arial" w:cs="Arial" w:eastAsia="Arial" w:hAnsi="Arial"/>
            <w:sz w:val="15"/>
            <w:szCs w:val="15"/>
            <w:color w:val="0000EE"/>
          </w:rPr>
          <w:t xml:space="preserve"> </w:t>
        </w:r>
      </w:hyperlink>
      <w:hyperlink r:id="rId22">
        <w:r>
          <w:rPr>
            <w:rFonts w:ascii="Arial" w:cs="Arial" w:eastAsia="Arial" w:hAnsi="Arial"/>
            <w:sz w:val="15"/>
            <w:szCs w:val="15"/>
            <w:u w:val="single" w:color="auto"/>
            <w:color w:val="0000EE"/>
          </w:rPr>
          <w:t xml:space="preserve">Quarterly Report on Form 10-Q for the quarter ended March 31, 2020 </w:t>
        </w:r>
      </w:hyperlink>
      <w:hyperlink r:id="rId21">
        <w:r>
          <w:rPr>
            <w:rFonts w:ascii="Arial" w:cs="Arial" w:eastAsia="Arial" w:hAnsi="Arial"/>
            <w:sz w:val="15"/>
            <w:szCs w:val="15"/>
            <w:color w:val="000000"/>
          </w:rPr>
          <w:t>and in any of</w:t>
        </w:r>
      </w:hyperlink>
      <w:r>
        <w:rPr>
          <w:rFonts w:ascii="Arial" w:cs="Arial" w:eastAsia="Arial" w:hAnsi="Arial"/>
          <w:sz w:val="15"/>
          <w:szCs w:val="15"/>
          <w:color w:val="0000EE"/>
        </w:rPr>
        <w:t xml:space="preserve"> </w:t>
      </w:r>
      <w:r>
        <w:rPr>
          <w:rFonts w:ascii="Arial" w:cs="Arial" w:eastAsia="Arial" w:hAnsi="Arial"/>
          <w:sz w:val="15"/>
          <w:szCs w:val="15"/>
          <w:color w:val="000000"/>
        </w:rPr>
        <w:t>our subsequent quarterly reports,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57" w:lineRule="exact"/>
        <w:rPr>
          <w:rFonts w:ascii="Arial" w:cs="Arial" w:eastAsia="Arial" w:hAnsi="Arial"/>
          <w:sz w:val="15"/>
          <w:szCs w:val="15"/>
          <w:color w:val="0000EE"/>
        </w:rPr>
      </w:pPr>
    </w:p>
    <w:p>
      <w:pPr>
        <w:jc w:val="center"/>
        <w:ind w:right="-19"/>
        <w:spacing w:after="0"/>
        <w:rPr>
          <w:sz w:val="20"/>
          <w:szCs w:val="20"/>
          <w:color w:val="auto"/>
        </w:rPr>
      </w:pPr>
      <w:r>
        <w:rPr>
          <w:rFonts w:ascii="Arial" w:cs="Arial" w:eastAsia="Arial" w:hAnsi="Arial"/>
          <w:sz w:val="18"/>
          <w:szCs w:val="18"/>
          <w:color w:val="auto"/>
        </w:rPr>
        <w:t>S-v</w:t>
      </w:r>
    </w:p>
    <w:p>
      <w:pPr>
        <w:spacing w:after="0" w:line="20" w:lineRule="exact"/>
        <w:rPr>
          <w:rFonts w:ascii="Arial" w:cs="Arial" w:eastAsia="Arial" w:hAnsi="Arial"/>
          <w:sz w:val="15"/>
          <w:szCs w:val="15"/>
          <w:color w:val="0000EE"/>
        </w:rPr>
      </w:pPr>
      <w:r>
        <w:rPr>
          <w:rFonts w:ascii="Arial" w:cs="Arial" w:eastAsia="Arial" w:hAnsi="Arial"/>
          <w:sz w:val="15"/>
          <w:szCs w:val="15"/>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6064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40" w:firstLine="351"/>
        <w:spacing w:after="0" w:line="290"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See "Risk Factors" beginning on page S-6 of this prospectus supplement </w:t>
      </w:r>
      <w:hyperlink r:id="rId22">
        <w:r>
          <w:rPr>
            <w:rFonts w:ascii="Arial" w:cs="Arial" w:eastAsia="Arial" w:hAnsi="Arial"/>
            <w:sz w:val="16"/>
            <w:szCs w:val="16"/>
            <w:i w:val="1"/>
            <w:iCs w:val="1"/>
            <w:color w:val="auto"/>
          </w:rPr>
          <w:t xml:space="preserve">and in our </w:t>
        </w:r>
        <w:r>
          <w:rPr>
            <w:rFonts w:ascii="Arial" w:cs="Arial" w:eastAsia="Arial" w:hAnsi="Arial"/>
            <w:sz w:val="16"/>
            <w:szCs w:val="16"/>
            <w:i w:val="1"/>
            <w:iCs w:val="1"/>
            <w:u w:val="single" w:color="auto"/>
            <w:color w:val="0000EE"/>
          </w:rPr>
          <w:t>Annual Report on Form 10-K for the fiscal year ended December 31, 2019</w:t>
        </w:r>
        <w:r>
          <w:rPr>
            <w:rFonts w:ascii="Arial" w:cs="Arial" w:eastAsia="Arial" w:hAnsi="Arial"/>
            <w:sz w:val="16"/>
            <w:szCs w:val="16"/>
            <w:i w:val="1"/>
            <w:iCs w:val="1"/>
            <w:color w:val="auto"/>
          </w:rPr>
          <w:t xml:space="preserve"> (File No. 001-14569), in our </w:t>
        </w:r>
        <w:r>
          <w:rPr>
            <w:rFonts w:ascii="Arial" w:cs="Arial" w:eastAsia="Arial" w:hAnsi="Arial"/>
            <w:sz w:val="16"/>
            <w:szCs w:val="16"/>
            <w:i w:val="1"/>
            <w:iCs w:val="1"/>
            <w:u w:val="single" w:color="auto"/>
            <w:color w:val="0000EE"/>
          </w:rPr>
          <w:t>Quarterly Report on Form 10-Q for</w:t>
        </w:r>
      </w:hyperlink>
      <w:r>
        <w:rPr>
          <w:rFonts w:ascii="Arial" w:cs="Arial" w:eastAsia="Arial" w:hAnsi="Arial"/>
          <w:sz w:val="16"/>
          <w:szCs w:val="16"/>
          <w:i w:val="1"/>
          <w:iCs w:val="1"/>
          <w:color w:val="auto"/>
        </w:rPr>
        <w:t xml:space="preserve"> </w:t>
      </w:r>
      <w:hyperlink r:id="rId22">
        <w:r>
          <w:rPr>
            <w:rFonts w:ascii="Arial" w:cs="Arial" w:eastAsia="Arial" w:hAnsi="Arial"/>
            <w:sz w:val="16"/>
            <w:szCs w:val="16"/>
            <w:i w:val="1"/>
            <w:iCs w:val="1"/>
            <w:u w:val="single" w:color="auto"/>
            <w:color w:val="0000EE"/>
          </w:rPr>
          <w:t>the quarter ended March 31, 2020</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and in any of our subsequent quarterly reports, which are incorporated in this prospectus supplement by reference,</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for information regarding risks you should consider before making a decision to purchase any Notes in this offering.</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For purposes of this prospectus supplement and the accompanying base prospectus, except as set forth in "Description of Notes" and unless the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context clearly indicates otherwise, references to "PAA," the "Partnership," "we," "us," "our" and similar terms refer to Plains All American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Pipeline, L.P. and its subsidiaries. With respect to the cover page and in the section entitled "—The Offering," "we," "our" and "us" refer only to Plains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All American Pipeline, L.P. and, as the context requires, PAA Finance Corp., but not to any of the other subsidiaries of Plains All American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Pipeline, L.P. References to our "general partner," as the context requires, include any or all of PAA GP LLC, Plains AAP, L.P. and Plains All</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American GP LLC.</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Plains All American Pipeline, L.P.</w:t>
      </w:r>
    </w:p>
    <w:p>
      <w:pPr>
        <w:spacing w:after="0" w:line="231" w:lineRule="exact"/>
        <w:rPr>
          <w:sz w:val="20"/>
          <w:szCs w:val="20"/>
          <w:color w:val="auto"/>
        </w:rPr>
      </w:pPr>
    </w:p>
    <w:p>
      <w:pPr>
        <w:ind w:left="240" w:right="40" w:firstLine="348"/>
        <w:spacing w:after="0" w:line="254"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left="240" w:firstLine="351"/>
        <w:spacing w:after="0" w:line="286"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response to changing U.S. production profiles, increased competition for new build assets and our desire to make disciplined capital investment decisions, over the last several years, we have increased our joint venture and/or joint ownership related activities in an effort to fully meet the current and future needs of our customers while also optimizing and rationalizing assets and enhancing our investment returns. The vast majority of our joint ventures are accounted for as investments in unconsolidated subsidiaries.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3870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6130" cy="387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0" w:firstLine="348"/>
        <w:spacing w:after="0" w:line="256" w:lineRule="auto"/>
        <w:rPr>
          <w:sz w:val="20"/>
          <w:szCs w:val="20"/>
          <w:color w:val="auto"/>
        </w:rPr>
      </w:pPr>
      <w:r>
        <w:rPr>
          <w:rFonts w:ascii="Arial" w:cs="Arial" w:eastAsia="Arial" w:hAnsi="Arial"/>
          <w:sz w:val="18"/>
          <w:szCs w:val="18"/>
          <w:color w:val="auto"/>
        </w:rPr>
        <w:t>We also continuously evaluate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w:t>
      </w:r>
    </w:p>
    <w:p>
      <w:pPr>
        <w:spacing w:after="0" w:line="197"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Principal Executive Offices</w:t>
      </w:r>
    </w:p>
    <w:p>
      <w:pPr>
        <w:spacing w:after="0" w:line="231" w:lineRule="exact"/>
        <w:rPr>
          <w:sz w:val="20"/>
          <w:szCs w:val="20"/>
          <w:color w:val="auto"/>
        </w:rPr>
      </w:pPr>
    </w:p>
    <w:p>
      <w:pPr>
        <w:jc w:val="both"/>
        <w:ind w:left="240" w:right="160" w:firstLine="351"/>
        <w:spacing w:after="0" w:line="306" w:lineRule="auto"/>
        <w:rPr>
          <w:sz w:val="20"/>
          <w:szCs w:val="20"/>
          <w:color w:val="auto"/>
        </w:rPr>
      </w:pPr>
      <w:r>
        <w:rPr>
          <w:rFonts w:ascii="Arial" w:cs="Arial" w:eastAsia="Arial" w:hAnsi="Arial"/>
          <w:sz w:val="16"/>
          <w:szCs w:val="16"/>
          <w:color w:val="auto"/>
        </w:rPr>
        <w:t xml:space="preserve">Our executive offices are located at 333 Clay Street, Suite 1600, Houston, Texas 77002.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left="240" w:firstLine="351"/>
        <w:spacing w:after="0" w:line="306" w:lineRule="auto"/>
        <w:rPr>
          <w:rFonts w:ascii="Arial" w:cs="Arial" w:eastAsia="Arial" w:hAnsi="Arial"/>
          <w:sz w:val="16"/>
          <w:szCs w:val="16"/>
          <w:color w:val="auto"/>
        </w:rPr>
      </w:pPr>
      <w:r>
        <w:rPr>
          <w:rFonts w:ascii="Arial" w:cs="Arial" w:eastAsia="Arial" w:hAnsi="Arial"/>
          <w:sz w:val="16"/>
          <w:szCs w:val="16"/>
          <w:color w:val="auto"/>
        </w:rPr>
        <w:t xml:space="preserve">For additional information about us, including our partnership structure and management, please refer to the documents set forth under "Where You Can Find More Information" in this prospectus supplement, including our </w:t>
      </w:r>
      <w:hyperlink r:id="rId21">
        <w:r>
          <w:rPr>
            <w:rFonts w:ascii="Arial" w:cs="Arial" w:eastAsia="Arial" w:hAnsi="Arial"/>
            <w:sz w:val="16"/>
            <w:szCs w:val="16"/>
            <w:u w:val="single" w:color="auto"/>
            <w:color w:val="0000EE"/>
          </w:rPr>
          <w:t>Annual Report on Form 10-K for the fiscal year ended December 31, 2019</w:t>
        </w:r>
      </w:hyperlink>
      <w:r>
        <w:rPr>
          <w:rFonts w:ascii="Arial" w:cs="Arial" w:eastAsia="Arial" w:hAnsi="Arial"/>
          <w:sz w:val="16"/>
          <w:szCs w:val="16"/>
          <w:color w:val="auto"/>
        </w:rPr>
        <w:t xml:space="preserve"> and our </w:t>
      </w:r>
      <w:hyperlink r:id="rId22">
        <w:r>
          <w:rPr>
            <w:rFonts w:ascii="Arial" w:cs="Arial" w:eastAsia="Arial" w:hAnsi="Arial"/>
            <w:sz w:val="16"/>
            <w:szCs w:val="16"/>
            <w:u w:val="single" w:color="auto"/>
            <w:color w:val="0000EE"/>
          </w:rPr>
          <w:t>Quarterly Report on Form 10-Q for the quarter ended March 31, 2020</w:t>
        </w:r>
      </w:hyperlink>
      <w:r>
        <w:rPr>
          <w:rFonts w:ascii="Arial" w:cs="Arial" w:eastAsia="Arial" w:hAnsi="Arial"/>
          <w:sz w:val="16"/>
          <w:szCs w:val="16"/>
          <w:color w:val="auto"/>
        </w:rPr>
        <w:t>, each of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60"/>
          </w:cols>
          <w:pgMar w:left="320" w:top="131" w:right="6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8259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6130" cy="825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right="100" w:firstLine="351"/>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194" w:lineRule="exact"/>
        <w:rPr>
          <w:sz w:val="20"/>
          <w:szCs w:val="20"/>
          <w:color w:val="auto"/>
        </w:rPr>
      </w:pPr>
    </w:p>
    <w:p>
      <w:pPr>
        <w:ind w:left="2400"/>
        <w:spacing w:after="0"/>
        <w:tabs>
          <w:tab w:leader="none" w:pos="6860" w:val="left"/>
        </w:tabs>
        <w:rPr>
          <w:sz w:val="20"/>
          <w:szCs w:val="20"/>
          <w:color w:val="auto"/>
        </w:rPr>
      </w:pPr>
      <w:r>
        <w:rPr>
          <w:rFonts w:ascii="Arial" w:cs="Arial" w:eastAsia="Arial" w:hAnsi="Arial"/>
          <w:sz w:val="18"/>
          <w:szCs w:val="18"/>
          <w:color w:val="auto"/>
        </w:rPr>
        <w:t>Issuers</w:t>
      </w:r>
      <w:r>
        <w:rPr>
          <w:sz w:val="20"/>
          <w:szCs w:val="20"/>
          <w:color w:val="auto"/>
        </w:rPr>
        <w:tab/>
      </w:r>
      <w:r>
        <w:rPr>
          <w:rFonts w:ascii="Arial" w:cs="Arial" w:eastAsia="Arial" w:hAnsi="Arial"/>
          <w:sz w:val="18"/>
          <w:szCs w:val="18"/>
          <w:color w:val="auto"/>
        </w:rPr>
        <w:t>Plains All American Pipeline, L.P. and PAA Finance</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Corp.</w:t>
      </w:r>
    </w:p>
    <w:p>
      <w:pPr>
        <w:spacing w:after="0" w:line="219"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PAA Finance Corp., a Delaware corporation, is a wholly</w:t>
      </w:r>
    </w:p>
    <w:p>
      <w:pPr>
        <w:spacing w:after="0" w:line="38"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owned subsidiary of Plains All American Pipeline, L.P.</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that has been organized for the purpose of co-issuing our</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existing notes, the Notes offered hereby and the notes</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issued in any future offerings. PAA Finance Corp. does</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not have operations of any kind and will not have any</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revenue other than as may be incidental to its activities as</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 co-issuer of our debt securities.</w:t>
      </w:r>
    </w:p>
    <w:p>
      <w:pPr>
        <w:spacing w:after="0" w:line="219" w:lineRule="exact"/>
        <w:rPr>
          <w:sz w:val="20"/>
          <w:szCs w:val="20"/>
          <w:color w:val="auto"/>
        </w:rPr>
      </w:pPr>
    </w:p>
    <w:p>
      <w:pPr>
        <w:ind w:left="2400"/>
        <w:spacing w:after="0"/>
        <w:tabs>
          <w:tab w:leader="none" w:pos="6860" w:val="left"/>
        </w:tabs>
        <w:rPr>
          <w:sz w:val="20"/>
          <w:szCs w:val="20"/>
          <w:color w:val="auto"/>
        </w:rPr>
      </w:pPr>
      <w:r>
        <w:rPr>
          <w:rFonts w:ascii="Arial" w:cs="Arial" w:eastAsia="Arial" w:hAnsi="Arial"/>
          <w:sz w:val="18"/>
          <w:szCs w:val="18"/>
          <w:color w:val="auto"/>
        </w:rPr>
        <w:t>Future Guarantees</w:t>
      </w:r>
      <w:r>
        <w:rPr>
          <w:sz w:val="20"/>
          <w:szCs w:val="20"/>
          <w:color w:val="auto"/>
        </w:rPr>
        <w:tab/>
      </w:r>
      <w:r>
        <w:rPr>
          <w:rFonts w:ascii="Arial" w:cs="Arial" w:eastAsia="Arial" w:hAnsi="Arial"/>
          <w:sz w:val="16"/>
          <w:szCs w:val="16"/>
          <w:color w:val="auto"/>
        </w:rPr>
        <w:t>Initially, the Notes will not be guaranteed by any</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subsidiaries of the issuers. In the future, however, if any</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subsidiary guarantees any of the issuers' other debt, then</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such subsidiary will, jointly and severally, fully and</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unconditionally guarantee the issuers' payment obligations</w:t>
      </w:r>
    </w:p>
    <w:p>
      <w:pPr>
        <w:spacing w:after="0" w:line="44"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under the Notes. See "Description of Notes—Possible</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Future Guarantees."</w:t>
      </w:r>
    </w:p>
    <w:p>
      <w:pPr>
        <w:spacing w:after="0" w:line="219" w:lineRule="exact"/>
        <w:rPr>
          <w:sz w:val="20"/>
          <w:szCs w:val="20"/>
          <w:color w:val="auto"/>
        </w:rPr>
      </w:pPr>
    </w:p>
    <w:p>
      <w:pPr>
        <w:ind w:left="2400"/>
        <w:spacing w:after="0"/>
        <w:tabs>
          <w:tab w:leader="none" w:pos="6860" w:val="left"/>
        </w:tabs>
        <w:rPr>
          <w:sz w:val="20"/>
          <w:szCs w:val="20"/>
          <w:color w:val="auto"/>
        </w:rPr>
      </w:pPr>
      <w:r>
        <w:rPr>
          <w:rFonts w:ascii="Arial" w:cs="Arial" w:eastAsia="Arial" w:hAnsi="Arial"/>
          <w:sz w:val="18"/>
          <w:szCs w:val="18"/>
          <w:color w:val="auto"/>
        </w:rPr>
        <w:t>Notes Offered</w:t>
      </w:r>
      <w:r>
        <w:rPr>
          <w:sz w:val="20"/>
          <w:szCs w:val="20"/>
          <w:color w:val="auto"/>
        </w:rPr>
        <w:tab/>
      </w:r>
      <w:r>
        <w:rPr>
          <w:rFonts w:ascii="Arial" w:cs="Arial" w:eastAsia="Arial" w:hAnsi="Arial"/>
          <w:sz w:val="16"/>
          <w:szCs w:val="16"/>
          <w:color w:val="auto"/>
        </w:rPr>
        <w:t>$750 million aggregate principal amount of 3.800%</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Notes due 2030.</w:t>
      </w:r>
    </w:p>
    <w:p>
      <w:pPr>
        <w:spacing w:after="0" w:line="219" w:lineRule="exact"/>
        <w:rPr>
          <w:sz w:val="20"/>
          <w:szCs w:val="20"/>
          <w:color w:val="auto"/>
        </w:rPr>
      </w:pPr>
    </w:p>
    <w:p>
      <w:pPr>
        <w:ind w:left="2400"/>
        <w:spacing w:after="0"/>
        <w:tabs>
          <w:tab w:leader="none" w:pos="686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5"/>
          <w:szCs w:val="15"/>
          <w:color w:val="auto"/>
        </w:rPr>
        <w:t>September 15, 2030.</w:t>
      </w:r>
    </w:p>
    <w:p>
      <w:pPr>
        <w:spacing w:after="0" w:line="225" w:lineRule="exact"/>
        <w:rPr>
          <w:sz w:val="20"/>
          <w:szCs w:val="20"/>
          <w:color w:val="auto"/>
        </w:rPr>
      </w:pPr>
    </w:p>
    <w:p>
      <w:pPr>
        <w:ind w:left="2400"/>
        <w:spacing w:after="0"/>
        <w:tabs>
          <w:tab w:leader="none" w:pos="686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5"/>
          <w:szCs w:val="15"/>
          <w:color w:val="auto"/>
        </w:rPr>
        <w:t>3.800%.</w:t>
      </w:r>
    </w:p>
    <w:p>
      <w:pPr>
        <w:spacing w:after="0" w:line="225" w:lineRule="exact"/>
        <w:rPr>
          <w:sz w:val="20"/>
          <w:szCs w:val="20"/>
          <w:color w:val="auto"/>
        </w:rPr>
      </w:pPr>
    </w:p>
    <w:p>
      <w:pPr>
        <w:ind w:left="2400"/>
        <w:spacing w:after="0"/>
        <w:tabs>
          <w:tab w:leader="none" w:pos="686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5"/>
          <w:szCs w:val="15"/>
          <w:color w:val="auto"/>
        </w:rPr>
        <w:t>We will pay interest on the Notes semi-annually in arrears</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on March 15 and September 15 of each year, beginning on</w:t>
      </w:r>
    </w:p>
    <w:p>
      <w:pPr>
        <w:spacing w:after="0" w:line="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September 15, 2020.</w:t>
      </w:r>
    </w:p>
    <w:p>
      <w:pPr>
        <w:spacing w:after="0" w:line="219" w:lineRule="exact"/>
        <w:rPr>
          <w:sz w:val="20"/>
          <w:szCs w:val="20"/>
          <w:color w:val="auto"/>
        </w:rPr>
      </w:pPr>
    </w:p>
    <w:p>
      <w:pPr>
        <w:ind w:left="2400"/>
        <w:spacing w:after="0"/>
        <w:tabs>
          <w:tab w:leader="none" w:pos="686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5"/>
          <w:szCs w:val="15"/>
          <w:color w:val="auto"/>
        </w:rPr>
        <w:t>We may redeem the Notes, in whole or in part, at any time</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and from time to time prior to maturity. If we redeem the</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Notes before June 15, 2030 (three months prior to the</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maturity date, which we refer to as the "Par Call Date"),</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we will pay an amount equal to the greater of (i) 100% of</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the principal amount of the Notes to be redeemed and</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(ii) the sum of the present values of the remaining</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scheduled payments of principal and interest on the Notes</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to be redeemed that would be due if the Notes matured on</w:t>
      </w:r>
    </w:p>
    <w:p>
      <w:pPr>
        <w:spacing w:after="0" w:line="44"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the Par Call Date, discounted to the redemption date on a</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semiannual basis at the Adjusted Treasury Rate (as</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defined herein) plus 45 basis points, together with accrued</w:t>
      </w:r>
    </w:p>
    <w:p>
      <w:pPr>
        <w:spacing w:after="0" w:line="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and unpaid interest to the date of redemption. If we</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redeem the Notes on or after the Par Call Date, we will</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pay an amount equal to 100% of the principal amount of</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the Notes to be redeemed plus accrued and unpaid interest</w:t>
      </w:r>
    </w:p>
    <w:p>
      <w:pPr>
        <w:spacing w:after="0" w:line="44"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to the redemption date. See "Description of Notes—</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Optional Redemption."</w:t>
      </w:r>
    </w:p>
    <w:p>
      <w:pPr>
        <w:sectPr>
          <w:pgSz w:w="11900" w:h="16838" w:orient="portrait"/>
          <w:cols w:equalWidth="0" w:num="1">
            <w:col w:w="11000"/>
          </w:cols>
          <w:pgMar w:left="320" w:top="131"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8396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6130" cy="83966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400"/>
        <w:spacing w:after="0"/>
        <w:tabs>
          <w:tab w:leader="none" w:pos="6860" w:val="left"/>
        </w:tabs>
        <w:rPr>
          <w:sz w:val="20"/>
          <w:szCs w:val="20"/>
          <w:color w:val="auto"/>
        </w:rPr>
      </w:pPr>
      <w:r>
        <w:rPr>
          <w:rFonts w:ascii="Arial" w:cs="Arial" w:eastAsia="Arial" w:hAnsi="Arial"/>
          <w:sz w:val="16"/>
          <w:szCs w:val="16"/>
          <w:color w:val="auto"/>
        </w:rPr>
        <w:t>Ranking</w:t>
      </w:r>
      <w:r>
        <w:rPr>
          <w:sz w:val="20"/>
          <w:szCs w:val="20"/>
          <w:color w:val="auto"/>
        </w:rPr>
        <w:tab/>
      </w:r>
      <w:r>
        <w:rPr>
          <w:rFonts w:ascii="Arial" w:cs="Arial" w:eastAsia="Arial" w:hAnsi="Arial"/>
          <w:sz w:val="16"/>
          <w:szCs w:val="16"/>
          <w:color w:val="auto"/>
        </w:rPr>
        <w:t>The Notes will be senior unsecured obligations of the</w:t>
      </w:r>
    </w:p>
    <w:p>
      <w:pPr>
        <w:spacing w:after="0" w:line="38"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issuers and will rank equally in right of payment with the</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existing and future senior indebtedness of the issuers.</w:t>
      </w:r>
    </w:p>
    <w:p>
      <w:pPr>
        <w:spacing w:after="0" w:line="242" w:lineRule="exact"/>
        <w:rPr>
          <w:sz w:val="20"/>
          <w:szCs w:val="20"/>
          <w:color w:val="auto"/>
        </w:rPr>
      </w:pPr>
    </w:p>
    <w:p>
      <w:pPr>
        <w:ind w:left="2400"/>
        <w:spacing w:after="0"/>
        <w:tabs>
          <w:tab w:leader="none" w:pos="6860" w:val="left"/>
        </w:tabs>
        <w:rPr>
          <w:sz w:val="20"/>
          <w:szCs w:val="20"/>
          <w:color w:val="auto"/>
        </w:rPr>
      </w:pPr>
      <w:r>
        <w:rPr>
          <w:rFonts w:ascii="Arial" w:cs="Arial" w:eastAsia="Arial" w:hAnsi="Arial"/>
          <w:sz w:val="18"/>
          <w:szCs w:val="18"/>
          <w:color w:val="auto"/>
        </w:rPr>
        <w:t>Certain Covenants</w:t>
      </w:r>
      <w:r>
        <w:rPr>
          <w:sz w:val="20"/>
          <w:szCs w:val="20"/>
          <w:color w:val="auto"/>
        </w:rPr>
        <w:tab/>
      </w:r>
      <w:r>
        <w:rPr>
          <w:rFonts w:ascii="Arial" w:cs="Arial" w:eastAsia="Arial" w:hAnsi="Arial"/>
          <w:sz w:val="15"/>
          <w:szCs w:val="15"/>
          <w:color w:val="auto"/>
        </w:rPr>
        <w:t>The Notes will be issued under an indenture containing</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covenants for your benefit. These covenants restrict our</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ability, with certain exceptions, to:</w:t>
      </w:r>
    </w:p>
    <w:p>
      <w:pPr>
        <w:spacing w:after="0" w:line="21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  incur liens on principal properties to secure debt;</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  engage in sale-leaseback transactions; and</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  merge or consolidate with another entity or sell, lease</w:t>
      </w:r>
    </w:p>
    <w:p>
      <w:pPr>
        <w:spacing w:after="0" w:line="38"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or transfer substantially all of our properties or assets to</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another entity.</w:t>
      </w:r>
    </w:p>
    <w:p>
      <w:pPr>
        <w:spacing w:after="0" w:line="21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See "Description of Notes—Covenants."</w:t>
      </w:r>
    </w:p>
    <w:p>
      <w:pPr>
        <w:spacing w:after="0" w:line="225" w:lineRule="exact"/>
        <w:rPr>
          <w:sz w:val="20"/>
          <w:szCs w:val="20"/>
          <w:color w:val="auto"/>
        </w:rPr>
      </w:pPr>
    </w:p>
    <w:p>
      <w:pPr>
        <w:ind w:left="2400"/>
        <w:spacing w:after="0"/>
        <w:tabs>
          <w:tab w:leader="none" w:pos="686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The net proceeds of this offering will be approximately</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$741.58 million after deducting the underwriting discount</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and our estimated offering expenses. We intend to use the</w:t>
      </w:r>
    </w:p>
    <w:p>
      <w:pPr>
        <w:spacing w:after="0" w:line="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net proceeds from the offering to partially repay the</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principal amount of our $600 million 5.00% senior notes</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due 2021 ("2021 senior notes") on or prior to their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maturity date in February 2021 and, pending such</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repayment, for general partnership purposes, which may</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include, among other things, repayment of indebtedness,</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acquisitions, capital expenditures and additions to</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working capital.</w:t>
      </w:r>
    </w:p>
    <w:p>
      <w:pPr>
        <w:spacing w:after="0" w:line="219"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Certain of the underwriters or their affiliates may hold our</w:t>
      </w:r>
    </w:p>
    <w:p>
      <w:pPr>
        <w:spacing w:after="0" w:line="38"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2021 senior notes to be repaid with proceeds from this</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offering and, accordingly, may receive a substantial</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portion of the net proceeds of this offering. See "Use of</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Proceeds."</w:t>
      </w:r>
    </w:p>
    <w:p>
      <w:pPr>
        <w:spacing w:after="0" w:line="219" w:lineRule="exact"/>
        <w:rPr>
          <w:sz w:val="20"/>
          <w:szCs w:val="20"/>
          <w:color w:val="auto"/>
        </w:rPr>
      </w:pPr>
    </w:p>
    <w:p>
      <w:pPr>
        <w:ind w:left="2400"/>
        <w:spacing w:after="0"/>
        <w:tabs>
          <w:tab w:leader="none" w:pos="6860" w:val="left"/>
        </w:tabs>
        <w:rPr>
          <w:sz w:val="20"/>
          <w:szCs w:val="20"/>
          <w:color w:val="auto"/>
        </w:rPr>
      </w:pPr>
      <w:r>
        <w:rPr>
          <w:rFonts w:ascii="Arial" w:cs="Arial" w:eastAsia="Arial" w:hAnsi="Arial"/>
          <w:sz w:val="18"/>
          <w:szCs w:val="18"/>
          <w:color w:val="auto"/>
        </w:rPr>
        <w:t>Book-Entry, Delivery and Form</w:t>
      </w:r>
      <w:r>
        <w:rPr>
          <w:sz w:val="20"/>
          <w:szCs w:val="20"/>
          <w:color w:val="auto"/>
        </w:rPr>
        <w:tab/>
      </w:r>
      <w:r>
        <w:rPr>
          <w:rFonts w:ascii="Arial" w:cs="Arial" w:eastAsia="Arial" w:hAnsi="Arial"/>
          <w:sz w:val="15"/>
          <w:szCs w:val="15"/>
          <w:color w:val="auto"/>
        </w:rPr>
        <w:t>The Notes will be represented by one or more permanent</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global certificates in fully registered form deposited with</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a custodian for, and registered in the name of, a nominee</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of The Depository Trust Company.</w:t>
      </w:r>
    </w:p>
    <w:p>
      <w:pPr>
        <w:spacing w:after="0" w:line="219" w:lineRule="exact"/>
        <w:rPr>
          <w:sz w:val="20"/>
          <w:szCs w:val="20"/>
          <w:color w:val="auto"/>
        </w:rPr>
      </w:pPr>
    </w:p>
    <w:p>
      <w:pPr>
        <w:ind w:left="2400"/>
        <w:spacing w:after="0"/>
        <w:tabs>
          <w:tab w:leader="none" w:pos="6860" w:val="left"/>
        </w:tabs>
        <w:rPr>
          <w:sz w:val="20"/>
          <w:szCs w:val="20"/>
          <w:color w:val="auto"/>
        </w:rPr>
      </w:pPr>
      <w:r>
        <w:rPr>
          <w:rFonts w:ascii="Arial" w:cs="Arial" w:eastAsia="Arial" w:hAnsi="Arial"/>
          <w:sz w:val="18"/>
          <w:szCs w:val="18"/>
          <w:color w:val="auto"/>
        </w:rPr>
        <w:t>Further Issuances</w:t>
      </w:r>
      <w:r>
        <w:rPr>
          <w:sz w:val="20"/>
          <w:szCs w:val="20"/>
          <w:color w:val="auto"/>
        </w:rPr>
        <w:tab/>
      </w:r>
      <w:r>
        <w:rPr>
          <w:rFonts w:ascii="Arial" w:cs="Arial" w:eastAsia="Arial" w:hAnsi="Arial"/>
          <w:sz w:val="15"/>
          <w:szCs w:val="15"/>
          <w:color w:val="auto"/>
        </w:rPr>
        <w:t>We may create and issue additional Notes ranking equally</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and ratably with the Notes offered by this prospectus</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supplement in all respects, so that such additional Notes</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will be consolidated and form a single series with such</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Notes and will have the same terms, as to status,</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redemption or otherwise except for the issue date, the</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initial interest payment date, if applicable, and the</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payment of interest accruing prior to the issue date of such</w:t>
      </w:r>
    </w:p>
    <w:p>
      <w:pPr>
        <w:spacing w:after="0" w:line="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additional Notes.</w:t>
      </w:r>
    </w:p>
    <w:p>
      <w:pPr>
        <w:spacing w:after="0" w:line="219" w:lineRule="exact"/>
        <w:rPr>
          <w:sz w:val="20"/>
          <w:szCs w:val="20"/>
          <w:color w:val="auto"/>
        </w:rPr>
      </w:pPr>
    </w:p>
    <w:p>
      <w:pPr>
        <w:ind w:left="2400"/>
        <w:spacing w:after="0"/>
        <w:tabs>
          <w:tab w:leader="none" w:pos="6860" w:val="left"/>
        </w:tabs>
        <w:rPr>
          <w:sz w:val="20"/>
          <w:szCs w:val="20"/>
          <w:color w:val="auto"/>
        </w:rPr>
      </w:pPr>
      <w:r>
        <w:rPr>
          <w:rFonts w:ascii="Arial" w:cs="Arial" w:eastAsia="Arial" w:hAnsi="Arial"/>
          <w:sz w:val="18"/>
          <w:szCs w:val="18"/>
          <w:color w:val="auto"/>
        </w:rPr>
        <w:t>No Listing</w:t>
      </w:r>
      <w:r>
        <w:rPr>
          <w:sz w:val="20"/>
          <w:szCs w:val="20"/>
          <w:color w:val="auto"/>
        </w:rPr>
        <w:tab/>
      </w:r>
      <w:r>
        <w:rPr>
          <w:rFonts w:ascii="Arial" w:cs="Arial" w:eastAsia="Arial" w:hAnsi="Arial"/>
          <w:sz w:val="15"/>
          <w:szCs w:val="15"/>
          <w:color w:val="auto"/>
        </w:rPr>
        <w:t>The Notes are a new issue of securities with no</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established trading market. We do not currently intend to</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apply for listing of the Notes on any securities exchange</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or have the Notes quoted on any automated quotation</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system. See "Risk Factors—Risks Related to the Notes—</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Your ability to transfer the Notes may be limited by the</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absence of an organized trading market."</w:t>
      </w:r>
    </w:p>
    <w:p>
      <w:pPr>
        <w:sectPr>
          <w:pgSz w:w="11900" w:h="16838" w:orient="portrait"/>
          <w:cols w:equalWidth="0" w:num="1">
            <w:col w:w="11000"/>
          </w:cols>
          <w:pgMar w:left="320" w:top="131"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7"/>
        </w:trPr>
        <w:tc>
          <w:tcPr>
            <w:tcW w:w="4500" w:type="dxa"/>
            <w:vAlign w:val="bottom"/>
            <w:tcBorders>
              <w:top w:val="single" w:sz="8" w:color="auto"/>
              <w:left w:val="single" w:sz="8" w:color="auto"/>
            </w:tcBorders>
          </w:tcPr>
          <w:p>
            <w:pPr>
              <w:ind w:left="2400"/>
              <w:spacing w:after="0"/>
              <w:rPr>
                <w:sz w:val="20"/>
                <w:szCs w:val="20"/>
                <w:color w:val="auto"/>
              </w:rPr>
            </w:pPr>
            <w:r>
              <w:rPr>
                <w:rFonts w:ascii="Arial" w:cs="Arial" w:eastAsia="Arial" w:hAnsi="Arial"/>
                <w:sz w:val="18"/>
                <w:szCs w:val="18"/>
                <w:color w:val="auto"/>
              </w:rPr>
              <w:t>Governing Law</w:t>
            </w:r>
          </w:p>
        </w:tc>
        <w:tc>
          <w:tcPr>
            <w:tcW w:w="6740" w:type="dxa"/>
            <w:vAlign w:val="bottom"/>
            <w:tcBorders>
              <w:top w:val="single" w:sz="8" w:color="auto"/>
              <w:right w:val="single" w:sz="8" w:color="auto"/>
            </w:tcBorders>
          </w:tcPr>
          <w:p>
            <w:pPr>
              <w:ind w:left="2380"/>
              <w:spacing w:after="0"/>
              <w:rPr>
                <w:sz w:val="20"/>
                <w:szCs w:val="20"/>
                <w:color w:val="auto"/>
              </w:rPr>
            </w:pPr>
            <w:r>
              <w:rPr>
                <w:rFonts w:ascii="Arial" w:cs="Arial" w:eastAsia="Arial" w:hAnsi="Arial"/>
                <w:sz w:val="18"/>
                <w:szCs w:val="18"/>
                <w:color w:val="auto"/>
              </w:rPr>
              <w:t>State of New York.</w:t>
            </w:r>
          </w:p>
        </w:tc>
      </w:tr>
      <w:tr>
        <w:trPr>
          <w:trHeight w:val="432"/>
        </w:trPr>
        <w:tc>
          <w:tcPr>
            <w:tcW w:w="4500" w:type="dxa"/>
            <w:vAlign w:val="bottom"/>
            <w:tcBorders>
              <w:left w:val="single" w:sz="8" w:color="auto"/>
            </w:tcBorders>
          </w:tcPr>
          <w:p>
            <w:pPr>
              <w:ind w:left="2400"/>
              <w:spacing w:after="0"/>
              <w:rPr>
                <w:sz w:val="20"/>
                <w:szCs w:val="20"/>
                <w:color w:val="auto"/>
              </w:rPr>
            </w:pPr>
            <w:r>
              <w:rPr>
                <w:rFonts w:ascii="Arial" w:cs="Arial" w:eastAsia="Arial" w:hAnsi="Arial"/>
                <w:sz w:val="18"/>
                <w:szCs w:val="18"/>
                <w:color w:val="auto"/>
              </w:rPr>
              <w:t>Trustee</w:t>
            </w: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U.S. Bank National Association.</w:t>
            </w:r>
          </w:p>
        </w:tc>
      </w:tr>
      <w:tr>
        <w:trPr>
          <w:trHeight w:val="426"/>
        </w:trPr>
        <w:tc>
          <w:tcPr>
            <w:tcW w:w="4500" w:type="dxa"/>
            <w:vAlign w:val="bottom"/>
            <w:tcBorders>
              <w:left w:val="single" w:sz="8" w:color="auto"/>
            </w:tcBorders>
          </w:tcPr>
          <w:p>
            <w:pPr>
              <w:ind w:left="2400"/>
              <w:spacing w:after="0"/>
              <w:rPr>
                <w:sz w:val="20"/>
                <w:szCs w:val="20"/>
                <w:color w:val="auto"/>
              </w:rPr>
            </w:pPr>
            <w:r>
              <w:rPr>
                <w:rFonts w:ascii="Arial" w:cs="Arial" w:eastAsia="Arial" w:hAnsi="Arial"/>
                <w:sz w:val="18"/>
                <w:szCs w:val="18"/>
                <w:color w:val="auto"/>
              </w:rPr>
              <w:t>Risk Factors</w:t>
            </w: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4"/>
              </w:rPr>
              <w:t>Investing in the Notes involves risks. You should consider</w:t>
            </w:r>
          </w:p>
        </w:tc>
      </w:tr>
      <w:tr>
        <w:trPr>
          <w:trHeight w:val="216"/>
        </w:trPr>
        <w:tc>
          <w:tcPr>
            <w:tcW w:w="450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carefully all of the information in this prospectus</w:t>
            </w:r>
          </w:p>
        </w:tc>
      </w:tr>
      <w:tr>
        <w:trPr>
          <w:trHeight w:val="216"/>
        </w:trPr>
        <w:tc>
          <w:tcPr>
            <w:tcW w:w="450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3"/>
              </w:rPr>
              <w:t>supplement, the accompanying base prospectus, any free</w:t>
            </w:r>
          </w:p>
        </w:tc>
      </w:tr>
      <w:tr>
        <w:trPr>
          <w:trHeight w:val="216"/>
        </w:trPr>
        <w:tc>
          <w:tcPr>
            <w:tcW w:w="450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writing prospectus relating to this offering and the</w:t>
            </w:r>
          </w:p>
        </w:tc>
      </w:tr>
      <w:tr>
        <w:trPr>
          <w:trHeight w:val="216"/>
        </w:trPr>
        <w:tc>
          <w:tcPr>
            <w:tcW w:w="450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documents incorporated by reference herein and therein.</w:t>
            </w:r>
          </w:p>
        </w:tc>
      </w:tr>
      <w:tr>
        <w:trPr>
          <w:trHeight w:val="216"/>
        </w:trPr>
        <w:tc>
          <w:tcPr>
            <w:tcW w:w="450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In particular, you should consider carefully the specific</w:t>
            </w:r>
          </w:p>
        </w:tc>
      </w:tr>
      <w:tr>
        <w:trPr>
          <w:trHeight w:val="216"/>
        </w:trPr>
        <w:tc>
          <w:tcPr>
            <w:tcW w:w="450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risks set forth in "Risk Factors" beginning on page S-6 of</w:t>
            </w:r>
          </w:p>
        </w:tc>
      </w:tr>
      <w:tr>
        <w:trPr>
          <w:trHeight w:val="222"/>
        </w:trPr>
        <w:tc>
          <w:tcPr>
            <w:tcW w:w="4500" w:type="dxa"/>
            <w:vAlign w:val="bottom"/>
            <w:tcBorders>
              <w:left w:val="single" w:sz="8" w:color="auto"/>
            </w:tcBorders>
          </w:tcPr>
          <w:p>
            <w:pPr>
              <w:spacing w:after="0"/>
              <w:rPr>
                <w:sz w:val="19"/>
                <w:szCs w:val="19"/>
                <w:color w:val="auto"/>
              </w:rPr>
            </w:pPr>
          </w:p>
        </w:tc>
        <w:tc>
          <w:tcPr>
            <w:tcW w:w="674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this prospectus supplement.</w:t>
            </w:r>
          </w:p>
        </w:tc>
      </w:tr>
      <w:tr>
        <w:trPr>
          <w:trHeight w:val="228"/>
        </w:trPr>
        <w:tc>
          <w:tcPr>
            <w:tcW w:w="4500" w:type="dxa"/>
            <w:vAlign w:val="bottom"/>
            <w:tcBorders>
              <w:left w:val="single" w:sz="8" w:color="auto"/>
              <w:bottom w:val="single" w:sz="8" w:color="auto"/>
            </w:tcBorders>
          </w:tcPr>
          <w:p>
            <w:pPr>
              <w:spacing w:after="0"/>
              <w:rPr>
                <w:sz w:val="19"/>
                <w:szCs w:val="19"/>
                <w:color w:val="auto"/>
              </w:rPr>
            </w:pPr>
          </w:p>
        </w:tc>
        <w:tc>
          <w:tcPr>
            <w:tcW w:w="6740" w:type="dxa"/>
            <w:vAlign w:val="bottom"/>
            <w:tcBorders>
              <w:bottom w:val="single" w:sz="8" w:color="auto"/>
              <w:right w:val="single" w:sz="8" w:color="auto"/>
            </w:tcBorders>
          </w:tcPr>
          <w:p>
            <w:pPr>
              <w:spacing w:after="0"/>
              <w:rPr>
                <w:sz w:val="19"/>
                <w:szCs w:val="19"/>
                <w:color w:val="auto"/>
              </w:rPr>
            </w:pPr>
          </w:p>
        </w:tc>
      </w:tr>
      <w:tr>
        <w:trPr>
          <w:trHeight w:val="427"/>
        </w:trPr>
        <w:tc>
          <w:tcPr>
            <w:tcW w:w="4500" w:type="dxa"/>
            <w:vAlign w:val="bottom"/>
          </w:tcPr>
          <w:p>
            <w:pPr>
              <w:spacing w:after="0"/>
              <w:rPr>
                <w:sz w:val="24"/>
                <w:szCs w:val="24"/>
                <w:color w:val="auto"/>
              </w:rPr>
            </w:pPr>
          </w:p>
        </w:tc>
        <w:tc>
          <w:tcPr>
            <w:tcW w:w="6740" w:type="dxa"/>
            <w:vAlign w:val="bottom"/>
          </w:tcPr>
          <w:p>
            <w:pPr>
              <w:ind w:left="1000"/>
              <w:spacing w:after="0"/>
              <w:rPr>
                <w:sz w:val="20"/>
                <w:szCs w:val="20"/>
                <w:color w:val="auto"/>
              </w:rPr>
            </w:pPr>
            <w:r>
              <w:rPr>
                <w:rFonts w:ascii="Arial" w:cs="Arial" w:eastAsia="Arial" w:hAnsi="Arial"/>
                <w:sz w:val="18"/>
                <w:szCs w:val="18"/>
                <w:color w:val="auto"/>
              </w:rPr>
              <w:t>S-5</w:t>
            </w:r>
          </w:p>
        </w:tc>
      </w:tr>
      <w:tr>
        <w:trPr>
          <w:trHeight w:val="228"/>
        </w:trPr>
        <w:tc>
          <w:tcPr>
            <w:tcW w:w="450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1"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Before making an investment in the Notes offered hereby, you should carefully consider the risk factors discussed herein and those included in Item 1A. </w:t>
      </w:r>
      <w:hyperlink r:id="rId22">
        <w:r>
          <w:rPr>
            <w:rFonts w:ascii="Arial" w:cs="Arial" w:eastAsia="Arial" w:hAnsi="Arial"/>
            <w:sz w:val="16"/>
            <w:szCs w:val="16"/>
            <w:i w:val="1"/>
            <w:iCs w:val="1"/>
            <w:color w:val="auto"/>
          </w:rPr>
          <w:t xml:space="preserve">"Risk Factors" in our </w:t>
        </w:r>
        <w:r>
          <w:rPr>
            <w:rFonts w:ascii="Arial" w:cs="Arial" w:eastAsia="Arial" w:hAnsi="Arial"/>
            <w:sz w:val="16"/>
            <w:szCs w:val="16"/>
            <w:i w:val="1"/>
            <w:iCs w:val="1"/>
            <w:u w:val="single" w:color="auto"/>
            <w:color w:val="0000EE"/>
          </w:rPr>
          <w:t>Annual Report on Form 10-K for the fiscal year ended December 31, 2019</w:t>
        </w:r>
        <w:r>
          <w:rPr>
            <w:rFonts w:ascii="Arial" w:cs="Arial" w:eastAsia="Arial" w:hAnsi="Arial"/>
            <w:sz w:val="16"/>
            <w:szCs w:val="16"/>
            <w:i w:val="1"/>
            <w:iCs w:val="1"/>
            <w:color w:val="auto"/>
          </w:rPr>
          <w:t xml:space="preserve"> (File No. 001-14569), in our </w:t>
        </w:r>
        <w:r>
          <w:rPr>
            <w:rFonts w:ascii="Arial" w:cs="Arial" w:eastAsia="Arial" w:hAnsi="Arial"/>
            <w:sz w:val="16"/>
            <w:szCs w:val="16"/>
            <w:i w:val="1"/>
            <w:iCs w:val="1"/>
            <w:u w:val="single" w:color="auto"/>
            <w:color w:val="0000EE"/>
          </w:rPr>
          <w:t>Quarterly Report on Form 10-Q</w:t>
        </w:r>
      </w:hyperlink>
      <w:r>
        <w:rPr>
          <w:rFonts w:ascii="Arial" w:cs="Arial" w:eastAsia="Arial" w:hAnsi="Arial"/>
          <w:sz w:val="16"/>
          <w:szCs w:val="16"/>
          <w:i w:val="1"/>
          <w:iCs w:val="1"/>
          <w:color w:val="auto"/>
        </w:rPr>
        <w:t xml:space="preserve"> </w:t>
      </w:r>
      <w:hyperlink r:id="rId22">
        <w:r>
          <w:rPr>
            <w:rFonts w:ascii="Arial" w:cs="Arial" w:eastAsia="Arial" w:hAnsi="Arial"/>
            <w:sz w:val="16"/>
            <w:szCs w:val="16"/>
            <w:i w:val="1"/>
            <w:iCs w:val="1"/>
            <w:u w:val="single" w:color="auto"/>
            <w:color w:val="0000EE"/>
          </w:rPr>
          <w:t>for the quarter ended March 31, 2020</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and in any of our subsequent quarterly reports, which are incorporated by reference herein, together with all of the other</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information included or incorporated by reference in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Notes are effectively subordinated to claims of our secured creditors and to any existing and future indebtedness and other obligations of our subsidiaries, including trade payables, other than subsidiaries that guarantee the Notes in the future. As of March 31, 2020, on an as adjusted basis as described under "Capitalization," the Notes would have been effectively subordinated to $414 million of secured indebtedness and would have been structurally subordinated to $785 million of our subsidiaries' indebtedness. In the event of the insolvency, bankruptcy, liquidation, reorganization, dissolution or winding up of the business of a subsidiary, other than a subsidiary that guarantees the Notes in the future, creditors of that subsidiary would generally have the right to be paid in full before any distribution is made to us or the holders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24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leverage is significant in relation to our partners' capital. As of March 31, 2020, on an as adjusted basis as described under "Capitalization," our total outstanding long-term debt was approximately $9.6 billion, and our total outstanding short-term debt was approximately $363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66"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credit facilities to service our indebtedness, although the principal amount of the Notes may need to be refinanced at or prior to maturity in whole or in part. A continuation or worsening of the current significant downturn in the hydrocarbon industry, including as a result of the ongoing impacts of COVID-19,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ability to transfer the Notes may be limited by the absence of an organized trading market.</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Changes in our credit rating or outlook or in the rating assigned by a rating agency to the Notes could adversely affect the market price or liquidity of the Notes.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A negative change in our ratings or outlook could have an adverse effect on the price of the Notes.</w:t>
      </w:r>
    </w:p>
    <w:p>
      <w:pPr>
        <w:spacing w:after="0" w:line="160"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expect that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the Notes.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186"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Unlike a corporation, our partnership agreement requires us to distribute, on a quarterly basis, 100% of our available cash to our unitholders of record.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80" w:lineRule="exact"/>
        <w:rPr>
          <w:sz w:val="20"/>
          <w:szCs w:val="20"/>
          <w:color w:val="auto"/>
        </w:rPr>
      </w:pPr>
    </w:p>
    <w:p>
      <w:pPr>
        <w:ind w:left="1080" w:right="8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 of our operating partnerships (including reserves for future capital expenditures and for our anticipated future credit needs);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comply with applicable law or any loan agreement, security agreement, mortgage, debt instrument or other agreement or obligation;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provide funds for distributions to our preferred unitholders;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provide funds for distributions to our common unitholders for any one or more of the next four calendar quarters.</w:t>
      </w:r>
    </w:p>
    <w:p>
      <w:pPr>
        <w:spacing w:after="0" w:line="225" w:lineRule="exact"/>
        <w:rPr>
          <w:sz w:val="20"/>
          <w:szCs w:val="20"/>
          <w:color w:val="auto"/>
        </w:rPr>
      </w:pPr>
    </w:p>
    <w:p>
      <w:pPr>
        <w:ind w:right="300" w:firstLine="341"/>
        <w:spacing w:after="0" w:line="259" w:lineRule="auto"/>
        <w:rPr>
          <w:sz w:val="20"/>
          <w:szCs w:val="20"/>
          <w:color w:val="auto"/>
        </w:rPr>
      </w:pPr>
      <w:r>
        <w:rPr>
          <w:rFonts w:ascii="Arial" w:cs="Arial" w:eastAsia="Arial" w:hAnsi="Arial"/>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Our tax treatment depends on our status as a partnership for U.S. federal income tax purposes and not being subject to a material amount of entity-level taxation. If the Internal Revenue Service ("IRS") were to treat us as a corporation for U.S. federal income tax purposes, or if we become subject to entity-level taxation for state or foreign tax purposes, our cash available for payment of principal and interest on the Notes and our other indebtedness could be substantially reduced.</w:t>
      </w:r>
    </w:p>
    <w:p>
      <w:pPr>
        <w:spacing w:after="0" w:line="19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publicly traded partnership such as us may be treated as a corporation for federal income tax purposes unless it satisfies a "qualifying income" requirement as defined in Section 7704 of the Internal Revenue Code of 1986, as amended. Based upon our current operations and current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 and our cash available for payment of principal and interest on the Notes and other indebtedness could be substantially reduced.</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or additional federal or foreign taxes on us could substantially reduce our cash available for payment of principal and interest on the Notes and our other indebtedness.</w:t>
      </w:r>
    </w:p>
    <w:p>
      <w:pPr>
        <w:spacing w:after="0" w:line="19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payment of principal and interest on the Notes and our other indebtedness could be substantially reduced.</w:t>
      </w:r>
    </w:p>
    <w:p>
      <w:pPr>
        <w:spacing w:after="0" w:line="16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Bipartisan Budget Act of 2015, for tax years beginning after December 31, 2017, if the IRS makes audit adjustments to our income tax returns, it (and some states) may assess and collect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taxes (including any applicable penalties and interest) resulting from such audit adjustments directly from us. To the extent possible under the new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If, as a result of any such audit adjustment, we are required to make payments of taxes, penalties and interest, our cash available for payment of principal and interest on the Notes and our other indebtedness could be substantially reduced.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net proceeds of this offering will be approximately $741.58 million after deducting the underwriting discount and our estimated offering expenses. We intend to use the net proceeds from the offering to partially repay the principal amount of our 2021 senior notes on or prior to their maturity date in February 2021 and, pending such repayment, for general partnership purposes, which may include, among other things, repayment of indebtedness, acquisitions, capital expenditures and additions to working capital.</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Certain of the underwriters or their affiliates may hold our 2021 senior notes to be repaid with proceeds from this offering and, accordingly, may receive a substantial portion of the net proceeds of this offering.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March 31, 2020:</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the Notes offered hereby and the application of the net proceeds therefrom as described under "Use of Proceeds" in this prospectus supplement.</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right"/>
              <w:ind w:right="139"/>
              <w:spacing w:after="0"/>
              <w:rPr>
                <w:sz w:val="20"/>
                <w:szCs w:val="20"/>
                <w:color w:val="auto"/>
              </w:rPr>
            </w:pPr>
            <w:r>
              <w:rPr>
                <w:rFonts w:ascii="Arial" w:cs="Arial" w:eastAsia="Arial" w:hAnsi="Arial"/>
                <w:sz w:val="13"/>
                <w:szCs w:val="13"/>
                <w:b w:val="1"/>
                <w:bCs w:val="1"/>
                <w:color w:val="auto"/>
                <w:w w:val="86"/>
              </w:rPr>
              <w:t>As of</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March 31, 2020</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Historical</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As Adjusted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(in</w:t>
            </w:r>
          </w:p>
        </w:tc>
        <w:tc>
          <w:tcPr>
            <w:tcW w:w="54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w w:val="93"/>
              </w:rPr>
              <w:t>millions)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2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SHORT-TERM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secured hedged inventory facility(1)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52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short-term debt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52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notes, net of unamortized discounts and debt issuance costs(2)</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52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0"/>
              <w:spacing w:after="0"/>
              <w:rPr>
                <w:sz w:val="20"/>
                <w:szCs w:val="20"/>
                <w:color w:val="auto"/>
              </w:rPr>
            </w:pPr>
            <w:r>
              <w:rPr>
                <w:rFonts w:ascii="Arial" w:cs="Arial" w:eastAsia="Arial" w:hAnsi="Arial"/>
                <w:sz w:val="18"/>
                <w:szCs w:val="18"/>
                <w:color w:val="auto"/>
              </w:rPr>
              <w:t>Senior secured hedged inventory facility(3)</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 Zone term loans, net of debt issuance costs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0"/>
              <w:spacing w:after="0"/>
              <w:rPr>
                <w:sz w:val="20"/>
                <w:szCs w:val="20"/>
                <w:color w:val="auto"/>
              </w:rPr>
            </w:pPr>
            <w:r>
              <w:rPr>
                <w:rFonts w:ascii="Arial" w:cs="Arial" w:eastAsia="Arial" w:hAnsi="Arial"/>
                <w:sz w:val="18"/>
                <w:szCs w:val="18"/>
                <w:color w:val="auto"/>
              </w:rPr>
              <w:t>Notes offered hereby, net of unamortized discount and debt issuance costs</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7060" w:type="dxa"/>
            <w:vAlign w:val="bottom"/>
            <w:gridSpan w:val="2"/>
          </w:tcPr>
          <w:p>
            <w:pPr>
              <w:ind w:left="38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00"/>
              <w:spacing w:after="0"/>
              <w:rPr>
                <w:sz w:val="20"/>
                <w:szCs w:val="20"/>
                <w:color w:val="auto"/>
              </w:rPr>
            </w:pPr>
            <w:r>
              <w:rPr>
                <w:rFonts w:ascii="Arial" w:cs="Arial" w:eastAsia="Arial" w:hAnsi="Arial"/>
                <w:sz w:val="18"/>
                <w:szCs w:val="18"/>
                <w:color w:val="auto"/>
              </w:rPr>
              <w:t>Series A preferred unitholders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1,505</w:t>
            </w:r>
          </w:p>
        </w:tc>
        <w:tc>
          <w:tcPr>
            <w:tcW w:w="52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Series B preferred unitholders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0"/>
              <w:spacing w:after="0"/>
              <w:rPr>
                <w:sz w:val="20"/>
                <w:szCs w:val="20"/>
                <w:color w:val="auto"/>
              </w:rPr>
            </w:pPr>
            <w:r>
              <w:rPr>
                <w:rFonts w:ascii="Arial" w:cs="Arial" w:eastAsia="Arial" w:hAnsi="Arial"/>
                <w:sz w:val="18"/>
                <w:szCs w:val="18"/>
                <w:color w:val="auto"/>
              </w:rPr>
              <w:t>Common unitholders</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7,287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7060" w:type="dxa"/>
            <w:vAlign w:val="bottom"/>
            <w:gridSpan w:val="2"/>
          </w:tcPr>
          <w:p>
            <w:pPr>
              <w:ind w:left="380"/>
              <w:spacing w:after="0"/>
              <w:rPr>
                <w:sz w:val="20"/>
                <w:szCs w:val="20"/>
                <w:color w:val="auto"/>
              </w:rPr>
            </w:pPr>
            <w:r>
              <w:rPr>
                <w:rFonts w:ascii="Arial" w:cs="Arial" w:eastAsia="Arial" w:hAnsi="Arial"/>
                <w:sz w:val="18"/>
                <w:szCs w:val="18"/>
                <w:color w:val="auto"/>
              </w:rPr>
              <w:t>Total partners' capital</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capitalization</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19,140</w:t>
            </w:r>
          </w:p>
        </w:tc>
        <w:tc>
          <w:tcPr>
            <w:tcW w:w="52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19,282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3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49"/>
        <w:spacing w:after="0" w:line="259"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classified these credit facility borrowings as short-term as of March 31, 2020, as these borrowings were primarily designated as working capital borrowings, were required to be repaid within one year and were primarily for hedged NGL and crude oil inventory and NYMEX and ICE margin deposits.</w:t>
      </w:r>
    </w:p>
    <w:p>
      <w:pPr>
        <w:spacing w:after="0" w:line="207" w:lineRule="exact"/>
        <w:rPr>
          <w:rFonts w:ascii="Arial" w:cs="Arial" w:eastAsia="Arial" w:hAnsi="Arial"/>
          <w:sz w:val="18"/>
          <w:szCs w:val="18"/>
          <w:color w:val="auto"/>
        </w:rPr>
      </w:pPr>
    </w:p>
    <w:p>
      <w:pPr>
        <w:ind w:left="1680" w:right="140" w:hanging="549"/>
        <w:spacing w:after="0" w:line="268"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March 31, 2020, we classified our 2021 senior notes as long-term based on our ability and intent to refinance such amounts on a long-term basis, including through the application of the net proceeds from this offering.</w:t>
      </w:r>
    </w:p>
    <w:p>
      <w:pPr>
        <w:spacing w:after="0" w:line="212" w:lineRule="exact"/>
        <w:rPr>
          <w:rFonts w:ascii="Arial" w:cs="Arial" w:eastAsia="Arial" w:hAnsi="Arial"/>
          <w:sz w:val="18"/>
          <w:szCs w:val="18"/>
          <w:color w:val="auto"/>
        </w:rPr>
      </w:pPr>
    </w:p>
    <w:p>
      <w:pPr>
        <w:ind w:left="1680" w:right="320" w:hanging="549"/>
        <w:spacing w:after="0" w:line="268"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March 31, 2020, we classified a portion of our senior secured hedged inventory facility borrowings as long-term based on our ability and intent to refinance such amounts on a long-term basis.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We will issue the Notes under an indenture (the "Base Indenture") dated as of September 25, 2002, among us and U.S. Bank National Association, as successor trustee, and a supplemental indenture thereto with respect to the Notes to be dated as of June 11, 2020 (the Base Indenture, as supplemented by such supplemental indenture, the "Indenture"). The Notes will constitute a new series of debt securities under the Base Indenture, and multiple other series are now outstanding under the Base Indenture, issued under various supplemental indentures.</w:t>
      </w:r>
    </w:p>
    <w:p>
      <w:pPr>
        <w:spacing w:after="0" w:line="16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"Book-Entry, Delivery and Form."</w:t>
      </w:r>
    </w:p>
    <w:p>
      <w:pPr>
        <w:spacing w:after="0" w:line="17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i w:val="1"/>
          <w:iCs w:val="1"/>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160"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be:</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senior unsecured indebtedness ranking equally in right of payment with all of our existing and future unsubordinated indebtedness;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series of debt securities issued under the Base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indebtedness, to the extent of the security for that debt;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structurally junior to existing and future indebtedness and other obligations of our Subsidiaries, including trade payables, other than Subsidiaries that guarantee the Notes in the future.</w:t>
      </w:r>
    </w:p>
    <w:p>
      <w:pPr>
        <w:spacing w:after="0" w:line="186"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As of March 31, 2020, on an as adjusted basis as described under "Capitalization," the Notes would have been effectively subordinated to $414 million of secured indebtedness and would have been structurally subordinated to $785 million of our subsidiaries' outstanding indebtedness.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231" w:lineRule="exact"/>
        <w:rPr>
          <w:sz w:val="20"/>
          <w:szCs w:val="20"/>
          <w:color w:val="auto"/>
        </w:rPr>
      </w:pPr>
    </w:p>
    <w:p>
      <w:pPr>
        <w:jc w:val="both"/>
        <w:ind w:right="40" w:firstLine="348"/>
        <w:spacing w:after="0" w:line="256" w:lineRule="auto"/>
        <w:rPr>
          <w:sz w:val="20"/>
          <w:szCs w:val="20"/>
          <w:color w:val="auto"/>
        </w:rPr>
      </w:pPr>
      <w:r>
        <w:rPr>
          <w:rFonts w:ascii="Arial" w:cs="Arial" w:eastAsia="Arial" w:hAnsi="Arial"/>
          <w:sz w:val="18"/>
          <w:szCs w:val="18"/>
          <w:color w:val="auto"/>
        </w:rPr>
        <w:t>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issue the Notes in an initial aggregate principal amount of $750 million. The Notes will mature on September 15, 2030. The Notes will bear interest at an annual rate of 3.800%. Interest on the Notes will accrue from June 11, 2020 and will be payable semi-annually in arrears on March 15 and September 15 of each year, beginning September 15, 2020. We will make each interest payment to the holders of record at the close of business on March 1 and September 1 preceding such interest payment dates. Interest will be computed on the basis of a 360-day year consisting of twelve 30-day months. We will issue the Notes in minimum denominations of $2,000 and integral multiples of $1,000 in excess thereof.</w:t>
      </w:r>
    </w:p>
    <w:p>
      <w:pPr>
        <w:spacing w:after="0" w:line="16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of General Partner</w:t>
      </w:r>
    </w:p>
    <w:p>
      <w:pPr>
        <w:spacing w:after="0" w:line="231"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Plains All American Pipeline's general partner and its directors, officers, employees and members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Provided that no default shall have occurred and shall be continuing under the Indenture, a future Subsidiary Guarantor will be unconditionally released and discharged from its guarantee:</w:t>
      </w:r>
    </w:p>
    <w:p>
      <w:pPr>
        <w:spacing w:after="0" w:line="199" w:lineRule="exact"/>
        <w:rPr>
          <w:sz w:val="20"/>
          <w:szCs w:val="20"/>
          <w:color w:val="auto"/>
        </w:rPr>
      </w:pPr>
    </w:p>
    <w:p>
      <w:pPr>
        <w:ind w:left="1080" w:right="20" w:hanging="532"/>
        <w:spacing w:after="0" w:line="33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any sale or other disposition of all of our direct or indirect equity interests in that Subsidiary Guarantor to any Person that is not our affiliate; or</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(other than debt securities issued under the Base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Notes will be redeemable, in whole or in part, at our option at any time and from time to time prior to maturity. If we redeem the Notes before the Par Call Date, we will pay an amount equal to the greater of (i) 100% of the principal amount of the Notes to be redeemed and (ii) as determined by the Quotation Agent, the sum of the present values of the remaining scheduled payments of principal and interest on the Notes to be redeemed that would have been due if the Notes matured on the Par Call Date (not including any portion of those payments of interest accrued to the date of redemption), discounted to the date of redemption on a semiannual basis (assuming 360-day years, each consisting of twelve 30-day months) at the Adjusted Treasury Rate (as defined herein) plus 45 basis points, together with accrued and unpaid interest to the date of redemption.</w:t>
      </w:r>
    </w:p>
    <w:p>
      <w:pPr>
        <w:spacing w:after="0" w:line="17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If we redeem the Notes on or after the Par Call Date, we will pay an amount equal to 100% of the principal amount of the Notes to be redeemed plus accrued and unpaid interest to the redemption date.</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calculated as if the maturity date of the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 June 15, 2030 (three months prior to the maturity date).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a Primary Treasury Dealer (as defined below) appointed by us.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J.P. Morgan Securities LLC, Barclays Capital Inc., BofA Securities, Inc. and RBC Capital Markets, LLC or their respective successors and affiliates; provided, however, if any of the foregoing ceases to be a primary U.S. Government securities dealer in the United States (a "Primary Treasury Dealer"), we shall substitute therefor another Primary Treasury Dealer.</w:t>
      </w:r>
    </w:p>
    <w:p>
      <w:pPr>
        <w:spacing w:after="0" w:line="194"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Reference Treasury Dealer Quotations</w:t>
      </w:r>
      <w:r>
        <w:rPr>
          <w:rFonts w:ascii="Arial" w:cs="Arial" w:eastAsia="Arial" w:hAnsi="Arial"/>
          <w:sz w:val="15"/>
          <w:szCs w:val="15"/>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186"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If less than all of the Notes are to be redeemed at any time, the trustee will select Notes (or any portion of Notes in integral multiples of $1,000) for redemption as follows:</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Notes are listed, in compliance with the requirements of the principal national securities exchange on which such Notes are listed; or</w:t>
      </w:r>
    </w:p>
    <w:p>
      <w:pPr>
        <w:spacing w:after="0" w:line="275"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if the Notes are in the form of Global Notes, by such method as the depositary shall require.</w:t>
      </w:r>
    </w:p>
    <w:p>
      <w:pPr>
        <w:spacing w:after="0" w:line="186"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However, no Note with a principal amount of $2,000 or less will be redeemed in part. Notice of any such optional redemption will be mailed by first class mail at least 10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is an "Event of Default":</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any premium on any Note at maturity, upon redemption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any Note;</w:t>
      </w:r>
    </w:p>
    <w:p>
      <w:pPr>
        <w:spacing w:after="0" w:line="252"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210" w:lineRule="exact"/>
        <w:rPr>
          <w:rFonts w:ascii="Arial" w:cs="Arial" w:eastAsia="Arial" w:hAnsi="Arial"/>
          <w:sz w:val="18"/>
          <w:szCs w:val="18"/>
          <w:color w:val="auto"/>
        </w:rPr>
      </w:pPr>
    </w:p>
    <w:p>
      <w:pPr>
        <w:ind w:left="1080" w:right="100" w:hanging="532"/>
        <w:spacing w:after="0" w:line="286"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debt of ours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193"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if and so long as the Notes are guaranteed by a Subsidiary Guarantor, by such Subsidiary Guarantor;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and so long as the Notes are guaranteed by a Subsidiary Guarantor: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guarantee by such Subsidiary Guarantor ceases to be in full force and effect, except as otherwise provided in the Indenture;</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20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6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22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80" w:hanging="532"/>
        <w:spacing w:after="0" w:line="306"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173" w:lineRule="exact"/>
        <w:rPr>
          <w:rFonts w:ascii="Arial" w:cs="Arial" w:eastAsia="Arial" w:hAnsi="Arial"/>
          <w:sz w:val="16"/>
          <w:szCs w:val="16"/>
          <w:color w:val="auto"/>
        </w:rPr>
      </w:pPr>
    </w:p>
    <w:p>
      <w:pPr>
        <w:ind w:left="1620" w:right="440" w:hanging="532"/>
        <w:spacing w:after="0" w:line="259"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or series of transactions, no Default or Event of Default has occurred and is continuing;</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220"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6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207"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reduce or waive the premium payable upon redemption or alter or waive the other provisions with respect to the redemption of any Notes;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38"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make any change in the preceding amendment, supplement and waiver provisions (except to increase any percentage set forth therein).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Notwithstanding the preceding paragraph, without the consent of any holder of Notes, we, any Subsidiary Guarantors and the trustee may amend or supplement the Indenture or the Notes:</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add or release any Subsidiary Guarantors as permitted pursuant to the terms of the Indenture (see "—Possible Future Guarantees");</w:t>
      </w:r>
    </w:p>
    <w:p>
      <w:pPr>
        <w:spacing w:after="0" w:line="275"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secure the Notes and/or any guarantees;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will not, nor will we permit any Subsidiary of Plains All American Pipeline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Base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193"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38"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73" w:lineRule="exact"/>
        <w:rPr>
          <w:rFonts w:ascii="Arial" w:cs="Arial" w:eastAsia="Arial" w:hAnsi="Arial"/>
          <w:sz w:val="16"/>
          <w:szCs w:val="16"/>
          <w:color w:val="auto"/>
        </w:rPr>
      </w:pPr>
    </w:p>
    <w:p>
      <w:pPr>
        <w:ind w:left="1080" w:right="180" w:hanging="532"/>
        <w:spacing w:after="0" w:line="306"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or any Restricted Subsidiary); provided, however, that such lien only encumbers the property or assets so acquired;</w:t>
      </w:r>
    </w:p>
    <w:p>
      <w:pPr>
        <w:spacing w:after="0" w:line="239" w:lineRule="exact"/>
        <w:rPr>
          <w:sz w:val="20"/>
          <w:szCs w:val="20"/>
          <w:color w:val="auto"/>
        </w:rPr>
      </w:pPr>
    </w:p>
    <w:p>
      <w:pPr>
        <w:ind w:left="1080" w:right="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207" w:lineRule="exact"/>
        <w:rPr>
          <w:rFonts w:ascii="Arial" w:cs="Arial" w:eastAsia="Arial" w:hAnsi="Arial"/>
          <w:sz w:val="18"/>
          <w:szCs w:val="18"/>
          <w:color w:val="auto"/>
        </w:rPr>
      </w:pPr>
    </w:p>
    <w:p>
      <w:pPr>
        <w:ind w:left="1080" w:right="100" w:hanging="532"/>
        <w:spacing w:after="0" w:line="29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200"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Base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Sale-Leasebacks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and will not permit any Subsidiary of Plains All American Pipeline to, engage in a Sale-leaseback Transaction, unless:</w:t>
      </w:r>
    </w:p>
    <w:p>
      <w:pPr>
        <w:spacing w:after="0" w:line="239" w:lineRule="exact"/>
        <w:rPr>
          <w:sz w:val="20"/>
          <w:szCs w:val="20"/>
          <w:color w:val="auto"/>
        </w:rPr>
      </w:pPr>
    </w:p>
    <w:p>
      <w:pPr>
        <w:ind w:left="1080" w:right="12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252" w:lineRule="exact"/>
        <w:rPr>
          <w:rFonts w:ascii="Arial" w:cs="Arial" w:eastAsia="Arial" w:hAnsi="Arial"/>
          <w:sz w:val="18"/>
          <w:szCs w:val="18"/>
          <w:color w:val="auto"/>
        </w:rPr>
      </w:pPr>
    </w:p>
    <w:p>
      <w:pPr>
        <w:ind w:left="1080" w:right="120" w:hanging="532"/>
        <w:spacing w:after="0" w:line="369"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98"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66"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Base Indenture) secured by liens upon Principal Properties not excepted in the first paragraph under "—Limitations on Liens," does not exceed 10% of Consolidated Net Tangible Assets.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20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231"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94" w:lineRule="exact"/>
        <w:rPr>
          <w:sz w:val="20"/>
          <w:szCs w:val="20"/>
          <w:color w:val="auto"/>
        </w:rPr>
      </w:pPr>
    </w:p>
    <w:p>
      <w:pPr>
        <w:ind w:right="420" w:firstLine="341"/>
        <w:spacing w:after="0" w:line="259" w:lineRule="auto"/>
        <w:rPr>
          <w:sz w:val="20"/>
          <w:szCs w:val="20"/>
          <w:color w:val="auto"/>
        </w:rPr>
      </w:pPr>
      <w:r>
        <w:rPr>
          <w:rFonts w:ascii="Arial" w:cs="Arial" w:eastAsia="Arial" w:hAnsi="Arial"/>
          <w:sz w:val="18"/>
          <w:szCs w:val="18"/>
          <w:color w:val="auto"/>
        </w:rPr>
        <w:t>Also, at any time, we may terminate our obligations under covenants described in the first paragraph of "—Possible Future Guarantees," under "— Covenants" and under "—SEC Reports" ("covenant defeasance"), and thereafter our failure to comply with any of such covenants would not constitute an Event of Default.</w:t>
      </w:r>
    </w:p>
    <w:p>
      <w:pPr>
        <w:spacing w:after="0" w:line="194"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such opinion of counsel must be based on a ruling of the Internal Revenue Service or other change in applicable federal income tax law.</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the event of any legal defeasance, holders of the defeased Notes would be entitled to look only to the defeasance trust for payment of principal of and any premium and interest on their Notes until maturity.</w:t>
      </w:r>
    </w:p>
    <w:p>
      <w:pPr>
        <w:spacing w:after="0" w:line="186"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 all outstanding Notes to the trustee for cancellation; or</w:t>
      </w:r>
    </w:p>
    <w:p>
      <w:pPr>
        <w:spacing w:after="0" w:line="252"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and comply with the other requirements of the Indenture in relation to satisfaction and discharge.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Indebtedness</w:t>
      </w:r>
      <w:r>
        <w:rPr>
          <w:rFonts w:ascii="Arial" w:cs="Arial" w:eastAsia="Arial" w:hAnsi="Arial"/>
          <w:sz w:val="16"/>
          <w:szCs w:val="16"/>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7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at any date of determination, the total amount of assets after deducting therefrom:</w:t>
      </w:r>
    </w:p>
    <w:p>
      <w:pPr>
        <w:spacing w:after="0" w:line="225" w:lineRule="exact"/>
        <w:rPr>
          <w:sz w:val="20"/>
          <w:szCs w:val="20"/>
          <w:color w:val="auto"/>
        </w:rPr>
      </w:pPr>
    </w:p>
    <w:p>
      <w:pPr>
        <w:ind w:left="1240" w:hanging="341"/>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225" w:lineRule="exact"/>
        <w:rPr>
          <w:rFonts w:ascii="Arial" w:cs="Arial" w:eastAsia="Arial" w:hAnsi="Arial"/>
          <w:sz w:val="18"/>
          <w:szCs w:val="18"/>
          <w:color w:val="auto"/>
        </w:rPr>
      </w:pPr>
    </w:p>
    <w:p>
      <w:pPr>
        <w:ind w:left="1080" w:right="700" w:firstLine="359"/>
        <w:spacing w:after="0" w:line="268" w:lineRule="auto"/>
        <w:tabs>
          <w:tab w:leader="none" w:pos="17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185" w:lineRule="exact"/>
        <w:rPr>
          <w:rFonts w:ascii="Arial" w:cs="Arial" w:eastAsia="Arial" w:hAnsi="Arial"/>
          <w:sz w:val="18"/>
          <w:szCs w:val="18"/>
          <w:color w:val="auto"/>
        </w:rPr>
      </w:pPr>
    </w:p>
    <w:p>
      <w:pPr>
        <w:ind w:left="1780" w:hanging="341"/>
        <w:spacing w:after="0"/>
        <w:tabs>
          <w:tab w:leader="none" w:pos="1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net of any applicable reserves, of all goodwill, trade names, trademarks, patents and other like intangible assets,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right="16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Funded Debt</w:t>
      </w:r>
      <w:r>
        <w:rPr>
          <w:rFonts w:ascii="Arial" w:cs="Arial" w:eastAsia="Arial" w:hAnsi="Arial"/>
          <w:sz w:val="15"/>
          <w:szCs w:val="15"/>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are initially issued.</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Managing General Partner</w:t>
      </w:r>
      <w:r>
        <w:rPr>
          <w:rFonts w:ascii="Arial" w:cs="Arial" w:eastAsia="Arial" w:hAnsi="Arial"/>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9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Debt</w:t>
      </w:r>
      <w:r>
        <w:rPr>
          <w:rFonts w:ascii="Arial" w:cs="Arial" w:eastAsia="Arial" w:hAnsi="Arial"/>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1240" w:hanging="341"/>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225" w:lineRule="exact"/>
        <w:rPr>
          <w:rFonts w:ascii="Arial" w:cs="Arial" w:eastAsia="Arial" w:hAnsi="Arial"/>
          <w:sz w:val="18"/>
          <w:szCs w:val="18"/>
          <w:color w:val="auto"/>
        </w:rPr>
      </w:pPr>
    </w:p>
    <w:p>
      <w:pPr>
        <w:ind w:left="540" w:right="60" w:firstLine="359"/>
        <w:spacing w:after="0" w:line="306" w:lineRule="auto"/>
        <w:tabs>
          <w:tab w:leader="none" w:pos="1227"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60" w:lineRule="exact"/>
        <w:rPr>
          <w:rFonts w:ascii="Arial" w:cs="Arial" w:eastAsia="Arial" w:hAnsi="Arial"/>
          <w:sz w:val="16"/>
          <w:szCs w:val="16"/>
          <w:color w:val="auto"/>
        </w:rPr>
      </w:pPr>
    </w:p>
    <w:p>
      <w:pPr>
        <w:ind w:left="540" w:firstLine="359"/>
        <w:spacing w:after="0" w:line="268" w:lineRule="auto"/>
        <w:tabs>
          <w:tab w:leader="none" w:pos="12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85" w:lineRule="exact"/>
        <w:rPr>
          <w:rFonts w:ascii="Arial" w:cs="Arial" w:eastAsia="Arial" w:hAnsi="Arial"/>
          <w:sz w:val="18"/>
          <w:szCs w:val="18"/>
          <w:color w:val="auto"/>
        </w:rPr>
      </w:pPr>
    </w:p>
    <w:p>
      <w:pPr>
        <w:ind w:left="540" w:right="400" w:firstLine="359"/>
        <w:spacing w:after="0" w:line="268" w:lineRule="auto"/>
        <w:tabs>
          <w:tab w:leader="none" w:pos="12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20" w:firstLine="359"/>
        <w:spacing w:after="0" w:line="268" w:lineRule="auto"/>
        <w:tabs>
          <w:tab w:leader="none" w:pos="12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185" w:lineRule="exact"/>
        <w:rPr>
          <w:rFonts w:ascii="Arial" w:cs="Arial" w:eastAsia="Arial" w:hAnsi="Arial"/>
          <w:sz w:val="18"/>
          <w:szCs w:val="18"/>
          <w:color w:val="auto"/>
        </w:rPr>
      </w:pPr>
    </w:p>
    <w:p>
      <w:pPr>
        <w:ind w:left="540" w:right="300" w:firstLine="359"/>
        <w:spacing w:after="0" w:line="268" w:lineRule="auto"/>
        <w:tabs>
          <w:tab w:leader="none" w:pos="12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185" w:lineRule="exact"/>
        <w:rPr>
          <w:rFonts w:ascii="Arial" w:cs="Arial" w:eastAsia="Arial" w:hAnsi="Arial"/>
          <w:sz w:val="18"/>
          <w:szCs w:val="18"/>
          <w:color w:val="auto"/>
        </w:rPr>
      </w:pPr>
    </w:p>
    <w:p>
      <w:pPr>
        <w:ind w:left="540" w:firstLine="359"/>
        <w:spacing w:after="0" w:line="331" w:lineRule="auto"/>
        <w:tabs>
          <w:tab w:leader="none" w:pos="1227"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40" w:lineRule="exact"/>
        <w:rPr>
          <w:rFonts w:ascii="Arial" w:cs="Arial" w:eastAsia="Arial" w:hAnsi="Arial"/>
          <w:sz w:val="16"/>
          <w:szCs w:val="16"/>
          <w:color w:val="auto"/>
        </w:rPr>
      </w:pPr>
    </w:p>
    <w:p>
      <w:pPr>
        <w:ind w:left="1240" w:hanging="341"/>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225" w:lineRule="exact"/>
        <w:rPr>
          <w:rFonts w:ascii="Arial" w:cs="Arial" w:eastAsia="Arial" w:hAnsi="Arial"/>
          <w:sz w:val="18"/>
          <w:szCs w:val="18"/>
          <w:color w:val="auto"/>
        </w:rPr>
      </w:pPr>
    </w:p>
    <w:p>
      <w:pPr>
        <w:jc w:val="both"/>
        <w:ind w:left="540" w:right="60" w:firstLine="359"/>
        <w:spacing w:after="0" w:line="256" w:lineRule="auto"/>
        <w:tabs>
          <w:tab w:leader="none" w:pos="12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96" w:lineRule="exact"/>
        <w:rPr>
          <w:rFonts w:ascii="Arial" w:cs="Arial" w:eastAsia="Arial" w:hAnsi="Arial"/>
          <w:sz w:val="18"/>
          <w:szCs w:val="18"/>
          <w:color w:val="auto"/>
        </w:rPr>
      </w:pPr>
    </w:p>
    <w:p>
      <w:pPr>
        <w:ind w:left="1220" w:hanging="321"/>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lien securing our debt or debt of any Restricted Subsidiary, all or a portion of the net proceeds of which are used, substantially</w:t>
      </w:r>
    </w:p>
    <w:p>
      <w:pPr>
        <w:spacing w:after="0" w:line="38" w:lineRule="exact"/>
        <w:rPr>
          <w:rFonts w:ascii="Arial" w:cs="Arial" w:eastAsia="Arial" w:hAnsi="Arial"/>
          <w:sz w:val="16"/>
          <w:szCs w:val="16"/>
          <w:color w:val="auto"/>
        </w:rPr>
      </w:pPr>
    </w:p>
    <w:p>
      <w:pPr>
        <w:ind w:left="540" w:right="20"/>
        <w:spacing w:after="0" w:line="292" w:lineRule="auto"/>
        <w:rPr>
          <w:rFonts w:ascii="Arial" w:cs="Arial" w:eastAsia="Arial" w:hAnsi="Arial"/>
          <w:sz w:val="16"/>
          <w:szCs w:val="16"/>
          <w:color w:val="auto"/>
        </w:rPr>
      </w:pPr>
      <w:r>
        <w:rPr>
          <w:rFonts w:ascii="Arial" w:cs="Arial" w:eastAsia="Arial" w:hAnsi="Arial"/>
          <w:sz w:val="16"/>
          <w:szCs w:val="16"/>
          <w:color w:val="auto"/>
        </w:rPr>
        <w:t>concurrently with the funding thereof (and for purposes of determining such "substantial concurrence," taking into consideration, among other things, required notices to be given to holders of outstanding debt securities under the Base Indenture (including the Notes) in connection with such refunding, refinancing or repurchase, and the required corresponding durations thereof), to refinance, refund or repurchase all outstanding debt securities under the Base Indenture (including the Notes), including the amount of all accrued interest thereon and reasonable fees and expenses and premium, if any, incurred by us or any Restricted Subsidiary in connection therewith;</w:t>
      </w:r>
    </w:p>
    <w:p>
      <w:pPr>
        <w:spacing w:after="0" w:line="170" w:lineRule="exact"/>
        <w:rPr>
          <w:rFonts w:ascii="Arial" w:cs="Arial" w:eastAsia="Arial" w:hAnsi="Arial"/>
          <w:sz w:val="16"/>
          <w:szCs w:val="16"/>
          <w:color w:val="auto"/>
        </w:rPr>
      </w:pPr>
    </w:p>
    <w:p>
      <w:pPr>
        <w:ind w:left="540" w:right="280" w:firstLine="359"/>
        <w:spacing w:after="0" w:line="268" w:lineRule="auto"/>
        <w:tabs>
          <w:tab w:leader="none" w:pos="12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225" w:lineRule="exact"/>
        <w:rPr>
          <w:rFonts w:ascii="Arial" w:cs="Arial" w:eastAsia="Arial" w:hAnsi="Arial"/>
          <w:sz w:val="18"/>
          <w:szCs w:val="18"/>
          <w:color w:val="auto"/>
        </w:rPr>
      </w:pPr>
    </w:p>
    <w:p>
      <w:pPr>
        <w:ind w:left="540" w:firstLine="359"/>
        <w:spacing w:after="0" w:line="298" w:lineRule="auto"/>
        <w:tabs>
          <w:tab w:leader="none" w:pos="1227"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66" w:lineRule="exact"/>
        <w:rPr>
          <w:rFonts w:ascii="Arial" w:cs="Arial" w:eastAsia="Arial" w:hAnsi="Arial"/>
          <w:sz w:val="16"/>
          <w:szCs w:val="16"/>
          <w:color w:val="auto"/>
        </w:rPr>
      </w:pPr>
    </w:p>
    <w:p>
      <w:pPr>
        <w:ind w:left="540" w:right="160" w:firstLine="359"/>
        <w:spacing w:after="0" w:line="298" w:lineRule="auto"/>
        <w:tabs>
          <w:tab w:leader="none" w:pos="1227"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66" w:lineRule="exact"/>
        <w:rPr>
          <w:rFonts w:ascii="Arial" w:cs="Arial" w:eastAsia="Arial" w:hAnsi="Arial"/>
          <w:sz w:val="16"/>
          <w:szCs w:val="16"/>
          <w:color w:val="auto"/>
        </w:rPr>
      </w:pPr>
    </w:p>
    <w:p>
      <w:pPr>
        <w:ind w:left="540" w:right="160" w:firstLine="359"/>
        <w:spacing w:after="0" w:line="331" w:lineRule="auto"/>
        <w:tabs>
          <w:tab w:leader="none" w:pos="1227"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194" w:lineRule="exact"/>
        <w:rPr>
          <w:sz w:val="20"/>
          <w:szCs w:val="20"/>
          <w:color w:val="auto"/>
        </w:rPr>
      </w:pPr>
    </w:p>
    <w:p>
      <w:pPr>
        <w:ind w:left="540" w:right="660" w:firstLine="359"/>
        <w:spacing w:after="0" w:line="268" w:lineRule="auto"/>
        <w:tabs>
          <w:tab w:leader="none" w:pos="12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225" w:lineRule="exact"/>
        <w:rPr>
          <w:sz w:val="20"/>
          <w:szCs w:val="20"/>
          <w:color w:val="auto"/>
        </w:rPr>
      </w:pPr>
    </w:p>
    <w:p>
      <w:pPr>
        <w:ind w:left="540" w:right="80" w:firstLine="359"/>
        <w:spacing w:after="0" w:line="259" w:lineRule="auto"/>
        <w:tabs>
          <w:tab w:leader="none" w:pos="12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93" w:lineRule="exact"/>
        <w:rPr>
          <w:rFonts w:ascii="Arial" w:cs="Arial" w:eastAsia="Arial" w:hAnsi="Arial"/>
          <w:sz w:val="18"/>
          <w:szCs w:val="18"/>
          <w:color w:val="auto"/>
        </w:rPr>
      </w:pPr>
    </w:p>
    <w:p>
      <w:pPr>
        <w:ind w:left="540" w:firstLine="359"/>
        <w:spacing w:after="0" w:line="254" w:lineRule="auto"/>
        <w:tabs>
          <w:tab w:leader="none" w:pos="12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20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jc w:val="both"/>
        <w:ind w:left="540" w:right="640" w:firstLine="359"/>
        <w:spacing w:after="0" w:line="306" w:lineRule="auto"/>
        <w:tabs>
          <w:tab w:leader="none" w:pos="1227"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160" w:lineRule="exact"/>
        <w:rPr>
          <w:rFonts w:ascii="Arial" w:cs="Arial" w:eastAsia="Arial" w:hAnsi="Arial"/>
          <w:sz w:val="16"/>
          <w:szCs w:val="16"/>
          <w:color w:val="auto"/>
        </w:rPr>
      </w:pPr>
    </w:p>
    <w:p>
      <w:pPr>
        <w:ind w:left="540" w:right="140" w:firstLine="359"/>
        <w:spacing w:after="0" w:line="369" w:lineRule="auto"/>
        <w:tabs>
          <w:tab w:leader="none" w:pos="1227"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1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any Subsidiary of Plains All American Pipeline that executes a supplemental indenture to provide a guarantee of the Notes in accordance with the provisions of the Indenture and its successors and assigns.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("DTC") in the United States and by Euroclear Bank SA/NV (the "Euroclear Operator"), as an operator of the Euroclear System ("Euroclear"),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73"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201"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Industry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16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Investors in the Global Notes may hold their interests therein directly through DTC, if they are Participants in such system, or indirectly through organizations (including Euroclear and Clearstream) that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69"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Book-Entry Notes for Certificated Notes."</w:t>
      </w:r>
    </w:p>
    <w:p>
      <w:pPr>
        <w:spacing w:after="0" w:line="192" w:lineRule="exact"/>
        <w:rPr>
          <w:sz w:val="20"/>
          <w:szCs w:val="20"/>
          <w:color w:val="auto"/>
        </w:rPr>
      </w:pPr>
    </w:p>
    <w:p>
      <w:pPr>
        <w:ind w:right="40" w:firstLine="351"/>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34" w:lineRule="exact"/>
        <w:rPr>
          <w:sz w:val="20"/>
          <w:szCs w:val="20"/>
          <w:color w:val="auto"/>
        </w:rPr>
      </w:pPr>
    </w:p>
    <w:p>
      <w:pPr>
        <w:ind w:right="40" w:firstLine="351"/>
        <w:spacing w:after="0" w:line="302" w:lineRule="auto"/>
        <w:rPr>
          <w:sz w:val="20"/>
          <w:szCs w:val="20"/>
          <w:color w:val="auto"/>
        </w:rPr>
      </w:pPr>
      <w:r>
        <w:rPr>
          <w:rFonts w:ascii="Arial" w:cs="Arial" w:eastAsia="Arial" w:hAnsi="Arial"/>
          <w:sz w:val="15"/>
          <w:szCs w:val="15"/>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2" w:lineRule="exact"/>
        <w:rPr>
          <w:sz w:val="20"/>
          <w:szCs w:val="20"/>
          <w:color w:val="auto"/>
        </w:rPr>
      </w:pPr>
    </w:p>
    <w:p>
      <w:pPr>
        <w:ind w:right="320" w:firstLine="8"/>
        <w:spacing w:after="0" w:line="260"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9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68" w:lineRule="exact"/>
        <w:rPr>
          <w:sz w:val="20"/>
          <w:szCs w:val="20"/>
          <w:color w:val="auto"/>
        </w:rPr>
      </w:pPr>
    </w:p>
    <w:p>
      <w:pPr>
        <w:jc w:val="both"/>
        <w:ind w:right="60" w:firstLine="351"/>
        <w:spacing w:after="0" w:line="310" w:lineRule="auto"/>
        <w:rPr>
          <w:sz w:val="20"/>
          <w:szCs w:val="20"/>
          <w:color w:val="auto"/>
        </w:rPr>
      </w:pPr>
      <w:r>
        <w:rPr>
          <w:rFonts w:ascii="Arial" w:cs="Arial" w:eastAsia="Arial" w:hAnsi="Arial"/>
          <w:sz w:val="16"/>
          <w:szCs w:val="16"/>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17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Book-Entry Notes for Certificated Notes" occurs, DTC reserves the right to exchange the Global Notes for Notes in certificated form and to distribute such Notes to its Participants.</w:t>
      </w:r>
    </w:p>
    <w:p>
      <w:pPr>
        <w:spacing w:after="0" w:line="166"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Book-Entry Notes for Certificated Notes</w:t>
      </w:r>
    </w:p>
    <w:p>
      <w:pPr>
        <w:spacing w:after="0" w:line="231"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following discussion is a summary of material U.S. federal income tax consequences that may be relevant to the acquisition, ownership and disposition of the Notes. The discussion is based on the Internal Revenue Code of 1986, as amended (the "Code"), applicable U.S. Treasury Regulations promulgated thereunder, judicial decisions and administrative interpretations, all as of the date of this document, and all of which are subject to change, possibly with retroactive effect, or are subject to different interpretations. We cannot assure you that the Internal Revenue Service, or IRS, will not challenge one or more of the tax consequences described in this discussion, and we have not obtained, nor do we intend to obtain, a ruling from the IRS or an opinion of counsel with respect to the U.S. federal income tax consequences of acquiring, owning or disposing of the Notes.</w:t>
      </w:r>
    </w:p>
    <w:p>
      <w:pPr>
        <w:spacing w:after="0" w:line="17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discussion is limited to holders who purchase the Notes in this offering for cash at a price equal to the issue price of the Notes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considerations), or the tax consequences arising under the laws of any foreign, state, local or other jurisdiction or any income tax treaty. In addition, this discussion does not address all tax considerations that may be important to a particular holder in light of the holder's special circumstances, or to certain categories of holders that may be subject to special rules, such as:</w:t>
      </w:r>
    </w:p>
    <w:p>
      <w:pPr>
        <w:spacing w:after="0" w:line="185"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traders in securities that have elected the mark-to-market method of accounting for their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holders (as defined below) who hold Notes through non-U.S. brokers or other non-U.S. intermediaries;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conversion or other "synthetic security" or integrated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former U.S. citizens or long-term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banks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entities that are tax-exempt for U.S. federal income tax purposes;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persons required to accelerate the recognition of any item of gross income with respect to the Notes as a result of such income being recognized on an "applicable financial statement" (within the meaning of Section 451(b) of the Code);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partnerships and other pass-through entities and holders of interests therein.</w:t>
      </w:r>
    </w:p>
    <w:p>
      <w:pPr>
        <w:spacing w:after="0" w:line="225" w:lineRule="exact"/>
        <w:rPr>
          <w:sz w:val="20"/>
          <w:szCs w:val="20"/>
          <w:color w:val="auto"/>
        </w:rPr>
      </w:pPr>
    </w:p>
    <w:p>
      <w:pPr>
        <w:ind w:right="60" w:firstLine="351"/>
        <w:spacing w:after="0" w:line="331" w:lineRule="auto"/>
        <w:rPr>
          <w:sz w:val="20"/>
          <w:szCs w:val="20"/>
          <w:color w:val="auto"/>
        </w:rPr>
      </w:pPr>
      <w:r>
        <w:rPr>
          <w:rFonts w:ascii="Arial" w:cs="Arial" w:eastAsia="Arial" w:hAnsi="Arial"/>
          <w:sz w:val="16"/>
          <w:szCs w:val="16"/>
          <w:color w:val="auto"/>
        </w:rPr>
        <w:t>If an entity or arrangement treated as a partnership for U.S. federal income tax purposes holds Notes, the U.S. federal income tax treatment of a partner of the partnership generally will depend upon the status of the partner and the activities of the partnership and upon certain determinations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made at the partner level. Partnerships considering an investment in the Notes and partners therein should consult their own tax advisors as to the particular U.S. federal income tax consequences of acquiring, owning and disposing of the Notes.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INVESTORS CONSIDERING THE PURCHASE OF NOTES SHOULD CONSULT THEIR OWN TAX ADVISORS REGARDING THE APPLICATION OF THE U.S. FEDERAL INCOME TAX LAWS TO THEIR PARTICULAR SITUATIONS AS WELL AS ANY TAX CONSEQUENCES OF THE ACQUISITION, OWNERSHIP AND DISPOSITION OF THE NOTES UNDER OTHER U.S. FEDERAL TAX LAWS OR UNDER THE LAWS OF ANY STATE, LOCAL, OR FOREIGN OR UNDER ANY APPLICABLE INCOME TAX TREATY.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Payments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certain circumstances (see "Description of Notes—Optional Redemption"), we may elect to redeem the Notes prior to maturity or to pay amounts on the Notes that are in excess of the stated interest and principal on the Notes. These potential payments may implicate provisions of the U.S. Treasury Regulations relating to "contingent payment debt instruments." We do not intend to treat the possibility of paying such additional amounts as causing the Notes to be treated as contingent payment debt instruments. Our position is binding on a holder unless such holder discloses its contrary position in the manner required by U.S. Treasury Regulations. However, our position is not binding on the IRS, and it is possible that the IRS might take a different position, in which case, if the IRS's position is sustained, a holder might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You should consult your tax advisor regarding the possible application of the contingent payment debt instrument rules to the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following summary will apply to you if you are a U.S. Holder of the Notes. You are a "U.S. Holder" for purposes of this discussion if you are a beneficial owner of a Note and you are for U.S. federal income tax purposes:</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individual who is a U.S. citizen or U.S. resident;</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that has one or more United States persons that have the authority to control all substantial decisions of the trust or (ii) that has made a valid election under applicable Treasury Regulations to be treated as a United States person.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Interest on a Note generally will be taxable to you as ordinary income at the time it is received or accrued in accordance with your regular method of accounting for U.S. federal income tax purposes.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Notes</w:t>
      </w:r>
    </w:p>
    <w:p>
      <w:pPr>
        <w:spacing w:after="0" w:line="225" w:lineRule="exact"/>
        <w:rPr>
          <w:sz w:val="20"/>
          <w:szCs w:val="20"/>
          <w:color w:val="auto"/>
        </w:rPr>
      </w:pPr>
    </w:p>
    <w:p>
      <w:pPr>
        <w:ind w:right="20" w:firstLine="344"/>
        <w:spacing w:after="0" w:line="288" w:lineRule="auto"/>
        <w:rPr>
          <w:sz w:val="20"/>
          <w:szCs w:val="20"/>
          <w:color w:val="auto"/>
        </w:rPr>
      </w:pPr>
      <w:r>
        <w:rPr>
          <w:rFonts w:ascii="Arial" w:cs="Arial" w:eastAsia="Arial" w:hAnsi="Arial"/>
          <w:sz w:val="16"/>
          <w:szCs w:val="16"/>
          <w:color w:val="auto"/>
        </w:rPr>
        <w:t>You generally will recognize capital gain or loss on the sale, redemption, exchange, retirement or other taxable disposition of a Note equal to the difference, if any, between the amount realized on such disposition and your adjusted tax basis in the Note. The amount realized will include the amount of any cash and the fair market value of any other property received for the Note. To the extent that any portion of the amount received on the sale, redemption, exchange, retirement or other taxable disposition of a Note is attributable to accrued but unpaid interest on a Note, this amount generally will not be included in the "amount realized" but will instead be treated in the same manner as described above in "—Interest on the Notes." Your adjusted tax basis in a Note will generally equal the amount you paid for the Note. Any gain or loss will be long-term capital gain or loss if you held the Note for more than one year at the time of the sale, redemption, exchange, retirement or other taxable disposition. Long-term capital gains of individuals, estates and trusts currently are eligible for reduced rates of U.S. federal income tax. The deductibility of capital losses may be subject to limitation.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351"/>
        <w:spacing w:after="0" w:line="284" w:lineRule="auto"/>
        <w:rPr>
          <w:sz w:val="20"/>
          <w:szCs w:val="20"/>
          <w:color w:val="auto"/>
        </w:rPr>
      </w:pPr>
      <w:r>
        <w:rPr>
          <w:rFonts w:ascii="Arial" w:cs="Arial" w:eastAsia="Arial" w:hAnsi="Arial"/>
          <w:sz w:val="16"/>
          <w:szCs w:val="16"/>
          <w:color w:val="auto"/>
        </w:rPr>
        <w:t>Information reporting generally will apply to payments of interest on, and the proceeds of the sale or other disposition (including a redemption, exchange, or retirement) of, Notes held by you, and backup withholding will apply to such payments unless you provide to the applicable withholding agent your taxpayer identification number, certified under penalties of perjury, as well as certain other information or otherwise establish an exemption from backup withholding.</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225"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An additional 3.8% tax is imposed on the "net investment income" of certain U.S. citizens and residents, and on the undistributed "net investment income" of certain estates and trusts. Among other items, "net investment income" generally includes gross income from interest and net gain from the disposition of property, such as Notes, less certain deductions. You should consult your tax advisor with respect to this additional tax and its applicability in your particular circumstances.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231" w:lineRule="exact"/>
        <w:rPr>
          <w:sz w:val="20"/>
          <w:szCs w:val="20"/>
          <w:color w:val="auto"/>
        </w:rPr>
      </w:pPr>
    </w:p>
    <w:p>
      <w:pPr>
        <w:ind w:right="180" w:firstLine="348"/>
        <w:spacing w:after="0" w:line="331" w:lineRule="auto"/>
        <w:rPr>
          <w:sz w:val="20"/>
          <w:szCs w:val="20"/>
          <w:color w:val="auto"/>
        </w:rPr>
      </w:pPr>
      <w:r>
        <w:rPr>
          <w:rFonts w:ascii="Arial" w:cs="Arial" w:eastAsia="Arial" w:hAnsi="Arial"/>
          <w:sz w:val="16"/>
          <w:szCs w:val="16"/>
          <w:color w:val="auto"/>
        </w:rPr>
        <w:t>The following summary will apply to you if you are a non-U.S. holder of Notes. You are a "non-U.S. Holder" for purposes of this discussion if you are a beneficial owner of a Note that is, for U.S. federal income tax purposes, an individual, corporation, estate or trust that is not a U.S. Holder.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Subject to the discussion below of backup withholding and FATCA withholding payments to you of interest on a Note generally will not be subject to U.S. federal income tax and will be exempt from withholding of U.S. federal income tax under the "portfolio interest" exemption if you properly certify as to your foreign status, as described below, and:</w:t>
      </w:r>
    </w:p>
    <w:p>
      <w:pPr>
        <w:spacing w:after="0" w:line="207"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do not own, actually or constructively, 10% or more of our capital or profits interests;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are not a "controlled foreign corporation" that is related to us (actually or constructively);</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are not a bank whose receipt of interest on the Note is in connection with an extension of credit made pursuant to a loan agreement entered into in the ordinary course of your trade or business;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on the Notes is not effectively connected with your conduct of a U.S. trade or business.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portfolio interest exemption generally applies only if you appropriately certify as to your foreign status. You can generally meet the certification requirement by providing a properly executed IRS Form W-8BEN or IRS Form W-8BEN-E (or other applicable or successor form) to the applicable withholding agent. If you hold a Note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foreign partnerships, estates and trusts, and in certain circumstances certifications as to the foreign status of partners, trust owners or beneficiaries may have to be provided to the applicable withholding agent. In addition, special rules apply to qualified intermediaries that enter into withholding agreements with the IRS.</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you cannot satisfy the requirements described above, payments of interest made to you will be subject to U.S. federal withholding tax at a 30% rate, unless (i) you provide the applicable withholding agent with a properly executed IRS Form W-8BEN or IRS Form W-8BEN-E (or other applicable or successor form) claiming an exemption from (or reduction of) the rate of withholding under the benefits of an applicable income tax treaty, or (ii) the payments of such interest are effectively connected with your conduct of a trade or business in the United States and you meet the certification requirements described below. See "—Income or Gain Effectively Connected with a U.S. Trade or Business."</w:t>
      </w:r>
    </w:p>
    <w:p>
      <w:pPr>
        <w:spacing w:after="0" w:line="169" w:lineRule="exact"/>
        <w:rPr>
          <w:sz w:val="20"/>
          <w:szCs w:val="20"/>
          <w:color w:val="auto"/>
        </w:rPr>
      </w:pPr>
    </w:p>
    <w:p>
      <w:pPr>
        <w:jc w:val="both"/>
        <w:ind w:right="180" w:firstLine="348"/>
        <w:spacing w:after="0" w:line="256" w:lineRule="auto"/>
        <w:rPr>
          <w:sz w:val="20"/>
          <w:szCs w:val="20"/>
          <w:color w:val="auto"/>
        </w:rPr>
      </w:pPr>
      <w:r>
        <w:rPr>
          <w:rFonts w:ascii="Arial" w:cs="Arial" w:eastAsia="Arial" w:hAnsi="Arial"/>
          <w:sz w:val="18"/>
          <w:szCs w:val="18"/>
          <w:color w:val="auto"/>
        </w:rPr>
        <w:t>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or a reduced rate under an applicable income tax treaty, you may obtain a refund of any excess amounts withheld if you timely provide the required information or appropriate claim form to the IRS.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Notes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Subject to the discussion below of backup withholding you generally will not be subject to U.S. federal income tax with respect to gain realized on the sale, redemption, retirement or other taxable disposition of a Note unless:</w:t>
      </w:r>
    </w:p>
    <w:p>
      <w:pPr>
        <w:spacing w:after="0" w:line="213" w:lineRule="exact"/>
        <w:rPr>
          <w:sz w:val="20"/>
          <w:szCs w:val="20"/>
          <w:color w:val="auto"/>
        </w:rPr>
      </w:pPr>
    </w:p>
    <w:p>
      <w:pPr>
        <w:ind w:left="1080" w:right="240" w:hanging="532"/>
        <w:spacing w:after="0" w:line="331"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you of a trade or business in the United States (and, if required by an applicable income tax treaty, you maintain a permanent establishment or fixed base in the United States to which such gain is attributable); or</w:t>
      </w:r>
    </w:p>
    <w:p>
      <w:pPr>
        <w:spacing w:after="0" w:line="154" w:lineRule="exact"/>
        <w:rPr>
          <w:rFonts w:ascii="Arial" w:cs="Arial" w:eastAsia="Arial" w:hAnsi="Arial"/>
          <w:sz w:val="16"/>
          <w:szCs w:val="16"/>
          <w:color w:val="auto"/>
        </w:rPr>
      </w:pPr>
    </w:p>
    <w:p>
      <w:pPr>
        <w:ind w:left="1080" w:right="6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are an individual who has been present in the United States for 183 days or more in the taxable year of disposition and certain other requirements are met.</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your gain is described in the first bullet point above, you generally will be subject to U.S. federal income tax in the manner described below under "— Income or Gain Effectively Connected with a U.S. Trade or Business." If you are a non-U.S. Holder described in the second bullet point above, you generally will be subject to a flat 30% rate (or lower rate under an applicable income tax treaty) of U.S. federal income tax on the gain derived from the sale or other disposition, which may be offset by certain U.S. source capital losses. To the extent that any portion of the amount received on a sale, redemption, exchange, retirement or other taxable disposition of the Notes is attributable to accrued but unpaid interest on the Notes, this amount generally will be treated in the same manner as described above in "—Interest on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If any interest on the Notes or gain from the sale, redemption, exchange, retirement or other taxable disposition of the Notes is effectively connected with a U.S. trade or business conducted by you</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then, unless an applicable income tax treaty provides otherwise, the interest income or gain will be subject to U.S. federal income tax at regular graduated income tax rates generally in the same manner as if you were a U.S. Holder. Effectively connected interest income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may also be subject to a "branch profits tax" at a 30% rate, unless an applicable income tax treaty provides for a lower rate. For this purpose, interest received on a Note and gain recognized on the disposition of a Note will be included in earnings and profits if the interest or gain is effectively connected with the conduct by you of a U.S. trade or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Payments to you of interest on a Note, and amounts withheld from such payments, if any, generally will be required to be reported to the IRS and to you. Copies of the information returns reporting such interest payments and withholding may also be made available to the tax authorities of the country in which you reside or are established under the provisions of a specific treaty or agreement.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Backup withholding generally will not apply to payments to you of interest on a Note if the certification described in "Tax Consequences to Non-U.S.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Holders—Interest on the Notes" is duly provided by you or you otherwise establish an exemption.</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Payment of the proceeds from a disposition of a Note effected by the U.S. office of a U.S. or foreign broker will be subject to information reporting requirements and backup withholding unless you properly certify under penalties of perjury as to your foreign status on IRS Form W-8BEN or IRS Form W-8BEN-E, as applicable (or other applicable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foreign office of a broker. However, unless such a broker has documentary evidence in its records that you are not a United States person and certain other conditions are met, or you otherwise establish an exemption, information reporting will apply to a payment of the proceeds of the disposition of a Note effected outside the United States by such a broker if it has certain relationships with the United States.</w:t>
      </w:r>
    </w:p>
    <w:p>
      <w:pPr>
        <w:spacing w:after="0" w:line="172"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Backup withholding is not an additional tax. Any amount withheld from payments to you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Payments to Certain Foreign Entities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(referred to as "FATCA") impose a 30% U.S. federal withholding tax on "withholdable payments" (as defined in the Code), including payments of interest on the Notes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Note on or after January 1, 2019, recently proposed Treasury Regulations provide that such payments of gross proceeds (other than amounts treated as interest) do not constitute withholdable payments. Taxpayers may rely generally on these proposed Treasury Regulations until they are revoked or final Treasury Regulations are issued. 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 You should consult with your tax advisor regarding the implications of FATCA on your investment in the Notes.</w:t>
      </w:r>
    </w:p>
    <w:p>
      <w:pPr>
        <w:spacing w:after="0" w:line="173"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PRECEDING DISCUSSION OF MATERIAL U.S. FEDERAL INCOME TAX CONSEQUENCES IS FOR GENERAL INFORMATION ONLY AND IS NOT TAX ADVICE. YOU SHOULD CONSULT YOUR OWN TAX ADVISOR REGARDING THE PARTICULAR U.S. FEDERAL, STATE, LOCAL AND FOREIGN TAX CONSEQUENCES OF ACQUIRING, OWNING AND DISPOSING OF THE NOTES, INCLUDING THE CONSEQUENCES OF ANY PROPOSED CHANGE IN APPLICABLE LAWS.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Subject to the terms and conditions set forth in the underwriting agreement, dated the date of this prospectus supplement, between us and the underwriters named below, we have agreed to sell to each of the underwriters, for whom J.P. Morgan Securities LLC, Barclays Capital Inc., BofA Securities, Inc. and RBC Capital Markets, LLC are acting as representatives, and the underwriters have agreed, severally and not jointly, to purchase the principal amount of the Notes set forth opposite their respective names below:</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Principal Amount</w:t>
            </w:r>
          </w:p>
        </w:tc>
        <w:tc>
          <w:tcPr>
            <w:tcW w:w="0" w:type="dxa"/>
            <w:vAlign w:val="bottom"/>
          </w:tcPr>
          <w:p>
            <w:pPr>
              <w:spacing w:after="0"/>
              <w:rPr>
                <w:sz w:val="1"/>
                <w:szCs w:val="1"/>
                <w:color w:val="auto"/>
              </w:rPr>
            </w:pPr>
          </w:p>
        </w:tc>
      </w:tr>
      <w:tr>
        <w:trPr>
          <w:trHeight w:val="161"/>
        </w:trPr>
        <w:tc>
          <w:tcPr>
            <w:tcW w:w="6480" w:type="dxa"/>
            <w:vAlign w:val="bottom"/>
            <w:gridSpan w:val="3"/>
          </w:tcPr>
          <w:p>
            <w:pPr>
              <w:spacing w:after="0"/>
              <w:rPr>
                <w:sz w:val="20"/>
                <w:szCs w:val="20"/>
                <w:color w:val="auto"/>
              </w:rPr>
            </w:pPr>
            <w:r>
              <w:rPr>
                <w:rFonts w:ascii="Arial" w:cs="Arial" w:eastAsia="Arial" w:hAnsi="Arial"/>
                <w:sz w:val="13"/>
                <w:szCs w:val="13"/>
                <w:b w:val="1"/>
                <w:bCs w:val="1"/>
                <w:color w:val="auto"/>
              </w:rPr>
              <w:t>Underwriter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of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108,750,000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108,750,000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33,750,000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CIBC World Markets Corp.</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33,750,000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33,750,000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33,750,000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Third Securities, Inc.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ING Financial Markets LLC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Under the terms of the underwriting agreement, the underwriters are committed to purchase all of the Notes if any are purchased. If an underwriter defaults, the underwriting agreement provides that the purchase commitments of the nondefaulting underwriters may be increased or, in certain circumstances, the underwriting agreement may be terminated.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underwriters propose initially to offer the Notes to the public at the public offering price set forth on the cover page of this prospectus supplement and may offer the Notes to certain dealers at such price less a concession not in excess of 0.400% of the principal amount of the Notes. The underwriters may allow a discount not in excess of 0.250% of the principal amount of the Notes, on sales to certain other brokers and dealers. After this initial public offering, the public offering price, concession and discount may be changed.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compensation to be paid by us to the underwriters.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Underwriting</w:t>
            </w:r>
          </w:p>
        </w:tc>
      </w:tr>
      <w:tr>
        <w:trPr>
          <w:trHeight w:val="161"/>
        </w:trPr>
        <w:tc>
          <w:tcPr>
            <w:tcW w:w="6740" w:type="dxa"/>
            <w:vAlign w:val="bottom"/>
          </w:tcPr>
          <w:p>
            <w:pPr>
              <w:spacing w:after="0"/>
              <w:rPr>
                <w:sz w:val="14"/>
                <w:szCs w:val="14"/>
                <w:color w:val="auto"/>
              </w:rPr>
            </w:pP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Discount</w:t>
            </w:r>
          </w:p>
        </w:tc>
        <w:tc>
          <w:tcPr>
            <w:tcW w:w="160" w:type="dxa"/>
            <w:vAlign w:val="bottom"/>
          </w:tcPr>
          <w:p>
            <w:pPr>
              <w:spacing w:after="0"/>
              <w:rPr>
                <w:sz w:val="14"/>
                <w:szCs w:val="14"/>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Per Note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0.650%</w:t>
            </w: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  4,875,000</w:t>
            </w:r>
          </w:p>
        </w:tc>
        <w:tc>
          <w:tcPr>
            <w:tcW w:w="16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share of the total expenses of the offering, excluding the underwriting discount, will be approximately $2.0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and Short Positions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16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expect delivery of the Notes will be made against payment therefor on or about June 11, 2020, which is the third business day following the date of pricing of the Notes (such settlement being referred to as "T+3"). Under Rule 15c6-1 of the Exchange Act, trades in the secondary market generally are required to settle in two business days unless the parties to any such trade expressly agree otherwise. Accordingly, purchasers who wish to trade the Notes on any date prior to the second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ind w:left="1080" w:right="100" w:hanging="532"/>
        <w:spacing w:after="0" w:line="254"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it is a person whose ordinary activities involve it in acquiring, holding, managing or disposing of investments (as principal or agent) for the purposes of its business and (ii) it has not offered or sold and will not offer or sell the Notes other than to persons whose ordinary activities involve them in acquiring, holding, managing or disposing of investments (as principal or as agent) for the purposes of their businesses or who it is reasonable to expect will acquire, hold, manage or dispose of investments (as principal or agent) for the purposes of their businesses where the issue of the Notes would otherwise constitute a contravention of Section 19 of the Financial Services and Markets Act 2000, as amended (the "FSMA") by us;</w:t>
      </w:r>
    </w:p>
    <w:p>
      <w:pPr>
        <w:spacing w:after="0" w:line="224"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or the United Kingdom (the "UK"). For these purposes, a retail investor means a person who is one (or more) of: (i) a retail client as defined in point (11) of Article 4(1) of Directive 2014/65/EU (as amended, "MiFID II"); or (ii) a customer within the meaning of Directive (EU) 2016/97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and the accompanying prospectus have been prepared on the basis that any offer of Notes in any Member State of the EEA or in the UK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Notes offered in this prospectus supplement have not been and will not be registered under the Financial Instruments and Exchange Law of Japan ("Financial Instruments and Exchange Law"). The Notes have not been offered or sold and will not be offered or sold, directly or indirectly, in Japan or to or for the benefit of any resident of Japan (which term as used herein means any resident of Japan, including any corporation or other entity organized under the laws of Japan), or to others for re-offering or resale, directly or indirectly, in Japan or to a resident of Japan, except pursuant to an exemption from the registration requirements of, and in compliance with, the Financial Instruments and Exchange Law and any other applicable requirements of Japanese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239" w:lineRule="exact"/>
        <w:rPr>
          <w:sz w:val="20"/>
          <w:szCs w:val="20"/>
          <w:color w:val="auto"/>
        </w:rPr>
      </w:pPr>
    </w:p>
    <w:p>
      <w:pPr>
        <w:ind w:left="1080" w:right="140" w:hanging="532"/>
        <w:spacing w:after="0" w:line="331"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7"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210" w:lineRule="exact"/>
        <w:rPr>
          <w:rFonts w:ascii="Arial" w:cs="Arial" w:eastAsia="Arial" w:hAnsi="Arial"/>
          <w:sz w:val="18"/>
          <w:szCs w:val="18"/>
          <w:color w:val="auto"/>
        </w:rPr>
      </w:pPr>
    </w:p>
    <w:p>
      <w:pPr>
        <w:ind w:left="1080" w:right="40" w:hanging="532"/>
        <w:spacing w:after="0" w:line="294"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82"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SFA Product Classification—Solely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initial purchasers from time to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or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Notes have not been and will not be registered with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 Notes in Taiwan.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Securities and Commodities Authority or the Dubai Financial Services Authority.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Korea</w:t>
      </w:r>
    </w:p>
    <w:p>
      <w:pPr>
        <w:spacing w:after="0" w:line="225"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document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w:t>
      </w:r>
    </w:p>
    <w:p>
      <w:pPr>
        <w:spacing w:after="0" w:line="19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Notes may not be offered for sale, nor may application for the sale or purchase of any Notes be invited in Australia (including an offer or invitation which is received by a person in Australia) and neither this document nor any other offering material or advertisement relating to the Notes may be distributed or published in Australia unless, in each case:</w:t>
      </w:r>
    </w:p>
    <w:p>
      <w:pPr>
        <w:spacing w:after="0" w:line="207" w:lineRule="exact"/>
        <w:rPr>
          <w:sz w:val="20"/>
          <w:szCs w:val="20"/>
          <w:color w:val="auto"/>
        </w:rPr>
      </w:pPr>
    </w:p>
    <w:p>
      <w:pPr>
        <w:ind w:left="1080" w:hanging="532"/>
        <w:spacing w:after="0" w:line="30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w:t>
      </w:r>
    </w:p>
    <w:p>
      <w:pPr>
        <w:spacing w:after="0" w:line="187"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offer, invitation or distribution complied with the conditions of the Australian financial services license of the person making the offer, invitation or distribution or an applicable exemption from the requirement to hold such license;</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offer, invitation or distribution complies with all applicable Australian laws, regulations and directives (including, without limitation, the licensing requirements set out in Chapter 7 of the Corporations Act);</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offer or invitation does not constitute an offer or invitation to a person in Australia who is a "retail client" as defined for the purposes of Section 761G of the Corporations Act;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action does not require any document to be lodged with ASIC or the Australian Securities Exchange.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Certain of the underwriters or their affiliates may hold our 2021 senior notes to be repaid with proceeds from this offering and, accordingly, may receive a substantial portion of the net proceeds of this offering.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In particular, affiliates of certain of the underwriters are lenders under our credit facilities. U.S. Bancorp Investments, Inc., one of the underwriters, is an affiliate of the trustee.</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8" w:lineRule="auto"/>
        <w:rPr>
          <w:rFonts w:ascii="Arial" w:cs="Arial" w:eastAsia="Arial" w:hAnsi="Arial"/>
          <w:sz w:val="16"/>
          <w:szCs w:val="16"/>
          <w:color w:val="0000EE"/>
        </w:rPr>
      </w:pPr>
      <w:r>
        <w:rPr>
          <w:rFonts w:ascii="Arial" w:cs="Arial" w:eastAsia="Arial" w:hAnsi="Arial"/>
          <w:sz w:val="16"/>
          <w:szCs w:val="16"/>
          <w:color w:val="auto"/>
        </w:rPr>
        <w:t xml:space="preserve">The financial statements and management's assessment of the effectiveness of internal control over financial reporting (which is included in Management's </w:t>
      </w:r>
      <w:hyperlink r:id="rId21">
        <w:r>
          <w:rPr>
            <w:rFonts w:ascii="Arial" w:cs="Arial" w:eastAsia="Arial" w:hAnsi="Arial"/>
            <w:sz w:val="16"/>
            <w:szCs w:val="16"/>
            <w:color w:val="auto"/>
          </w:rPr>
          <w:t xml:space="preserve">Report on Internal Control over Financial Reporting) incorporated in this Prospectus Supplement by reference to the </w:t>
        </w:r>
        <w:r>
          <w:rPr>
            <w:rFonts w:ascii="Arial" w:cs="Arial" w:eastAsia="Arial" w:hAnsi="Arial"/>
            <w:sz w:val="16"/>
            <w:szCs w:val="16"/>
            <w:u w:val="single" w:color="auto"/>
            <w:color w:val="0000EE"/>
          </w:rPr>
          <w:t>Annual Report on Form 10-K for the year</w:t>
        </w:r>
      </w:hyperlink>
      <w:r>
        <w:rPr>
          <w:rFonts w:ascii="Arial" w:cs="Arial" w:eastAsia="Arial" w:hAnsi="Arial"/>
          <w:sz w:val="16"/>
          <w:szCs w:val="16"/>
          <w:color w:val="auto"/>
        </w:rPr>
        <w:t xml:space="preserve"> </w:t>
      </w:r>
      <w:hyperlink r:id="rId21">
        <w:r>
          <w:rPr>
            <w:rFonts w:ascii="Arial" w:cs="Arial" w:eastAsia="Arial" w:hAnsi="Arial"/>
            <w:sz w:val="16"/>
            <w:szCs w:val="16"/>
            <w:u w:val="single" w:color="auto"/>
            <w:color w:val="0000EE"/>
          </w:rPr>
          <w:t>ended December 31, 2019</w:t>
        </w:r>
        <w:r>
          <w:rPr>
            <w:rFonts w:ascii="Arial" w:cs="Arial" w:eastAsia="Arial" w:hAnsi="Arial"/>
            <w:sz w:val="16"/>
            <w:szCs w:val="16"/>
            <w:color w:val="0000EE"/>
          </w:rPr>
          <w:t xml:space="preserve"> </w:t>
        </w:r>
        <w:r>
          <w:rPr>
            <w:rFonts w:ascii="Arial" w:cs="Arial" w:eastAsia="Arial" w:hAnsi="Arial"/>
            <w:sz w:val="16"/>
            <w:szCs w:val="16"/>
            <w:color w:val="000000"/>
          </w:rPr>
          <w:t>have been so incorporated in reliance on the report of PricewaterhouseCoopers LLP, an independent registered public accounting</w:t>
        </w:r>
      </w:hyperlink>
      <w:r>
        <w:rPr>
          <w:rFonts w:ascii="Arial" w:cs="Arial" w:eastAsia="Arial" w:hAnsi="Arial"/>
          <w:sz w:val="16"/>
          <w:szCs w:val="16"/>
          <w:color w:val="0000EE"/>
        </w:rPr>
        <w:t xml:space="preserve"> </w:t>
      </w:r>
      <w:r>
        <w:rPr>
          <w:rFonts w:ascii="Arial" w:cs="Arial" w:eastAsia="Arial" w:hAnsi="Arial"/>
          <w:sz w:val="16"/>
          <w:szCs w:val="16"/>
          <w:color w:val="000000"/>
        </w:rPr>
        <w:t>firm, given on the authority of said firm as experts in auditing and accounting.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211" w:lineRule="exact"/>
        <w:rPr>
          <w:sz w:val="20"/>
          <w:szCs w:val="20"/>
          <w:color w:val="auto"/>
        </w:rPr>
      </w:pPr>
    </w:p>
    <w:p>
      <w:pPr>
        <w:ind w:left="1080" w:right="200" w:hanging="532"/>
        <w:spacing w:after="0" w:line="268" w:lineRule="auto"/>
        <w:tabs>
          <w:tab w:leader="none" w:pos="1080" w:val="left"/>
        </w:tabs>
        <w:numPr>
          <w:ilvl w:val="0"/>
          <w:numId w:val="40"/>
        </w:numPr>
        <w:rPr>
          <w:rFonts w:ascii="Arial" w:cs="Arial" w:eastAsia="Arial" w:hAnsi="Arial"/>
          <w:sz w:val="18"/>
          <w:szCs w:val="18"/>
          <w:color w:val="000000"/>
        </w:rPr>
      </w:pPr>
      <w:hyperlink r:id="rId21">
        <w:r>
          <w:rPr>
            <w:rFonts w:ascii="Arial" w:cs="Arial" w:eastAsia="Arial" w:hAnsi="Arial"/>
            <w:sz w:val="18"/>
            <w:szCs w:val="18"/>
            <w:u w:val="single" w:color="auto"/>
            <w:color w:val="0000EE"/>
          </w:rPr>
          <w:t>Annual Report on Form 10-K for the fiscal year ended December 31,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information specifically incorporated by reference from</w:t>
      </w:r>
      <w:r>
        <w:rPr>
          <w:rFonts w:ascii="Arial" w:cs="Arial" w:eastAsia="Arial" w:hAnsi="Arial"/>
          <w:sz w:val="18"/>
          <w:szCs w:val="18"/>
          <w:color w:val="0000EE"/>
        </w:rPr>
        <w:t xml:space="preserve"> </w:t>
      </w:r>
      <w:r>
        <w:rPr>
          <w:rFonts w:ascii="Arial" w:cs="Arial" w:eastAsia="Arial" w:hAnsi="Arial"/>
          <w:sz w:val="18"/>
          <w:szCs w:val="18"/>
          <w:color w:val="000000"/>
        </w:rPr>
        <w:t xml:space="preserve">our </w:t>
      </w:r>
      <w:hyperlink r:id="rId69">
        <w:r>
          <w:rPr>
            <w:rFonts w:ascii="Arial" w:cs="Arial" w:eastAsia="Arial" w:hAnsi="Arial"/>
            <w:sz w:val="18"/>
            <w:szCs w:val="18"/>
            <w:u w:val="single" w:color="auto"/>
            <w:color w:val="0000EE"/>
          </w:rPr>
          <w:t>Proxy Statement for our 2020 Annual Meeting</w:t>
        </w:r>
      </w:hyperlink>
      <w:r>
        <w:rPr>
          <w:rFonts w:ascii="Arial" w:cs="Arial" w:eastAsia="Arial" w:hAnsi="Arial"/>
          <w:sz w:val="18"/>
          <w:szCs w:val="18"/>
          <w:color w:val="000000"/>
        </w:rPr>
        <w:t>;</w:t>
      </w:r>
    </w:p>
    <w:p>
      <w:pPr>
        <w:spacing w:after="0" w:line="212" w:lineRule="exact"/>
        <w:rPr>
          <w:rFonts w:ascii="Arial" w:cs="Arial" w:eastAsia="Arial" w:hAnsi="Arial"/>
          <w:sz w:val="18"/>
          <w:szCs w:val="18"/>
          <w:color w:val="000000"/>
        </w:rPr>
      </w:pPr>
    </w:p>
    <w:p>
      <w:pPr>
        <w:ind w:left="1080" w:hanging="532"/>
        <w:spacing w:after="0"/>
        <w:tabs>
          <w:tab w:leader="none" w:pos="1080" w:val="left"/>
        </w:tabs>
        <w:numPr>
          <w:ilvl w:val="0"/>
          <w:numId w:val="40"/>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Quarterly Report on Form 10-Q for the quarterly period ended March 31, 2020; and</w:t>
        </w:r>
      </w:hyperlink>
    </w:p>
    <w:p>
      <w:pPr>
        <w:spacing w:after="0" w:line="238"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with the SEC on </w:t>
      </w:r>
      <w:hyperlink r:id="rId70">
        <w:r>
          <w:rPr>
            <w:rFonts w:ascii="Arial" w:cs="Arial" w:eastAsia="Arial" w:hAnsi="Arial"/>
            <w:sz w:val="18"/>
            <w:szCs w:val="18"/>
            <w:u w:val="single" w:color="auto"/>
            <w:color w:val="0000EE"/>
          </w:rPr>
          <w:t>January 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1">
        <w:r>
          <w:rPr>
            <w:rFonts w:ascii="Arial" w:cs="Arial" w:eastAsia="Arial" w:hAnsi="Arial"/>
            <w:sz w:val="18"/>
            <w:szCs w:val="18"/>
            <w:u w:val="single" w:color="auto"/>
            <w:color w:val="0000EE"/>
          </w:rPr>
          <w:t>May 27,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0" w:firstLine="344"/>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rFonts w:ascii="Arial" w:cs="Arial" w:eastAsia="Arial" w:hAnsi="Arial"/>
          <w:sz w:val="18"/>
          <w:szCs w:val="18"/>
          <w:color w:val="auto"/>
        </w:rPr>
      </w:pPr>
    </w:p>
    <w:p>
      <w:pPr>
        <w:ind w:right="220" w:firstLine="348"/>
        <w:spacing w:after="0" w:line="268" w:lineRule="auto"/>
        <w:rPr>
          <w:sz w:val="20"/>
          <w:szCs w:val="20"/>
          <w:color w:val="auto"/>
        </w:rPr>
      </w:pPr>
      <w:r>
        <w:rPr>
          <w:rFonts w:ascii="Arial" w:cs="Arial" w:eastAsia="Arial" w:hAnsi="Arial"/>
          <w:sz w:val="18"/>
          <w:szCs w:val="18"/>
          <w:color w:val="auto"/>
        </w:rPr>
        <w:t xml:space="preserve">The SEC maintains a website that contains reports, proxy and information statements, and other information regarding us. The SEC's website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820"/>
        <w:spacing w:after="0"/>
        <w:rPr>
          <w:sz w:val="20"/>
          <w:szCs w:val="20"/>
          <w:color w:val="auto"/>
        </w:rPr>
      </w:pPr>
      <w:r>
        <w:rPr>
          <w:rFonts w:ascii="Arial" w:cs="Arial" w:eastAsia="Arial" w:hAnsi="Arial"/>
          <w:sz w:val="24"/>
          <w:szCs w:val="24"/>
          <w:b w:val="1"/>
          <w:bCs w:val="1"/>
          <w:color w:val="auto"/>
        </w:rPr>
        <w:t>Preferred Units</w:t>
      </w:r>
    </w:p>
    <w:p>
      <w:pPr>
        <w:spacing w:after="0" w:line="8"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Debt Securities</w:t>
      </w:r>
    </w:p>
    <w:p>
      <w:pPr>
        <w:spacing w:after="0" w:line="21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182" w:lineRule="exact"/>
        <w:rPr>
          <w:sz w:val="20"/>
          <w:szCs w:val="20"/>
          <w:color w:val="auto"/>
        </w:rPr>
      </w:pPr>
    </w:p>
    <w:p>
      <w:pPr>
        <w:jc w:val="both"/>
        <w:ind w:firstLine="351"/>
        <w:spacing w:after="0" w:line="243" w:lineRule="auto"/>
        <w:rPr>
          <w:sz w:val="20"/>
          <w:szCs w:val="20"/>
          <w:color w:val="auto"/>
        </w:rPr>
      </w:pPr>
      <w:r>
        <w:rPr>
          <w:rFonts w:ascii="Arial" w:cs="Arial" w:eastAsia="Arial" w:hAnsi="Arial"/>
          <w:sz w:val="22"/>
          <w:szCs w:val="22"/>
          <w:b w:val="1"/>
          <w:bCs w:val="1"/>
          <w:color w:val="auto"/>
        </w:rPr>
        <w:t>Investing in our common units, preferred units and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9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preferred units or debt securities we may offer.</w:t>
      </w:r>
    </w:p>
    <w:p>
      <w:pPr>
        <w:spacing w:after="0" w:line="180" w:lineRule="exact"/>
        <w:rPr>
          <w:sz w:val="20"/>
          <w:szCs w:val="20"/>
          <w:color w:val="auto"/>
        </w:rPr>
      </w:pPr>
    </w:p>
    <w:p>
      <w:pPr>
        <w:ind w:right="84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date of this prospectus is September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2"/>
        </w:trPr>
        <w:tc>
          <w:tcPr>
            <w:tcW w:w="9160" w:type="dxa"/>
            <w:vAlign w:val="bottom"/>
            <w:gridSpan w:val="5"/>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tc>
        <w:tc>
          <w:tcPr>
            <w:tcW w:w="800" w:type="dxa"/>
            <w:vAlign w:val="bottom"/>
          </w:tcPr>
          <w:p>
            <w:pPr>
              <w:spacing w:after="0"/>
              <w:rPr>
                <w:sz w:val="19"/>
                <w:szCs w:val="19"/>
                <w:color w:val="auto"/>
              </w:rPr>
            </w:pPr>
          </w:p>
        </w:tc>
      </w:tr>
      <w:tr>
        <w:trPr>
          <w:trHeight w:val="648"/>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20" w:type="dxa"/>
            <w:vAlign w:val="bottom"/>
            <w:gridSpan w:val="2"/>
          </w:tcPr>
          <w:p>
            <w:pPr>
              <w:ind w:left="242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4"/>
                <w:szCs w:val="24"/>
                <w:color w:val="auto"/>
              </w:rPr>
            </w:pPr>
          </w:p>
        </w:tc>
      </w:tr>
      <w:tr>
        <w:trPr>
          <w:trHeight w:val="42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About This Prospectus</w:t>
              </w:r>
            </w:hyperlink>
          </w:p>
        </w:tc>
        <w:tc>
          <w:tcPr>
            <w:tcW w:w="800" w:type="dxa"/>
            <w:vAlign w:val="bottom"/>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Where You Can Find More Information</w:t>
              </w:r>
            </w:hyperlink>
          </w:p>
        </w:tc>
        <w:tc>
          <w:tcPr>
            <w:tcW w:w="80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ii</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Forward-Looking Statements</w:t>
              </w:r>
            </w:hyperlink>
          </w:p>
        </w:tc>
        <w:tc>
          <w:tcPr>
            <w:tcW w:w="800" w:type="dxa"/>
            <w:vAlign w:val="bottom"/>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iii</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About Plains All American Pipeline, L.P.</w:t>
              </w:r>
            </w:hyperlink>
          </w:p>
        </w:tc>
        <w:tc>
          <w:tcPr>
            <w:tcW w:w="800" w:type="dxa"/>
            <w:vAlign w:val="bottom"/>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1</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Risk Factors</w:t>
              </w:r>
            </w:hyperlink>
          </w:p>
        </w:tc>
        <w:tc>
          <w:tcPr>
            <w:tcW w:w="800" w:type="dxa"/>
            <w:vAlign w:val="bottom"/>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3</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Use of Proceeds</w:t>
              </w:r>
            </w:hyperlink>
          </w:p>
        </w:tc>
        <w:tc>
          <w:tcPr>
            <w:tcW w:w="80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4</w:t>
              </w:r>
            </w:hyperlink>
          </w:p>
        </w:tc>
      </w:tr>
      <w:tr>
        <w:trPr>
          <w:trHeight w:val="184"/>
        </w:trPr>
        <w:tc>
          <w:tcPr>
            <w:tcW w:w="9160" w:type="dxa"/>
            <w:vAlign w:val="bottom"/>
            <w:gridSpan w:val="5"/>
          </w:tcPr>
          <w:p>
            <w:pPr>
              <w:ind w:left="1140"/>
              <w:spacing w:after="0" w:line="184"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Ratio of Earnings to Fixed Charges and Ratio of Earnings to Combined Fixed Charges and Preferred Unit</w:t>
              </w:r>
            </w:hyperlink>
          </w:p>
        </w:tc>
        <w:tc>
          <w:tcPr>
            <w:tcW w:w="80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Distributions</w:t>
              </w:r>
            </w:hyperlink>
          </w:p>
        </w:tc>
        <w:tc>
          <w:tcPr>
            <w:tcW w:w="6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jc w:val="right"/>
              <w:spacing w:after="0" w:line="196"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w:t>
              </w:r>
            </w:hyperlink>
          </w:p>
        </w:tc>
      </w:tr>
      <w:tr>
        <w:trPr>
          <w:trHeight w:val="228"/>
        </w:trPr>
        <w:tc>
          <w:tcPr>
            <w:tcW w:w="9160" w:type="dxa"/>
            <w:vAlign w:val="bottom"/>
            <w:gridSpan w:val="5"/>
          </w:tcPr>
          <w:p>
            <w:pPr>
              <w:ind w:left="11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Description of Our Debt Securities</w:t>
              </w:r>
            </w:hyperlink>
          </w:p>
        </w:tc>
        <w:tc>
          <w:tcPr>
            <w:tcW w:w="80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6</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Description of Our Preferred Units</w:t>
              </w:r>
            </w:hyperlink>
          </w:p>
        </w:tc>
        <w:tc>
          <w:tcPr>
            <w:tcW w:w="800" w:type="dxa"/>
            <w:vAlign w:val="bottom"/>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15</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Description of Our Common Units</w:t>
              </w:r>
            </w:hyperlink>
          </w:p>
        </w:tc>
        <w:tc>
          <w:tcPr>
            <w:tcW w:w="800" w:type="dxa"/>
            <w:vAlign w:val="bottom"/>
          </w:tcPr>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17</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Cash Distribution Policy</w:t>
              </w:r>
            </w:hyperlink>
          </w:p>
        </w:tc>
        <w:tc>
          <w:tcPr>
            <w:tcW w:w="800" w:type="dxa"/>
            <w:vAlign w:val="bottom"/>
          </w:tcPr>
          <w:p>
            <w:pPr>
              <w:jc w:val="right"/>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20</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Description of Our Partnership Agreement</w:t>
              </w:r>
            </w:hyperlink>
          </w:p>
        </w:tc>
        <w:tc>
          <w:tcPr>
            <w:tcW w:w="800" w:type="dxa"/>
            <w:vAlign w:val="bottom"/>
          </w:tcPr>
          <w:p>
            <w:pPr>
              <w:jc w:val="right"/>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22</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Material U.S. Federal Income Tax Consequences</w:t>
              </w:r>
            </w:hyperlink>
          </w:p>
        </w:tc>
        <w:tc>
          <w:tcPr>
            <w:tcW w:w="800" w:type="dxa"/>
            <w:vAlign w:val="bottom"/>
          </w:tcPr>
          <w:p>
            <w:pPr>
              <w:jc w:val="right"/>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26</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Plan of Distribution</w:t>
              </w:r>
            </w:hyperlink>
          </w:p>
        </w:tc>
        <w:tc>
          <w:tcPr>
            <w:tcW w:w="800" w:type="dxa"/>
            <w:vAlign w:val="bottom"/>
          </w:tcPr>
          <w:p>
            <w:pPr>
              <w:jc w:val="right"/>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44</w:t>
              </w:r>
            </w:hyperlink>
          </w:p>
        </w:tc>
      </w:tr>
      <w:tr>
        <w:trPr>
          <w:trHeight w:val="216"/>
        </w:trPr>
        <w:tc>
          <w:tcPr>
            <w:tcW w:w="9160" w:type="dxa"/>
            <w:vAlign w:val="bottom"/>
            <w:gridSpan w:val="5"/>
          </w:tcPr>
          <w:p>
            <w:pPr>
              <w:ind w:left="11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Legal Matters</w:t>
              </w:r>
            </w:hyperlink>
          </w:p>
        </w:tc>
        <w:tc>
          <w:tcPr>
            <w:tcW w:w="800" w:type="dxa"/>
            <w:vAlign w:val="bottom"/>
          </w:tcPr>
          <w:p>
            <w:pPr>
              <w:jc w:val="right"/>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46</w:t>
              </w:r>
            </w:hyperlink>
          </w:p>
        </w:tc>
      </w:tr>
      <w:tr>
        <w:trPr>
          <w:trHeight w:val="222"/>
        </w:trPr>
        <w:tc>
          <w:tcPr>
            <w:tcW w:w="9160" w:type="dxa"/>
            <w:vAlign w:val="bottom"/>
            <w:gridSpan w:val="5"/>
          </w:tcPr>
          <w:p>
            <w:pPr>
              <w:ind w:left="11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Experts</w:t>
              </w:r>
            </w:hyperlink>
          </w:p>
        </w:tc>
        <w:tc>
          <w:tcPr>
            <w:tcW w:w="800" w:type="dxa"/>
            <w:vAlign w:val="bottom"/>
          </w:tcPr>
          <w:p>
            <w:pPr>
              <w:jc w:val="right"/>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46</w:t>
              </w:r>
            </w:hyperlink>
          </w:p>
        </w:tc>
      </w:tr>
    </w:tbl>
    <w:p>
      <w:pPr>
        <w:spacing w:after="0" w:line="21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91"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9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until all offerings under this registration statement are completed:</w:t>
      </w:r>
    </w:p>
    <w:p>
      <w:pPr>
        <w:spacing w:after="0" w:line="207"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0000EE"/>
        </w:rPr>
      </w:pPr>
      <w:hyperlink r:id="rId75">
        <w:r>
          <w:rPr>
            <w:rFonts w:ascii="Arial" w:cs="Arial" w:eastAsia="Arial" w:hAnsi="Arial"/>
            <w:sz w:val="18"/>
            <w:szCs w:val="18"/>
            <w:u w:val="single" w:color="auto"/>
            <w:color w:val="0000EE"/>
          </w:rPr>
          <w:t>Annual Report on Form 10-K for the fiscal year ended December 31, 2017</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w:t>
      </w:r>
      <w:hyperlink r:id="rId76">
        <w:r>
          <w:rPr>
            <w:rFonts w:ascii="Arial" w:cs="Arial" w:eastAsia="Arial" w:hAnsi="Arial"/>
            <w:sz w:val="18"/>
            <w:szCs w:val="18"/>
            <w:u w:val="single" w:color="auto"/>
            <w:color w:val="0000EE"/>
          </w:rPr>
          <w:t>March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7">
        <w:r>
          <w:rPr>
            <w:rFonts w:ascii="Arial" w:cs="Arial" w:eastAsia="Arial" w:hAnsi="Arial"/>
            <w:sz w:val="18"/>
            <w:szCs w:val="18"/>
            <w:u w:val="single" w:color="auto"/>
            <w:color w:val="0000EE"/>
          </w:rPr>
          <w:t>June 30, 2018</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Current Reports on Form 8-K filed on </w:t>
      </w:r>
      <w:hyperlink r:id="rId78">
        <w:r>
          <w:rPr>
            <w:rFonts w:ascii="Arial" w:cs="Arial" w:eastAsia="Arial" w:hAnsi="Arial"/>
            <w:sz w:val="16"/>
            <w:szCs w:val="16"/>
            <w:u w:val="single" w:color="auto"/>
            <w:color w:val="0000EE"/>
          </w:rPr>
          <w:t>January 8, 2018</w:t>
        </w:r>
      </w:hyperlink>
      <w:r>
        <w:rPr>
          <w:rFonts w:ascii="Arial" w:cs="Arial" w:eastAsia="Arial" w:hAnsi="Arial"/>
          <w:sz w:val="16"/>
          <w:szCs w:val="16"/>
          <w:color w:val="auto"/>
        </w:rPr>
        <w:t xml:space="preserve">, </w:t>
      </w:r>
      <w:hyperlink r:id="rId79">
        <w:r>
          <w:rPr>
            <w:rFonts w:ascii="Arial" w:cs="Arial" w:eastAsia="Arial" w:hAnsi="Arial"/>
            <w:sz w:val="16"/>
            <w:szCs w:val="16"/>
            <w:u w:val="single" w:color="auto"/>
            <w:color w:val="0000EE"/>
          </w:rPr>
          <w:t>March 27, 2018</w:t>
        </w:r>
      </w:hyperlink>
      <w:r>
        <w:rPr>
          <w:rFonts w:ascii="Arial" w:cs="Arial" w:eastAsia="Arial" w:hAnsi="Arial"/>
          <w:sz w:val="16"/>
          <w:szCs w:val="16"/>
          <w:color w:val="auto"/>
        </w:rPr>
        <w:t xml:space="preserve">, </w:t>
      </w:r>
      <w:hyperlink r:id="rId80">
        <w:r>
          <w:rPr>
            <w:rFonts w:ascii="Arial" w:cs="Arial" w:eastAsia="Arial" w:hAnsi="Arial"/>
            <w:sz w:val="16"/>
            <w:szCs w:val="16"/>
            <w:u w:val="single" w:color="auto"/>
            <w:color w:val="0000EE"/>
          </w:rPr>
          <w:t>May 17, 2018</w:t>
        </w:r>
      </w:hyperlink>
      <w:r>
        <w:rPr>
          <w:rFonts w:ascii="Arial" w:cs="Arial" w:eastAsia="Arial" w:hAnsi="Arial"/>
          <w:sz w:val="16"/>
          <w:szCs w:val="16"/>
          <w:color w:val="auto"/>
        </w:rPr>
        <w:t xml:space="preserve">, </w:t>
      </w:r>
      <w:hyperlink r:id="rId81">
        <w:r>
          <w:rPr>
            <w:rFonts w:ascii="Arial" w:cs="Arial" w:eastAsia="Arial" w:hAnsi="Arial"/>
            <w:sz w:val="16"/>
            <w:szCs w:val="16"/>
            <w:u w:val="single" w:color="auto"/>
            <w:color w:val="0000EE"/>
          </w:rPr>
          <w:t>August 20, 2018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82">
        <w:r>
          <w:rPr>
            <w:rFonts w:ascii="Arial" w:cs="Arial" w:eastAsia="Arial" w:hAnsi="Arial"/>
            <w:sz w:val="16"/>
            <w:szCs w:val="16"/>
            <w:u w:val="single" w:color="auto"/>
            <w:color w:val="0000EE"/>
          </w:rPr>
          <w:t>August 21, 2018</w:t>
        </w:r>
      </w:hyperlink>
      <w:r>
        <w:rPr>
          <w:rFonts w:ascii="Arial" w:cs="Arial" w:eastAsia="Arial" w:hAnsi="Arial"/>
          <w:sz w:val="16"/>
          <w:szCs w:val="16"/>
          <w:color w:val="auto"/>
        </w:rPr>
        <w:t>; and</w:t>
      </w:r>
    </w:p>
    <w:p>
      <w:pPr>
        <w:spacing w:after="0" w:line="26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41"/>
        </w:numPr>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the description of our common units contained in our Form 8-A/A dated November 16, 2016 and any subsequent amendment thereto filed for</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the purpose of updating such description.</w:t>
        </w:r>
      </w:hyperlink>
    </w:p>
    <w:p>
      <w:pPr>
        <w:spacing w:after="0" w:line="186" w:lineRule="exact"/>
        <w:rPr>
          <w:rFonts w:ascii="Arial" w:cs="Arial" w:eastAsia="Arial" w:hAnsi="Arial"/>
          <w:sz w:val="18"/>
          <w:szCs w:val="18"/>
          <w:color w:val="auto"/>
        </w:rPr>
      </w:pPr>
    </w:p>
    <w:p>
      <w:pPr>
        <w:ind w:right="420" w:firstLine="344"/>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rFonts w:ascii="Arial" w:cs="Arial" w:eastAsia="Arial" w:hAnsi="Arial"/>
          <w:sz w:val="18"/>
          <w:szCs w:val="18"/>
          <w:color w:val="auto"/>
        </w:rPr>
      </w:pPr>
    </w:p>
    <w:p>
      <w:pPr>
        <w:ind w:right="6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firstLine="348"/>
        <w:spacing w:after="0" w:line="256" w:lineRule="auto"/>
        <w:rPr>
          <w:sz w:val="20"/>
          <w:szCs w:val="20"/>
          <w:color w:val="auto"/>
        </w:rPr>
      </w:pPr>
      <w:r>
        <w:rPr>
          <w:rFonts w:ascii="Arial" w:cs="Arial" w:eastAsia="Arial" w:hAnsi="Arial"/>
          <w:sz w:val="18"/>
          <w:szCs w:val="18"/>
          <w:color w:val="auto"/>
        </w:rPr>
        <w:t>We also make available free of charge on our website at ir.paalp.com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7" w:lineRule="exact"/>
        <w:rPr>
          <w:sz w:val="20"/>
          <w:szCs w:val="20"/>
          <w:color w:val="auto"/>
        </w:rPr>
      </w:pPr>
    </w:p>
    <w:p>
      <w:pPr>
        <w:ind w:left="1080" w:right="220" w:hanging="532"/>
        <w:spacing w:after="0" w:line="256"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market distortions caused by over-commitments to infrastructure projects, which impacts volumes, margins, returns and overall earnings;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natural gas and resulting changes in pricing conditions or transportation throughput requirements;</w:t>
      </w:r>
    </w:p>
    <w:p>
      <w:pPr>
        <w:spacing w:after="0" w:line="212"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failure to consummate, or significant delay in consummating, sales of assets or interests as a part of our strategic divestiture program;</w:t>
      </w:r>
    </w:p>
    <w:p>
      <w:pPr>
        <w:spacing w:after="0" w:line="261" w:lineRule="exact"/>
        <w:rPr>
          <w:rFonts w:ascii="Arial" w:cs="Arial" w:eastAsia="Arial" w:hAnsi="Arial"/>
          <w:sz w:val="16"/>
          <w:szCs w:val="16"/>
          <w:color w:val="auto"/>
        </w:rPr>
      </w:pPr>
    </w:p>
    <w:p>
      <w:pPr>
        <w:ind w:left="1080" w:right="240" w:hanging="532"/>
        <w:spacing w:after="0" w:line="33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right="40" w:firstLine="351"/>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Other factors described herein or incorporated by reference, as well as factors that are unknown or unpredictable, could also have a material adverse effect </w:t>
      </w:r>
      <w:hyperlink r:id="rId75">
        <w:r>
          <w:rPr>
            <w:rFonts w:ascii="Arial" w:cs="Arial" w:eastAsia="Arial" w:hAnsi="Arial"/>
            <w:sz w:val="18"/>
            <w:szCs w:val="18"/>
            <w:color w:val="auto"/>
          </w:rPr>
          <w:t xml:space="preserve">on future results. Please read "Risk Factors" beginning on page 3 of this prospectus and discussed in Item 1A. of our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75">
        <w:r>
          <w:rPr>
            <w:rFonts w:ascii="Arial" w:cs="Arial" w:eastAsia="Arial" w:hAnsi="Arial"/>
            <w:sz w:val="18"/>
            <w:szCs w:val="18"/>
            <w:u w:val="single" w:color="auto"/>
            <w:color w:val="0000EE"/>
          </w:rPr>
          <w:t>ended December 31, 2017 (File No. 001-14569)</w:t>
        </w:r>
        <w:r>
          <w:rPr>
            <w:rFonts w:ascii="Arial" w:cs="Arial" w:eastAsia="Arial" w:hAnsi="Arial"/>
            <w:sz w:val="18"/>
            <w:szCs w:val="18"/>
            <w:color w:val="000000"/>
          </w:rPr>
          <w:t>, which is incorporated into this prospectus by reference. Except as required by applicable securities laws, we</w:t>
        </w:r>
      </w:hyperlink>
      <w:r>
        <w:rPr>
          <w:rFonts w:ascii="Arial" w:cs="Arial" w:eastAsia="Arial" w:hAnsi="Arial"/>
          <w:sz w:val="18"/>
          <w:szCs w:val="18"/>
          <w:color w:val="0000EE"/>
        </w:rPr>
        <w:t xml:space="preserve"> </w:t>
      </w:r>
      <w:r>
        <w:rPr>
          <w:rFonts w:ascii="Arial" w:cs="Arial" w:eastAsia="Arial" w:hAnsi="Arial"/>
          <w:sz w:val="18"/>
          <w:szCs w:val="18"/>
          <w:color w:val="000000"/>
        </w:rPr>
        <w:t>do not intend to update these forward-looking statements and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own and operate midstream energy infrastructure and provide logistics services primarily for crude oil, NGL and natural gas.</w:t>
      </w:r>
    </w:p>
    <w:p>
      <w:pPr>
        <w:spacing w:after="0" w:line="219"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Divestiture and Investment Activities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or assets of a third-party buyer or (ii) sell partial interests in assets to strategic joint venture partners, in each case to optimize our asset portfolio and strengthen our balance sheet and leverage metrics. With respect to a potential divestiture, we may conduct an auction process or may negotiate a transaction with one or a limited number of potential buyers.</w:t>
      </w:r>
    </w:p>
    <w:p>
      <w:pPr>
        <w:spacing w:after="0" w:line="197"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expect the acquisitions and investments we make to be accretive in the long term, we can provide no assurance that our expectations will ultimately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60" w:firstLine="351"/>
        <w:spacing w:after="0" w:line="331" w:lineRule="auto"/>
        <w:rPr>
          <w:rFonts w:ascii="Arial" w:cs="Arial" w:eastAsia="Arial" w:hAnsi="Arial"/>
          <w:sz w:val="16"/>
          <w:szCs w:val="16"/>
          <w:color w:val="auto"/>
        </w:rPr>
      </w:pPr>
      <w:r>
        <w:rPr>
          <w:rFonts w:ascii="Arial" w:cs="Arial" w:eastAsia="Arial" w:hAnsi="Arial"/>
          <w:sz w:val="16"/>
          <w:szCs w:val="16"/>
          <w:color w:val="auto"/>
        </w:rPr>
        <w:t xml:space="preserve">For additional information about us please refer to the documents set forth under "Where You Can Find More Information" in this prospectus, including our </w:t>
      </w:r>
      <w:hyperlink r:id="rId75">
        <w:r>
          <w:rPr>
            <w:rFonts w:ascii="Arial" w:cs="Arial" w:eastAsia="Arial" w:hAnsi="Arial"/>
            <w:sz w:val="16"/>
            <w:szCs w:val="16"/>
            <w:u w:val="single" w:color="auto"/>
            <w:color w:val="0000EE"/>
          </w:rPr>
          <w:t>Annual Report on Form 10-K for the fiscal year ended December 31, 2017 (File No. 001-14569),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which is incorporated by reference herein.</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An investment in our securities involves a high degree of risk. Before you invest in our securities, you should carefully consider the risk factors included in Item 1A. "Risk Factors" in our </w:t>
      </w:r>
      <w:hyperlink r:id="rId75">
        <w:r>
          <w:rPr>
            <w:rFonts w:ascii="Arial" w:cs="Arial" w:eastAsia="Arial" w:hAnsi="Arial"/>
            <w:sz w:val="16"/>
            <w:szCs w:val="16"/>
            <w:u w:val="single" w:color="auto"/>
            <w:color w:val="0000EE"/>
          </w:rPr>
          <w:t>Annual Report on Form 10-K for the year ended December 31, 2017 (File No. 001-14569)</w:t>
        </w:r>
      </w:hyperlink>
      <w:r>
        <w:rPr>
          <w:rFonts w:ascii="Arial" w:cs="Arial" w:eastAsia="Arial" w:hAnsi="Arial"/>
          <w:sz w:val="16"/>
          <w:szCs w:val="16"/>
          <w:color w:val="auto"/>
        </w:rPr>
        <w:t>,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among other things, repayment of indebtedness, acquisitions, capital expenditures and additions to working capital.</w:t>
      </w:r>
    </w:p>
    <w:p>
      <w:pPr>
        <w:spacing w:after="0" w:line="194"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left="380" w:right="180"/>
        <w:spacing w:after="0" w:line="275" w:lineRule="auto"/>
        <w:rPr>
          <w:sz w:val="20"/>
          <w:szCs w:val="20"/>
          <w:color w:val="auto"/>
        </w:rPr>
      </w:pPr>
      <w:r>
        <w:rPr>
          <w:rFonts w:ascii="Arial" w:cs="Arial" w:eastAsia="Arial" w:hAnsi="Arial"/>
          <w:sz w:val="18"/>
          <w:szCs w:val="18"/>
          <w:b w:val="1"/>
          <w:bCs w:val="1"/>
          <w:color w:val="auto"/>
        </w:rPr>
        <w:t>RATIO OF EARNINGS TO FIXED CHARGES AND RATIO OF EARNINGS TO COMBINED FIXED CHARGES AND PREFERRED UNIT DISTRIBUTIONS</w:t>
      </w:r>
    </w:p>
    <w:p>
      <w:pPr>
        <w:spacing w:after="0" w:line="18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sets forth our ratio of earnings to fixed charges and ratio of earnings to combined fixed charges and preferred unit distributions for the periods indicated on a consolidated historical basis. For purposes of computing the ratio of earnings to fixed charges and the ratio of earnings to combined fixed charges and preferred unit distributions,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68"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Six Months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June 30,</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3"/>
              </w:rPr>
              <w:t>Year Ended December 31,</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2018</w:t>
            </w: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3"/>
                <w:szCs w:val="13"/>
                <w:b w:val="1"/>
                <w:bCs w:val="1"/>
                <w:color w:val="auto"/>
              </w:rPr>
              <w:t>2014</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2"/>
                <w:szCs w:val="12"/>
                <w:color w:val="auto"/>
              </w:rPr>
            </w:pPr>
          </w:p>
        </w:tc>
      </w:tr>
      <w:tr>
        <w:trPr>
          <w:trHeight w:val="20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2.76x</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2.45x</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2.25x</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2.80x</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4.30x</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4.41x</w:t>
            </w:r>
          </w:p>
        </w:tc>
      </w:tr>
      <w:tr>
        <w:trPr>
          <w:trHeight w:val="208"/>
        </w:trPr>
        <w:tc>
          <w:tcPr>
            <w:tcW w:w="4620" w:type="dxa"/>
            <w:vAlign w:val="bottom"/>
            <w:gridSpan w:val="2"/>
          </w:tcPr>
          <w:p>
            <w:pPr>
              <w:ind w:left="20"/>
              <w:spacing w:after="0"/>
              <w:rPr>
                <w:sz w:val="20"/>
                <w:szCs w:val="20"/>
                <w:color w:val="auto"/>
              </w:rPr>
            </w:pPr>
            <w:r>
              <w:rPr>
                <w:rFonts w:ascii="Arial" w:cs="Arial" w:eastAsia="Arial" w:hAnsi="Arial"/>
                <w:sz w:val="18"/>
                <w:szCs w:val="18"/>
                <w:color w:val="auto"/>
                <w:w w:val="94"/>
              </w:rPr>
              <w:t>Ratio of Earnings to Combined Fixed Charges and Preferred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620" w:type="dxa"/>
            <w:vAlign w:val="bottom"/>
            <w:gridSpan w:val="2"/>
          </w:tcPr>
          <w:p>
            <w:pPr>
              <w:ind w:left="200"/>
              <w:spacing w:after="0"/>
              <w:rPr>
                <w:sz w:val="20"/>
                <w:szCs w:val="20"/>
                <w:color w:val="auto"/>
              </w:rPr>
            </w:pPr>
            <w:r>
              <w:rPr>
                <w:rFonts w:ascii="Arial" w:cs="Arial" w:eastAsia="Arial" w:hAnsi="Arial"/>
                <w:sz w:val="18"/>
                <w:szCs w:val="18"/>
                <w:color w:val="auto"/>
              </w:rPr>
              <w:t>Unit Distributions(1)(2)(3)</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2.00x</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1.96x</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1.86x</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10"/>
        </w:trPr>
        <w:tc>
          <w:tcPr>
            <w:tcW w:w="238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0" w:hanging="549"/>
        <w:spacing w:after="0" w:line="268"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no preferred units were outstanding for any of the years ended December 31, 2015, 2014 and 2013, no historical ratio of earnings to combined fixed charges and preferred unit distributions is presented for those years.</w:t>
      </w:r>
    </w:p>
    <w:p>
      <w:pPr>
        <w:spacing w:after="0" w:line="212" w:lineRule="exact"/>
        <w:rPr>
          <w:rFonts w:ascii="Arial" w:cs="Arial" w:eastAsia="Arial" w:hAnsi="Arial"/>
          <w:sz w:val="18"/>
          <w:szCs w:val="18"/>
          <w:color w:val="auto"/>
        </w:rPr>
      </w:pPr>
    </w:p>
    <w:p>
      <w:pPr>
        <w:ind w:left="1680" w:right="240" w:hanging="549"/>
        <w:spacing w:after="0" w:line="254"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Distributions on our Series A preferred units (as defined below) were paid in additional Series A preferred units for the years ended December 31, 2017 and 2016, respectively. We issued 5,413,842 and 4,646,499 additional Series A preferred units in lieu of cash distributions of $142 million and $122 million for the distributions pertaining to the years ended December 31, 2017 and 2016, respectively. Beginning with the distribution pertaining to the quarter ended March 31, 2018, distributions on our Series A preferred units will be paid in cash.</w:t>
      </w:r>
    </w:p>
    <w:p>
      <w:pPr>
        <w:spacing w:after="0" w:line="214" w:lineRule="exact"/>
        <w:rPr>
          <w:rFonts w:ascii="Arial" w:cs="Arial" w:eastAsia="Arial" w:hAnsi="Arial"/>
          <w:sz w:val="18"/>
          <w:szCs w:val="18"/>
          <w:color w:val="auto"/>
        </w:rPr>
      </w:pPr>
    </w:p>
    <w:p>
      <w:pPr>
        <w:ind w:left="1680" w:right="780" w:hanging="549"/>
        <w:spacing w:after="0" w:line="268"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Distributions on our Series B preferred units (as defined below) accrue and are cumulative at a rate of 6.125% per year from October 10, 2017, the date of original issue, and are payable in cash semiannually.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60" w:lineRule="exact"/>
        <w:rPr>
          <w:sz w:val="20"/>
          <w:szCs w:val="20"/>
          <w:color w:val="auto"/>
        </w:rPr>
      </w:pPr>
    </w:p>
    <w:p>
      <w:pPr>
        <w:ind w:right="260" w:firstLine="341"/>
        <w:spacing w:after="0" w:line="294" w:lineRule="auto"/>
        <w:rPr>
          <w:sz w:val="20"/>
          <w:szCs w:val="20"/>
          <w:color w:val="auto"/>
        </w:rPr>
      </w:pPr>
      <w:r>
        <w:rPr>
          <w:rFonts w:ascii="Arial" w:cs="Arial" w:eastAsia="Arial" w:hAnsi="Arial"/>
          <w:sz w:val="16"/>
          <w:szCs w:val="16"/>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69" w:lineRule="exact"/>
        <w:rPr>
          <w:sz w:val="20"/>
          <w:szCs w:val="20"/>
          <w:color w:val="auto"/>
        </w:rPr>
      </w:pPr>
    </w:p>
    <w:p>
      <w:pPr>
        <w:ind w:right="540" w:firstLine="341"/>
        <w:spacing w:after="0" w:line="259" w:lineRule="auto"/>
        <w:rPr>
          <w:sz w:val="20"/>
          <w:szCs w:val="20"/>
          <w:color w:val="auto"/>
        </w:rPr>
      </w:pPr>
      <w:r>
        <w:rPr>
          <w:rFonts w:ascii="Arial" w:cs="Arial" w:eastAsia="Arial" w:hAnsi="Arial"/>
          <w:sz w:val="18"/>
          <w:szCs w:val="18"/>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ind w:left="1080" w:right="8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40" w:firstLine="351"/>
        <w:spacing w:after="0" w:line="331"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25"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212" w:lineRule="exact"/>
        <w:rPr>
          <w:rFonts w:ascii="Arial" w:cs="Arial" w:eastAsia="Arial" w:hAnsi="Arial"/>
          <w:sz w:val="18"/>
          <w:szCs w:val="18"/>
          <w:color w:val="auto"/>
        </w:rPr>
      </w:pPr>
    </w:p>
    <w:p>
      <w:pPr>
        <w:ind w:left="5580" w:right="160" w:hanging="5032"/>
        <w:spacing w:after="0" w:line="518" w:lineRule="auto"/>
        <w:tabs>
          <w:tab w:leader="none" w:pos="10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(except as may be permitted in the case of a particular series of debt securities);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212" w:lineRule="exact"/>
        <w:rPr>
          <w:rFonts w:ascii="Arial" w:cs="Arial" w:eastAsia="Arial" w:hAnsi="Arial"/>
          <w:sz w:val="18"/>
          <w:szCs w:val="18"/>
          <w:color w:val="auto"/>
        </w:rPr>
      </w:pPr>
    </w:p>
    <w:p>
      <w:pPr>
        <w:ind w:left="360" w:right="580" w:firstLine="188"/>
        <w:spacing w:after="0" w:line="601" w:lineRule="auto"/>
        <w:tabs>
          <w:tab w:leader="none" w:pos="1092" w:val="left"/>
        </w:tabs>
        <w:numPr>
          <w:ilvl w:val="0"/>
          <w:numId w:val="51"/>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13" w:lineRule="exact"/>
        <w:rPr>
          <w:rFonts w:ascii="Arial" w:cs="Arial" w:eastAsia="Arial" w:hAnsi="Arial"/>
          <w:sz w:val="15"/>
          <w:szCs w:val="15"/>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99"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52"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20" w:firstLine="351"/>
        <w:spacing w:after="0" w:line="331" w:lineRule="auto"/>
        <w:rPr>
          <w:sz w:val="20"/>
          <w:szCs w:val="20"/>
          <w:color w:val="auto"/>
        </w:rPr>
      </w:pPr>
      <w:r>
        <w:rPr>
          <w:rFonts w:ascii="Arial" w:cs="Arial" w:eastAsia="Arial" w:hAnsi="Arial"/>
          <w:sz w:val="16"/>
          <w:szCs w:val="16"/>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make interest payments by check mailed to the holders at their addresses set forth in the debt security register.</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 to:</w:t>
      </w:r>
    </w:p>
    <w:p>
      <w:pPr>
        <w:spacing w:after="0" w:line="239" w:lineRule="exact"/>
        <w:rPr>
          <w:sz w:val="20"/>
          <w:szCs w:val="20"/>
          <w:color w:val="auto"/>
        </w:rPr>
      </w:pPr>
    </w:p>
    <w:p>
      <w:pPr>
        <w:ind w:left="1080" w:right="18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0"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80" w:hanging="532"/>
        <w:spacing w:after="0" w:line="331"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86"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securities held for the account of customers registered in "street name." However, payments will be the responsibility of the participants and not of DTC, the Trustee or us.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680" w:hanging="321"/>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540" w:right="20" w:firstLine="359"/>
        <w:spacing w:after="0" w:line="259" w:lineRule="auto"/>
        <w:tabs>
          <w:tab w:leader="none" w:pos="122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3" w:lineRule="exact"/>
        <w:rPr>
          <w:rFonts w:ascii="Arial" w:cs="Arial" w:eastAsia="Arial" w:hAnsi="Arial"/>
          <w:sz w:val="18"/>
          <w:szCs w:val="18"/>
          <w:color w:val="auto"/>
        </w:rPr>
      </w:pPr>
    </w:p>
    <w:p>
      <w:pPr>
        <w:ind w:left="540" w:firstLine="359"/>
        <w:spacing w:after="0" w:line="290" w:lineRule="auto"/>
        <w:tabs>
          <w:tab w:leader="none" w:pos="1227"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1" w:lineRule="exact"/>
        <w:rPr>
          <w:rFonts w:ascii="Arial" w:cs="Arial" w:eastAsia="Arial" w:hAnsi="Arial"/>
          <w:sz w:val="16"/>
          <w:szCs w:val="16"/>
          <w:color w:val="auto"/>
        </w:rPr>
      </w:pPr>
    </w:p>
    <w:p>
      <w:pPr>
        <w:ind w:left="700" w:hanging="341"/>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right="280" w:firstLine="359"/>
        <w:spacing w:after="0" w:line="268" w:lineRule="auto"/>
        <w:tabs>
          <w:tab w:leader="none" w:pos="677"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220" w:firstLine="351"/>
        <w:spacing w:after="0" w:line="331"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225" w:lineRule="exact"/>
        <w:rPr>
          <w:sz w:val="20"/>
          <w:szCs w:val="20"/>
          <w:color w:val="auto"/>
        </w:rPr>
      </w:pPr>
    </w:p>
    <w:p>
      <w:pPr>
        <w:ind w:right="120" w:firstLine="351"/>
        <w:spacing w:after="0" w:line="331"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Any resignation will require the appointment of a successor trustee under the applicable indenture in accordance with the terms and conditions of such indenture.</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225" w:lineRule="exact"/>
        <w:rPr>
          <w:sz w:val="20"/>
          <w:szCs w:val="20"/>
          <w:color w:val="auto"/>
        </w:rPr>
      </w:pPr>
    </w:p>
    <w:p>
      <w:pPr>
        <w:ind w:right="260" w:firstLine="351"/>
        <w:spacing w:after="0" w:line="331" w:lineRule="auto"/>
        <w:rPr>
          <w:sz w:val="20"/>
          <w:szCs w:val="20"/>
          <w:color w:val="auto"/>
        </w:rPr>
      </w:pPr>
      <w:r>
        <w:rPr>
          <w:rFonts w:ascii="Arial" w:cs="Arial" w:eastAsia="Arial" w:hAnsi="Arial"/>
          <w:sz w:val="16"/>
          <w:szCs w:val="16"/>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PREFERRED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Units</w:t>
      </w:r>
    </w:p>
    <w:p>
      <w:pPr>
        <w:spacing w:after="0" w:line="231" w:lineRule="exact"/>
        <w:rPr>
          <w:sz w:val="20"/>
          <w:szCs w:val="20"/>
          <w:color w:val="auto"/>
        </w:rPr>
      </w:pPr>
    </w:p>
    <w:p>
      <w:pPr>
        <w:ind w:right="140" w:firstLine="351"/>
        <w:spacing w:after="0" w:line="285" w:lineRule="auto"/>
        <w:rPr>
          <w:sz w:val="20"/>
          <w:szCs w:val="20"/>
          <w:color w:val="auto"/>
        </w:rPr>
      </w:pPr>
      <w:r>
        <w:rPr>
          <w:rFonts w:ascii="Arial" w:cs="Arial" w:eastAsia="Arial" w:hAnsi="Arial"/>
          <w:sz w:val="16"/>
          <w:szCs w:val="16"/>
          <w:color w:val="auto"/>
        </w:rPr>
        <w:t>On January 28, 2016, we completed a private placement of 61,030,127 Series A Convertible Preferred Units representing limited partner interests in us (the "Series A preferred units") for a cash purchase price of $26.25 per unit (the "Issue Price").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equal to an annual rate of 8% of the Issue Price ($2.10 per unit annualized). With respect to each quarter ending on or prior to December 31, 2017 (the "Initial Distribution Period"), we elected to pay distributions on the Series A preferred units in additional Series A preferred units. With respect to any quarter ending after the Initial Distribution Period, we must pay distributions on the Series A preferred units in cash. For a period of 30 days following (a) the fifth anniversary of the issue date of the Series A preferred units and (b) each subsequent anniversary of the issue date, the holders of Series A preferred units, acting by majority vote, may make a one-time election to reset the Series A preferred unit distribution rate to equal the then applicable rate of ten-year U.S. Treasury Securities plus 5.85% (the "Preferred Distribution Rate Reset Option"). If the holders of Series A preferred units have exercised the Preferred Distribution Rate Reset Option, then, at any time following 30 days after the sixth anniversary of the issue date of the Series A preferred units, 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18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holders of Series A preferred units may convert such units into common units, generally on a one-for-one basis and subject to customary anti-dilution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after January 28, 2019,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The Series A preferred units vote on an as-converted basis with our common units (see "Description of Our Common Units—Voting")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Units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w:t>
      </w:r>
    </w:p>
    <w:p>
      <w:pPr>
        <w:spacing w:after="0" w:line="198" w:lineRule="exact"/>
        <w:rPr>
          <w:sz w:val="20"/>
          <w:szCs w:val="20"/>
          <w:color w:val="auto"/>
        </w:rPr>
      </w:pPr>
    </w:p>
    <w:p>
      <w:pPr>
        <w:ind w:right="340" w:firstLine="351"/>
        <w:spacing w:after="0" w:line="290" w:lineRule="auto"/>
        <w:rPr>
          <w:sz w:val="20"/>
          <w:szCs w:val="20"/>
          <w:color w:val="auto"/>
        </w:rPr>
      </w:pPr>
      <w:r>
        <w:rPr>
          <w:rFonts w:ascii="Arial" w:cs="Arial" w:eastAsia="Arial" w:hAnsi="Arial"/>
          <w:sz w:val="16"/>
          <w:szCs w:val="16"/>
          <w:color w:val="auto"/>
        </w:rPr>
        <w:t>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then-current three-month LIBOR plus a spread of 4.11%.</w:t>
      </w:r>
    </w:p>
    <w:p>
      <w:pPr>
        <w:spacing w:after="0" w:line="17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Series B preferred units have a liquidation preference of $1,000 per unit. Upon the occurrence of certain rating agency events, we may redeem the Series B preferred units, in whole but not in part, at a price 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Issuances of Preferred Units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units with respect to distributions and (ii) the holders of our Series B preferred units for the issuance of parity securities or senior securities as described above under "—Series B Preferred Units." As of the date of this prospectus, we had 71,090,468 Series A preferred units outstanding and 800,000 Series B preferred units outstanding.</w:t>
      </w:r>
    </w:p>
    <w:p>
      <w:pPr>
        <w:spacing w:after="0" w:line="16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19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designation, stated value, and liquidation preference of the preferred units and the number of preferred units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initial public offering price at which the preferred units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conversion or exchange provisions of the preferred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redemption or sinking fund provisions of the preferred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distribution rights of the preferred units,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discussion of any additional material federal income tax considerations regarding the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additional rights, preferences, privileges, limitations, and restrictions of the preferred units.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below. 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our "board of directors" or "board."</w:t>
      </w:r>
    </w:p>
    <w:p>
      <w:pPr>
        <w:spacing w:after="0" w:line="194"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provided in the Third Amended and Restated Limited Liability Company Agreement of PAGP GP, as amended, our board of directors consists of 12 members divided into three classes (excluding those directors who are also officers of PAGP GP or employees of GP LLC). Three of the board members are designated to serve on the board of directors of PAGP GP by the three members of PAGP GP that currently hold board designation rights (affiliates of The Energy &amp; Minerals Group, Kayne Anderson Investment Management Inc. and Occidental Petroleum Corporation). Of the remaining nine members, three must be independent directors eligible to serve on the audit committee.</w:t>
      </w:r>
    </w:p>
    <w:p>
      <w:pPr>
        <w:spacing w:after="0" w:line="16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PAGP will hold annual meetings of its shareholders for the purpose of electing PAGP GP directors with expiring terms other than the designated directors, any directors who are officers of PAGP GP or employees of GP LLC, and any director subject to appointment by the holders of the Series A preferred units.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such election of eligible PAGP GP directors. We will vote (or refrain from voting) our Class C shares for the election of eligible PAGP GP directors in the same proportion as the votes received from or withheld by our limited partners. At our annual meetings, common units held by AAP will not be voted and will not be counted for purposes of determining whether a quorum exists.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Except as described under "Description of Our Partnership Agreement—Limited Liability," the common units will be fully paid, and common unitholders will not be required to make additional capital contributions to us.</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60"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Each holder of AAP's Class A units (other than PAGP and GP LLC)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PAGP GP company units (if any), in each case, to PAGP. The AAP Class A units transferred to AAP will be cancelled, the PAGP Class B shares transferred to PAGP will be cancelled and the PAGP GP company units transferred to PAGP will remain outstanding and increase PAGP's ownership percentage in PAGP GP.</w:t>
      </w:r>
    </w:p>
    <w:p>
      <w:pPr>
        <w:spacing w:after="0" w:line="169"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long as PAGP's Class A shares are publicly traded, a holder of vested AAP management units will be entitled to convert his or her AAP management units into AAP Class A units and a like number of PAGP Class B shares based on a conversion ratio of approximately 0.941 AAP Class A units and PAGP Class B shares for each AAP management unit. Following any such conversion, the holder will have the Redemption Right as a holder of AAP's Class A units. Holders of AAP management units who convert such units into AAP Class A units and PAGP Class B shares will not receive PAGP GP company units and thus will not need to include any PAGP GP company units in a transfer or the exercise of their Redemption Right.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right="220"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60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5"/>
          <w:szCs w:val="15"/>
          <w:color w:val="auto"/>
        </w:rPr>
        <w:t>We will distribute to our unitholders, on a quarterly basis, all of our available cash in the manner described below.</w:t>
      </w:r>
    </w:p>
    <w:p>
      <w:pPr>
        <w:spacing w:after="0" w:line="225" w:lineRule="exact"/>
        <w:rPr>
          <w:sz w:val="20"/>
          <w:szCs w:val="20"/>
          <w:color w:val="auto"/>
        </w:rPr>
      </w:pPr>
    </w:p>
    <w:p>
      <w:pPr>
        <w:ind w:right="260" w:firstLine="351"/>
        <w:spacing w:after="0" w:line="331" w:lineRule="auto"/>
        <w:rPr>
          <w:sz w:val="20"/>
          <w:szCs w:val="20"/>
          <w:color w:val="auto"/>
        </w:rPr>
      </w:pPr>
      <w:r>
        <w:rPr>
          <w:rFonts w:ascii="Arial" w:cs="Arial" w:eastAsia="Arial" w:hAnsi="Arial"/>
          <w:sz w:val="16"/>
          <w:szCs w:val="16"/>
          <w:i w:val="1"/>
          <w:iCs w:val="1"/>
          <w:color w:val="auto"/>
        </w:rPr>
        <w:t xml:space="preserve">Definition of Available Cash. </w:t>
      </w:r>
      <w:r>
        <w:rPr>
          <w:rFonts w:ascii="Arial" w:cs="Arial" w:eastAsia="Arial" w:hAnsi="Arial"/>
          <w:sz w:val="16"/>
          <w:szCs w:val="16"/>
          <w:color w:val="auto"/>
        </w:rPr>
        <w:t>Available cash generally means, for any quarter ending prior to liquidation, all cash and cash equivalents on hand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that quarter less the amount of cash reserves that are necessary or appropriate in the reasonable discretion of the general partner to:</w:t>
      </w:r>
    </w:p>
    <w:p>
      <w:pPr>
        <w:spacing w:after="0" w:line="154"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funds for distributions to common and preferred unitholders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140" w:firstLine="351"/>
        <w:spacing w:after="0" w:line="331"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common unitholders will be characterized as either operating surplus or capital surplus. We distribute available cash</w:t>
      </w:r>
      <w:r>
        <w:rPr>
          <w:rFonts w:ascii="Arial" w:cs="Arial" w:eastAsia="Arial" w:hAnsi="Arial"/>
          <w:sz w:val="16"/>
          <w:szCs w:val="16"/>
          <w:i w:val="1"/>
          <w:iCs w:val="1"/>
          <w:color w:val="auto"/>
        </w:rPr>
        <w:t xml:space="preserve"> </w:t>
      </w:r>
      <w:r>
        <w:rPr>
          <w:rFonts w:ascii="Arial" w:cs="Arial" w:eastAsia="Arial" w:hAnsi="Arial"/>
          <w:sz w:val="16"/>
          <w:szCs w:val="16"/>
          <w:color w:val="auto"/>
        </w:rPr>
        <w:t>from operating surplus differently than available cash from capital surplus. See "—Quarterly Distributions of Available Cash."</w:t>
      </w:r>
    </w:p>
    <w:p>
      <w:pPr>
        <w:spacing w:after="0" w:line="141"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300" w:hanging="532"/>
        <w:spacing w:after="0" w:line="331"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41"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200" w:firstLine="348"/>
        <w:spacing w:after="0" w:line="331"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other than current holders of Series A preferred units and Series B preferred units 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circumstances. We may fund acquisitions through the issuance of additional common units or other equity securities.</w:t>
      </w:r>
    </w:p>
    <w:p>
      <w:pPr>
        <w:spacing w:after="0" w:line="225" w:lineRule="exact"/>
        <w:rPr>
          <w:sz w:val="20"/>
          <w:szCs w:val="20"/>
          <w:color w:val="auto"/>
        </w:rPr>
      </w:pPr>
    </w:p>
    <w:p>
      <w:pPr>
        <w:ind w:right="440" w:firstLine="351"/>
        <w:spacing w:after="0" w:line="331" w:lineRule="auto"/>
        <w:rPr>
          <w:sz w:val="20"/>
          <w:szCs w:val="20"/>
          <w:color w:val="auto"/>
        </w:rPr>
      </w:pPr>
      <w:r>
        <w:rPr>
          <w:rFonts w:ascii="Arial" w:cs="Arial" w:eastAsia="Arial" w:hAnsi="Arial"/>
          <w:sz w:val="16"/>
          <w:szCs w:val="16"/>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 terms of our Series A preferred units and notable provisions with respect to distributions on the Series A preferred units are described under "Description of Our Preferred Units—Series A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Units</w:t>
      </w:r>
    </w:p>
    <w:p>
      <w:pPr>
        <w:spacing w:after="0" w:line="231"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 terms of our Series B preferred units and notable provisions with respect to distributions on the Series B preferred units are described under "Description of Our Preferred Units—Series B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make distributions of available cash from operating surplus to all common unitholders, pro rata until we distribute an aggregate amount of available cash equal to the aggregate operating surplus generated by the Partnership from the time of our IPO through the end of the quarter in respect of such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jc w:val="both"/>
        <w:ind w:right="300" w:firstLine="348"/>
        <w:spacing w:after="0" w:line="223" w:lineRule="auto"/>
        <w:rPr>
          <w:sz w:val="20"/>
          <w:szCs w:val="20"/>
          <w:color w:val="auto"/>
        </w:rPr>
      </w:pPr>
      <w:r>
        <w:rPr>
          <w:rFonts w:ascii="Arial" w:cs="Arial" w:eastAsia="Arial" w:hAnsi="Arial"/>
          <w:sz w:val="18"/>
          <w:szCs w:val="18"/>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Series B preferred units.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firstLine="351"/>
        <w:spacing w:after="0" w:line="304" w:lineRule="auto"/>
        <w:rPr>
          <w:sz w:val="20"/>
          <w:szCs w:val="20"/>
          <w:color w:val="auto"/>
        </w:rPr>
      </w:pPr>
      <w:r>
        <w:rPr>
          <w:rFonts w:ascii="Arial" w:cs="Arial" w:eastAsia="Arial" w:hAnsi="Arial"/>
          <w:sz w:val="15"/>
          <w:szCs w:val="15"/>
          <w:color w:val="auto"/>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w:t>
      </w:r>
    </w:p>
    <w:p>
      <w:pPr>
        <w:spacing w:after="0" w:line="1" w:lineRule="exact"/>
        <w:rPr>
          <w:sz w:val="20"/>
          <w:szCs w:val="20"/>
          <w:color w:val="auto"/>
        </w:rPr>
      </w:pPr>
    </w:p>
    <w:p>
      <w:pPr>
        <w:ind w:right="780" w:firstLine="8"/>
        <w:spacing w:after="0" w:line="260" w:lineRule="auto"/>
        <w:tabs>
          <w:tab w:leader="none" w:pos="2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second to the holders of outstanding preferred units in accordance with their adjusted capital account balances and (iii) thereafter, to the common unitholders in accordance with their adjusted capital account balances.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rights of holders of our preferred units are described under "Description of our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rights of holders of our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jc w:val="both"/>
        <w:ind w:right="2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9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0"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14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198"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partner that the liquidator deems necessary or desirable in its good faith judgment, liquidate our assets. The proceeds of the liquidation will be applied as follows:</w:t>
      </w:r>
    </w:p>
    <w:p>
      <w:pPr>
        <w:spacing w:after="0" w:line="19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w:t>
      </w:r>
    </w:p>
    <w:p>
      <w:pPr>
        <w:spacing w:after="0" w:line="252" w:lineRule="exact"/>
        <w:rPr>
          <w:rFonts w:ascii="Arial" w:cs="Arial" w:eastAsia="Arial" w:hAnsi="Arial"/>
          <w:sz w:val="18"/>
          <w:szCs w:val="18"/>
          <w:color w:val="auto"/>
        </w:rPr>
      </w:pPr>
    </w:p>
    <w:p>
      <w:pPr>
        <w:ind w:left="1080" w:right="320" w:hanging="532"/>
        <w:spacing w:after="0" w:line="331"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9" w:lineRule="exact"/>
        <w:rPr>
          <w:sz w:val="20"/>
          <w:szCs w:val="20"/>
          <w:color w:val="auto"/>
        </w:rPr>
      </w:pPr>
    </w:p>
    <w:p>
      <w:pPr>
        <w:ind w:left="1080" w:right="16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partner shall not be personally liable for, or have any obligation to contribute or loan funds or assets to us to enable us to effectuate any indemnification.</w:t>
      </w:r>
    </w:p>
    <w:p>
      <w:pPr>
        <w:spacing w:after="0" w:line="24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300" w:firstLine="348"/>
        <w:spacing w:after="0" w:line="317" w:lineRule="auto"/>
        <w:rPr>
          <w:sz w:val="20"/>
          <w:szCs w:val="20"/>
          <w:color w:val="auto"/>
        </w:rPr>
      </w:pPr>
      <w:r>
        <w:rPr>
          <w:rFonts w:ascii="Arial" w:cs="Arial" w:eastAsia="Arial" w:hAnsi="Arial"/>
          <w:sz w:val="15"/>
          <w:szCs w:val="15"/>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15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Accordingly, we encourage each prospective unitholder to consult the unitholder's own tax advisor in analyzing the federal, state, local and non-U.S.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consequences particular to that unitholder resulting from ownership or disposition of our units and potential changes in applicable tax laws.</w:t>
      </w:r>
    </w:p>
    <w:p>
      <w:pPr>
        <w:spacing w:after="0" w:line="24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No ruling has been or will be requested from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Internal Revenue Service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reasons described below, Vinson &amp; Elkins L.L.P. has not rendered an opinion with respect to the following federal income tax issues:</w:t>
      </w:r>
    </w:p>
    <w:p>
      <w:pPr>
        <w:spacing w:after="0" w:line="262" w:lineRule="exact"/>
        <w:rPr>
          <w:sz w:val="20"/>
          <w:szCs w:val="20"/>
          <w:color w:val="auto"/>
        </w:rPr>
      </w:pPr>
    </w:p>
    <w:p>
      <w:pPr>
        <w:ind w:left="1080" w:right="22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treatment of a unitholder whose units are the subject of a securities loan (e.g., a loan to a short seller to cover a short sale of units) (please read "—Tax Consequences of Unit Ownership—Treatment of Securities Loans");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8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 Disposition of Units—Allocations Between Transferors and Transferees");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our method for taking into account Section 743 adjustments is sustainable in certain cases (please read "—Tax Consequences of Unit Ownership—Section 754 Election" and "—Disposition of Units—Uniformity of Units");</w:t>
      </w:r>
    </w:p>
    <w:p>
      <w:pPr>
        <w:spacing w:after="0" w:line="199" w:lineRule="exact"/>
        <w:rPr>
          <w:rFonts w:ascii="Arial" w:cs="Arial" w:eastAsia="Arial" w:hAnsi="Arial"/>
          <w:sz w:val="18"/>
          <w:szCs w:val="18"/>
          <w:color w:val="auto"/>
        </w:rPr>
      </w:pPr>
    </w:p>
    <w:p>
      <w:pPr>
        <w:jc w:val="both"/>
        <w:ind w:left="1080" w:right="220" w:hanging="532"/>
        <w:spacing w:after="0" w:line="259"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our use of simplifying conventions for making adjustments to "book" basis and relevant allocations is permitted by existing Treasury Regulations (please read "—Tax Consequences of Unit Ownership—Allocation of Income, Gain, Loss and Deduction" and "—Uniformity of Units"); and</w:t>
      </w:r>
    </w:p>
    <w:p>
      <w:pPr>
        <w:spacing w:after="0" w:line="207"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our allocations of income, gain, loss and deduction will be given effect for federal income tax purposes (please read "—Tax Consequences of Unit Ownership—Allocation of Income, Gain, Loss and Deduction").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expect to be treated as a partnership for federal income tax purposes and, therefore, subject to the discussion below under "—Administrative Matters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"—Tax Consequences of Unit Ownership—Treatment of Distributions" and "—Disposition of Units".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78"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97" w:lineRule="exact"/>
        <w:rPr>
          <w:sz w:val="20"/>
          <w:szCs w:val="20"/>
          <w:color w:val="auto"/>
        </w:rPr>
      </w:pPr>
    </w:p>
    <w:p>
      <w:pPr>
        <w:ind w:left="540" w:firstLine="359"/>
        <w:spacing w:after="0" w:line="268" w:lineRule="auto"/>
        <w:tabs>
          <w:tab w:leader="none" w:pos="1217"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60" w:firstLine="359"/>
        <w:spacing w:after="0" w:line="331" w:lineRule="auto"/>
        <w:tabs>
          <w:tab w:leader="none" w:pos="1227"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40" w:lineRule="exact"/>
        <w:rPr>
          <w:rFonts w:ascii="Arial" w:cs="Arial" w:eastAsia="Arial" w:hAnsi="Arial"/>
          <w:sz w:val="16"/>
          <w:szCs w:val="16"/>
          <w:color w:val="auto"/>
        </w:rPr>
      </w:pPr>
    </w:p>
    <w:p>
      <w:pPr>
        <w:jc w:val="both"/>
        <w:ind w:left="540" w:right="20" w:firstLine="359"/>
        <w:spacing w:after="0" w:line="306" w:lineRule="auto"/>
        <w:tabs>
          <w:tab w:leader="none" w:pos="1217" w:val="left"/>
        </w:tabs>
        <w:numPr>
          <w:ilvl w:val="0"/>
          <w:numId w:val="70"/>
        </w:numPr>
        <w:rPr>
          <w:rFonts w:ascii="Arial" w:cs="Arial" w:eastAsia="Arial" w:hAnsi="Arial"/>
          <w:sz w:val="16"/>
          <w:szCs w:val="16"/>
          <w:color w:val="auto"/>
        </w:rPr>
      </w:pPr>
      <w:r>
        <w:rPr>
          <w:rFonts w:ascii="Arial" w:cs="Arial" w:eastAsia="Arial" w:hAnsi="Arial"/>
          <w:sz w:val="16"/>
          <w:szCs w:val="16"/>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201"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have proposed and considered substantive changes to the existing federal income tax laws that would affect publicly traded partnerships. One such legislative proposal would have eliminated the Qualifying Income Exception upon which we rely for our treatment as a partnership for federal income tax purposes.</w:t>
      </w:r>
    </w:p>
    <w:p>
      <w:pPr>
        <w:spacing w:after="0" w:line="16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addition, on January 24, 2017, final regulations regarding which activities give rise to qualifying income (the "Final Regulations") within the meaning of Section 7704 of the Code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60"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60"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partnership agreement provides that if a law is enacted or existing law is modified or interpreted in a manner that subjects us to taxation as a corporation or otherwise subjects us to entity-level taxation for federal, state or local income tax purposes, the minimum quarterly distribution amount and the target distribution amounts may be adjusted to reflect the impact of that law on us.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current or accumulated earnings and profits, then (ii) a nontaxable return of capital to the extent of the unitholder's adjusted tax basis in its units (determined separately for each unit), and thereafter (iii) taxable capital gain.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remainder of this discussion is based on the opinion of Vinson &amp; Elkins L.L.P. that we will be treated as a partnership for federal income tax purposes.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160"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169"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 Treatment of Securities Loans."</w:t>
      </w:r>
    </w:p>
    <w:p>
      <w:pPr>
        <w:spacing w:after="0" w:line="186" w:lineRule="exact"/>
        <w:rPr>
          <w:sz w:val="20"/>
          <w:szCs w:val="20"/>
          <w:color w:val="auto"/>
        </w:rPr>
      </w:pPr>
    </w:p>
    <w:p>
      <w:pPr>
        <w:ind w:right="740" w:firstLine="341"/>
        <w:spacing w:after="0" w:line="268" w:lineRule="auto"/>
        <w:rPr>
          <w:sz w:val="20"/>
          <w:szCs w:val="20"/>
          <w:color w:val="auto"/>
        </w:rPr>
      </w:pPr>
      <w:r>
        <w:rPr>
          <w:rFonts w:ascii="Arial" w:cs="Arial" w:eastAsia="Arial" w:hAnsi="Arial"/>
          <w:sz w:val="18"/>
          <w:szCs w:val="18"/>
          <w:color w:val="auto"/>
        </w:rPr>
        <w:t>A unitholder who is not treated as a partner in us as described above is urged to consult its own tax advisors with respect to the tax consequences applicable to such unitholder under its particular circumstances.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Subject to the discussion below under "—Entity-Level Collections of Unitholder Taxes" and "—Administrative Matters—Information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right="320" w:firstLine="341"/>
        <w:spacing w:after="0" w:line="285" w:lineRule="auto"/>
        <w:rPr>
          <w:sz w:val="20"/>
          <w:szCs w:val="20"/>
          <w:color w:val="auto"/>
        </w:rPr>
      </w:pPr>
      <w:r>
        <w:rPr>
          <w:rFonts w:ascii="Arial" w:cs="Arial" w:eastAsia="Arial" w:hAnsi="Arial"/>
          <w:sz w:val="16"/>
          <w:szCs w:val="16"/>
          <w:color w:val="auto"/>
        </w:rPr>
        <w:t>A unitholder's tax basis in its units initially will be the amount paid for those units increased by the unitholder's initial allocable share of our liabilities. That basis generally will be (i) increased by the unitholder's share of our income and any increases in such unitholder's share of our liabilities, and</w:t>
      </w:r>
    </w:p>
    <w:p>
      <w:pPr>
        <w:spacing w:after="0" w:line="1" w:lineRule="exact"/>
        <w:rPr>
          <w:sz w:val="20"/>
          <w:szCs w:val="20"/>
          <w:color w:val="auto"/>
        </w:rPr>
      </w:pPr>
    </w:p>
    <w:p>
      <w:pPr>
        <w:ind w:right="100" w:firstLine="8"/>
        <w:spacing w:after="0" w:line="302" w:lineRule="auto"/>
        <w:tabs>
          <w:tab w:leader="none" w:pos="258" w:val="left"/>
        </w:tabs>
        <w:numPr>
          <w:ilvl w:val="0"/>
          <w:numId w:val="71"/>
        </w:numPr>
        <w:rPr>
          <w:rFonts w:ascii="Arial" w:cs="Arial" w:eastAsia="Arial" w:hAnsi="Arial"/>
          <w:sz w:val="16"/>
          <w:szCs w:val="16"/>
          <w:color w:val="auto"/>
        </w:rPr>
      </w:pPr>
      <w:r>
        <w:rPr>
          <w:rFonts w:ascii="Arial" w:cs="Arial" w:eastAsia="Arial" w:hAnsi="Arial"/>
          <w:sz w:val="16"/>
          <w:szCs w:val="16"/>
          <w:color w:val="auto"/>
        </w:rPr>
        <w:t>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"—Disposition of Units."</w:t>
      </w:r>
    </w:p>
    <w:p>
      <w:pPr>
        <w:spacing w:after="0" w:line="194"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"—Disposition of Units."</w:t>
      </w:r>
    </w:p>
    <w:p>
      <w:pPr>
        <w:spacing w:after="0" w:line="169"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 (2) the unitholder's tax basis (typically zero) in the Section 751 Assets deemed to be relinquished in the exchange.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73"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201" w:lineRule="exact"/>
        <w:rPr>
          <w:sz w:val="20"/>
          <w:szCs w:val="20"/>
          <w:color w:val="auto"/>
        </w:rPr>
      </w:pPr>
    </w:p>
    <w:p>
      <w:pPr>
        <w:ind w:right="320" w:firstLine="351"/>
        <w:spacing w:after="0" w:line="331" w:lineRule="auto"/>
        <w:rPr>
          <w:sz w:val="20"/>
          <w:szCs w:val="20"/>
          <w:color w:val="auto"/>
        </w:rPr>
      </w:pPr>
      <w:r>
        <w:rPr>
          <w:rFonts w:ascii="Arial" w:cs="Arial" w:eastAsia="Arial" w:hAnsi="Arial"/>
          <w:sz w:val="16"/>
          <w:szCs w:val="16"/>
          <w:color w:val="auto"/>
        </w:rPr>
        <w:t>In addition to the basis and at risk limitations, a passive activity loss limitation limits the deductibility of losses incurred by individuals, estates, trusts, some closely-held corporations and personal service corporations from "passive activities" (such as, trade or business activities in which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74"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For taxpayers other than corporations in taxable years beginning after December 31, 2017,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right="180" w:firstLine="351"/>
        <w:spacing w:after="0" w:line="288" w:lineRule="auto"/>
        <w:rPr>
          <w:sz w:val="20"/>
          <w:szCs w:val="20"/>
          <w:color w:val="auto"/>
        </w:rPr>
      </w:pPr>
      <w:r>
        <w:rPr>
          <w:rFonts w:ascii="Arial" w:cs="Arial" w:eastAsia="Arial" w:hAnsi="Arial"/>
          <w:sz w:val="16"/>
          <w:szCs w:val="16"/>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73"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unitholder's basis in his or her units will generally be increased by the amount of any excess business interest upon a disposition of such units.</w:t>
      </w:r>
    </w:p>
    <w:p>
      <w:pPr>
        <w:spacing w:after="0" w:line="248"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154"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"—Administrative Matters—Information Returns and Audit Procedures." Each unitholder is urged to consult its tax advisor to determine the consequences to them of any tax payment we make on its behalf.</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above) to the unitholder who was allocated the deduction giving rise to that recapture income in order to minimize the recognition of ordinary income by other unitholders.</w:t>
      </w:r>
    </w:p>
    <w:p>
      <w:pPr>
        <w:spacing w:after="0" w:line="172" w:lineRule="exact"/>
        <w:rPr>
          <w:sz w:val="20"/>
          <w:szCs w:val="20"/>
          <w:color w:val="auto"/>
        </w:rPr>
      </w:pPr>
    </w:p>
    <w:p>
      <w:pPr>
        <w:ind w:right="180" w:firstLine="351"/>
        <w:spacing w:after="0" w:line="331" w:lineRule="auto"/>
        <w:rPr>
          <w:sz w:val="20"/>
          <w:szCs w:val="20"/>
          <w:color w:val="auto"/>
        </w:rPr>
      </w:pPr>
      <w:r>
        <w:rPr>
          <w:rFonts w:ascii="Arial" w:cs="Arial" w:eastAsia="Arial" w:hAnsi="Arial"/>
          <w:sz w:val="16"/>
          <w:szCs w:val="16"/>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adjustments and allocations, which may include the aggregation of certain issuances of units. Our counsel, Vinson &amp; Elkins, L.L.P., is unable to opine as to the validity of such conventions.</w:t>
      </w:r>
    </w:p>
    <w:p>
      <w:pPr>
        <w:spacing w:after="0" w:line="186"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jc w:val="both"/>
        <w:ind w:right="60" w:firstLine="341"/>
        <w:spacing w:after="0" w:line="254"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20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"—Disposition of Units—Recognition of Gain or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194"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w:t>
      </w:r>
    </w:p>
    <w:p>
      <w:pPr>
        <w:spacing w:after="0" w:line="2" w:lineRule="exact"/>
        <w:rPr>
          <w:sz w:val="20"/>
          <w:szCs w:val="20"/>
          <w:color w:val="auto"/>
        </w:rPr>
      </w:pPr>
    </w:p>
    <w:p>
      <w:pPr>
        <w:ind w:right="180" w:firstLine="8"/>
        <w:spacing w:after="0" w:line="260" w:lineRule="auto"/>
        <w:tabs>
          <w:tab w:leader="none" w:pos="2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undistributed net investment income, or (ii) the excess adjusted gross income over the dollar amount at which the highest income tax bracket applicable to an estate or trust begins.</w:t>
      </w:r>
    </w:p>
    <w:p>
      <w:pPr>
        <w:spacing w:after="0" w:line="193"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taxable years beginning after December 31, 2017 and ending on or before December 31, 2025, an individual unitholder is entitled to a deduction equal to 20% of his or her allocable share of our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"qualified business income." For purposes of this deduction, our "qualified business income" is equal to the sum of:</w:t>
      </w:r>
    </w:p>
    <w:p>
      <w:pPr>
        <w:spacing w:after="0" w:line="239" w:lineRule="exact"/>
        <w:rPr>
          <w:sz w:val="20"/>
          <w:szCs w:val="20"/>
          <w:color w:val="auto"/>
        </w:rPr>
      </w:pPr>
    </w:p>
    <w:p>
      <w:pPr>
        <w:ind w:left="1080" w:right="80" w:hanging="532"/>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net amount of our U.S. items of income, gain, deduction, and loss to the extent such items are included or allowed in the determination of taxable income for the year, </w:t>
      </w:r>
      <w:r>
        <w:rPr>
          <w:rFonts w:ascii="Arial" w:cs="Arial" w:eastAsia="Arial" w:hAnsi="Arial"/>
          <w:sz w:val="18"/>
          <w:szCs w:val="18"/>
          <w:i w:val="1"/>
          <w:iCs w:val="1"/>
          <w:color w:val="auto"/>
        </w:rPr>
        <w:t>excluding</w:t>
      </w:r>
      <w:r>
        <w:rPr>
          <w:rFonts w:ascii="Arial" w:cs="Arial" w:eastAsia="Arial" w:hAnsi="Arial"/>
          <w:sz w:val="18"/>
          <w:szCs w:val="18"/>
          <w:color w:val="auto"/>
        </w:rPr>
        <w:t>, however, certain specified types of passive investment income (such as capital gains and dividends) and certain payments made to the unitholder for services rendered to the Partnership; and</w:t>
      </w:r>
    </w:p>
    <w:p>
      <w:pPr>
        <w:spacing w:after="0" w:line="220"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 the tax basis in our assets as to all unitholders and (2) its Section 743(b) adjustment to that tax basis (which may be positive or negative).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certain limitations, a Section 743(b) adjustment may create additional depreciable basis that is eligible for bonus depreciation under</w:t>
      </w:r>
    </w:p>
    <w:p>
      <w:pPr>
        <w:spacing w:after="0" w:line="38"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63"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Under our partnership agreement, we are authorized to take a position to preserve the uniformity 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98"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20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calculations involved in the Section 754 election are complex and are made on the basis of assumptions as to the value of our assets and other matters. The IRS could seek to reallocate some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all of any Section 743(b) adjustment we allocated to our depreciable assets to goodwill or nondepreciable assets. Goodwill, as an intangible asset, is generally amortizable over a longer period of time or under a less accelerated method than certain of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"—Disposition of Units—Allocations Between Transferors and Transferees."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"—Disposition of Units—Recognition of Gain or Loss."</w:t>
      </w:r>
    </w:p>
    <w:p>
      <w:pPr>
        <w:spacing w:after="0" w:line="17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"—Disposition of Units—Recognition of Gain or Loss."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allowed a first-year bonus depreciation deduction equal to 100% of the adjusted basis of certain depreciable property acquired and placed in service after September 27, 2017 and before January 1, 2023.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Under a transition rule, we can also elect to apply a 50% bonus depreciation deduction instead of the 100% deduction for our first taxable year ending after September 27, 2017.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Each of Our Properties</w:t>
      </w:r>
    </w:p>
    <w:p>
      <w:pPr>
        <w:spacing w:after="0" w:line="225" w:lineRule="exact"/>
        <w:rPr>
          <w:sz w:val="20"/>
          <w:szCs w:val="20"/>
          <w:color w:val="auto"/>
        </w:rPr>
      </w:pPr>
    </w:p>
    <w:p>
      <w:pPr>
        <w:jc w:val="both"/>
        <w:ind w:right="20" w:firstLine="348"/>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right="280" w:firstLine="341"/>
        <w:spacing w:after="0" w:line="294" w:lineRule="auto"/>
        <w:rPr>
          <w:sz w:val="20"/>
          <w:szCs w:val="20"/>
          <w:color w:val="auto"/>
        </w:rPr>
      </w:pPr>
      <w:r>
        <w:rPr>
          <w:rFonts w:ascii="Arial" w:cs="Arial" w:eastAsia="Arial" w:hAnsi="Arial"/>
          <w:sz w:val="16"/>
          <w:szCs w:val="16"/>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16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sale or exchange of units purchased in separate transactions is urged to consult its tax advisor as to the possible consequences of this ruling and application of the Treasury Regulations.</w:t>
      </w:r>
    </w:p>
    <w:p>
      <w:pPr>
        <w:spacing w:after="0" w:line="186"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7"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"—Tax Consequences of Unit Ownership—Treatment of Securities Loans."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174" w:lineRule="exact"/>
        <w:rPr>
          <w:sz w:val="20"/>
          <w:szCs w:val="20"/>
          <w:color w:val="auto"/>
        </w:rPr>
      </w:pPr>
    </w:p>
    <w:p>
      <w:pPr>
        <w:jc w:val="both"/>
        <w:ind w:right="100" w:firstLine="341"/>
        <w:spacing w:after="0" w:line="306" w:lineRule="auto"/>
        <w:rPr>
          <w:sz w:val="20"/>
          <w:szCs w:val="20"/>
          <w:color w:val="auto"/>
        </w:rPr>
      </w:pPr>
      <w:r>
        <w:rPr>
          <w:rFonts w:ascii="Arial" w:cs="Arial" w:eastAsia="Arial" w:hAnsi="Arial"/>
          <w:sz w:val="16"/>
          <w:szCs w:val="16"/>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80" w:firstLine="341"/>
        <w:spacing w:after="0" w:line="254"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"—Tax Consequences of Unit Ownership— Section 754 Election."</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and "—Tax Consequences of Unit Ownership—Section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as described above at "—Tax Consequences of Unit Ownership—Allocation of Income, Gain, Loss and Deduction," if we aggregate multiple issuances of units for purposes of making adjustments to "book" basis and related tax allocations, to ensure the uniformity of our units, we will treat each of 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97"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Employee benefit plans and most other tax-exempt organizations, including IRAs and other retirement plans, are subject to federal income tax on unrelated business taxable income. Virtually 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of our income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w:t>
      </w:r>
    </w:p>
    <w:p>
      <w:pPr>
        <w:spacing w:after="0" w:line="169"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16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69"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17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and we are required to deduct and withhold from the transferee amounts that should have been withheld by the transferees but were not withheld. Because the "amount realized" includes a partner's share of the partnership's liabilities, 10% of the amount realized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could exceed the total cash purchase price for the units. For this and other reasons, the IRS has suspended the application of this withholding rule to open market transfers of interest in publicly traded partnerships, pending promulgation of regulations that address the amount to be withheld, the reporting necessary to determine such amount and the appropriate party to withhold such amounts, but it is not clear if or when such regulations will be issued.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20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69"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our then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These rules are not applicable for 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78"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Additionally, pursuant to the Bipartisan Budget Act of 2015, the Code will no longer require that we designate a Tax Matters Partner. Instead, for taxable years beginning after December 31, 2017, we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Withholding taxes may apply to certain types of payments made to "foreign financial institutions" (as specially defined in the Code) and certain other non-U.S. entities. Specifically, a 30% withholding tax may be imposed on interest, dividends and other fixed or determinable annual or periodic gains, profits and income from sources within the United States ("FDAP Income"), or gross proceeds from the sale or other disposition of any property of a type which can produce interest or dividends from sources within the United States ("Gross Proceeds")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80"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Generally, these rules apply to current payments of FDAP Income and will apply to payments of relevant Gross Proceeds made on or after January 1, 2019. Thus, to the extent we have FDAP Income or we have Gross Proceeds on or after January 1, 2019 that are not treated as effectively connected with a U.S. trade or business (please read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w:t>
      </w:r>
    </w:p>
    <w:p>
      <w:pPr>
        <w:spacing w:after="0" w:line="16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Each prospective unitholder should consult its own tax advisors regarding the potential application of these withholding provisions to its investment in our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38" w:lineRule="exact"/>
        <w:rPr>
          <w:rFonts w:ascii="Arial" w:cs="Arial" w:eastAsia="Arial" w:hAnsi="Arial"/>
          <w:sz w:val="18"/>
          <w:szCs w:val="18"/>
          <w:color w:val="auto"/>
        </w:rPr>
      </w:pPr>
    </w:p>
    <w:p>
      <w:pPr>
        <w:ind w:left="5540" w:right="440" w:hanging="4452"/>
        <w:spacing w:after="0" w:line="518" w:lineRule="auto"/>
        <w:tabs>
          <w:tab w:leader="none" w:pos="1632"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wholly-owned agency or instrumentality of either of the foregoing; or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 tax-exempt entity;</w:t>
      </w:r>
    </w:p>
    <w:p>
      <w:pPr>
        <w:spacing w:after="0" w:line="200" w:lineRule="exact"/>
        <w:rPr>
          <w:sz w:val="20"/>
          <w:szCs w:val="20"/>
          <w:color w:val="auto"/>
        </w:rPr>
      </w:pPr>
    </w:p>
    <w:p>
      <w:pPr>
        <w:spacing w:after="0" w:line="281"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jc w:val="both"/>
        <w:ind w:right="20" w:firstLine="351"/>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74"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Preferred Units</w:t>
      </w:r>
    </w:p>
    <w:p>
      <w:pPr>
        <w:spacing w:after="0" w:line="231" w:lineRule="exact"/>
        <w:rPr>
          <w:sz w:val="20"/>
          <w:szCs w:val="20"/>
          <w:color w:val="auto"/>
        </w:rPr>
      </w:pPr>
    </w:p>
    <w:p>
      <w:pPr>
        <w:ind w:right="120" w:firstLine="341"/>
        <w:spacing w:after="0" w:line="331" w:lineRule="auto"/>
        <w:rPr>
          <w:sz w:val="20"/>
          <w:szCs w:val="20"/>
          <w:color w:val="auto"/>
        </w:rPr>
      </w:pPr>
      <w:r>
        <w:rPr>
          <w:rFonts w:ascii="Arial" w:cs="Arial" w:eastAsia="Arial" w:hAnsi="Arial"/>
          <w:sz w:val="16"/>
          <w:szCs w:val="16"/>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86"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b w:val="1"/>
          <w:bCs w:val="1"/>
          <w:i w:val="1"/>
          <w:iCs w:val="1"/>
          <w:color w:val="auto"/>
        </w:rPr>
        <w:t>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 &amp; Elkins L.L.P. has not rendered an opinion on the state, local, alternative minimum tax or non-U.S. tax consequences of an investment in us.</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40"/>
          </w:cols>
          <w:pgMar w:left="320" w:top="131" w:right="5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98"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right="140" w:firstLine="348"/>
        <w:spacing w:after="0" w:line="331"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41"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75">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75">
        <w:r>
          <w:rPr>
            <w:rFonts w:ascii="Arial" w:cs="Arial" w:eastAsia="Arial" w:hAnsi="Arial"/>
            <w:sz w:val="18"/>
            <w:szCs w:val="18"/>
            <w:u w:val="single" w:color="auto"/>
            <w:color w:val="0000EE"/>
          </w:rPr>
          <w:t>December 31, 2017</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auditing and accounting.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60"/>
        <w:spacing w:after="0"/>
        <w:rPr>
          <w:sz w:val="20"/>
          <w:szCs w:val="20"/>
          <w:color w:val="auto"/>
        </w:rPr>
      </w:pPr>
      <w:r>
        <w:rPr>
          <w:rFonts w:ascii="Arial" w:cs="Arial" w:eastAsia="Arial" w:hAnsi="Arial"/>
          <w:sz w:val="24"/>
          <w:szCs w:val="24"/>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160020</wp:posOffset>
            </wp:positionV>
            <wp:extent cx="2237105" cy="6940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223710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3.800%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174625</wp:posOffset>
            </wp:positionV>
            <wp:extent cx="18688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PROSPECTUS SUPPLEMENT</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June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151765</wp:posOffset>
            </wp:positionV>
            <wp:extent cx="18688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J.P. Morgan</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Barclays</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BofA Securities</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RBC Capital Markets</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BBVA</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BMO Capital Markets</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CIBC Capital Markets</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PNC Capital Markets LLC</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SMBC Nikko</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SunTrust Robinson Humphrey</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TD Securities</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US Bancorp</w:t>
      </w:r>
    </w:p>
    <w:p>
      <w:pPr>
        <w:spacing w:after="0" w:line="244"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Co-Managers</w:t>
      </w:r>
    </w:p>
    <w:p>
      <w:pPr>
        <w:spacing w:after="0" w:line="205"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Fifth Third Securities</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ING</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Regions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346710</wp:posOffset>
            </wp:positionV>
            <wp:extent cx="71361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lvl w:ilvl="1">
      <w:lvlJc w:val="left"/>
      <w:lvlText w:val="•"/>
      <w:numFmt w:val="bullet"/>
      <w:start w:val="1"/>
    </w:lvl>
  </w:abstractNum>
  <w:abstractNum w:abstractNumId="15">
    <w:nsid w:val="38437FDB"/>
    <w:multiLevelType w:val="hybridMultilevel"/>
    <w:lvl w:ilvl="0">
      <w:lvlJc w:val="left"/>
      <w:lvlText w:val="•"/>
      <w:numFmt w:val="bullet"/>
      <w:start w:val="1"/>
    </w:lvl>
    <w:lvl w:ilvl="1">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1)"/>
      <w:numFmt w:val="decimal"/>
      <w:start w:val="1"/>
    </w:lvl>
    <w:lvl w:ilvl="1">
      <w:lvlJc w:val="left"/>
      <w:lvlText w:val="(%2)"/>
      <w:numFmt w:val="lowerLetter"/>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1)"/>
      <w:numFmt w:val="decimal"/>
      <w:start w:val="6"/>
    </w:lvl>
  </w:abstractNum>
  <w:abstractNum w:abstractNumId="27">
    <w:nsid w:val="520EEDD1"/>
    <w:multiLevelType w:val="hybridMultilevel"/>
    <w:lvl w:ilvl="0">
      <w:lvlJc w:val="left"/>
      <w:lvlText w:val="(%1)"/>
      <w:numFmt w:val="decimal"/>
      <w:start w:val="18"/>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lowerLetter"/>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1)"/>
      <w:numFmt w:val="lowerLetter"/>
      <w:start w:val="1"/>
    </w:lvl>
    <w:lvl w:ilvl="1">
      <w:lvlJc w:val="left"/>
      <w:lvlText w:val="(%2)"/>
      <w:numFmt w:val="decimal"/>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1)"/>
      <w:numFmt w:val="lowerRoman"/>
      <w:start w:val="2"/>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lowerLetter"/>
      <w:start w:val="2"/>
    </w:lvl>
  </w:abstractNum>
  <w:abstractNum w:abstractNumId="70">
    <w:nsid w:val="7BD3EE7B"/>
    <w:multiLevelType w:val="hybridMultilevel"/>
    <w:lvl w:ilvl="0">
      <w:lvlJc w:val="left"/>
      <w:lvlText w:val="(%1)"/>
      <w:numFmt w:val="lowerRoman"/>
      <w:start w:val="2"/>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1)"/>
      <w:numFmt w:val="lowerRoman"/>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
      <w:numFmt w:val="bullet"/>
      <w:start w:val="1"/>
    </w:lvl>
    <w:lvl w:ilvl="1">
      <w:lvlJc w:val="left"/>
      <w:lvlText w:val="•"/>
      <w:numFmt w:val="bullet"/>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jpe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21" Type="http://schemas.openxmlformats.org/officeDocument/2006/relationships/hyperlink" Target="http://www.sec.gov/Archives/edgar/data/1070423/000107042320000004/paa-20191231.htm" TargetMode="External"/><Relationship Id="rId22" Type="http://schemas.openxmlformats.org/officeDocument/2006/relationships/hyperlink" Target="http://www.sec.gov/Archives/edgar/data/1070423/000107042320000015/paa-20200331.htm" TargetMode="External"/><Relationship Id="rId69" Type="http://schemas.openxmlformats.org/officeDocument/2006/relationships/hyperlink" Target="http://www.sec.gov/Archives/edgar/data/1070423/000110465920046527/tm202088-1_def14a.htm" TargetMode="External"/><Relationship Id="rId70" Type="http://schemas.openxmlformats.org/officeDocument/2006/relationships/hyperlink" Target="http://www.sec.gov/Archives/edgar/data/1070423/000110465920002341/tm201583-1_8k.htm" TargetMode="External"/><Relationship Id="rId71" Type="http://schemas.openxmlformats.org/officeDocument/2006/relationships/hyperlink" Target="http://www.sec.gov/Archives/edgar/data/1070423/000110465920066409/tm2020952-1_8k.htm" TargetMode="External"/><Relationship Id="rId75" Type="http://schemas.openxmlformats.org/officeDocument/2006/relationships/hyperlink" Target="http://www.sec.gov/Archives/edgar/data/1070423/000107042318000006/paa201710-k.htm" TargetMode="External"/><Relationship Id="rId76" Type="http://schemas.openxmlformats.org/officeDocument/2006/relationships/hyperlink" Target="http://www.sec.gov/Archives/edgar/data/1070423/000107042318000009/paaq1201810-q.htm" TargetMode="External"/><Relationship Id="rId77" Type="http://schemas.openxmlformats.org/officeDocument/2006/relationships/hyperlink" Target="http://www.sec.gov/Archives/edgar/data/1070423/000107042318000012/paaq2201810-q.htm" TargetMode="External"/><Relationship Id="rId78" Type="http://schemas.openxmlformats.org/officeDocument/2006/relationships/hyperlink" Target="http://www.sec.gov/Archives/edgar/data/1070423/000110465918001290/a18-2368_18k.htm" TargetMode="External"/><Relationship Id="rId79" Type="http://schemas.openxmlformats.org/officeDocument/2006/relationships/hyperlink" Target="http://www.sec.gov/Archives/edgar/data/1070423/000110465918020144/a18-8931_18k.htm" TargetMode="External"/><Relationship Id="rId80" Type="http://schemas.openxmlformats.org/officeDocument/2006/relationships/hyperlink" Target="http://www.sec.gov/Archives/edgar/data/1070423/000110465918034102/a18-13743_18k.htm" TargetMode="External"/><Relationship Id="rId81" Type="http://schemas.openxmlformats.org/officeDocument/2006/relationships/hyperlink" Target="http://www.sec.gov/Archives/edgar/data/1070423/000110465918052848/a18-18381_38k.htm" TargetMode="External"/><Relationship Id="rId82" Type="http://schemas.openxmlformats.org/officeDocument/2006/relationships/hyperlink" Target="http://www.sec.gov/Archives/edgar/data/1070423/000110465918053057/a18-21030_18k.htm" TargetMode="External"/><Relationship Id="rId83" Type="http://schemas.openxmlformats.org/officeDocument/2006/relationships/hyperlink" Target="http://www.sec.gov/Archives/edgar/data/1070423/000110465916157335/a16-21667_38a12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2020-06-09T16:30:25Z</dcterms:created>
  <dcterms:modified xsi:type="dcterms:W3CDTF">2020-06-09T16:30:25Z</dcterms:modified>
</cp:coreProperties>
</file>