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spacing w:before="0" w:after="0"/>
        <w:ind w:left="0" w:right="0" w:hanging="0"/>
        <w:rPr>
          <w:bdr w:val="single" w:sz="24" w:space="1" w:color="000000"/>
        </w:rPr>
      </w:pPr>
      <w:bookmarkStart w:id="0" w:name="a18-41047_18k.htm"/>
      <w:bookmarkStart w:id="1" w:name="ksa1841047_18k"/>
      <w:bookmarkEnd w:id="0"/>
      <w:bookmarkEnd w:id="1"/>
      <w:r>
        <w:rPr>
          <w:bdr w:val="single" w:sz="24"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UNITED STATES</w:t>
      </w:r>
    </w:p>
    <w:p>
      <w:pPr>
        <w:pStyle w:val="TextBody"/>
        <w:spacing w:before="0" w:after="0"/>
        <w:ind w:left="0" w:right="0" w:hanging="0"/>
        <w:jc w:val="center"/>
        <w:rPr>
          <w:rFonts w:ascii="Times New Roman" w:hAnsi="Times New Roman"/>
          <w:b/>
          <w:sz w:val="30"/>
        </w:rPr>
      </w:pPr>
      <w:r>
        <w:rPr>
          <w:rFonts w:ascii="Times New Roman" w:hAnsi="Times New Roman"/>
          <w:b/>
          <w:sz w:val="30"/>
        </w:rPr>
        <w:t>SECURITIES AND EXCHANGE COMMISSION</w:t>
      </w:r>
    </w:p>
    <w:p>
      <w:pPr>
        <w:pStyle w:val="TextBody"/>
        <w:spacing w:before="0" w:after="0"/>
        <w:ind w:left="0" w:right="0" w:hanging="0"/>
        <w:jc w:val="center"/>
        <w:rPr>
          <w:rFonts w:ascii="Times New Roman" w:hAnsi="Times New Roman"/>
          <w:b/>
          <w:sz w:val="17"/>
        </w:rPr>
      </w:pPr>
      <w:r>
        <w:rPr>
          <w:rFonts w:ascii="Times New Roman" w:hAnsi="Times New Roman"/>
          <w:b/>
          <w:sz w:val="17"/>
        </w:rPr>
        <w:t>Washington, D.C. 20549</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FORM 8-K</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Date of Report (Date of earliest event reported) </w:t>
      </w:r>
      <w:r>
        <w:rPr>
          <w:rFonts w:ascii="Times New Roman" w:hAnsi="Times New Roman"/>
          <w:b/>
          <w:sz w:val="17"/>
        </w:rPr>
        <w:t> December 4, 2018</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Plains GP Holdings, L.P.</w:t>
      </w:r>
    </w:p>
    <w:p>
      <w:pPr>
        <w:pStyle w:val="TextBody"/>
        <w:spacing w:before="0" w:after="0"/>
        <w:ind w:left="0" w:right="0" w:hanging="0"/>
        <w:jc w:val="center"/>
        <w:rPr>
          <w:rFonts w:ascii="Times New Roman" w:hAnsi="Times New Roman"/>
          <w:sz w:val="17"/>
        </w:rPr>
      </w:pPr>
      <w:r>
        <w:rPr>
          <w:rFonts w:ascii="Times New Roman" w:hAnsi="Times New Roman"/>
          <w:sz w:val="17"/>
        </w:rPr>
        <w:t>(Exact name of registrant as specified in its charter)</w:t>
      </w:r>
    </w:p>
    <w:p>
      <w:pPr>
        <w:pStyle w:val="TextBody"/>
        <w:spacing w:before="0" w:after="0"/>
        <w:ind w:left="0" w:right="0" w:hanging="0"/>
        <w:rPr/>
      </w:pPr>
      <w:r>
        <w:rPr/>
        <w:t> </w:t>
      </w:r>
    </w:p>
    <w:tbl>
      <w:tblPr>
        <w:tblW w:w="5000" w:type="pct"/>
        <w:jc w:val="center"/>
        <w:tblInd w:w="0" w:type="dxa"/>
        <w:tblCellMar>
          <w:top w:w="0" w:type="dxa"/>
          <w:left w:w="0" w:type="dxa"/>
          <w:bottom w:w="0" w:type="dxa"/>
          <w:right w:w="0" w:type="dxa"/>
        </w:tblCellMar>
      </w:tblPr>
      <w:tblGrid>
        <w:gridCol w:w="3266"/>
        <w:gridCol w:w="203"/>
        <w:gridCol w:w="3266"/>
        <w:gridCol w:w="203"/>
        <w:gridCol w:w="3267"/>
      </w:tblGrid>
      <w:tr>
        <w:trPr/>
        <w:tc>
          <w:tcPr>
            <w:tcW w:w="3266" w:type="dxa"/>
            <w:tcBorders/>
            <w:shd w:fill="auto" w:val="clear"/>
          </w:tcPr>
          <w:p>
            <w:pPr>
              <w:pStyle w:val="TableContents"/>
              <w:spacing w:before="0" w:after="0"/>
              <w:ind w:left="0" w:right="0" w:hanging="0"/>
              <w:jc w:val="center"/>
              <w:rPr>
                <w:sz w:val="17"/>
              </w:rPr>
            </w:pPr>
            <w:r>
              <w:rPr>
                <w:rFonts w:ascii="Times New Roman" w:hAnsi="Times New Roman"/>
                <w:b/>
                <w:sz w:val="17"/>
              </w:rPr>
              <w:t>DELAWARE</w:t>
            </w:r>
            <w:r>
              <w:rPr>
                <w:sz w:val="17"/>
              </w:rPr>
              <w:br/>
              <w:t>(State or other jurisdiction of</w:t>
              <w:br/>
              <w:t>incorporation)</w:t>
            </w:r>
          </w:p>
        </w:tc>
        <w:tc>
          <w:tcPr>
            <w:tcW w:w="203" w:type="dxa"/>
            <w:tcBorders/>
            <w:shd w:fill="auto" w:val="clear"/>
            <w:vAlign w:val="bottom"/>
          </w:tcPr>
          <w:p>
            <w:pPr>
              <w:pStyle w:val="TableContents"/>
              <w:spacing w:before="0" w:after="0"/>
              <w:ind w:left="0" w:right="0" w:hanging="0"/>
              <w:rPr/>
            </w:pPr>
            <w:r>
              <w:rPr/>
              <w:t> </w:t>
            </w:r>
          </w:p>
        </w:tc>
        <w:tc>
          <w:tcPr>
            <w:tcW w:w="3266" w:type="dxa"/>
            <w:tcBorders/>
            <w:shd w:fill="auto" w:val="clear"/>
          </w:tcPr>
          <w:p>
            <w:pPr>
              <w:pStyle w:val="TableContents"/>
              <w:spacing w:before="0" w:after="0"/>
              <w:ind w:left="0" w:right="0" w:hanging="0"/>
              <w:jc w:val="center"/>
              <w:rPr>
                <w:sz w:val="17"/>
              </w:rPr>
            </w:pPr>
            <w:r>
              <w:rPr>
                <w:rFonts w:ascii="Times New Roman" w:hAnsi="Times New Roman"/>
                <w:b/>
                <w:sz w:val="17"/>
              </w:rPr>
              <w:t>1-36132</w:t>
            </w:r>
            <w:r>
              <w:rPr>
                <w:sz w:val="17"/>
              </w:rPr>
              <w:br/>
              <w:t>(Commission File Number)</w:t>
            </w:r>
          </w:p>
        </w:tc>
        <w:tc>
          <w:tcPr>
            <w:tcW w:w="203" w:type="dxa"/>
            <w:tcBorders/>
            <w:shd w:fill="auto" w:val="clear"/>
            <w:vAlign w:val="bottom"/>
          </w:tcPr>
          <w:p>
            <w:pPr>
              <w:pStyle w:val="TableContents"/>
              <w:spacing w:before="0" w:after="0"/>
              <w:ind w:left="0" w:right="0" w:hanging="0"/>
              <w:rPr/>
            </w:pPr>
            <w:r>
              <w:rPr/>
              <w:t> </w:t>
            </w:r>
          </w:p>
        </w:tc>
        <w:tc>
          <w:tcPr>
            <w:tcW w:w="3267" w:type="dxa"/>
            <w:tcBorders/>
            <w:shd w:fill="auto" w:val="clear"/>
          </w:tcPr>
          <w:p>
            <w:pPr>
              <w:pStyle w:val="TableContents"/>
              <w:spacing w:before="0" w:after="0"/>
              <w:ind w:left="0" w:right="0" w:hanging="0"/>
              <w:jc w:val="center"/>
              <w:rPr>
                <w:sz w:val="17"/>
              </w:rPr>
            </w:pPr>
            <w:r>
              <w:rPr>
                <w:rFonts w:ascii="Times New Roman" w:hAnsi="Times New Roman"/>
                <w:b/>
                <w:sz w:val="17"/>
              </w:rPr>
              <w:t>90-1005472</w:t>
            </w:r>
            <w:r>
              <w:rPr>
                <w:sz w:val="17"/>
              </w:rPr>
              <w:br/>
              <w:t>(IRS Employer Identification No.)</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b/>
          <w:sz w:val="17"/>
        </w:rPr>
        <w:t>333 Clay Street, Suite 1600, Houston, Texas 77002</w:t>
      </w:r>
      <w:r>
        <w:rPr>
          <w:rFonts w:ascii="Times New Roman" w:hAnsi="Times New Roman"/>
          <w:sz w:val="17"/>
        </w:rPr>
        <w:br/>
        <w:t>(Address of principal executive offices) (Zip Code)</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713-646-4100</w:t>
      </w:r>
    </w:p>
    <w:p>
      <w:pPr>
        <w:pStyle w:val="TextBody"/>
        <w:spacing w:before="0" w:after="0"/>
        <w:ind w:left="0" w:right="0" w:hanging="0"/>
        <w:jc w:val="center"/>
        <w:rPr>
          <w:rFonts w:ascii="Times New Roman" w:hAnsi="Times New Roman"/>
          <w:sz w:val="17"/>
        </w:rPr>
      </w:pPr>
      <w:r>
        <w:rPr>
          <w:rFonts w:ascii="Times New Roman" w:hAnsi="Times New Roman"/>
          <w:sz w:val="17"/>
        </w:rPr>
        <w:t>(Registrants telephone number, including area code)</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(Former name or former address, if changed since last report.)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Check the appropriate box below if the Form 8-K filing is intended to simultaneously satisfy the filing obligation of the registrant under any of the following provisions: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Wingdings" w:hAnsi="Wingdings"/>
          <w:sz w:val="17"/>
        </w:rPr>
        <w:t>o</w:t>
      </w:r>
      <w:r>
        <w:rPr>
          <w:rFonts w:ascii="Times New Roman" w:hAnsi="Times New Roman"/>
          <w:sz w:val="17"/>
        </w:rPr>
        <w:t>            Written communications pursuant to Rule 425 under the Securities Act (17 CFR 230.425)</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Wingdings" w:hAnsi="Wingdings"/>
          <w:sz w:val="17"/>
        </w:rPr>
        <w:t>o</w:t>
      </w:r>
      <w:r>
        <w:rPr>
          <w:rFonts w:ascii="Times New Roman" w:hAnsi="Times New Roman"/>
          <w:sz w:val="17"/>
        </w:rPr>
        <w:t>            Soliciting material pursuant to Rule 14a-12 under the Exchange Act (17 CFR 240.14a-12)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Wingdings" w:hAnsi="Wingdings"/>
          <w:sz w:val="17"/>
        </w:rPr>
        <w:t>o</w:t>
      </w:r>
      <w:r>
        <w:rPr>
          <w:rFonts w:ascii="Times New Roman" w:hAnsi="Times New Roman"/>
          <w:sz w:val="17"/>
        </w:rPr>
        <w:t>            Pre-commencement communications pursuant to Rule 14d-2(b) under the Exchange Act (17 CFR 240.14d-2(b))</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Wingdings" w:hAnsi="Wingdings"/>
          <w:sz w:val="17"/>
        </w:rPr>
        <w:t>o</w:t>
      </w:r>
      <w:r>
        <w:rPr>
          <w:rFonts w:ascii="Times New Roman" w:hAnsi="Times New Roman"/>
          <w:sz w:val="17"/>
        </w:rPr>
        <w:t>            Pre-commencement communications pursuant to Rule 13e-4(c) under the Exchange Act (17 CFR 240.13e-4(c))</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Emerging growth company  </w:t>
      </w:r>
      <w:r>
        <w:rPr>
          <w:rFonts w:ascii="Wingdings" w:hAnsi="Wingdings"/>
          <w:sz w:val="17"/>
        </w:rPr>
        <w:t>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hAnsi="Wingdings"/>
          <w:sz w:val="17"/>
        </w:rPr>
        <w:t>o</w:t>
      </w:r>
    </w:p>
    <w:p>
      <w:pPr>
        <w:pStyle w:val="TextBody"/>
        <w:spacing w:before="0" w:after="0"/>
        <w:ind w:left="0" w:right="0" w:hanging="0"/>
        <w:rPr/>
      </w:pPr>
      <w:r>
        <w:rPr/>
        <w:t> </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HorizontalLine"/>
        <w:pBdr>
          <w:bottom w:val="single" w:sz="18" w:space="0" w:color="808080"/>
        </w:pBdr>
        <w:spacing w:before="0" w:after="0"/>
        <w:rPr/>
      </w:pPr>
      <w:r>
        <w:rPr/>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b/>
          <w:sz w:val="17"/>
        </w:rPr>
        <w:t>Item 7.01.</w:t>
      </w:r>
      <w:r>
        <w:rPr>
          <w:rFonts w:ascii="Times New Roman" w:hAnsi="Times New Roman"/>
          <w:sz w:val="17"/>
        </w:rPr>
        <w:t xml:space="preserve">             </w:t>
      </w:r>
      <w:r>
        <w:rPr>
          <w:rFonts w:ascii="Times New Roman" w:hAnsi="Times New Roman"/>
          <w:b/>
          <w:sz w:val="17"/>
        </w:rPr>
        <w:t>Regulation FD Disclosure.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Representatives from Plains All American Pipeline, L.P. (PAA) and Plains GP Holdings, L.P. (PAGP) intend to make a presentation and meet with members of the financial community at the Wells Fargo 17</w:t>
      </w:r>
      <w:r>
        <w:rPr>
          <w:rFonts w:ascii="Times New Roman" w:hAnsi="Times New Roman"/>
          <w:sz w:val="11"/>
        </w:rPr>
        <w:t>th</w:t>
      </w:r>
      <w:r>
        <w:rPr>
          <w:rFonts w:ascii="Times New Roman" w:hAnsi="Times New Roman"/>
          <w:sz w:val="17"/>
        </w:rPr>
        <w:t> Annual Midstream and Utility Symposium to be held in New York, New York from December 5-6, 2018.  The presentation, which will take place at 10:50 a.m. Eastern Time on Wednesday, December 5, 2018, will cover an industry overview, PAAs commercial and operational activities, forward growth outlook, financial positioning and other related matters.  The presentation materials will be made available for viewing on Wednesday, December 5, 2018, at www.plainsallamerican.com under the News &amp; Events  Investor Presentations portion of the Investor Relations section of the website. The presentation will be webcast live beginning at 10:50 a.m. Eastern Time on Wednesday, December 5, 2018, and will be available for a period of 180 days following the event at the following web link: https://cc.talkpoint.com/well001/120518a_as/?entity=5_J0U6MGT.  Neither PAA nor PAGP undertake to update the information as posted on their websites; however, they may post additional information included in future press releases, Forms 8-K, and periodic Exchange Act reports.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2" w:name="PB_2_235438_9474"/>
      <w:bookmarkEnd w:id="2"/>
    </w:p>
    <w:p>
      <w:pPr>
        <w:pStyle w:val="HorizontalLine"/>
        <w:pBdr>
          <w:bottom w:val="single" w:sz="18" w:space="0" w:color="808080"/>
        </w:pBdr>
        <w:spacing w:before="0" w:after="0"/>
        <w:rPr/>
      </w:pPr>
      <w:r>
        <w:rPr/>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pPr>
      <w:r>
        <w:rPr/>
        <w:t>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052"/>
        <w:gridCol w:w="513"/>
        <w:gridCol w:w="4640"/>
      </w:tblGrid>
      <w:tr>
        <w:trPr/>
        <w:tc>
          <w:tcPr>
            <w:tcW w:w="5052" w:type="dxa"/>
            <w:tcBorders/>
            <w:shd w:fill="auto" w:val="clear"/>
          </w:tcPr>
          <w:p>
            <w:pPr>
              <w:pStyle w:val="TableContents"/>
              <w:spacing w:before="0" w:after="0"/>
              <w:ind w:left="0" w:right="0" w:hanging="0"/>
              <w:rPr/>
            </w:pPr>
            <w:r>
              <w:rPr/>
              <w:t> </w:t>
            </w:r>
          </w:p>
        </w:tc>
        <w:tc>
          <w:tcPr>
            <w:tcW w:w="5153"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GP HOLDINGS, L.P.</w:t>
            </w:r>
          </w:p>
        </w:tc>
      </w:tr>
      <w:tr>
        <w:trPr/>
        <w:tc>
          <w:tcPr>
            <w:tcW w:w="5052" w:type="dxa"/>
            <w:tcBorders/>
            <w:shd w:fill="auto" w:val="clear"/>
          </w:tcPr>
          <w:p>
            <w:pPr>
              <w:pStyle w:val="TableContents"/>
              <w:spacing w:before="0" w:after="0"/>
              <w:ind w:left="0" w:right="0" w:hanging="0"/>
              <w:rPr/>
            </w:pPr>
            <w:r>
              <w:rPr/>
              <w:t> </w:t>
            </w:r>
          </w:p>
        </w:tc>
        <w:tc>
          <w:tcPr>
            <w:tcW w:w="5153" w:type="dxa"/>
            <w:gridSpan w:val="2"/>
            <w:tcBorders/>
            <w:shd w:fill="auto" w:val="clear"/>
          </w:tcPr>
          <w:p>
            <w:pPr>
              <w:pStyle w:val="TableContents"/>
              <w:spacing w:before="0" w:after="0"/>
              <w:ind w:left="0" w:right="0" w:hanging="0"/>
              <w:rPr/>
            </w:pPr>
            <w:r>
              <w:rPr/>
              <w:t> </w:t>
            </w:r>
          </w:p>
        </w:tc>
      </w:tr>
      <w:tr>
        <w:trPr/>
        <w:tc>
          <w:tcPr>
            <w:tcW w:w="50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December 4, 2018</w:t>
            </w:r>
          </w:p>
        </w:tc>
        <w:tc>
          <w:tcPr>
            <w:tcW w:w="51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GP Holdings LLC, its general partner</w:t>
            </w:r>
          </w:p>
        </w:tc>
      </w:tr>
      <w:tr>
        <w:trPr/>
        <w:tc>
          <w:tcPr>
            <w:tcW w:w="5052" w:type="dxa"/>
            <w:tcBorders/>
            <w:shd w:fill="auto" w:val="clear"/>
          </w:tcPr>
          <w:p>
            <w:pPr>
              <w:pStyle w:val="TableContents"/>
              <w:spacing w:before="0" w:after="0"/>
              <w:ind w:left="0" w:right="0" w:hanging="0"/>
              <w:rPr/>
            </w:pPr>
            <w:r>
              <w:rPr/>
              <w:t> </w:t>
            </w:r>
          </w:p>
        </w:tc>
        <w:tc>
          <w:tcPr>
            <w:tcW w:w="513" w:type="dxa"/>
            <w:tcBorders/>
            <w:shd w:fill="auto" w:val="clear"/>
          </w:tcPr>
          <w:p>
            <w:pPr>
              <w:pStyle w:val="TableContents"/>
              <w:spacing w:before="0" w:after="0"/>
              <w:ind w:left="0" w:right="0" w:hanging="0"/>
              <w:rPr/>
            </w:pPr>
            <w:r>
              <w:rPr/>
              <w:t> </w:t>
            </w:r>
          </w:p>
        </w:tc>
        <w:tc>
          <w:tcPr>
            <w:tcW w:w="4640" w:type="dxa"/>
            <w:tcBorders/>
            <w:shd w:fill="auto" w:val="clear"/>
          </w:tcPr>
          <w:p>
            <w:pPr>
              <w:pStyle w:val="TableContents"/>
              <w:spacing w:before="0" w:after="0"/>
              <w:ind w:left="0" w:right="0" w:hanging="0"/>
              <w:rPr/>
            </w:pPr>
            <w:r>
              <w:rPr/>
              <w:t> </w:t>
            </w:r>
          </w:p>
        </w:tc>
      </w:tr>
      <w:tr>
        <w:trPr/>
        <w:tc>
          <w:tcPr>
            <w:tcW w:w="5052" w:type="dxa"/>
            <w:tcBorders/>
            <w:shd w:fill="auto" w:val="clear"/>
          </w:tcPr>
          <w:p>
            <w:pPr>
              <w:pStyle w:val="TableContents"/>
              <w:spacing w:before="0" w:after="0"/>
              <w:ind w:left="0" w:right="0" w:hanging="0"/>
              <w:rPr/>
            </w:pPr>
            <w:r>
              <w:rPr/>
              <w:t> </w:t>
            </w:r>
          </w:p>
        </w:tc>
        <w:tc>
          <w:tcPr>
            <w:tcW w:w="513" w:type="dxa"/>
            <w:tcBorders/>
            <w:shd w:fill="auto" w:val="clear"/>
          </w:tcPr>
          <w:p>
            <w:pPr>
              <w:pStyle w:val="TableContents"/>
              <w:spacing w:before="0" w:after="0"/>
              <w:ind w:left="0" w:right="0" w:hanging="0"/>
              <w:rPr/>
            </w:pPr>
            <w:r>
              <w:rPr/>
              <w:t> </w:t>
            </w:r>
          </w:p>
        </w:tc>
        <w:tc>
          <w:tcPr>
            <w:tcW w:w="4640" w:type="dxa"/>
            <w:tcBorders/>
            <w:shd w:fill="auto" w:val="clear"/>
          </w:tcPr>
          <w:p>
            <w:pPr>
              <w:pStyle w:val="TableContents"/>
              <w:spacing w:before="0" w:after="0"/>
              <w:ind w:left="0" w:right="0" w:hanging="0"/>
              <w:rPr/>
            </w:pPr>
            <w:r>
              <w:rPr/>
              <w:t> </w:t>
            </w:r>
          </w:p>
        </w:tc>
      </w:tr>
      <w:tr>
        <w:trPr/>
        <w:tc>
          <w:tcPr>
            <w:tcW w:w="5052" w:type="dxa"/>
            <w:tcBorders/>
            <w:shd w:fill="auto" w:val="clear"/>
          </w:tcPr>
          <w:p>
            <w:pPr>
              <w:pStyle w:val="TableContents"/>
              <w:spacing w:before="0" w:after="0"/>
              <w:ind w:left="0" w:right="0" w:hanging="0"/>
              <w:rPr/>
            </w:pPr>
            <w:r>
              <w:rPr/>
              <w:t> </w:t>
            </w:r>
          </w:p>
        </w:tc>
        <w:tc>
          <w:tcPr>
            <w:tcW w:w="51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40"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Richard McGee</w:t>
            </w:r>
          </w:p>
        </w:tc>
      </w:tr>
      <w:tr>
        <w:trPr/>
        <w:tc>
          <w:tcPr>
            <w:tcW w:w="5052" w:type="dxa"/>
            <w:tcBorders/>
            <w:shd w:fill="auto" w:val="clear"/>
          </w:tcPr>
          <w:p>
            <w:pPr>
              <w:pStyle w:val="TableContents"/>
              <w:spacing w:before="0" w:after="0"/>
              <w:ind w:left="0" w:right="0" w:hanging="0"/>
              <w:rPr/>
            </w:pPr>
            <w:r>
              <w:rPr/>
              <w:t> </w:t>
            </w:r>
          </w:p>
        </w:tc>
        <w:tc>
          <w:tcPr>
            <w:tcW w:w="513" w:type="dxa"/>
            <w:tcBorders/>
            <w:shd w:fill="auto" w:val="clear"/>
          </w:tcPr>
          <w:p>
            <w:pPr>
              <w:pStyle w:val="TableContents"/>
              <w:spacing w:before="0" w:after="0"/>
              <w:ind w:left="0" w:right="0" w:hanging="0"/>
              <w:rPr/>
            </w:pPr>
            <w:r>
              <w:rPr/>
              <w:t> </w:t>
            </w:r>
          </w:p>
        </w:tc>
        <w:tc>
          <w:tcPr>
            <w:tcW w:w="46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 Richard McGee</w:t>
            </w:r>
          </w:p>
        </w:tc>
      </w:tr>
      <w:tr>
        <w:trPr/>
        <w:tc>
          <w:tcPr>
            <w:tcW w:w="5052" w:type="dxa"/>
            <w:tcBorders/>
            <w:shd w:fill="auto" w:val="clear"/>
          </w:tcPr>
          <w:p>
            <w:pPr>
              <w:pStyle w:val="TableContents"/>
              <w:spacing w:before="0" w:after="0"/>
              <w:ind w:left="0" w:right="0" w:hanging="0"/>
              <w:rPr/>
            </w:pPr>
            <w:r>
              <w:rPr/>
              <w:t> </w:t>
            </w:r>
          </w:p>
        </w:tc>
        <w:tc>
          <w:tcPr>
            <w:tcW w:w="513" w:type="dxa"/>
            <w:tcBorders/>
            <w:shd w:fill="auto" w:val="clear"/>
          </w:tcPr>
          <w:p>
            <w:pPr>
              <w:pStyle w:val="TableContents"/>
              <w:spacing w:before="0" w:after="0"/>
              <w:ind w:left="0" w:right="0" w:hanging="0"/>
              <w:rPr/>
            </w:pPr>
            <w:r>
              <w:rPr/>
              <w:t> </w:t>
            </w:r>
          </w:p>
        </w:tc>
        <w:tc>
          <w:tcPr>
            <w:tcW w:w="46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   Executive Vice President</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3" w:name="PB_3_235549_7608"/>
      <w:bookmarkEnd w:id="3"/>
    </w:p>
    <w:p>
      <w:pPr>
        <w:pStyle w:val="HorizontalLine"/>
        <w:pBdr>
          <w:bottom w:val="single" w:sz="18" w:space="0" w:color="808080"/>
        </w:pBdr>
        <w:spacing w:before="0" w:after="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602</Words>
  <CharactersWithSpaces>3892</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