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edgar.xml.htm"/>
      <w:bookmarkStart w:id="1" w:name="ksedgar"/>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ARMSTRONG GREG L</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 1600</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PLAINS GP HOLDINGS LP</w:t>
              </w:r>
            </w:hyperlink>
            <w:r>
              <w:rPr/>
              <w:t xml:space="preserve"> [ </w:t>
            </w:r>
            <w:r>
              <w:rPr>
                <w:rFonts w:ascii="Times;serif" w:hAnsi="Times;serif"/>
                <w:color w:val="0000FF"/>
                <w:sz w:val="24"/>
                <w:highlight w:val="white"/>
              </w:rPr>
              <w:t>PAGP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11/20/2019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067"/>
        <w:gridCol w:w="912"/>
        <w:gridCol w:w="782"/>
        <w:gridCol w:w="605"/>
        <w:gridCol w:w="344"/>
        <w:gridCol w:w="918"/>
        <w:gridCol w:w="435"/>
        <w:gridCol w:w="981"/>
        <w:gridCol w:w="1262"/>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7"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7"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7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0"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067"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1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11/20/2019</w:t>
            </w:r>
          </w:p>
        </w:tc>
        <w:tc>
          <w:tcPr>
            <w:tcW w:w="78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4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1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60,000</w:t>
            </w:r>
          </w:p>
        </w:tc>
        <w:tc>
          <w:tcPr>
            <w:tcW w:w="43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9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17.1439</w:t>
            </w:r>
            <w:r>
              <w:rPr>
                <w:rFonts w:ascii="Times;serif" w:hAnsi="Times;serif"/>
                <w:color w:val="008000"/>
                <w:position w:val="7"/>
                <w:sz w:val="16"/>
                <w:sz w:val="20"/>
                <w:highlight w:val="white"/>
              </w:rPr>
              <w:t>(1)</w:t>
            </w:r>
            <w:r>
              <w:rPr/>
              <w:t xml:space="preserve"> </w:t>
            </w:r>
          </w:p>
        </w:tc>
        <w:tc>
          <w:tcPr>
            <w:tcW w:w="126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1,560,625</w:t>
            </w:r>
          </w:p>
        </w:tc>
        <w:tc>
          <w:tcPr>
            <w:tcW w:w="97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price in column 4 reflects the weighted average price for the Class A shares. The shares were purchased in multiple transactions at prices ranging from $17.05 to $17.38. The reporting person will provide upon request by the SEC staff, the issuer or any security holder of the issuer full information regarding the number of shares sold at each separate price.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Ann F. Gullion, as attorney-in-fact for Greg L. Armstrong</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11/20/2019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184537" TargetMode="External"/><Relationship Id="rId4" Type="http://schemas.openxmlformats.org/officeDocument/2006/relationships/hyperlink" Target="http://www.sec.gov/cgi-bin/browse-edgar?action=getcompany&amp;CIK=00015819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587</Words>
  <CharactersWithSpaces>3675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