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7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8447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8447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3RD FLOOR</w:t>
      </w:r>
    </w:p>
    <w:p>
      <w:pPr>
        <w:spacing w:after="0" w:line="34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w w:val="99"/>
              </w:rPr>
              <w:t>LOS ANGELES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70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1"/>
        </w:trPr>
        <w:tc>
          <w:tcPr>
            <w:tcW w:w="2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3"/>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3980" w:type="dxa"/>
            <w:vAlign w:val="bottom"/>
            <w:gridSpan w:val="3"/>
          </w:tcPr>
          <w:p>
            <w:pPr>
              <w:spacing w:after="0"/>
              <w:rPr>
                <w:sz w:val="3"/>
                <w:szCs w:val="3"/>
                <w:color w:val="auto"/>
              </w:rPr>
            </w:pPr>
          </w:p>
        </w:tc>
        <w:tc>
          <w:tcPr>
            <w:tcW w:w="500" w:type="dxa"/>
            <w:vAlign w:val="bottom"/>
            <w:vMerge w:val="restart"/>
          </w:tcPr>
          <w:p>
            <w:pPr>
              <w:ind w:left="280"/>
              <w:spacing w:after="0" w:line="53"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3"/>
                <w:szCs w:val="3"/>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60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24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ind w:left="120"/>
              <w:spacing w:after="0" w:line="97" w:lineRule="exact"/>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8"/>
                <w:szCs w:val="8"/>
                <w:color w:val="auto"/>
              </w:rPr>
            </w:pPr>
          </w:p>
        </w:tc>
        <w:tc>
          <w:tcPr>
            <w:tcW w:w="1240" w:type="dxa"/>
            <w:vAlign w:val="bottom"/>
          </w:tcPr>
          <w:p>
            <w:pPr>
              <w:ind w:left="60"/>
              <w:spacing w:after="0" w:line="97"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0"/>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1700" w:type="dxa"/>
            <w:vAlign w:val="bottom"/>
            <w:gridSpan w:val="2"/>
          </w:tcPr>
          <w:p>
            <w:pPr>
              <w:ind w:left="800"/>
              <w:spacing w:after="0"/>
              <w:rPr>
                <w:sz w:val="20"/>
                <w:szCs w:val="20"/>
                <w:color w:val="auto"/>
              </w:rPr>
            </w:pPr>
            <w:r>
              <w:rPr>
                <w:rFonts w:ascii="Arial" w:cs="Arial" w:eastAsia="Arial" w:hAnsi="Arial"/>
                <w:sz w:val="17"/>
                <w:szCs w:val="17"/>
                <w:color w:val="0000FF"/>
                <w:w w:val="91"/>
              </w:rPr>
              <w:t>See remarks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60" w:type="dxa"/>
            <w:vAlign w:val="bottom"/>
            <w:gridSpan w:val="2"/>
          </w:tcPr>
          <w:p>
            <w:pPr>
              <w:ind w:left="60"/>
              <w:spacing w:after="0"/>
              <w:rPr>
                <w:sz w:val="20"/>
                <w:szCs w:val="20"/>
                <w:color w:val="auto"/>
              </w:rPr>
            </w:pPr>
            <w:r>
              <w:rPr>
                <w:rFonts w:ascii="Arial" w:cs="Arial" w:eastAsia="Arial" w:hAnsi="Arial"/>
                <w:sz w:val="17"/>
                <w:szCs w:val="17"/>
                <w:color w:val="0000FF"/>
              </w:rPr>
              <w:t>12/31/2019</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2C2C2C"/>
            </w:tcBorders>
          </w:tcPr>
          <w:p>
            <w:pPr>
              <w:spacing w:after="0"/>
              <w:rPr>
                <w:sz w:val="14"/>
                <w:szCs w:val="14"/>
                <w:color w:val="auto"/>
              </w:rPr>
            </w:pPr>
          </w:p>
        </w:tc>
        <w:tc>
          <w:tcPr>
            <w:tcW w:w="3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440" w:type="dxa"/>
            <w:vAlign w:val="bottom"/>
            <w:tcBorders>
              <w:bottom w:val="single" w:sz="8" w:color="2C2C2C"/>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One Reporting Person</w:t>
      </w:r>
    </w:p>
    <w:p>
      <w:pPr>
        <w:ind w:left="4260"/>
        <w:spacing w:after="0" w:line="23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382" w:lineRule="exact"/>
        <w:rPr>
          <w:sz w:val="20"/>
          <w:szCs w:val="20"/>
          <w:color w:val="auto"/>
        </w:rPr>
      </w:pPr>
    </w:p>
    <w:p>
      <w:pPr>
        <w:sectPr>
          <w:pgSz w:w="11900" w:h="16838" w:orient="portrait"/>
          <w:cols w:equalWidth="0" w:num="2">
            <w:col w:w="3920" w:space="8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360"/>
              <w:spacing w:after="0" w:line="127"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360"/>
              <w:spacing w:after="0" w:line="130" w:lineRule="exact"/>
              <w:rPr>
                <w:sz w:val="20"/>
                <w:szCs w:val="20"/>
                <w:color w:val="auto"/>
              </w:rPr>
            </w:pPr>
            <w:r>
              <w:rPr>
                <w:rFonts w:ascii="Arial" w:cs="Arial" w:eastAsia="Arial" w:hAnsi="Arial"/>
                <w:sz w:val="12"/>
                <w:szCs w:val="12"/>
                <w:b w:val="1"/>
                <w:bCs w:val="1"/>
                <w:color w:val="auto"/>
              </w:rPr>
              <w:t>(D) or Indirect</w:t>
            </w: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340" w:type="dxa"/>
            <w:vAlign w:val="bottom"/>
          </w:tcPr>
          <w:p>
            <w:pPr>
              <w:spacing w:after="0"/>
              <w:rPr>
                <w:sz w:val="11"/>
                <w:szCs w:val="11"/>
                <w:color w:val="auto"/>
              </w:rPr>
            </w:pPr>
          </w:p>
        </w:tc>
        <w:tc>
          <w:tcPr>
            <w:tcW w:w="3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7"/>
              </w:rPr>
              <w:t>(Instr. 3 and 4)</w:t>
            </w: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vMerge w:val="restart"/>
          </w:tcPr>
          <w:p>
            <w:pPr>
              <w:ind w:left="700"/>
              <w:spacing w:after="0"/>
              <w:rPr>
                <w:sz w:val="20"/>
                <w:szCs w:val="20"/>
                <w:color w:val="auto"/>
              </w:rPr>
            </w:pPr>
            <w:r>
              <w:rPr>
                <w:rFonts w:ascii="Arial" w:cs="Arial" w:eastAsia="Arial" w:hAnsi="Arial"/>
                <w:sz w:val="17"/>
                <w:szCs w:val="17"/>
                <w:color w:val="0000FF"/>
              </w:rPr>
              <w:t>12/31/2019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vMerge w:val="restart"/>
          </w:tcPr>
          <w:p>
            <w:pPr>
              <w:ind w:left="220"/>
              <w:spacing w:after="0"/>
              <w:rPr>
                <w:sz w:val="20"/>
                <w:szCs w:val="20"/>
                <w:color w:val="auto"/>
              </w:rPr>
            </w:pPr>
            <w:r>
              <w:rPr>
                <w:rFonts w:ascii="Arial" w:cs="Arial" w:eastAsia="Arial" w:hAnsi="Arial"/>
                <w:sz w:val="13"/>
                <w:szCs w:val="13"/>
                <w:color w:val="0000FF"/>
              </w:rPr>
              <w:t>J</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191,177</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1"/>
                <w:szCs w:val="2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191,177</w:t>
            </w:r>
          </w:p>
        </w:tc>
        <w:tc>
          <w:tcPr>
            <w:tcW w:w="96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34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restart"/>
          </w:tcPr>
          <w:p>
            <w:pPr>
              <w:ind w:left="20"/>
              <w:spacing w:after="0" w:line="268" w:lineRule="exact"/>
              <w:rPr>
                <w:sz w:val="20"/>
                <w:szCs w:val="20"/>
                <w:color w:val="auto"/>
              </w:rPr>
            </w:pPr>
            <w:r>
              <w:rPr>
                <w:rFonts w:ascii="Arial" w:cs="Arial" w:eastAsia="Arial" w:hAnsi="Arial"/>
                <w:sz w:val="31"/>
                <w:szCs w:val="31"/>
                <w:color w:val="0000FF"/>
                <w:w w:val="95"/>
                <w:vertAlign w:val="subscript"/>
              </w:rPr>
              <w:t>footnotes</w:t>
            </w:r>
            <w:r>
              <w:rPr>
                <w:rFonts w:ascii="Arial" w:cs="Arial" w:eastAsia="Arial" w:hAnsi="Arial"/>
                <w:sz w:val="10"/>
                <w:szCs w:val="10"/>
                <w:color w:val="008000"/>
                <w:w w:val="95"/>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4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20" w:type="dxa"/>
            <w:vAlign w:val="bottom"/>
            <w:tcBorders>
              <w:top w:val="single" w:sz="8" w:color="2C2C2C"/>
            </w:tcBorders>
            <w:gridSpan w:val="2"/>
            <w:vMerge w:val="restart"/>
          </w:tcPr>
          <w:p>
            <w:pPr>
              <w:ind w:left="700"/>
              <w:spacing w:after="0"/>
              <w:rPr>
                <w:sz w:val="20"/>
                <w:szCs w:val="20"/>
                <w:color w:val="auto"/>
              </w:rPr>
            </w:pPr>
            <w:r>
              <w:rPr>
                <w:rFonts w:ascii="Arial" w:cs="Arial" w:eastAsia="Arial" w:hAnsi="Arial"/>
                <w:sz w:val="17"/>
                <w:szCs w:val="17"/>
                <w:color w:val="0000FF"/>
              </w:rPr>
              <w:t>12/31/2019</w:t>
            </w: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ind w:left="22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7"/>
              </w:rPr>
              <w:t>191,177</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7"/>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right"/>
              <w:ind w:right="202"/>
              <w:spacing w:after="0"/>
              <w:rPr>
                <w:sz w:val="20"/>
                <w:szCs w:val="20"/>
                <w:color w:val="auto"/>
              </w:rPr>
            </w:pPr>
            <w:r>
              <w:rPr>
                <w:rFonts w:ascii="Arial" w:cs="Arial" w:eastAsia="Arial" w:hAnsi="Arial"/>
                <w:sz w:val="17"/>
                <w:szCs w:val="17"/>
                <w:color w:val="0000FF"/>
              </w:rPr>
              <w:t>0</w:t>
            </w:r>
          </w:p>
        </w:tc>
        <w:tc>
          <w:tcPr>
            <w:tcW w:w="960" w:type="dxa"/>
            <w:vAlign w:val="bottom"/>
            <w:tcBorders>
              <w:top w:val="single" w:sz="8" w:color="2C2C2C"/>
            </w:tcBorders>
            <w:vMerge w:val="restart"/>
          </w:tcPr>
          <w:p>
            <w:pPr>
              <w:ind w:left="74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78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1"/>
                <w:szCs w:val="21"/>
                <w:color w:val="008000"/>
                <w:w w:val="95"/>
                <w:vertAlign w:val="superscript"/>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40" w:type="dxa"/>
            <w:vAlign w:val="bottom"/>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2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w w:val="93"/>
              </w:rPr>
              <w:t>Form:</w:t>
            </w:r>
          </w:p>
        </w:tc>
        <w:tc>
          <w:tcPr>
            <w:tcW w:w="320" w:type="dxa"/>
            <w:vAlign w:val="bottom"/>
          </w:tcPr>
          <w:p>
            <w:pPr>
              <w:spacing w:after="0"/>
              <w:rPr>
                <w:sz w:val="11"/>
                <w:szCs w:val="11"/>
                <w:color w:val="auto"/>
              </w:rPr>
            </w:pP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Acquired (A)</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6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of Shares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120" w:type="dxa"/>
            <w:vAlign w:val="bottom"/>
            <w:gridSpan w:val="2"/>
            <w:vMerge w:val="restart"/>
          </w:tcPr>
          <w:p>
            <w:pPr>
              <w:ind w:left="280"/>
              <w:spacing w:after="0"/>
              <w:rPr>
                <w:sz w:val="20"/>
                <w:szCs w:val="20"/>
                <w:color w:val="auto"/>
              </w:rPr>
            </w:pPr>
            <w:r>
              <w:rPr>
                <w:rFonts w:ascii="Arial" w:cs="Arial" w:eastAsia="Arial" w:hAnsi="Arial"/>
                <w:sz w:val="13"/>
                <w:szCs w:val="13"/>
                <w:color w:val="0000FF"/>
              </w:rPr>
              <w:t>12/31/2019</w:t>
            </w:r>
          </w:p>
        </w:tc>
        <w:tc>
          <w:tcPr>
            <w:tcW w:w="1100" w:type="dxa"/>
            <w:vAlign w:val="bottom"/>
          </w:tcPr>
          <w:p>
            <w:pPr>
              <w:spacing w:after="0"/>
              <w:rPr>
                <w:sz w:val="10"/>
                <w:szCs w:val="10"/>
                <w:color w:val="auto"/>
              </w:rPr>
            </w:pPr>
          </w:p>
        </w:tc>
        <w:tc>
          <w:tcPr>
            <w:tcW w:w="5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w w:val="85"/>
              </w:rPr>
              <w:t>191,177</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9"/>
              </w:rPr>
              <w:t>(1)(2)</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191,177</w:t>
            </w:r>
          </w:p>
        </w:tc>
        <w:tc>
          <w:tcPr>
            <w:tcW w:w="820" w:type="dxa"/>
            <w:vAlign w:val="bottom"/>
            <w:gridSpan w:val="2"/>
            <w:vMerge w:val="restart"/>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16,026,307</w:t>
            </w:r>
            <w:r>
              <w:rPr>
                <w:rFonts w:ascii="Arial" w:cs="Arial" w:eastAsia="Arial" w:hAnsi="Arial"/>
                <w:sz w:val="21"/>
                <w:szCs w:val="21"/>
                <w:color w:val="008000"/>
                <w:vertAlign w:val="superscript"/>
              </w:rPr>
              <w:t>(4)</w:t>
            </w:r>
          </w:p>
        </w:tc>
        <w:tc>
          <w:tcPr>
            <w:tcW w:w="340" w:type="dxa"/>
            <w:vAlign w:val="bottom"/>
            <w:vMerge w:val="restart"/>
          </w:tcPr>
          <w:p>
            <w:pPr>
              <w:ind w:left="28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A Units/GP</w:t>
            </w:r>
          </w:p>
        </w:tc>
        <w:tc>
          <w:tcPr>
            <w:tcW w:w="74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Units</w:t>
            </w:r>
          </w:p>
        </w:tc>
        <w:tc>
          <w:tcPr>
            <w:tcW w:w="6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ind w:left="80"/>
              <w:spacing w:after="0" w:line="160"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ind w:left="20"/>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KAFU Holdings (QP), L.P.</w:t>
              </w:r>
            </w:hyperlink>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80" w:type="dxa"/>
            <w:vAlign w:val="bottom"/>
            <w:gridSpan w:val="6"/>
          </w:tcPr>
          <w:p>
            <w:pPr>
              <w:ind w:left="20"/>
              <w:spacing w:after="0"/>
              <w:rPr>
                <w:sz w:val="20"/>
                <w:szCs w:val="20"/>
                <w:color w:val="auto"/>
              </w:rPr>
            </w:pPr>
            <w:r>
              <w:rPr>
                <w:rFonts w:ascii="Arial" w:cs="Arial" w:eastAsia="Arial" w:hAnsi="Arial"/>
                <w:sz w:val="17"/>
                <w:szCs w:val="17"/>
                <w:color w:val="0000FF"/>
              </w:rPr>
              <w:t>1800 AVENUE OF THE STARS, 3RD FLOOR</w:t>
            </w: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1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360"/>
              <w:spacing w:after="0"/>
              <w:rPr>
                <w:sz w:val="20"/>
                <w:szCs w:val="20"/>
                <w:color w:val="auto"/>
              </w:rPr>
            </w:pPr>
            <w:r>
              <w:rPr>
                <w:rFonts w:ascii="Arial" w:cs="Arial" w:eastAsia="Arial" w:hAnsi="Arial"/>
                <w:sz w:val="17"/>
                <w:szCs w:val="17"/>
                <w:color w:val="0000FF"/>
              </w:rPr>
              <w:t>90067</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60" w:type="dxa"/>
            <w:vAlign w:val="bottom"/>
            <w:gridSpan w:val="8"/>
          </w:tcPr>
          <w:p>
            <w:pPr>
              <w:ind w:left="20"/>
              <w:spacing w:after="0" w:line="216"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KAYNE ANDERSON CAPITAL ADVISORS LP</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80" w:type="dxa"/>
            <w:vAlign w:val="bottom"/>
            <w:gridSpan w:val="5"/>
          </w:tcPr>
          <w:p>
            <w:pPr>
              <w:ind w:left="20"/>
              <w:spacing w:after="0"/>
              <w:rPr>
                <w:sz w:val="20"/>
                <w:szCs w:val="20"/>
                <w:color w:val="auto"/>
              </w:rPr>
            </w:pPr>
            <w:r>
              <w:rPr>
                <w:rFonts w:ascii="Arial" w:cs="Arial" w:eastAsia="Arial" w:hAnsi="Arial"/>
                <w:sz w:val="17"/>
                <w:szCs w:val="17"/>
                <w:color w:val="0000FF"/>
              </w:rPr>
              <w:t>1800 AVENUE OF THE STARS</w:t>
            </w: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3RD FLOOR</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7"/>
                <w:szCs w:val="17"/>
                <w:color w:val="0000FF"/>
              </w:rPr>
              <w:t>LOS ANGELES</w:t>
            </w:r>
          </w:p>
        </w:tc>
        <w:tc>
          <w:tcPr>
            <w:tcW w:w="11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100" w:type="dxa"/>
            <w:vAlign w:val="bottom"/>
          </w:tcPr>
          <w:p>
            <w:pPr>
              <w:ind w:left="360"/>
              <w:spacing w:after="0"/>
              <w:rPr>
                <w:sz w:val="20"/>
                <w:szCs w:val="20"/>
                <w:color w:val="auto"/>
              </w:rPr>
            </w:pPr>
            <w:r>
              <w:rPr>
                <w:rFonts w:ascii="Arial" w:cs="Arial" w:eastAsia="Arial" w:hAnsi="Arial"/>
                <w:sz w:val="17"/>
                <w:szCs w:val="17"/>
                <w:color w:val="0000FF"/>
              </w:rPr>
              <w:t>90067</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-5170170</wp:posOffset>
            </wp:positionV>
            <wp:extent cx="24130" cy="1887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1887855"/>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00" w:firstLine="3"/>
        <w:spacing w:after="0" w:line="237"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December 31, 2019, KAFU Holdings (QP), L.P. exercised the Redemption Right with respect to an aggregate 191,177 Class A Units.</w:t>
      </w:r>
    </w:p>
    <w:p>
      <w:pPr>
        <w:spacing w:after="0" w:line="32" w:lineRule="exact"/>
        <w:rPr>
          <w:rFonts w:ascii="Arial" w:cs="Arial" w:eastAsia="Arial" w:hAnsi="Arial"/>
          <w:sz w:val="13"/>
          <w:szCs w:val="13"/>
          <w:color w:val="008000"/>
        </w:rPr>
      </w:pPr>
    </w:p>
    <w:p>
      <w:pPr>
        <w:ind w:left="40" w:right="280" w:firstLine="3"/>
        <w:spacing w:after="0" w:line="25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ectPr>
          <w:pgSz w:w="11900" w:h="16838" w:orient="portrait"/>
          <w:cols w:equalWidth="0" w:num="1">
            <w:col w:w="11520"/>
          </w:cols>
          <w:pgMar w:left="240" w:top="222" w:right="139" w:bottom="0" w:gutter="0" w:footer="0" w:header="0"/>
          <w:type w:val="continuous"/>
        </w:sectPr>
      </w:pPr>
    </w:p>
    <w:bookmarkStart w:id="1" w:name="page2"/>
    <w:bookmarkEnd w:id="1"/>
    <w:p>
      <w:pPr>
        <w:ind w:firstLine="3"/>
        <w:spacing w:after="0" w:line="286" w:lineRule="auto"/>
        <w:tabs>
          <w:tab w:leader="none" w:pos="13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7,583 Class A Units, Class B Shares and GP Units were exchanged for a like number of PAGP Class A Shares. The number of derivative securities owned reflects both the redemption transaction reported herein and the simultaneous exchange transaction.</w:t>
      </w:r>
    </w:p>
    <w:p>
      <w:pPr>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right="20"/>
        <w:spacing w:after="0"/>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Michael O'Neil</w:t>
            </w: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01/02/2020</w:t>
            </w: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780" w:firstLine="3"/>
        <w:spacing w:after="0" w:line="336"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2020-01-02T16:57:51Z</dcterms:created>
  <dcterms:modified xsi:type="dcterms:W3CDTF">2020-01-02T16:57:51Z</dcterms:modified>
</cp:coreProperties>
</file>