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333-200596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142875</wp:posOffset>
            </wp:positionV>
            <wp:extent cx="2830195"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402,447,679 Class A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right="160" w:firstLine="324"/>
        <w:spacing w:after="0" w:line="302" w:lineRule="auto"/>
        <w:rPr>
          <w:sz w:val="20"/>
          <w:szCs w:val="20"/>
          <w:color w:val="auto"/>
        </w:rPr>
      </w:pPr>
      <w:r>
        <w:rPr>
          <w:rFonts w:ascii="Arial" w:cs="Arial" w:eastAsia="Arial" w:hAnsi="Arial"/>
          <w:sz w:val="16"/>
          <w:szCs w:val="16"/>
          <w:color w:val="auto"/>
        </w:rPr>
        <w:t>This prospectus supplement updates and amends certain information contained in the prospectus dated December 10, 2014, as supplemented by the prospectus supplements dated December 31, 2014, April 1, 2015, July 1, 2015 and October 1, 2015 (as supplemented, the “Prospectus”), covering the resale by selling shareholders of up to an aggregate of 402,447,679 Class A shares representing limited partner interests in us. This prospectus supplement is not complete without, and may not be utilized except in connection with, the Prospectus, including any additional amendments or supplements thereto.</w:t>
      </w:r>
    </w:p>
    <w:p>
      <w:pPr>
        <w:spacing w:after="0" w:line="141" w:lineRule="exact"/>
        <w:rPr>
          <w:sz w:val="24"/>
          <w:szCs w:val="24"/>
          <w:color w:val="auto"/>
        </w:rPr>
      </w:pPr>
    </w:p>
    <w:p>
      <w:pPr>
        <w:ind w:right="180" w:firstLine="324"/>
        <w:spacing w:after="0" w:line="239" w:lineRule="auto"/>
        <w:rPr>
          <w:sz w:val="20"/>
          <w:szCs w:val="20"/>
          <w:color w:val="auto"/>
        </w:rPr>
      </w:pPr>
      <w:r>
        <w:rPr>
          <w:rFonts w:ascii="Arial" w:cs="Arial" w:eastAsia="Arial" w:hAnsi="Arial"/>
          <w:sz w:val="22"/>
          <w:szCs w:val="22"/>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dated December 10, 2014 before you make an investment in our Class A shares.</w:t>
      </w:r>
    </w:p>
    <w:p>
      <w:pPr>
        <w:spacing w:after="0" w:line="190" w:lineRule="exact"/>
        <w:rPr>
          <w:sz w:val="24"/>
          <w:szCs w:val="24"/>
          <w:color w:val="auto"/>
        </w:rPr>
      </w:pPr>
    </w:p>
    <w:p>
      <w:pPr>
        <w:ind w:right="18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supplement is truthful or complete. Any representation to the contrary is a criminal offense.</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December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700" w:firstLine="324"/>
        <w:spacing w:after="0" w:line="277"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Shareholders” in the Prospectus. Capitalized terms that are not defined in this prospectus supplement are defined in the Prospectus.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4"/>
          <w:szCs w:val="24"/>
          <w:color w:val="auto"/>
        </w:rPr>
      </w:pPr>
    </w:p>
    <w:p>
      <w:pPr>
        <w:ind w:firstLine="324"/>
        <w:spacing w:after="0" w:line="276" w:lineRule="auto"/>
        <w:rPr>
          <w:sz w:val="20"/>
          <w:szCs w:val="20"/>
          <w:color w:val="auto"/>
        </w:rPr>
      </w:pPr>
      <w:r>
        <w:rPr>
          <w:rFonts w:ascii="Arial" w:cs="Arial" w:eastAsia="Arial" w:hAnsi="Arial"/>
          <w:sz w:val="17"/>
          <w:szCs w:val="17"/>
          <w:color w:val="auto"/>
        </w:rPr>
        <w:t>On or about November 5, 2015, Windy, L.L.C. exercised the Exchange Right with respect to 275,468 of its Class B shares, AAP units and general partner units and then distributed the resulting 275,468 Class A shares to Reed Capital Partners, LLC. Additionally, on or about November 18, 2015, the Mark E. Strome Living Trust transferred 475,000 of its Class B shares, AAP units and general partner units to the Old Dominion University Educational Foundation, which subsequently exercised the Exchange Right and received the resulting 475,000 Class A shares. We are amending the Selling Shareholders table in the Prospectus to reflect these transfers and to include or update information with respect to the transferees of such interests.</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Percentage of</w:t>
            </w: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Class A Shares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Class A Shares</w:t>
            </w:r>
          </w:p>
        </w:tc>
        <w:tc>
          <w:tcPr>
            <w:tcW w:w="156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Class A Shares</w:t>
            </w: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 be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vMerge w:val="continue"/>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Selling Shareholders</w:t>
            </w:r>
          </w:p>
        </w:tc>
        <w:tc>
          <w:tcPr>
            <w:tcW w:w="300" w:type="dxa"/>
            <w:vAlign w:val="bottom"/>
            <w:vMerge w:val="restart"/>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Offered</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the Offering</w:t>
            </w:r>
          </w:p>
        </w:tc>
        <w:tc>
          <w:tcPr>
            <w:tcW w:w="3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Offering</w:t>
            </w:r>
          </w:p>
        </w:tc>
        <w:tc>
          <w:tcPr>
            <w:tcW w:w="3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Hereby</w:t>
            </w:r>
          </w:p>
        </w:tc>
        <w:tc>
          <w:tcPr>
            <w:tcW w:w="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Windy, L.L.C.(1)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17,905,425</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17,905,425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Reed Capital Partners, LLC(2)</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275,468</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275,468</w:t>
            </w: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Mark E. Strome Living Trust(3)</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11,902,714</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11,902,714</w:t>
            </w:r>
          </w:p>
        </w:tc>
        <w:tc>
          <w:tcPr>
            <w:tcW w:w="1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Old Dominion University Educational</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Foundation(4)</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475,000</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475,000</w:t>
            </w: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 Less than one percent.</w:t>
      </w:r>
    </w:p>
    <w:p>
      <w:pPr>
        <w:spacing w:after="0" w:line="225" w:lineRule="exact"/>
        <w:rPr>
          <w:sz w:val="24"/>
          <w:szCs w:val="24"/>
          <w:color w:val="auto"/>
        </w:rPr>
      </w:pPr>
    </w:p>
    <w:p>
      <w:pPr>
        <w:ind w:left="340" w:right="300" w:hanging="332"/>
        <w:spacing w:after="0" w:line="264"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W. David Scott, the President of Tetrad Corporation, which is the sole manager of the selling shareholder, exercises sole voting and dispositive power over the Class A shares held by the selling shareholder. Mr. Scott disclaims beneficial ownership of any of our Class A shares held by the selling shareholder except to the extent of his pecuniary interest therein.</w:t>
      </w:r>
    </w:p>
    <w:p>
      <w:pPr>
        <w:spacing w:after="0" w:line="181" w:lineRule="exact"/>
        <w:rPr>
          <w:rFonts w:ascii="Arial" w:cs="Arial" w:eastAsia="Arial" w:hAnsi="Arial"/>
          <w:sz w:val="18"/>
          <w:szCs w:val="18"/>
          <w:color w:val="auto"/>
        </w:rPr>
      </w:pPr>
    </w:p>
    <w:p>
      <w:pPr>
        <w:ind w:left="340" w:right="60" w:hanging="332"/>
        <w:spacing w:after="0" w:line="264"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of John T. Reed, John T. Reed, Jr. and Anna Lee Welch, managers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81" w:lineRule="exact"/>
        <w:rPr>
          <w:rFonts w:ascii="Arial" w:cs="Arial" w:eastAsia="Arial" w:hAnsi="Arial"/>
          <w:sz w:val="18"/>
          <w:szCs w:val="18"/>
          <w:color w:val="auto"/>
        </w:rPr>
      </w:pPr>
    </w:p>
    <w:p>
      <w:pPr>
        <w:ind w:left="340" w:hanging="332"/>
        <w:spacing w:after="0" w:line="342" w:lineRule="auto"/>
        <w:tabs>
          <w:tab w:leader="none" w:pos="347" w:val="left"/>
        </w:tabs>
        <w:numPr>
          <w:ilvl w:val="0"/>
          <w:numId w:val="1"/>
        </w:numPr>
        <w:rPr>
          <w:rFonts w:ascii="Arial" w:cs="Arial" w:eastAsia="Arial" w:hAnsi="Arial"/>
          <w:sz w:val="16"/>
          <w:szCs w:val="16"/>
          <w:color w:val="auto"/>
        </w:rPr>
      </w:pPr>
      <w:r>
        <w:rPr>
          <w:rFonts w:ascii="Arial" w:cs="Arial" w:eastAsia="Arial" w:hAnsi="Arial"/>
          <w:sz w:val="16"/>
          <w:szCs w:val="16"/>
          <w:color w:val="auto"/>
        </w:rPr>
        <w:t>Mark E. Strome, the trustee of the selling shareholder, exercises sole voting and dispositive power over the Class A shares held by the selling shareholder. Mr. Strome disclaims beneficial ownership of any of our Class A shares held by the selling shareholder except to the extent of his pecuniary interest</w:t>
      </w:r>
    </w:p>
    <w:p>
      <w:pPr>
        <w:sectPr>
          <w:pgSz w:w="11900" w:h="16935" w:orient="portrait"/>
          <w:cols w:equalWidth="0" w:num="1">
            <w:col w:w="11420"/>
          </w:cols>
          <w:pgMar w:left="240" w:top="445" w:right="239" w:bottom="0" w:gutter="0" w:footer="0" w:header="0"/>
        </w:sectPr>
      </w:pPr>
    </w:p>
    <w:bookmarkStart w:id="1" w:name="page2"/>
    <w:bookmarkEnd w:id="1"/>
    <w:p>
      <w:pPr>
        <w:ind w:left="332"/>
        <w:spacing w:after="0"/>
        <w:rPr>
          <w:sz w:val="20"/>
          <w:szCs w:val="20"/>
          <w:color w:val="auto"/>
        </w:rPr>
      </w:pPr>
      <w:r>
        <w:rPr>
          <w:rFonts w:ascii="Arial" w:cs="Arial" w:eastAsia="Arial" w:hAnsi="Arial"/>
          <w:sz w:val="18"/>
          <w:szCs w:val="18"/>
          <w:color w:val="auto"/>
        </w:rPr>
        <w:t>therein.</w:t>
      </w:r>
    </w:p>
    <w:p>
      <w:pPr>
        <w:spacing w:after="0" w:line="225" w:lineRule="exact"/>
        <w:rPr>
          <w:sz w:val="20"/>
          <w:szCs w:val="20"/>
          <w:color w:val="auto"/>
        </w:rPr>
      </w:pPr>
    </w:p>
    <w:p>
      <w:pPr>
        <w:jc w:val="both"/>
        <w:ind w:left="332" w:hanging="332"/>
        <w:spacing w:after="0" w:line="286" w:lineRule="auto"/>
        <w:tabs>
          <w:tab w:leader="none" w:pos="339" w:val="left"/>
        </w:tabs>
        <w:numPr>
          <w:ilvl w:val="0"/>
          <w:numId w:val="2"/>
        </w:numPr>
        <w:rPr>
          <w:rFonts w:ascii="Arial" w:cs="Arial" w:eastAsia="Arial" w:hAnsi="Arial"/>
          <w:sz w:val="17"/>
          <w:szCs w:val="17"/>
          <w:color w:val="auto"/>
        </w:rPr>
      </w:pPr>
      <w:r>
        <w:rPr>
          <w:rFonts w:ascii="Arial" w:cs="Arial" w:eastAsia="Arial" w:hAnsi="Arial"/>
          <w:sz w:val="17"/>
          <w:szCs w:val="17"/>
          <w:color w:val="auto"/>
        </w:rPr>
        <w:t>Each of Alonzo C. Brandon and Richard A. Massey, Executive Director and Assistant Treasurer, respectively,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pacing w:after="0" w:line="166"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32"/>
      </w:cols>
      <w:pgMar w:left="248" w:top="1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2020-01-25T13:39:21Z</dcterms:created>
  <dcterms:modified xsi:type="dcterms:W3CDTF">2020-01-25T13:39:21Z</dcterms:modified>
</cp:coreProperties>
</file>