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w:t>
      </w: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20"/>
          </w:cols>
          <w:pgMar w:left="240" w:top="544"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00"/>
          </w:cols>
          <w:pgMar w:left="240" w:top="544" w:right="3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00"/>
          </w:cols>
          <w:pgMar w:left="240" w:top="544" w:right="339" w:bottom="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80" w:right="1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2" w:lineRule="exact"/>
        <w:rPr>
          <w:sz w:val="24"/>
          <w:szCs w:val="24"/>
          <w:color w:val="auto"/>
        </w:rPr>
      </w:pPr>
    </w:p>
    <w:p>
      <w:pPr>
        <w:jc w:val="both"/>
        <w:ind w:right="40" w:firstLine="324"/>
        <w:spacing w:after="0" w:line="266" w:lineRule="auto"/>
        <w:rPr>
          <w:sz w:val="20"/>
          <w:szCs w:val="20"/>
          <w:color w:val="auto"/>
        </w:rPr>
      </w:pPr>
      <w:r>
        <w:rPr>
          <w:rFonts w:ascii="Arial" w:cs="Arial" w:eastAsia="Arial" w:hAnsi="Arial"/>
          <w:sz w:val="18"/>
          <w:szCs w:val="18"/>
          <w:color w:val="auto"/>
        </w:rPr>
        <w:t>On February 16, 2017,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PAA GP Holdings LLC (“</w:t>
      </w:r>
      <w:r>
        <w:rPr>
          <w:rFonts w:ascii="Arial" w:cs="Arial" w:eastAsia="Arial" w:hAnsi="Arial"/>
          <w:sz w:val="18"/>
          <w:szCs w:val="18"/>
          <w:b w:val="1"/>
          <w:bCs w:val="1"/>
          <w:color w:val="auto"/>
        </w:rPr>
        <w:t>PAGP GP</w:t>
      </w:r>
      <w:r>
        <w:rPr>
          <w:rFonts w:ascii="Arial" w:cs="Arial" w:eastAsia="Arial" w:hAnsi="Arial"/>
          <w:sz w:val="18"/>
          <w:szCs w:val="18"/>
          <w:color w:val="auto"/>
        </w:rPr>
        <w:t>”) appointed Harry N. Pefanis and Willie Chiang to the Board. Mr. Pefanis and Mr. Chiang serve as the President and Chief Operating Officer and Executive Vice President and Chief Operating Officer (U.S.), respectively, of PAGP GP.</w:t>
      </w:r>
    </w:p>
    <w:p>
      <w:pPr>
        <w:spacing w:after="0" w:line="176"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5" w:lineRule="exact"/>
        <w:rPr>
          <w:sz w:val="24"/>
          <w:szCs w:val="24"/>
          <w:color w:val="auto"/>
        </w:rPr>
      </w:pPr>
    </w:p>
    <w:p>
      <w:pPr>
        <w:ind w:firstLine="324"/>
        <w:spacing w:after="0" w:line="261" w:lineRule="auto"/>
        <w:rPr>
          <w:sz w:val="20"/>
          <w:szCs w:val="20"/>
          <w:color w:val="auto"/>
        </w:rPr>
      </w:pPr>
      <w:r>
        <w:rPr>
          <w:rFonts w:ascii="Arial" w:cs="Arial" w:eastAsia="Arial" w:hAnsi="Arial"/>
          <w:sz w:val="18"/>
          <w:szCs w:val="18"/>
          <w:color w:val="auto"/>
        </w:rPr>
        <w:t>On February 16, 2017, PAGP GP entered into the Third Amended and Restated Limited Liability Company Agreement of PAGP GP (the “</w:t>
      </w:r>
      <w:r>
        <w:rPr>
          <w:rFonts w:ascii="Arial" w:cs="Arial" w:eastAsia="Arial" w:hAnsi="Arial"/>
          <w:sz w:val="18"/>
          <w:szCs w:val="18"/>
          <w:b w:val="1"/>
          <w:bCs w:val="1"/>
          <w:color w:val="auto"/>
        </w:rPr>
        <w:t>Third A&amp;R</w:t>
      </w:r>
      <w:r>
        <w:rPr>
          <w:rFonts w:ascii="Arial" w:cs="Arial" w:eastAsia="Arial" w:hAnsi="Arial"/>
          <w:sz w:val="18"/>
          <w:szCs w:val="18"/>
          <w:color w:val="auto"/>
        </w:rPr>
        <w:t xml:space="preserve"> </w:t>
      </w:r>
      <w:r>
        <w:rPr>
          <w:rFonts w:ascii="Arial" w:cs="Arial" w:eastAsia="Arial" w:hAnsi="Arial"/>
          <w:sz w:val="18"/>
          <w:szCs w:val="18"/>
          <w:b w:val="1"/>
          <w:bCs w:val="1"/>
          <w:color w:val="auto"/>
        </w:rPr>
        <w:t>GP Agreement</w:t>
      </w:r>
      <w:r>
        <w:rPr>
          <w:rFonts w:ascii="Arial" w:cs="Arial" w:eastAsia="Arial" w:hAnsi="Arial"/>
          <w:sz w:val="18"/>
          <w:szCs w:val="18"/>
          <w:color w:val="auto"/>
        </w:rPr>
        <w:t>”) to (i) increase the size of the board from ten members to twelve members, (ii) reflect the appointment of Messrs. Pefanis and Chiang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(iii) specify that any Board member that also serves as an officer of PAGP GP (including Messrs. Pefanis and Chiang) will not be classified or subject to the election of eligible PAGP GP directors by PAGP’s shareholders.</w:t>
      </w:r>
    </w:p>
    <w:p>
      <w:pPr>
        <w:spacing w:after="0" w:line="184"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The foregoing description of the Third A&amp;R GP LLC Agreement is qualified in its entirety by reference to the text of such agreement, which is attached hereto as Exhibit 3.1 and incorporated herein by reference.</w:t>
      </w:r>
    </w:p>
    <w:p>
      <w:pPr>
        <w:spacing w:after="0" w:line="166"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ectPr>
          <w:pgSz w:w="11900" w:h="16838" w:orient="portrait"/>
          <w:cols w:equalWidth="0" w:num="1">
            <w:col w:w="11320"/>
          </w:cols>
          <w:pgMar w:left="240" w:top="544" w:right="339" w:bottom="0" w:gutter="0" w:footer="0" w:header="0"/>
          <w:type w:val="continuous"/>
        </w:sectPr>
      </w:pPr>
    </w:p>
    <w:bookmarkStart w:id="1" w:name="page2"/>
    <w:bookmarkEnd w:id="1"/>
    <w:p>
      <w:pPr>
        <w:ind w:right="100" w:firstLine="324"/>
        <w:spacing w:after="0" w:line="257" w:lineRule="auto"/>
        <w:rPr>
          <w:sz w:val="20"/>
          <w:szCs w:val="20"/>
          <w:color w:val="auto"/>
        </w:rPr>
      </w:pPr>
      <w:r>
        <w:rPr>
          <w:rFonts w:ascii="Arial" w:cs="Arial" w:eastAsia="Arial" w:hAnsi="Arial"/>
          <w:sz w:val="18"/>
          <w:szCs w:val="18"/>
          <w:color w:val="auto"/>
        </w:rPr>
        <w:t>On February 21, 2017, the Registrant issued a press release reporting the appointment of Messrs. Pefanis and Chiang to the Board. A copy of the press release is furnished as Exhibit 99.1 hereto. 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Third Amended and Restated Limited Liability Company Agreement of PAA GP Holdings LLC dated February 16, 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310"/>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February 21, 2017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2"/>
          </w:tcPr>
          <w:p>
            <w:pPr>
              <w:ind w:left="42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Pr>
          <w:p>
            <w:pPr>
              <w:ind w:left="422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Pr>
          <w:p>
            <w:pPr>
              <w:ind w:left="422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Pr>
          <w:p>
            <w:pPr>
              <w:ind w:left="422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Pr>
          <w:p>
            <w:pPr>
              <w:ind w:left="4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80" w:type="dxa"/>
            <w:vAlign w:val="bottom"/>
          </w:tcPr>
          <w:p>
            <w:pPr>
              <w:ind w:left="42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80" w:type="dxa"/>
            <w:vAlign w:val="bottom"/>
          </w:tcPr>
          <w:p>
            <w:pPr>
              <w:ind w:left="42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80" w:type="dxa"/>
            <w:vAlign w:val="bottom"/>
            <w:gridSpan w:val="4"/>
          </w:tcPr>
          <w:p>
            <w:pPr>
              <w:spacing w:after="0"/>
              <w:rPr>
                <w:sz w:val="20"/>
                <w:szCs w:val="20"/>
                <w:color w:val="auto"/>
              </w:rPr>
            </w:pPr>
            <w:r>
              <w:rPr>
                <w:rFonts w:ascii="Arial" w:cs="Arial" w:eastAsia="Arial" w:hAnsi="Arial"/>
                <w:sz w:val="18"/>
                <w:szCs w:val="18"/>
                <w:color w:val="auto"/>
              </w:rPr>
              <w:t>Date: February 21, 2017</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20" w:type="dxa"/>
            <w:vAlign w:val="bottom"/>
            <w:gridSpan w:val="2"/>
          </w:tcPr>
          <w:p>
            <w:pPr>
              <w:jc w:val="center"/>
              <w:ind w:left="3790"/>
              <w:spacing w:after="0"/>
              <w:rPr>
                <w:sz w:val="20"/>
                <w:szCs w:val="20"/>
                <w:color w:val="auto"/>
              </w:rPr>
            </w:pPr>
            <w:r>
              <w:rPr>
                <w:rFonts w:ascii="Arial" w:cs="Arial" w:eastAsia="Arial" w:hAnsi="Arial"/>
                <w:sz w:val="18"/>
                <w:szCs w:val="18"/>
                <w:color w:val="auto"/>
                <w:w w:val="99"/>
              </w:rPr>
              <w:t>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Third Amended and Restated Limited Liability Company Agreement of PAA GP Holdings LLC dated February 16, 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310"/>
              <w:spacing w:after="0"/>
              <w:rPr>
                <w:sz w:val="20"/>
                <w:szCs w:val="20"/>
                <w:color w:val="auto"/>
              </w:rPr>
            </w:pPr>
            <w:r>
              <w:rPr>
                <w:rFonts w:ascii="Arial" w:cs="Arial" w:eastAsia="Arial" w:hAnsi="Arial"/>
                <w:sz w:val="18"/>
                <w:szCs w:val="18"/>
                <w:color w:val="auto"/>
              </w:rPr>
              <w:t>99.1</w:t>
            </w:r>
          </w:p>
        </w:tc>
        <w:tc>
          <w:tcPr>
            <w:tcW w:w="5220" w:type="dxa"/>
            <w:vAlign w:val="bottom"/>
            <w:gridSpan w:val="2"/>
          </w:tcPr>
          <w:p>
            <w:pPr>
              <w:ind w:left="340"/>
              <w:spacing w:after="0"/>
              <w:rPr>
                <w:sz w:val="20"/>
                <w:szCs w:val="20"/>
                <w:color w:val="auto"/>
              </w:rPr>
            </w:pPr>
            <w:r>
              <w:rPr>
                <w:rFonts w:ascii="Arial" w:cs="Arial" w:eastAsia="Arial" w:hAnsi="Arial"/>
                <w:sz w:val="18"/>
                <w:szCs w:val="18"/>
                <w:color w:val="auto"/>
              </w:rPr>
              <w:t>Press Release dated February 21, 2017</w:t>
            </w:r>
          </w:p>
        </w:tc>
        <w:tc>
          <w:tcPr>
            <w:tcW w:w="5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20" w:type="dxa"/>
            <w:vAlign w:val="bottom"/>
            <w:gridSpan w:val="2"/>
          </w:tcPr>
          <w:p>
            <w:pPr>
              <w:jc w:val="center"/>
              <w:ind w:left="3790"/>
              <w:spacing w:after="0"/>
              <w:rPr>
                <w:sz w:val="20"/>
                <w:szCs w:val="20"/>
                <w:color w:val="auto"/>
              </w:rPr>
            </w:pPr>
            <w:r>
              <w:rPr>
                <w:rFonts w:ascii="Arial" w:cs="Arial" w:eastAsia="Arial" w:hAnsi="Arial"/>
                <w:sz w:val="18"/>
                <w:szCs w:val="18"/>
                <w:color w:val="auto"/>
                <w:w w:val="99"/>
              </w:rPr>
              <w:t>4</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February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9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280" w:type="dxa"/>
            <w:vAlign w:val="bottom"/>
            <w:gridSpan w:val="4"/>
          </w:tcPr>
          <w:p>
            <w:pPr>
              <w:spacing w:after="0"/>
              <w:rPr>
                <w:sz w:val="20"/>
                <w:szCs w:val="20"/>
                <w:color w:val="auto"/>
              </w:rPr>
            </w:pPr>
            <w:r>
              <w:rPr>
                <w:rFonts w:ascii="Arial" w:cs="Arial" w:eastAsia="Arial" w:hAnsi="Arial"/>
                <w:sz w:val="18"/>
                <w:szCs w:val="18"/>
                <w:color w:val="auto"/>
              </w:rPr>
              <w:t>Article 1 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2 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Formation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Principal Office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2.3</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Registered Office and Registered Agent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2.4</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Purpose of the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2.5</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Date of Dissolution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2.6</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Qualification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2.7</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Members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2.8</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Reliance by Third Parties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3 CAPITALIZATION OF THE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3.1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Capital Contributions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3.2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Additional Capital Contributions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3.3</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Splits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4 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4.1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4.2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Persons Entitled to 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5 MEMBERS’ MEETINGS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Meetings of Members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Quorum; Voting Requirement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5.3</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Proxies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5.4</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Action Without Meeting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5.5</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Notice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5.6</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Waiver of Notice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6 MANAGEMENT AND CONTROL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Board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Classification of the Board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6.3</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Meetings of the Board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6.4</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Quorum and Acts of the Board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6.5</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Communications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6.6</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Committees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6.7</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Compensation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6.8</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Directors as Agents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6.9</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Officers; Agents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6.10</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Actions Requiring Consent of Oxy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6.11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Amendments to the PAGP Partnership Agreement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7 LIABILITY AND 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7.1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Limitation on Liability of Members, Directors and Officers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520" w:type="dxa"/>
            <w:vAlign w:val="bottom"/>
            <w:gridSpan w:val="2"/>
          </w:tcPr>
          <w:p>
            <w:pPr>
              <w:jc w:val="center"/>
              <w:ind w:right="3620"/>
              <w:spacing w:after="0"/>
              <w:rPr>
                <w:sz w:val="20"/>
                <w:szCs w:val="20"/>
                <w:color w:val="auto"/>
              </w:rPr>
            </w:pPr>
            <w:r>
              <w:rPr>
                <w:rFonts w:ascii="Arial" w:cs="Arial" w:eastAsia="Arial" w:hAnsi="Arial"/>
                <w:sz w:val="18"/>
                <w:szCs w:val="18"/>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8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gridSpan w:val="2"/>
          </w:tcPr>
          <w:p>
            <w:pPr>
              <w:spacing w:after="0"/>
              <w:rPr>
                <w:sz w:val="11"/>
                <w:szCs w:val="11"/>
                <w:color w:val="auto"/>
              </w:rPr>
            </w:pPr>
          </w:p>
        </w:tc>
      </w:tr>
      <w:tr>
        <w:trPr>
          <w:trHeight w:val="780"/>
        </w:trPr>
        <w:tc>
          <w:tcPr>
            <w:tcW w:w="1080" w:type="dxa"/>
            <w:vAlign w:val="bottom"/>
          </w:tcPr>
          <w:p>
            <w:pPr>
              <w:ind w:left="560"/>
              <w:spacing w:after="0"/>
              <w:rPr>
                <w:sz w:val="20"/>
                <w:szCs w:val="20"/>
                <w:color w:val="auto"/>
              </w:rPr>
            </w:pPr>
            <w:r>
              <w:rPr>
                <w:rFonts w:ascii="Arial" w:cs="Arial" w:eastAsia="Arial" w:hAnsi="Arial"/>
                <w:sz w:val="18"/>
                <w:szCs w:val="18"/>
                <w:color w:val="auto"/>
              </w:rPr>
              <w:t>7.2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Article 8 TRANSFERS OF UNITS</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8.1</w:t>
            </w:r>
          </w:p>
        </w:tc>
        <w:tc>
          <w:tcPr>
            <w:tcW w:w="7040" w:type="dxa"/>
            <w:vAlign w:val="bottom"/>
          </w:tcPr>
          <w:p>
            <w:pPr>
              <w:ind w:left="160"/>
              <w:spacing w:after="0"/>
              <w:rPr>
                <w:sz w:val="20"/>
                <w:szCs w:val="20"/>
                <w:color w:val="auto"/>
              </w:rPr>
            </w:pPr>
            <w:r>
              <w:rPr>
                <w:rFonts w:ascii="Arial" w:cs="Arial" w:eastAsia="Arial" w:hAnsi="Arial"/>
                <w:sz w:val="18"/>
                <w:szCs w:val="18"/>
                <w:color w:val="auto"/>
              </w:rPr>
              <w:t>General Restrictions</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8.2</w:t>
            </w:r>
          </w:p>
        </w:tc>
        <w:tc>
          <w:tcPr>
            <w:tcW w:w="7040" w:type="dxa"/>
            <w:vAlign w:val="bottom"/>
          </w:tcPr>
          <w:p>
            <w:pPr>
              <w:ind w:left="160"/>
              <w:spacing w:after="0"/>
              <w:rPr>
                <w:sz w:val="20"/>
                <w:szCs w:val="20"/>
                <w:color w:val="auto"/>
              </w:rPr>
            </w:pPr>
            <w:r>
              <w:rPr>
                <w:rFonts w:ascii="Arial" w:cs="Arial" w:eastAsia="Arial" w:hAnsi="Arial"/>
                <w:sz w:val="18"/>
                <w:szCs w:val="18"/>
                <w:color w:val="auto"/>
              </w:rPr>
              <w:t>Substitute Members</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8.3</w:t>
            </w:r>
          </w:p>
        </w:tc>
        <w:tc>
          <w:tcPr>
            <w:tcW w:w="7040" w:type="dxa"/>
            <w:vAlign w:val="bottom"/>
          </w:tcPr>
          <w:p>
            <w:pPr>
              <w:ind w:left="160"/>
              <w:spacing w:after="0"/>
              <w:rPr>
                <w:sz w:val="20"/>
                <w:szCs w:val="20"/>
                <w:color w:val="auto"/>
              </w:rPr>
            </w:pPr>
            <w:r>
              <w:rPr>
                <w:rFonts w:ascii="Arial" w:cs="Arial" w:eastAsia="Arial" w:hAnsi="Arial"/>
                <w:sz w:val="18"/>
                <w:szCs w:val="18"/>
                <w:color w:val="auto"/>
              </w:rPr>
              <w:t>Effect of Admission as a Substitute Member</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8.4</w:t>
            </w:r>
          </w:p>
        </w:tc>
        <w:tc>
          <w:tcPr>
            <w:tcW w:w="7040" w:type="dxa"/>
            <w:vAlign w:val="bottom"/>
          </w:tcPr>
          <w:p>
            <w:pPr>
              <w:ind w:left="160"/>
              <w:spacing w:after="0"/>
              <w:rPr>
                <w:sz w:val="20"/>
                <w:szCs w:val="20"/>
                <w:color w:val="auto"/>
              </w:rPr>
            </w:pPr>
            <w:r>
              <w:rPr>
                <w:rFonts w:ascii="Arial" w:cs="Arial" w:eastAsia="Arial" w:hAnsi="Arial"/>
                <w:sz w:val="18"/>
                <w:szCs w:val="18"/>
                <w:color w:val="auto"/>
              </w:rPr>
              <w:t>Consent</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8.5</w:t>
            </w:r>
          </w:p>
        </w:tc>
        <w:tc>
          <w:tcPr>
            <w:tcW w:w="7040" w:type="dxa"/>
            <w:vAlign w:val="bottom"/>
          </w:tcPr>
          <w:p>
            <w:pPr>
              <w:ind w:left="160"/>
              <w:spacing w:after="0"/>
              <w:rPr>
                <w:sz w:val="20"/>
                <w:szCs w:val="20"/>
                <w:color w:val="auto"/>
              </w:rPr>
            </w:pPr>
            <w:r>
              <w:rPr>
                <w:rFonts w:ascii="Arial" w:cs="Arial" w:eastAsia="Arial" w:hAnsi="Arial"/>
                <w:sz w:val="18"/>
                <w:szCs w:val="18"/>
                <w:color w:val="auto"/>
              </w:rPr>
              <w:t>No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8.6</w:t>
            </w:r>
          </w:p>
        </w:tc>
        <w:tc>
          <w:tcPr>
            <w:tcW w:w="7040" w:type="dxa"/>
            <w:vAlign w:val="bottom"/>
          </w:tcPr>
          <w:p>
            <w:pPr>
              <w:ind w:left="160"/>
              <w:spacing w:after="0"/>
              <w:rPr>
                <w:sz w:val="20"/>
                <w:szCs w:val="20"/>
                <w:color w:val="auto"/>
              </w:rPr>
            </w:pPr>
            <w:r>
              <w:rPr>
                <w:rFonts w:ascii="Arial" w:cs="Arial" w:eastAsia="Arial" w:hAnsi="Arial"/>
                <w:sz w:val="18"/>
                <w:szCs w:val="18"/>
                <w:color w:val="auto"/>
              </w:rPr>
              <w:t>Additional Members</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9 DISSOLUTION AND TERMINATION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9.1</w:t>
            </w:r>
          </w:p>
        </w:tc>
        <w:tc>
          <w:tcPr>
            <w:tcW w:w="7040" w:type="dxa"/>
            <w:vAlign w:val="bottom"/>
          </w:tcPr>
          <w:p>
            <w:pPr>
              <w:ind w:left="160"/>
              <w:spacing w:after="0"/>
              <w:rPr>
                <w:sz w:val="20"/>
                <w:szCs w:val="20"/>
                <w:color w:val="auto"/>
              </w:rPr>
            </w:pPr>
            <w:r>
              <w:rPr>
                <w:rFonts w:ascii="Arial" w:cs="Arial" w:eastAsia="Arial" w:hAnsi="Arial"/>
                <w:sz w:val="18"/>
                <w:szCs w:val="18"/>
                <w:color w:val="auto"/>
              </w:rPr>
              <w:t>Events Causing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9.2</w:t>
            </w:r>
          </w:p>
        </w:tc>
        <w:tc>
          <w:tcPr>
            <w:tcW w:w="7040" w:type="dxa"/>
            <w:vAlign w:val="bottom"/>
          </w:tcPr>
          <w:p>
            <w:pPr>
              <w:ind w:left="160"/>
              <w:spacing w:after="0"/>
              <w:rPr>
                <w:sz w:val="20"/>
                <w:szCs w:val="20"/>
                <w:color w:val="auto"/>
              </w:rPr>
            </w:pPr>
            <w:r>
              <w:rPr>
                <w:rFonts w:ascii="Arial" w:cs="Arial" w:eastAsia="Arial" w:hAnsi="Arial"/>
                <w:sz w:val="18"/>
                <w:szCs w:val="18"/>
                <w:color w:val="auto"/>
              </w:rPr>
              <w:t>Final Accounting</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9.3</w:t>
            </w:r>
          </w:p>
        </w:tc>
        <w:tc>
          <w:tcPr>
            <w:tcW w:w="7040" w:type="dxa"/>
            <w:vAlign w:val="bottom"/>
          </w:tcPr>
          <w:p>
            <w:pPr>
              <w:ind w:left="160"/>
              <w:spacing w:after="0"/>
              <w:rPr>
                <w:sz w:val="20"/>
                <w:szCs w:val="20"/>
                <w:color w:val="auto"/>
              </w:rPr>
            </w:pPr>
            <w:r>
              <w:rPr>
                <w:rFonts w:ascii="Arial" w:cs="Arial" w:eastAsia="Arial" w:hAnsi="Arial"/>
                <w:sz w:val="18"/>
                <w:szCs w:val="18"/>
                <w:color w:val="auto"/>
              </w:rPr>
              <w:t>Distributions Following Dissolution and Termination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9.4</w:t>
            </w:r>
          </w:p>
        </w:tc>
        <w:tc>
          <w:tcPr>
            <w:tcW w:w="7040" w:type="dxa"/>
            <w:vAlign w:val="bottom"/>
          </w:tcPr>
          <w:p>
            <w:pPr>
              <w:ind w:left="160"/>
              <w:spacing w:after="0"/>
              <w:rPr>
                <w:sz w:val="20"/>
                <w:szCs w:val="20"/>
                <w:color w:val="auto"/>
              </w:rPr>
            </w:pPr>
            <w:r>
              <w:rPr>
                <w:rFonts w:ascii="Arial" w:cs="Arial" w:eastAsia="Arial" w:hAnsi="Arial"/>
                <w:sz w:val="18"/>
                <w:szCs w:val="18"/>
                <w:color w:val="auto"/>
              </w:rPr>
              <w:t>Termination of the Company</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9.5</w:t>
            </w:r>
          </w:p>
        </w:tc>
        <w:tc>
          <w:tcPr>
            <w:tcW w:w="7040" w:type="dxa"/>
            <w:vAlign w:val="bottom"/>
          </w:tcPr>
          <w:p>
            <w:pPr>
              <w:ind w:left="160"/>
              <w:spacing w:after="0"/>
              <w:rPr>
                <w:sz w:val="20"/>
                <w:szCs w:val="20"/>
                <w:color w:val="auto"/>
              </w:rPr>
            </w:pPr>
            <w:r>
              <w:rPr>
                <w:rFonts w:ascii="Arial" w:cs="Arial" w:eastAsia="Arial" w:hAnsi="Arial"/>
                <w:sz w:val="18"/>
                <w:szCs w:val="18"/>
                <w:color w:val="auto"/>
              </w:rPr>
              <w:t>No Action for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10 ACCOUNTING; BOOKS AND RECORDS</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10.1</w:t>
            </w:r>
          </w:p>
        </w:tc>
        <w:tc>
          <w:tcPr>
            <w:tcW w:w="7040" w:type="dxa"/>
            <w:vAlign w:val="bottom"/>
          </w:tcPr>
          <w:p>
            <w:pPr>
              <w:ind w:left="160"/>
              <w:spacing w:after="0"/>
              <w:rPr>
                <w:sz w:val="20"/>
                <w:szCs w:val="20"/>
                <w:color w:val="auto"/>
              </w:rPr>
            </w:pPr>
            <w:r>
              <w:rPr>
                <w:rFonts w:ascii="Arial" w:cs="Arial" w:eastAsia="Arial" w:hAnsi="Arial"/>
                <w:sz w:val="18"/>
                <w:szCs w:val="18"/>
                <w:color w:val="auto"/>
              </w:rPr>
              <w:t>Fiscal Year and Accounting Method</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10.2</w:t>
            </w:r>
          </w:p>
        </w:tc>
        <w:tc>
          <w:tcPr>
            <w:tcW w:w="704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10.3</w:t>
            </w:r>
          </w:p>
        </w:tc>
        <w:tc>
          <w:tcPr>
            <w:tcW w:w="7040" w:type="dxa"/>
            <w:vAlign w:val="bottom"/>
          </w:tcPr>
          <w:p>
            <w:pPr>
              <w:ind w:left="160"/>
              <w:spacing w:after="0"/>
              <w:rPr>
                <w:sz w:val="20"/>
                <w:szCs w:val="20"/>
                <w:color w:val="auto"/>
              </w:rPr>
            </w:pPr>
            <w:r>
              <w:rPr>
                <w:rFonts w:ascii="Arial" w:cs="Arial" w:eastAsia="Arial" w:hAnsi="Arial"/>
                <w:sz w:val="18"/>
                <w:szCs w:val="18"/>
                <w:color w:val="auto"/>
              </w:rPr>
              <w:t>Delivery to Members; Inspection</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10.4</w:t>
            </w:r>
          </w:p>
        </w:tc>
        <w:tc>
          <w:tcPr>
            <w:tcW w:w="7040" w:type="dxa"/>
            <w:vAlign w:val="bottom"/>
          </w:tcPr>
          <w:p>
            <w:pPr>
              <w:ind w:left="160"/>
              <w:spacing w:after="0"/>
              <w:rPr>
                <w:sz w:val="20"/>
                <w:szCs w:val="20"/>
                <w:color w:val="auto"/>
              </w:rPr>
            </w:pPr>
            <w:r>
              <w:rPr>
                <w:rFonts w:ascii="Arial" w:cs="Arial" w:eastAsia="Arial" w:hAnsi="Arial"/>
                <w:sz w:val="18"/>
                <w:szCs w:val="18"/>
                <w:color w:val="auto"/>
              </w:rPr>
              <w:t>Non-Disclosure</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11 NON-COMPETITION AND NON-SOLICITATION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11.1</w:t>
            </w:r>
          </w:p>
        </w:tc>
        <w:tc>
          <w:tcPr>
            <w:tcW w:w="7040" w:type="dxa"/>
            <w:vAlign w:val="bottom"/>
          </w:tcPr>
          <w:p>
            <w:pPr>
              <w:ind w:left="160"/>
              <w:spacing w:after="0"/>
              <w:rPr>
                <w:sz w:val="20"/>
                <w:szCs w:val="20"/>
                <w:color w:val="auto"/>
              </w:rPr>
            </w:pPr>
            <w:r>
              <w:rPr>
                <w:rFonts w:ascii="Arial" w:cs="Arial" w:eastAsia="Arial" w:hAnsi="Arial"/>
                <w:sz w:val="18"/>
                <w:szCs w:val="18"/>
                <w:color w:val="auto"/>
              </w:rPr>
              <w:t>Non-Competition</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11.2</w:t>
            </w:r>
          </w:p>
        </w:tc>
        <w:tc>
          <w:tcPr>
            <w:tcW w:w="7040" w:type="dxa"/>
            <w:vAlign w:val="bottom"/>
          </w:tcPr>
          <w:p>
            <w:pPr>
              <w:ind w:left="160"/>
              <w:spacing w:after="0"/>
              <w:rPr>
                <w:sz w:val="20"/>
                <w:szCs w:val="20"/>
                <w:color w:val="auto"/>
              </w:rPr>
            </w:pPr>
            <w:r>
              <w:rPr>
                <w:rFonts w:ascii="Arial" w:cs="Arial" w:eastAsia="Arial" w:hAnsi="Arial"/>
                <w:sz w:val="18"/>
                <w:szCs w:val="18"/>
                <w:color w:val="auto"/>
              </w:rPr>
              <w:t>Non-Solicitation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11.3</w:t>
            </w:r>
          </w:p>
        </w:tc>
        <w:tc>
          <w:tcPr>
            <w:tcW w:w="7040" w:type="dxa"/>
            <w:vAlign w:val="bottom"/>
          </w:tcPr>
          <w:p>
            <w:pPr>
              <w:ind w:left="160"/>
              <w:spacing w:after="0"/>
              <w:rPr>
                <w:sz w:val="20"/>
                <w:szCs w:val="20"/>
                <w:color w:val="auto"/>
              </w:rPr>
            </w:pPr>
            <w:r>
              <w:rPr>
                <w:rFonts w:ascii="Arial" w:cs="Arial" w:eastAsia="Arial" w:hAnsi="Arial"/>
                <w:sz w:val="18"/>
                <w:szCs w:val="18"/>
                <w:color w:val="auto"/>
              </w:rPr>
              <w:t>Damages</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11.4</w:t>
            </w:r>
          </w:p>
        </w:tc>
        <w:tc>
          <w:tcPr>
            <w:tcW w:w="7040" w:type="dxa"/>
            <w:vAlign w:val="bottom"/>
          </w:tcPr>
          <w:p>
            <w:pPr>
              <w:ind w:left="160"/>
              <w:spacing w:after="0"/>
              <w:rPr>
                <w:sz w:val="20"/>
                <w:szCs w:val="20"/>
                <w:color w:val="auto"/>
              </w:rPr>
            </w:pPr>
            <w:r>
              <w:rPr>
                <w:rFonts w:ascii="Arial" w:cs="Arial" w:eastAsia="Arial" w:hAnsi="Arial"/>
                <w:sz w:val="18"/>
                <w:szCs w:val="18"/>
                <w:color w:val="auto"/>
              </w:rPr>
              <w:t>Limitations</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12 MISCELLANEOUS</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12.1</w:t>
            </w:r>
          </w:p>
        </w:tc>
        <w:tc>
          <w:tcPr>
            <w:tcW w:w="7040" w:type="dxa"/>
            <w:vAlign w:val="bottom"/>
          </w:tcPr>
          <w:p>
            <w:pPr>
              <w:ind w:left="160"/>
              <w:spacing w:after="0"/>
              <w:rPr>
                <w:sz w:val="20"/>
                <w:szCs w:val="20"/>
                <w:color w:val="auto"/>
              </w:rPr>
            </w:pPr>
            <w:r>
              <w:rPr>
                <w:rFonts w:ascii="Arial" w:cs="Arial" w:eastAsia="Arial" w:hAnsi="Arial"/>
                <w:sz w:val="18"/>
                <w:szCs w:val="18"/>
                <w:color w:val="auto"/>
              </w:rPr>
              <w:t>Waiver of Default</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12.2</w:t>
            </w:r>
          </w:p>
        </w:tc>
        <w:tc>
          <w:tcPr>
            <w:tcW w:w="7040" w:type="dxa"/>
            <w:vAlign w:val="bottom"/>
          </w:tcPr>
          <w:p>
            <w:pPr>
              <w:ind w:left="160"/>
              <w:spacing w:after="0"/>
              <w:rPr>
                <w:sz w:val="20"/>
                <w:szCs w:val="20"/>
                <w:color w:val="auto"/>
              </w:rPr>
            </w:pPr>
            <w:r>
              <w:rPr>
                <w:rFonts w:ascii="Arial" w:cs="Arial" w:eastAsia="Arial" w:hAnsi="Arial"/>
                <w:sz w:val="18"/>
                <w:szCs w:val="18"/>
                <w:color w:val="auto"/>
              </w:rPr>
              <w:t>Amendment</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12.3</w:t>
            </w:r>
          </w:p>
        </w:tc>
        <w:tc>
          <w:tcPr>
            <w:tcW w:w="7040" w:type="dxa"/>
            <w:vAlign w:val="bottom"/>
          </w:tcPr>
          <w:p>
            <w:pPr>
              <w:ind w:left="160"/>
              <w:spacing w:after="0"/>
              <w:rPr>
                <w:sz w:val="20"/>
                <w:szCs w:val="20"/>
                <w:color w:val="auto"/>
              </w:rPr>
            </w:pPr>
            <w:r>
              <w:rPr>
                <w:rFonts w:ascii="Arial" w:cs="Arial" w:eastAsia="Arial" w:hAnsi="Arial"/>
                <w:sz w:val="18"/>
                <w:szCs w:val="18"/>
                <w:color w:val="auto"/>
              </w:rPr>
              <w:t>No Third Party Rights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12.4</w:t>
            </w:r>
          </w:p>
        </w:tc>
        <w:tc>
          <w:tcPr>
            <w:tcW w:w="704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12.5</w:t>
            </w:r>
          </w:p>
        </w:tc>
        <w:tc>
          <w:tcPr>
            <w:tcW w:w="7040" w:type="dxa"/>
            <w:vAlign w:val="bottom"/>
          </w:tcPr>
          <w:p>
            <w:pPr>
              <w:ind w:left="160"/>
              <w:spacing w:after="0"/>
              <w:rPr>
                <w:sz w:val="20"/>
                <w:szCs w:val="20"/>
                <w:color w:val="auto"/>
              </w:rPr>
            </w:pPr>
            <w:r>
              <w:rPr>
                <w:rFonts w:ascii="Arial" w:cs="Arial" w:eastAsia="Arial" w:hAnsi="Arial"/>
                <w:sz w:val="18"/>
                <w:szCs w:val="18"/>
                <w:color w:val="auto"/>
              </w:rPr>
              <w:t>Nature of Interest in the Company</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12.6</w:t>
            </w:r>
          </w:p>
        </w:tc>
        <w:tc>
          <w:tcPr>
            <w:tcW w:w="7040" w:type="dxa"/>
            <w:vAlign w:val="bottom"/>
          </w:tcPr>
          <w:p>
            <w:pPr>
              <w:ind w:left="160"/>
              <w:spacing w:after="0"/>
              <w:rPr>
                <w:sz w:val="20"/>
                <w:szCs w:val="20"/>
                <w:color w:val="auto"/>
              </w:rPr>
            </w:pPr>
            <w:r>
              <w:rPr>
                <w:rFonts w:ascii="Arial" w:cs="Arial" w:eastAsia="Arial" w:hAnsi="Arial"/>
                <w:sz w:val="18"/>
                <w:szCs w:val="18"/>
                <w:color w:val="auto"/>
              </w:rPr>
              <w:t>Binding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12.7</w:t>
            </w:r>
          </w:p>
        </w:tc>
        <w:tc>
          <w:tcPr>
            <w:tcW w:w="7040" w:type="dxa"/>
            <w:vAlign w:val="bottom"/>
          </w:tcPr>
          <w:p>
            <w:pPr>
              <w:ind w:left="160"/>
              <w:spacing w:after="0"/>
              <w:rPr>
                <w:sz w:val="20"/>
                <w:szCs w:val="20"/>
                <w:color w:val="auto"/>
              </w:rPr>
            </w:pPr>
            <w:r>
              <w:rPr>
                <w:rFonts w:ascii="Arial" w:cs="Arial" w:eastAsia="Arial" w:hAnsi="Arial"/>
                <w:sz w:val="18"/>
                <w:szCs w:val="18"/>
                <w:color w:val="auto"/>
              </w:rPr>
              <w:t>Headings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12.8</w:t>
            </w:r>
          </w:p>
        </w:tc>
        <w:tc>
          <w:tcPr>
            <w:tcW w:w="7040" w:type="dxa"/>
            <w:vAlign w:val="bottom"/>
          </w:tcPr>
          <w:p>
            <w:pPr>
              <w:ind w:left="160"/>
              <w:spacing w:after="0"/>
              <w:rPr>
                <w:sz w:val="20"/>
                <w:szCs w:val="20"/>
                <w:color w:val="auto"/>
              </w:rPr>
            </w:pPr>
            <w:r>
              <w:rPr>
                <w:rFonts w:ascii="Arial" w:cs="Arial" w:eastAsia="Arial" w:hAnsi="Arial"/>
                <w:sz w:val="18"/>
                <w:szCs w:val="18"/>
                <w:color w:val="auto"/>
              </w:rPr>
              <w:t>Word Meanings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12.9</w:t>
            </w:r>
          </w:p>
        </w:tc>
        <w:tc>
          <w:tcPr>
            <w:tcW w:w="704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12.10</w:t>
            </w:r>
          </w:p>
        </w:tc>
        <w:tc>
          <w:tcPr>
            <w:tcW w:w="704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12.11</w:t>
            </w:r>
          </w:p>
        </w:tc>
        <w:tc>
          <w:tcPr>
            <w:tcW w:w="7040" w:type="dxa"/>
            <w:vAlign w:val="bottom"/>
          </w:tcPr>
          <w:p>
            <w:pPr>
              <w:ind w:left="160"/>
              <w:spacing w:after="0"/>
              <w:rPr>
                <w:sz w:val="20"/>
                <w:szCs w:val="20"/>
                <w:color w:val="auto"/>
              </w:rPr>
            </w:pPr>
            <w:r>
              <w:rPr>
                <w:rFonts w:ascii="Arial" w:cs="Arial" w:eastAsia="Arial" w:hAnsi="Arial"/>
                <w:sz w:val="18"/>
                <w:szCs w:val="18"/>
                <w:color w:val="auto"/>
              </w:rPr>
              <w:t>Partition</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12.12</w:t>
            </w:r>
          </w:p>
        </w:tc>
        <w:tc>
          <w:tcPr>
            <w:tcW w:w="7040" w:type="dxa"/>
            <w:vAlign w:val="bottom"/>
          </w:tcPr>
          <w:p>
            <w:pPr>
              <w:ind w:left="160"/>
              <w:spacing w:after="0"/>
              <w:rPr>
                <w:sz w:val="20"/>
                <w:szCs w:val="20"/>
                <w:color w:val="auto"/>
              </w:rPr>
            </w:pPr>
            <w:r>
              <w:rPr>
                <w:rFonts w:ascii="Arial" w:cs="Arial" w:eastAsia="Arial" w:hAnsi="Arial"/>
                <w:sz w:val="18"/>
                <w:szCs w:val="18"/>
                <w:color w:val="auto"/>
              </w:rPr>
              <w:t>Governing Law; Consent to Jurisdiction and Venue</w:t>
            </w:r>
          </w:p>
        </w:tc>
        <w:tc>
          <w:tcPr>
            <w:tcW w:w="32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11"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THIS THIRD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PAA GP Holdings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and entered into as of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2017, by the Company and is binding on the Persons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(such Persons together with such other Persons that may hereafter become members as provided herein, referred to collectively as the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or, individually, as a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the Company was formed on July 17, 2013 as a limited liability company under the Act (as defined below) by the filing of a certificate of formation of the Company with the Delaware Secretary of State; and</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Board has approved this Agreement and authorized the Company to amend and restate the Second Amended and Restated Limited Liability Company Agreement of PAA GP Holdings LLC dated as of November 15, 2016 (as amended, the “</w:t>
      </w:r>
      <w:r>
        <w:rPr>
          <w:rFonts w:ascii="Arial" w:cs="Arial" w:eastAsia="Arial" w:hAnsi="Arial"/>
          <w:sz w:val="18"/>
          <w:szCs w:val="18"/>
          <w:b w:val="1"/>
          <w:bCs w:val="1"/>
          <w:i w:val="1"/>
          <w:iCs w:val="1"/>
          <w:color w:val="auto"/>
        </w:rPr>
        <w:t>Second A&amp;R LLC Agreement</w:t>
      </w:r>
      <w:r>
        <w:rPr>
          <w:rFonts w:ascii="Arial" w:cs="Arial" w:eastAsia="Arial" w:hAnsi="Arial"/>
          <w:sz w:val="18"/>
          <w:szCs w:val="18"/>
          <w:color w:val="auto"/>
        </w:rPr>
        <w:t>”) in its entirety with the terms and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the Class A Units of AAP, having the rights and obligations specified in the AAP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the Class B Units of AAP, having the rights and obligations specified in the AAP Partnership Agreement.</w:t>
      </w:r>
    </w:p>
    <w:p>
      <w:pPr>
        <w:sectPr>
          <w:pgSz w:w="11900" w:h="16838" w:orient="portrait"/>
          <w:cols w:equalWidth="0" w:num="1">
            <w:col w:w="11420"/>
          </w:cols>
          <w:pgMar w:left="240" w:top="125" w:right="239" w:bottom="100" w:gutter="0" w:footer="0" w:header="0"/>
        </w:sectPr>
      </w:pPr>
    </w:p>
    <w:bookmarkStart w:id="4" w:name="page5"/>
    <w:bookmarkEnd w:id="4"/>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Redemption</w:t>
      </w:r>
      <w:r>
        <w:rPr>
          <w:rFonts w:ascii="Arial" w:cs="Arial" w:eastAsia="Arial" w:hAnsi="Arial"/>
          <w:sz w:val="18"/>
          <w:szCs w:val="18"/>
          <w:color w:val="auto"/>
        </w:rPr>
        <w:t>” means a redemption in accordance with Section 7.11 of the AAP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determination as to whether a Person, directly or indirectly through one or more intermediaries, controls, is controlled by or under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78" w:lineRule="exact"/>
        <w:rPr>
          <w:sz w:val="20"/>
          <w:szCs w:val="20"/>
          <w:color w:val="auto"/>
        </w:rPr>
      </w:pPr>
    </w:p>
    <w:p>
      <w:pPr>
        <w:jc w:val="both"/>
        <w:ind w:left="660" w:hanging="4"/>
        <w:spacing w:after="0" w:line="286" w:lineRule="auto"/>
        <w:tabs>
          <w:tab w:leader="none" w:pos="13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65" w:lineRule="exact"/>
        <w:rPr>
          <w:rFonts w:ascii="Arial" w:cs="Arial" w:eastAsia="Arial" w:hAnsi="Arial"/>
          <w:sz w:val="17"/>
          <w:szCs w:val="17"/>
          <w:color w:val="auto"/>
        </w:rPr>
      </w:pPr>
    </w:p>
    <w:p>
      <w:pPr>
        <w:ind w:left="660" w:right="360" w:hanging="4"/>
        <w:spacing w:after="0" w:line="264" w:lineRule="auto"/>
        <w:tabs>
          <w:tab w:leader="none" w:pos="136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81" w:lineRule="exact"/>
        <w:rPr>
          <w:rFonts w:ascii="Arial" w:cs="Arial" w:eastAsia="Arial" w:hAnsi="Arial"/>
          <w:sz w:val="18"/>
          <w:szCs w:val="18"/>
          <w:color w:val="auto"/>
        </w:rPr>
      </w:pPr>
    </w:p>
    <w:p>
      <w:pPr>
        <w:ind w:left="660" w:right="220" w:hanging="4"/>
        <w:spacing w:after="0" w:line="312" w:lineRule="auto"/>
        <w:tabs>
          <w:tab w:leader="none" w:pos="13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avoidance of doubt, for purposes of this Agreement, as of the date hereof (but subject to redetermination upon changed circumstances)</w:t>
      </w:r>
    </w:p>
    <w:p>
      <w:pPr>
        <w:spacing w:after="0" w:line="35" w:lineRule="exact"/>
        <w:rPr>
          <w:sz w:val="20"/>
          <w:szCs w:val="20"/>
          <w:color w:val="auto"/>
        </w:rPr>
      </w:pPr>
    </w:p>
    <w:p>
      <w:pPr>
        <w:ind w:right="60"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5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hereof, as such may be amended, supplemented or restated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hereof.</w:t>
      </w:r>
    </w:p>
    <w:p>
      <w:pPr>
        <w:sectPr>
          <w:pgSz w:w="11900" w:h="16838" w:orient="portrait"/>
          <w:cols w:equalWidth="0" w:num="1">
            <w:col w:w="11420"/>
          </w:cols>
          <w:pgMar w:left="240" w:top="125" w:right="239" w:bottom="0" w:gutter="0" w:footer="0" w:header="0"/>
        </w:sectPr>
      </w:pPr>
    </w:p>
    <w:bookmarkStart w:id="5" w:name="page6"/>
    <w:bookmarkEnd w:id="5"/>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means the Company and its Subsidiaries treated as a single consolidated entity, but excluding the MLP and its Subsidiaries.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Designating Members</w:t>
      </w:r>
      <w:r>
        <w:rPr>
          <w:rFonts w:ascii="Arial" w:cs="Arial" w:eastAsia="Arial" w:hAnsi="Arial"/>
          <w:sz w:val="18"/>
          <w:szCs w:val="18"/>
          <w:color w:val="auto"/>
        </w:rPr>
        <w:t>” means the Initial Designating Members and any Subsequent Designating Members, in each case until a Designation Loss Event with respect to such Member.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Loss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Right 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any Director that is not (a) designated by a Designating Member, (b) an Officer of the Company or (c) a Series A Designated Director.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the Original Members listed on Schedule 1 attached hereto, excluding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 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6"/>
          <w:szCs w:val="16"/>
          <w:i w:val="1"/>
          <w:iCs w:val="1"/>
          <w:color w:val="auto"/>
        </w:rPr>
        <w:t>provided</w:t>
      </w:r>
      <w:r>
        <w:rPr>
          <w:rFonts w:ascii="Arial" w:cs="Arial" w:eastAsia="Arial" w:hAnsi="Arial"/>
          <w:sz w:val="16"/>
          <w:szCs w:val="16"/>
          <w:color w:val="auto"/>
        </w:rPr>
        <w:t>, that a Person shall not be an Indemnitee by reason of providing, on a fee-for-services basis, trustee, fiduciary or custodial services, and (e) any Person the Board designates an “Indemnitee” for purposes of this Agreement.</w:t>
      </w:r>
    </w:p>
    <w:p>
      <w:pPr>
        <w:spacing w:after="0" w:line="16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Designating Members</w:t>
      </w:r>
      <w:r>
        <w:rPr>
          <w:rFonts w:ascii="Arial" w:cs="Arial" w:eastAsia="Arial" w:hAnsi="Arial"/>
          <w:sz w:val="18"/>
          <w:szCs w:val="18"/>
          <w:color w:val="auto"/>
        </w:rPr>
        <w:t>” means KAFU Holdings, L.P., Oxy and EMG Investment,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Investments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Common Units</w:t>
      </w:r>
      <w:r>
        <w:rPr>
          <w:rFonts w:ascii="Arial" w:cs="Arial" w:eastAsia="Arial" w:hAnsi="Arial"/>
          <w:sz w:val="18"/>
          <w:szCs w:val="18"/>
          <w:color w:val="auto"/>
        </w:rPr>
        <w:t>” has the meaning given to “Common Units” in the MLP Partnership Agreement.</w:t>
      </w:r>
    </w:p>
    <w:p>
      <w:pPr>
        <w:sectPr>
          <w:pgSz w:w="11900" w:h="16874" w:orient="portrait"/>
          <w:cols w:equalWidth="0" w:num="1">
            <w:col w:w="11400"/>
          </w:cols>
          <w:pgMar w:left="240" w:top="125" w:right="259" w:bottom="0" w:gutter="0" w:footer="0" w:header="0"/>
        </w:sectPr>
      </w:pPr>
    </w:p>
    <w:bookmarkStart w:id="6" w:name="page7"/>
    <w:bookmarkEnd w:id="6"/>
    <w:p>
      <w:pPr>
        <w:spacing w:after="0" w:line="36"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Redemption Units</w:t>
      </w:r>
      <w:r>
        <w:rPr>
          <w:rFonts w:ascii="Arial" w:cs="Arial" w:eastAsia="Arial" w:hAnsi="Arial"/>
          <w:sz w:val="18"/>
          <w:szCs w:val="18"/>
          <w:color w:val="auto"/>
        </w:rPr>
        <w:t>” means MLP Common Units received by a Member upon an AAP Redemption.</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National Securities Exchange</w:t>
      </w:r>
      <w:r>
        <w:rPr>
          <w:rFonts w:ascii="Arial" w:cs="Arial" w:eastAsia="Arial" w:hAnsi="Arial"/>
          <w:sz w:val="18"/>
          <w:szCs w:val="18"/>
          <w:color w:val="auto"/>
        </w:rPr>
        <w:t>” means an exchange registered with the Commission under Section 6(a) of the Securities Exchange Act or any successor to such statute.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a writing, containing the information required by this Agreement to be communicated to a party, and shall be deemed to have been received (a) 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 means each of the owners of limited liability company interests in the Company as of the date of the Original Agreement as set forth in Schedule 1 attached hereto.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 LLC Agreement</w:t>
      </w:r>
      <w:r>
        <w:rPr>
          <w:rFonts w:ascii="Arial" w:cs="Arial" w:eastAsia="Arial" w:hAnsi="Arial"/>
          <w:sz w:val="16"/>
          <w:szCs w:val="16"/>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the Class A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the Class B shares in PAGP, having the rights and obligations specified in the PAGP Partnership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means the Class C shares in PAGP, having the rights and obligations specified in the PAGP Partnership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Limited Partners</w:t>
      </w:r>
      <w:r>
        <w:rPr>
          <w:rFonts w:ascii="Arial" w:cs="Arial" w:eastAsia="Arial" w:hAnsi="Arial"/>
          <w:sz w:val="18"/>
          <w:szCs w:val="18"/>
          <w:color w:val="auto"/>
        </w:rPr>
        <w:t>” means the Limited Partners of PAGP as such term is given meaning in the PAGP Partnership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Partnership Agreement</w:t>
      </w:r>
      <w:r>
        <w:rPr>
          <w:rFonts w:ascii="Arial" w:cs="Arial" w:eastAsia="Arial" w:hAnsi="Arial"/>
          <w:sz w:val="18"/>
          <w:szCs w:val="18"/>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Reverse Stock Split</w:t>
      </w:r>
      <w:r>
        <w:rPr>
          <w:rFonts w:ascii="Arial" w:cs="Arial" w:eastAsia="Arial" w:hAnsi="Arial"/>
          <w:sz w:val="18"/>
          <w:szCs w:val="18"/>
          <w:color w:val="auto"/>
        </w:rPr>
        <w:t>” has the meaning set forth in that certain Simplification Agreement, dated as of July 11, 2016, by and among the Company, PAGP, AAP, the MLP, PAA GP LLC and Plains All American GP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Person who shall have acquired and who shall hold a Company Unit pursuant to a Permitted Transfer.</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b w:val="1"/>
          <w:bCs w:val="1"/>
          <w:i w:val="1"/>
          <w:iCs w:val="1"/>
          <w:color w:val="auto"/>
        </w:rPr>
        <w:t xml:space="preserve">“Qualifying Interest” </w:t>
      </w:r>
      <w:r>
        <w:rPr>
          <w:rFonts w:ascii="Arial" w:cs="Arial" w:eastAsia="Arial" w:hAnsi="Arial"/>
          <w:sz w:val="16"/>
          <w:szCs w:val="16"/>
          <w:color w:val="auto"/>
        </w:rPr>
        <w:t>means a direct or indirect ownership interest in the issued and outstanding limited partner interests of AAP represented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AAP Class A Units (i.e., excluding any AAP Class B Units) and, solely with respect to the Initial Designating Members, (a) including for this purpose any indirect ownership of such AAP Class A Units through the ownership of issued and outstanding PAGP Class A Shares, and (b) treating any MLP Common Units held by an Initial Designating Member that were issued to such Initial Designating Member in connection with an AAP Redemption as an equivalent number of AAP Class A Units; it being understood that the phrase “issued and outstanding limited partner interests 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AAP represented by AAP Class A Units” as used in this definition shall mean the total number of such AAP Class A Units outstanding on the date hereof, after giving effect to the closing of the transactions contemplated by that certain Simplification Agreement dated July 11, 2016 by and among the Company, PAGP and the MLP, among others, and without (i) reduction for any AAP Redemptions taking place after the date hereof or (ii) increase for any issuances of AAP Class A Units to PAGP after the date hereof (in accordance with the Omnibus Agreement contemplated by the PAGP Partnership Agreement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ectPr>
          <w:pgSz w:w="11900" w:h="16874" w:orient="portrait"/>
          <w:cols w:equalWidth="0" w:num="1">
            <w:col w:w="11380"/>
          </w:cols>
          <w:pgMar w:left="240" w:top="341" w:right="279" w:bottom="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A&amp;R LLC 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supplemented or restated from time to time and any successor to such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Designating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6.1(a)(iii)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6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Formation</w:t>
      </w:r>
      <w:r>
        <w:rPr>
          <w:rFonts w:ascii="Arial" w:cs="Arial" w:eastAsia="Arial" w:hAnsi="Arial"/>
          <w:sz w:val="17"/>
          <w:szCs w:val="17"/>
          <w:color w:val="auto"/>
        </w:rPr>
        <w:t>.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Suite 1600, Houston, Texas 77002 or at such other place(s) as the Board may determine from time to time.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 State of Delaware shall be as stated in the Certificate or as determined from time to time by the Board.</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Purpose of the Company</w:t>
      </w:r>
      <w:r>
        <w:rPr>
          <w:rFonts w:ascii="Arial" w:cs="Arial" w:eastAsia="Arial" w:hAnsi="Arial"/>
          <w:sz w:val="16"/>
          <w:szCs w:val="16"/>
          <w:color w:val="auto"/>
        </w:rPr>
        <w:t>. The Company’s purposes, and the nature of the business to be conducted and promoted by the Company, are</w:t>
      </w:r>
    </w:p>
    <w:p>
      <w:pPr>
        <w:spacing w:after="0" w:line="23" w:lineRule="exact"/>
        <w:rPr>
          <w:sz w:val="20"/>
          <w:szCs w:val="20"/>
          <w:color w:val="auto"/>
        </w:rPr>
      </w:pPr>
    </w:p>
    <w:p>
      <w:pPr>
        <w:ind w:right="680" w:firstLine="8"/>
        <w:spacing w:after="0" w:line="261"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act as the general partner of PAGP in accordance with the terms of the PAGP Partnership Agreement and (b) to engage in any and all activities necessary, advisable, convenient or incidental to the foregoing.</w:t>
      </w:r>
    </w:p>
    <w:p>
      <w:pPr>
        <w:spacing w:after="0" w:line="184"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4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Qualification</w:t>
      </w:r>
      <w:r>
        <w:rPr>
          <w:rFonts w:ascii="Arial" w:cs="Arial" w:eastAsia="Arial" w:hAnsi="Arial"/>
          <w:sz w:val="16"/>
          <w:szCs w:val="16"/>
          <w:color w:val="auto"/>
        </w:rPr>
        <w:t>.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5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300" w:firstLine="656"/>
        <w:spacing w:after="0" w:line="286" w:lineRule="auto"/>
        <w:tabs>
          <w:tab w:leader="none" w:pos="134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Powers of Members</w:t>
      </w:r>
      <w:r>
        <w:rPr>
          <w:rFonts w:ascii="Arial" w:cs="Arial" w:eastAsia="Arial" w:hAnsi="Arial"/>
          <w:sz w:val="17"/>
          <w:szCs w:val="17"/>
          <w:color w:val="auto"/>
        </w:rPr>
        <w:t>. Except to the extent waived or limited in a separate written agreement executed by a Member, the Members shall have the 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65" w:lineRule="exact"/>
        <w:rPr>
          <w:rFonts w:ascii="Arial" w:cs="Arial" w:eastAsia="Arial" w:hAnsi="Arial"/>
          <w:sz w:val="17"/>
          <w:szCs w:val="17"/>
          <w:color w:val="auto"/>
        </w:rPr>
      </w:pPr>
    </w:p>
    <w:p>
      <w:pPr>
        <w:jc w:val="both"/>
        <w:ind w:right="180" w:firstLine="656"/>
        <w:spacing w:after="0" w:line="264"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Except upon a Transfer of all of its Company Units in accordance with this Agreement, a Member may not resign from the Company prior to the dissolution and winding up of the Company. A Member ceases to be a Member only upon such Member holding no Company Units following: (i) a Permitted Transfer of all of such Member’s Company Units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(other than a “Permitted Transfer” pursuant to clause (a) of the definition of such term in the AAP Partnership Agreement) and the transferee’s admission as a substitute Member, all in accordance with the terms of this Agreement or (ii) completion of dissolution and winding up of the Company pursuant to </w:t>
      </w:r>
      <w:r>
        <w:rPr>
          <w:rFonts w:ascii="Arial" w:cs="Arial" w:eastAsia="Arial" w:hAnsi="Arial"/>
          <w:sz w:val="16"/>
          <w:szCs w:val="16"/>
          <w:u w:val="single" w:color="auto"/>
          <w:color w:val="auto"/>
        </w:rPr>
        <w:t>Article 9</w:t>
      </w:r>
      <w:r>
        <w:rPr>
          <w:rFonts w:ascii="Arial" w:cs="Arial" w:eastAsia="Arial" w:hAnsi="Arial"/>
          <w:sz w:val="16"/>
          <w:szCs w:val="16"/>
          <w:color w:val="auto"/>
        </w:rPr>
        <w:t>.</w:t>
      </w:r>
    </w:p>
    <w:p>
      <w:pPr>
        <w:spacing w:after="0" w:line="124" w:lineRule="exact"/>
        <w:rPr>
          <w:sz w:val="20"/>
          <w:szCs w:val="20"/>
          <w:color w:val="auto"/>
        </w:rPr>
      </w:pPr>
    </w:p>
    <w:p>
      <w:pPr>
        <w:ind w:right="160" w:firstLine="656"/>
        <w:spacing w:after="0" w:line="264" w:lineRule="auto"/>
        <w:tabs>
          <w:tab w:leader="none" w:pos="134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Company Unit shall correspond to a “limited liability company interest” as is provided in the Act. The Company shall be the owner of the Property. No Member shall have any ownership interest or right in any Property, including any Property conveyed by a Member to the Company, except indirectly by virtue of a Member’s ownership of a Company Unit.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Persons dealing with the Company shall be entitled to rely conclusively upon the power and authority of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380"/>
          </w:cols>
          <w:pgMar w:left="240" w:top="341" w:right="279" w:bottom="18"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 OF THE COMPANY</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xml:space="preserve">. No capital was contributed to the Company in connection with its formation. The number of Company Units owned by each Member as of November 15, 2016 is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Additional Capital Contributions</w:t>
      </w:r>
      <w:r>
        <w:rPr>
          <w:rFonts w:ascii="Arial" w:cs="Arial" w:eastAsia="Arial" w:hAnsi="Arial"/>
          <w:sz w:val="16"/>
          <w:szCs w:val="16"/>
          <w:color w:val="auto"/>
        </w:rPr>
        <w:t>. No Member shall be required to make any capital contribution to the Company.</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Splits</w:t>
      </w:r>
      <w:r>
        <w:rPr>
          <w:rFonts w:ascii="Arial" w:cs="Arial" w:eastAsia="Arial" w:hAnsi="Arial"/>
          <w:sz w:val="17"/>
          <w:szCs w:val="17"/>
          <w:color w:val="auto"/>
        </w:rPr>
        <w:t>.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 The Board shall have sole discretion to determine the timing, amount and manner of any distribution of cash or property of the Company. Any distribution declared by the Board shall be paid to the Members in proportion to their Company Units.</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Persons Entitled to Distributions</w:t>
      </w:r>
      <w:r>
        <w:rPr>
          <w:rFonts w:ascii="Arial" w:cs="Arial" w:eastAsia="Arial" w:hAnsi="Arial"/>
          <w:sz w:val="16"/>
          <w:szCs w:val="16"/>
          <w:color w:val="auto"/>
        </w:rPr>
        <w:t xml:space="preserve">. Any distributions to Members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MEETINGS</w:t>
      </w:r>
    </w:p>
    <w:p>
      <w:pPr>
        <w:spacing w:after="0" w:line="2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Meetings of Members</w:t>
      </w:r>
      <w:r>
        <w:rPr>
          <w:rFonts w:ascii="Arial" w:cs="Arial" w:eastAsia="Arial" w:hAnsi="Arial"/>
          <w:sz w:val="18"/>
          <w:szCs w:val="18"/>
          <w:color w:val="auto"/>
        </w:rPr>
        <w:t>.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9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Quorum; Voting Requirement</w:t>
      </w:r>
      <w:r>
        <w:rPr>
          <w:rFonts w:ascii="Arial" w:cs="Arial" w:eastAsia="Arial" w:hAnsi="Arial"/>
          <w:sz w:val="18"/>
          <w:szCs w:val="18"/>
          <w:color w:val="auto"/>
        </w:rPr>
        <w:t>.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Proxies</w:t>
      </w:r>
      <w:r>
        <w:rPr>
          <w:rFonts w:ascii="Arial" w:cs="Arial" w:eastAsia="Arial" w:hAnsi="Arial"/>
          <w:sz w:val="18"/>
          <w:szCs w:val="18"/>
          <w:color w:val="auto"/>
        </w:rPr>
        <w:t xml:space="preserve">. Any Member entitled to vote but expecting to be absent from a meeting shall be entitled to designate in writing (or orally; </w:t>
      </w:r>
      <w:r>
        <w:rPr>
          <w:rFonts w:ascii="Arial" w:cs="Arial" w:eastAsia="Arial" w:hAnsi="Arial"/>
          <w:sz w:val="18"/>
          <w:szCs w:val="18"/>
          <w:i w:val="1"/>
          <w:iCs w:val="1"/>
          <w:color w:val="auto"/>
        </w:rPr>
        <w:t>provided</w:t>
      </w:r>
      <w:r>
        <w:rPr>
          <w:rFonts w:ascii="Arial" w:cs="Arial" w:eastAsia="Arial" w:hAnsi="Arial"/>
          <w:sz w:val="18"/>
          <w:szCs w:val="18"/>
          <w:color w:val="auto"/>
        </w:rPr>
        <w:t>, that such oral designation is later confirmed in writing) a proxy (an “</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to act on behalf of such Member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w:t>
      </w:r>
      <w:r>
        <w:rPr>
          <w:rFonts w:ascii="Arial" w:cs="Arial" w:eastAsia="Arial" w:hAnsi="Arial"/>
          <w:sz w:val="17"/>
          <w:szCs w:val="17"/>
          <w:color w:val="auto"/>
        </w:rPr>
        <w:t>.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 any Notice is required to be given to any Member hereunder, a waiver thereof in writing signed by the Member or its Authorized Representative,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CONTROL</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ectPr>
          <w:pgSz w:w="11900" w:h="16838" w:orient="portrait"/>
          <w:cols w:equalWidth="0" w:num="1">
            <w:col w:w="11420"/>
          </w:cols>
          <w:pgMar w:left="240" w:top="121" w:right="239" w:bottom="0" w:gutter="0" w:footer="0" w:header="0"/>
        </w:sectPr>
      </w:pPr>
    </w:p>
    <w:bookmarkStart w:id="9" w:name="page10"/>
    <w:bookmarkEnd w:id="9"/>
    <w:p>
      <w:pPr>
        <w:ind w:left="-20" w:right="80" w:firstLine="656"/>
        <w:spacing w:after="0" w:line="255" w:lineRule="auto"/>
        <w:tabs>
          <w:tab w:leader="none" w:pos="127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consist of twelve (plus up to one additional Director which may be appointed by the Series A Preferred Unitholders pursuant to </w:t>
      </w:r>
      <w:r>
        <w:rPr>
          <w:rFonts w:ascii="Arial" w:cs="Arial" w:eastAsia="Arial" w:hAnsi="Arial"/>
          <w:sz w:val="18"/>
          <w:szCs w:val="18"/>
          <w:u w:val="single" w:color="auto"/>
          <w:color w:val="auto"/>
        </w:rPr>
        <w:t>Section 6.1(c)</w:t>
      </w:r>
      <w:r>
        <w:rPr>
          <w:rFonts w:ascii="Arial" w:cs="Arial" w:eastAsia="Arial" w:hAnsi="Arial"/>
          <w:sz w:val="18"/>
          <w:szCs w:val="18"/>
          <w:color w:val="auto"/>
        </w:rPr>
        <w:t>) individuals designated as directors of the Company (the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40" w:firstLine="645"/>
        <w:spacing w:after="0" w:line="269" w:lineRule="auto"/>
        <w:tabs>
          <w:tab w:leader="none" w:pos="1958"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as of the date hereof shall be a Director and shall serve as Chairman of the Board. Subject to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at any time there shall be fewer than the required number of Independent Directors, the Board shall take such actions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may be necessary to cause the Board to re-establish the required number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to this Agreement. Each Director shall hold office until his or her successor is elected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until his or her earlier death, resignation or removal.</w:t>
      </w:r>
    </w:p>
    <w:p>
      <w:pPr>
        <w:spacing w:after="0" w:line="179" w:lineRule="exact"/>
        <w:rPr>
          <w:rFonts w:ascii="Arial" w:cs="Arial" w:eastAsia="Arial" w:hAnsi="Arial"/>
          <w:sz w:val="17"/>
          <w:szCs w:val="17"/>
          <w:color w:val="auto"/>
        </w:rPr>
      </w:pPr>
    </w:p>
    <w:p>
      <w:pPr>
        <w:ind w:left="640" w:right="20" w:firstLine="645"/>
        <w:spacing w:after="0" w:line="264" w:lineRule="auto"/>
        <w:tabs>
          <w:tab w:leader="none" w:pos="1967"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designated Director may also be removed by majority vote of the remaining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60"/>
        <w:spacing w:after="0" w:line="271" w:lineRule="auto"/>
        <w:rPr>
          <w:sz w:val="20"/>
          <w:szCs w:val="20"/>
          <w:color w:val="auto"/>
        </w:rPr>
      </w:pPr>
      <w:r>
        <w:rPr>
          <w:rFonts w:ascii="Arial" w:cs="Arial" w:eastAsia="Arial" w:hAnsi="Arial"/>
          <w:sz w:val="17"/>
          <w:szCs w:val="17"/>
          <w:color w:val="auto"/>
        </w:rPr>
        <w:t xml:space="preserve">Directors if such removal is for Cause. 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a Director serving as an Officer of the Company no longer holds such office for any reason, such individual shall be automatically removed as a Director and (i) in the case of the Chief Executive Officer,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 and (ii) in the case of any other Officer, the Board shall fill the vacancy by a majority vote of the remaining Directors.</w:t>
      </w:r>
    </w:p>
    <w:p>
      <w:pPr>
        <w:spacing w:after="0" w:line="179" w:lineRule="exact"/>
        <w:rPr>
          <w:sz w:val="20"/>
          <w:szCs w:val="20"/>
          <w:color w:val="auto"/>
        </w:rPr>
      </w:pPr>
    </w:p>
    <w:p>
      <w:pPr>
        <w:ind w:left="640" w:right="20" w:firstLine="645"/>
        <w:spacing w:after="0" w:line="270" w:lineRule="auto"/>
        <w:tabs>
          <w:tab w:leader="none" w:pos="1977"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pacing w:after="0" w:line="181" w:lineRule="exact"/>
        <w:rPr>
          <w:rFonts w:ascii="Arial" w:cs="Arial" w:eastAsia="Arial" w:hAnsi="Arial"/>
          <w:sz w:val="17"/>
          <w:szCs w:val="17"/>
          <w:color w:val="auto"/>
        </w:rPr>
      </w:pPr>
    </w:p>
    <w:p>
      <w:pPr>
        <w:ind w:left="640" w:firstLine="645"/>
        <w:spacing w:after="0" w:line="291" w:lineRule="auto"/>
        <w:tabs>
          <w:tab w:leader="none" w:pos="1953"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67" w:lineRule="exact"/>
        <w:rPr>
          <w:rFonts w:ascii="Arial" w:cs="Arial" w:eastAsia="Arial" w:hAnsi="Arial"/>
          <w:sz w:val="16"/>
          <w:szCs w:val="16"/>
          <w:color w:val="auto"/>
        </w:rPr>
      </w:pPr>
    </w:p>
    <w:p>
      <w:pPr>
        <w:ind w:left="640" w:right="300" w:firstLine="645"/>
        <w:spacing w:after="0" w:line="277" w:lineRule="auto"/>
        <w:tabs>
          <w:tab w:leader="none" w:pos="1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any Designating Member fails to exercise its right to designate a Director and a vacancy on the Board remains unfilled for at least sixty (60) days, the Board may fill that vacancy upon the vote of a majority of the remaining Directors. If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60"/>
        <w:spacing w:after="0" w:line="283" w:lineRule="auto"/>
        <w:rPr>
          <w:sz w:val="20"/>
          <w:szCs w:val="20"/>
          <w:color w:val="auto"/>
        </w:rPr>
      </w:pPr>
      <w:r>
        <w:rPr>
          <w:rFonts w:ascii="Arial" w:cs="Arial" w:eastAsia="Arial" w:hAnsi="Arial"/>
          <w:sz w:val="16"/>
          <w:szCs w:val="16"/>
          <w:color w:val="auto"/>
        </w:rPr>
        <w:t xml:space="preserve">Board exercises its right to fill a vacancy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w:t>
      </w:r>
    </w:p>
    <w:p>
      <w:pPr>
        <w:spacing w:after="0" w:line="7" w:lineRule="exact"/>
        <w:rPr>
          <w:sz w:val="20"/>
          <w:szCs w:val="20"/>
          <w:color w:val="auto"/>
        </w:rPr>
      </w:pPr>
    </w:p>
    <w:p>
      <w:pPr>
        <w:ind w:left="640" w:right="1020" w:hanging="4"/>
        <w:spacing w:after="0" w:line="261"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failure to fill such vacancy would cause the Board to fail to consist of the required number of Independent Directors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ectPr>
          <w:pgSz w:w="11900" w:h="16838" w:orient="portrait"/>
          <w:cols w:equalWidth="0" w:num="1">
            <w:col w:w="11380"/>
          </w:cols>
          <w:pgMar w:left="260" w:top="125" w:right="259" w:bottom="0" w:gutter="0" w:footer="0" w:header="0"/>
        </w:sectPr>
      </w:pPr>
    </w:p>
    <w:bookmarkStart w:id="10" w:name="page11"/>
    <w:bookmarkEnd w:id="10"/>
    <w:p>
      <w:pPr>
        <w:ind w:right="80" w:firstLine="656"/>
        <w:spacing w:after="0" w:line="254"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2" w:lineRule="exact"/>
        <w:rPr>
          <w:rFonts w:ascii="Arial" w:cs="Arial" w:eastAsia="Arial" w:hAnsi="Arial"/>
          <w:sz w:val="18"/>
          <w:szCs w:val="18"/>
          <w:color w:val="auto"/>
        </w:rPr>
      </w:pPr>
    </w:p>
    <w:p>
      <w:pPr>
        <w:ind w:left="660" w:right="340" w:firstLine="645"/>
        <w:spacing w:after="0" w:line="277" w:lineRule="auto"/>
        <w:tabs>
          <w:tab w:leader="none" w:pos="1978"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40" w:firstLine="645"/>
        <w:spacing w:after="0" w:line="257" w:lineRule="auto"/>
        <w:tabs>
          <w:tab w:leader="none" w:pos="198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ind w:left="660" w:right="420" w:firstLine="645"/>
        <w:spacing w:after="0" w:line="264" w:lineRule="auto"/>
        <w:tabs>
          <w:tab w:leader="none" w:pos="19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87" w:lineRule="exact"/>
        <w:rPr>
          <w:sz w:val="20"/>
          <w:szCs w:val="20"/>
          <w:color w:val="auto"/>
        </w:rPr>
      </w:pPr>
    </w:p>
    <w:p>
      <w:pPr>
        <w:ind w:left="660" w:right="300" w:firstLine="645"/>
        <w:spacing w:after="0" w:line="293" w:lineRule="auto"/>
        <w:tabs>
          <w:tab w:leader="none" w:pos="197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4" w:lineRule="exact"/>
        <w:rPr>
          <w:rFonts w:ascii="Arial" w:cs="Arial" w:eastAsia="Arial" w:hAnsi="Arial"/>
          <w:sz w:val="16"/>
          <w:szCs w:val="16"/>
          <w:color w:val="auto"/>
        </w:rPr>
      </w:pPr>
    </w:p>
    <w:p>
      <w:pPr>
        <w:ind w:left="660" w:right="60" w:firstLine="645"/>
        <w:spacing w:after="0" w:line="276" w:lineRule="auto"/>
        <w:tabs>
          <w:tab w:leader="none" w:pos="1964"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72" w:lineRule="exact"/>
        <w:rPr>
          <w:rFonts w:ascii="Arial" w:cs="Arial" w:eastAsia="Arial" w:hAnsi="Arial"/>
          <w:sz w:val="17"/>
          <w:szCs w:val="17"/>
          <w:color w:val="auto"/>
        </w:rPr>
      </w:pPr>
    </w:p>
    <w:p>
      <w:pPr>
        <w:ind w:left="660" w:right="200" w:firstLine="645"/>
        <w:spacing w:after="0" w:line="273" w:lineRule="auto"/>
        <w:tabs>
          <w:tab w:leader="none" w:pos="1973"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 respect to materials provided to any Initial Designating Member pursuant to </w:t>
      </w:r>
      <w:r>
        <w:rPr>
          <w:rFonts w:ascii="Arial" w:cs="Arial" w:eastAsia="Arial" w:hAnsi="Arial"/>
          <w:sz w:val="17"/>
          <w:szCs w:val="17"/>
          <w:u w:val="single" w:color="auto"/>
          <w:color w:val="auto"/>
        </w:rPr>
        <w:t>Section 6.1(b)(ii)</w:t>
      </w:r>
      <w:r>
        <w:rPr>
          <w:rFonts w:ascii="Arial" w:cs="Arial" w:eastAsia="Arial" w:hAnsi="Arial"/>
          <w:sz w:val="17"/>
          <w:szCs w:val="17"/>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7"/>
          <w:szCs w:val="17"/>
          <w:u w:val="single" w:color="auto"/>
          <w:color w:val="auto"/>
        </w:rPr>
        <w:t>Section 6.1(b)(vi)</w:t>
      </w:r>
      <w:r>
        <w:rPr>
          <w:rFonts w:ascii="Arial" w:cs="Arial" w:eastAsia="Arial" w:hAnsi="Arial"/>
          <w:sz w:val="17"/>
          <w:szCs w:val="17"/>
          <w:color w:val="auto"/>
        </w:rPr>
        <w:t xml:space="preserve"> shall not apply with respect to information provided to any Initial Designating Member pursuant to </w:t>
      </w:r>
      <w:r>
        <w:rPr>
          <w:rFonts w:ascii="Arial" w:cs="Arial" w:eastAsia="Arial" w:hAnsi="Arial"/>
          <w:sz w:val="17"/>
          <w:szCs w:val="17"/>
          <w:u w:val="single" w:color="auto"/>
          <w:color w:val="auto"/>
        </w:rPr>
        <w:t>Section 6.2(b)(v)</w:t>
      </w:r>
      <w:r>
        <w:rPr>
          <w:rFonts w:ascii="Arial" w:cs="Arial" w:eastAsia="Arial" w:hAnsi="Arial"/>
          <w:sz w:val="17"/>
          <w:szCs w:val="17"/>
          <w:color w:val="auto"/>
        </w:rPr>
        <w:t xml:space="preserve"> or otherwise provided upon an Initial Designating Member’s request.</w:t>
      </w:r>
    </w:p>
    <w:p>
      <w:pPr>
        <w:spacing w:after="0" w:line="178" w:lineRule="exact"/>
        <w:rPr>
          <w:rFonts w:ascii="Arial" w:cs="Arial" w:eastAsia="Arial" w:hAnsi="Arial"/>
          <w:sz w:val="17"/>
          <w:szCs w:val="17"/>
          <w:color w:val="auto"/>
        </w:rPr>
      </w:pPr>
    </w:p>
    <w:p>
      <w:pPr>
        <w:ind w:left="660" w:right="380" w:firstLine="645"/>
        <w:spacing w:after="0" w:line="308" w:lineRule="auto"/>
        <w:tabs>
          <w:tab w:leader="none" w:pos="1983"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46" w:lineRule="exact"/>
        <w:rPr>
          <w:rFonts w:ascii="Arial" w:cs="Arial" w:eastAsia="Arial" w:hAnsi="Arial"/>
          <w:sz w:val="17"/>
          <w:szCs w:val="17"/>
          <w:color w:val="auto"/>
        </w:rPr>
      </w:pPr>
    </w:p>
    <w:p>
      <w:pPr>
        <w:ind w:right="80" w:firstLine="656"/>
        <w:spacing w:after="0" w:line="277" w:lineRule="auto"/>
        <w:tabs>
          <w:tab w:leader="none" w:pos="1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Series A Trigger Event (as such term is defined in the MLP Partnership Agreement) occurs, then the Series A Preferred Unitholders (as such term is defined in the MLP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6"/>
          <w:szCs w:val="16"/>
          <w:b w:val="1"/>
          <w:bCs w:val="1"/>
          <w:i w:val="1"/>
          <w:iCs w:val="1"/>
          <w:color w:val="auto"/>
        </w:rPr>
        <w:t>Series A Designated Director</w:t>
      </w:r>
      <w:r>
        <w:rPr>
          <w:rFonts w:ascii="Arial" w:cs="Arial" w:eastAsia="Arial" w:hAnsi="Arial"/>
          <w:sz w:val="16"/>
          <w:szCs w:val="16"/>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shall mean any entity that (a) is an operating company (and not a financial institution) and</w:t>
      </w:r>
    </w:p>
    <w:p>
      <w:pPr>
        <w:spacing w:after="0" w:line="7" w:lineRule="exact"/>
        <w:rPr>
          <w:sz w:val="20"/>
          <w:szCs w:val="20"/>
          <w:color w:val="auto"/>
        </w:rPr>
      </w:pPr>
    </w:p>
    <w:p>
      <w:pPr>
        <w:ind w:right="360" w:firstLine="8"/>
        <w:spacing w:after="0" w:line="25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6.1(e)</w:t>
      </w:r>
      <w:r>
        <w:rPr>
          <w:rFonts w:ascii="Arial" w:cs="Arial" w:eastAsia="Arial" w:hAnsi="Arial"/>
          <w:sz w:val="18"/>
          <w:szCs w:val="18"/>
          <w:color w:val="auto"/>
        </w:rPr>
        <w:t>. Any Series A Designated Director shall have all the rights and duties of a Director otherwise serving hereunder.</w:t>
      </w:r>
    </w:p>
    <w:p>
      <w:pPr>
        <w:sectPr>
          <w:pgSz w:w="11900" w:h="16838" w:orient="portrait"/>
          <w:cols w:equalWidth="0" w:num="1">
            <w:col w:w="11420"/>
          </w:cols>
          <w:pgMar w:left="240" w:top="125" w:right="239" w:bottom="0" w:gutter="0" w:footer="0" w:header="0"/>
        </w:sectPr>
      </w:pPr>
    </w:p>
    <w:bookmarkStart w:id="11" w:name="page12"/>
    <w:bookmarkEnd w:id="11"/>
    <w:p>
      <w:pPr>
        <w:ind w:right="20" w:firstLine="656"/>
        <w:spacing w:after="0" w:line="268" w:lineRule="auto"/>
        <w:tabs>
          <w:tab w:leader="none" w:pos="1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3" w:lineRule="auto"/>
        <w:tabs>
          <w:tab w:leader="none" w:pos="1307"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8" w:lineRule="exact"/>
        <w:rPr>
          <w:rFonts w:ascii="Arial" w:cs="Arial" w:eastAsia="Arial" w:hAnsi="Arial"/>
          <w:sz w:val="17"/>
          <w:szCs w:val="17"/>
          <w:color w:val="auto"/>
        </w:rPr>
      </w:pPr>
    </w:p>
    <w:p>
      <w:pPr>
        <w:ind w:right="360" w:firstLine="656"/>
        <w:spacing w:after="0" w:line="264" w:lineRule="auto"/>
        <w:tabs>
          <w:tab w:leader="none" w:pos="13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rFonts w:ascii="Arial" w:cs="Arial" w:eastAsia="Arial" w:hAnsi="Arial"/>
          <w:sz w:val="18"/>
          <w:szCs w:val="18"/>
          <w:color w:val="auto"/>
        </w:rPr>
      </w:pPr>
    </w:p>
    <w:p>
      <w:pPr>
        <w:ind w:right="120" w:firstLine="656"/>
        <w:spacing w:after="0" w:line="259" w:lineRule="auto"/>
        <w:tabs>
          <w:tab w:leader="none" w:pos="1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jc w:val="both"/>
        <w:ind w:right="660" w:firstLine="656"/>
        <w:spacing w:after="0" w:line="264" w:lineRule="auto"/>
        <w:tabs>
          <w:tab w:leader="none" w:pos="1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Classification of the Board</w:t>
      </w:r>
      <w:r>
        <w:rPr>
          <w:rFonts w:ascii="Arial" w:cs="Arial" w:eastAsia="Arial" w:hAnsi="Arial"/>
          <w:sz w:val="16"/>
          <w:szCs w:val="16"/>
          <w:color w:val="auto"/>
        </w:rPr>
        <w:t>.</w:t>
      </w:r>
    </w:p>
    <w:p>
      <w:pPr>
        <w:spacing w:after="0" w:line="225" w:lineRule="exact"/>
        <w:rPr>
          <w:sz w:val="20"/>
          <w:szCs w:val="20"/>
          <w:color w:val="auto"/>
        </w:rPr>
      </w:pPr>
    </w:p>
    <w:p>
      <w:pPr>
        <w:ind w:right="300" w:firstLine="656"/>
        <w:spacing w:after="0" w:line="291" w:lineRule="auto"/>
        <w:tabs>
          <w:tab w:leader="none" w:pos="1294"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Directors, other than (i) any Directors that also serve as Officers of the Company and (ii) any Series A Designated Director, shall be divided into three classes as follows: (i) the classes shall be denominated Class I, Class II and Class III (each being referred to herein as a “</w:t>
      </w:r>
      <w:r>
        <w:rPr>
          <w:rFonts w:ascii="Arial" w:cs="Arial" w:eastAsia="Arial" w:hAnsi="Arial"/>
          <w:sz w:val="16"/>
          <w:szCs w:val="16"/>
          <w:b w:val="1"/>
          <w:bCs w:val="1"/>
          <w:i w:val="1"/>
          <w:iCs w:val="1"/>
          <w:color w:val="auto"/>
        </w:rPr>
        <w:t>Class</w:t>
      </w:r>
      <w:r>
        <w:rPr>
          <w:rFonts w:ascii="Arial" w:cs="Arial" w:eastAsia="Arial" w:hAnsi="Arial"/>
          <w:sz w:val="16"/>
          <w:szCs w:val="16"/>
          <w:color w:val="auto"/>
        </w:rPr>
        <w:t>”); and</w:t>
      </w:r>
    </w:p>
    <w:p>
      <w:pPr>
        <w:ind w:right="40" w:firstLine="8"/>
        <w:spacing w:after="0" w:line="254"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w:t>
      </w:r>
    </w:p>
    <w:p>
      <w:pPr>
        <w:spacing w:after="0" w:line="189" w:lineRule="exact"/>
        <w:rPr>
          <w:rFonts w:ascii="Arial" w:cs="Arial" w:eastAsia="Arial" w:hAnsi="Arial"/>
          <w:sz w:val="18"/>
          <w:szCs w:val="18"/>
          <w:color w:val="auto"/>
        </w:rPr>
      </w:pPr>
    </w:p>
    <w:p>
      <w:pPr>
        <w:ind w:right="160" w:firstLine="656"/>
        <w:spacing w:after="0" w:line="257"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Any Officer serving as a Director shall continue to be a Director until his removal or replacement in accordance with </w:t>
      </w:r>
      <w:r>
        <w:rPr>
          <w:rFonts w:ascii="Arial" w:cs="Arial" w:eastAsia="Arial" w:hAnsi="Arial"/>
          <w:sz w:val="18"/>
          <w:szCs w:val="18"/>
          <w:u w:val="single" w:color="auto"/>
          <w:color w:val="auto"/>
        </w:rPr>
        <w:t>Section 6.1(a)(ii)</w:t>
      </w:r>
      <w:r>
        <w:rPr>
          <w:rFonts w:ascii="Arial" w:cs="Arial" w:eastAsia="Arial" w:hAnsi="Arial"/>
          <w:sz w:val="18"/>
          <w:szCs w:val="18"/>
          <w:color w:val="auto"/>
        </w:rPr>
        <w:t xml:space="preserve">. Each Director that has been designated by a Designating Member shall continue to be a Director until such Director’s removal or replacement in accordance with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Any Series A Designated Director shall continue to be a Director until his removal or replacement in accordance with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6.1(e)</w:t>
      </w:r>
      <w:r>
        <w:rPr>
          <w:rFonts w:ascii="Arial" w:cs="Arial" w:eastAsia="Arial" w:hAnsi="Arial"/>
          <w:sz w:val="18"/>
          <w:szCs w:val="18"/>
          <w:color w:val="auto"/>
        </w:rPr>
        <w:t>. Each Eligible Director shall serve for a term ending as follows, subject to earlier death, resignation or removal as provided herein: (i) the Directors designated to Class III shall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58" w:lineRule="exact"/>
        <w:rPr>
          <w:sz w:val="20"/>
          <w:szCs w:val="20"/>
          <w:color w:val="auto"/>
        </w:rPr>
      </w:pPr>
    </w:p>
    <w:p>
      <w:pPr>
        <w:jc w:val="both"/>
        <w:ind w:right="640" w:firstLine="656"/>
        <w:spacing w:after="0" w:line="286" w:lineRule="auto"/>
        <w:tabs>
          <w:tab w:leader="none" w:pos="1307"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65" w:lineRule="exact"/>
        <w:rPr>
          <w:rFonts w:ascii="Arial" w:cs="Arial" w:eastAsia="Arial" w:hAnsi="Arial"/>
          <w:sz w:val="17"/>
          <w:szCs w:val="17"/>
          <w:color w:val="auto"/>
        </w:rPr>
      </w:pPr>
    </w:p>
    <w:p>
      <w:pPr>
        <w:jc w:val="both"/>
        <w:ind w:right="160" w:firstLine="656"/>
        <w:spacing w:after="0" w:line="312" w:lineRule="auto"/>
        <w:tabs>
          <w:tab w:leader="none" w:pos="13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 Eligible Director may be removed with or without Cause upon a vote of a majority of the remaining Directors then in office;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Director who is elected by the holders of PAGP Class A Shares, PAGP Class B Shares and PAGP Class C Shares pursuant to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PAGP Partnership Agreement may only be removed for Cause upon a vote of a majority of the remaining Directors then in office.</w:t>
      </w:r>
    </w:p>
    <w:p>
      <w:pPr>
        <w:spacing w:after="0" w:line="146" w:lineRule="exact"/>
        <w:rPr>
          <w:rFonts w:ascii="Arial" w:cs="Arial" w:eastAsia="Arial" w:hAnsi="Arial"/>
          <w:sz w:val="16"/>
          <w:szCs w:val="16"/>
          <w:color w:val="auto"/>
        </w:rPr>
      </w:pPr>
    </w:p>
    <w:p>
      <w:pPr>
        <w:ind w:right="560" w:firstLine="656"/>
        <w:spacing w:after="0" w:line="277" w:lineRule="auto"/>
        <w:tabs>
          <w:tab w:leader="none" w:pos="1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the date hereof, individuals shall be nominated for election as Eligible Directors, and the election of Eligible Directors shall be conducted, in accordance with the provisions of the PAGP Partnership Agreement.</w:t>
      </w:r>
    </w:p>
    <w:p>
      <w:pPr>
        <w:sectPr>
          <w:pgSz w:w="11900" w:h="16838" w:orient="portrait"/>
          <w:cols w:equalWidth="0" w:num="1">
            <w:col w:w="11420"/>
          </w:cols>
          <w:pgMar w:left="240" w:top="125" w:right="239" w:bottom="0" w:gutter="0" w:footer="0" w:header="0"/>
        </w:sectPr>
      </w:pPr>
    </w:p>
    <w:bookmarkStart w:id="12" w:name="page13"/>
    <w:bookmarkEnd w:id="12"/>
    <w:p>
      <w:pPr>
        <w:ind w:firstLine="64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82"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4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93" w:lineRule="auto"/>
        <w:tabs>
          <w:tab w:leader="none" w:pos="129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64" w:lineRule="exact"/>
        <w:rPr>
          <w:rFonts w:ascii="Arial" w:cs="Arial" w:eastAsia="Arial" w:hAnsi="Arial"/>
          <w:sz w:val="16"/>
          <w:szCs w:val="16"/>
          <w:color w:val="auto"/>
        </w:rPr>
      </w:pPr>
    </w:p>
    <w:p>
      <w:pPr>
        <w:ind w:right="20" w:firstLine="656"/>
        <w:spacing w:after="0" w:line="276" w:lineRule="auto"/>
        <w:tabs>
          <w:tab w:leader="none" w:pos="13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72" w:lineRule="exact"/>
        <w:rPr>
          <w:rFonts w:ascii="Arial" w:cs="Arial" w:eastAsia="Arial" w:hAnsi="Arial"/>
          <w:sz w:val="17"/>
          <w:szCs w:val="17"/>
          <w:color w:val="auto"/>
        </w:rPr>
      </w:pPr>
    </w:p>
    <w:p>
      <w:pPr>
        <w:jc w:val="both"/>
        <w:ind w:right="200" w:firstLine="656"/>
        <w:spacing w:after="0" w:line="312" w:lineRule="auto"/>
        <w:tabs>
          <w:tab w:leader="none" w:pos="13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u w:val="single" w:color="auto"/>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4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Directors as Agents</w:t>
      </w:r>
      <w:r>
        <w:rPr>
          <w:rFonts w:ascii="Arial" w:cs="Arial" w:eastAsia="Arial" w:hAnsi="Arial"/>
          <w:sz w:val="17"/>
          <w:szCs w:val="17"/>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Officers; Agents</w:t>
      </w:r>
      <w:r>
        <w:rPr>
          <w:rFonts w:ascii="Arial" w:cs="Arial" w:eastAsia="Arial" w:hAnsi="Arial"/>
          <w:sz w:val="17"/>
          <w:szCs w:val="17"/>
          <w:color w:val="auto"/>
        </w:rPr>
        <w:t>. The Board shall have the power to appoint any Person or Persons as the Company’s officers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Actions Requiring Consent of Oxy</w:t>
      </w:r>
      <w:r>
        <w:rPr>
          <w:rFonts w:ascii="Arial" w:cs="Arial" w:eastAsia="Arial" w:hAnsi="Arial"/>
          <w:sz w:val="18"/>
          <w:szCs w:val="18"/>
          <w:color w:val="auto"/>
        </w:rPr>
        <w:t>.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ectPr>
          <w:pgSz w:w="11900" w:h="16838" w:orient="portrait"/>
          <w:cols w:equalWidth="0" w:num="1">
            <w:col w:w="11420"/>
          </w:cols>
          <w:pgMar w:left="240" w:top="125" w:right="239" w:bottom="0" w:gutter="0" w:footer="0" w:header="0"/>
        </w:sectPr>
      </w:pPr>
    </w:p>
    <w:bookmarkStart w:id="13" w:name="page14"/>
    <w:bookmarkEnd w:id="13"/>
    <w:p>
      <w:pPr>
        <w:jc w:val="both"/>
        <w:ind w:right="180"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LIABILITY AND INDEMNIFICATION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Limitation on Liability of Members, Directors and Officers</w:t>
      </w:r>
      <w:r>
        <w:rPr>
          <w:rFonts w:ascii="Arial" w:cs="Arial" w:eastAsia="Arial" w:hAnsi="Arial"/>
          <w:sz w:val="17"/>
          <w:szCs w:val="17"/>
          <w:color w:val="auto"/>
        </w:rPr>
        <w:t>.</w:t>
      </w:r>
    </w:p>
    <w:p>
      <w:pPr>
        <w:spacing w:after="0" w:line="225" w:lineRule="exact"/>
        <w:rPr>
          <w:sz w:val="20"/>
          <w:szCs w:val="20"/>
          <w:color w:val="auto"/>
        </w:rPr>
      </w:pPr>
    </w:p>
    <w:p>
      <w:pPr>
        <w:ind w:right="40" w:firstLine="656"/>
        <w:spacing w:after="0" w:line="279" w:lineRule="auto"/>
        <w:tabs>
          <w:tab w:leader="none" w:pos="1294"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the avoidance of doubt nothing set forth herein shall be deemed to limit the obligations of the “General Partner” under the PAGP Partnership Agreement.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 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389" w:lineRule="exact"/>
        <w:rPr>
          <w:sz w:val="20"/>
          <w:szCs w:val="20"/>
          <w:color w:val="auto"/>
        </w:rPr>
      </w:pPr>
    </w:p>
    <w:p>
      <w:pPr>
        <w:ind w:right="60" w:firstLine="656"/>
        <w:spacing w:after="0" w:line="264"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200" w:firstLine="656"/>
        <w:spacing w:after="0" w:line="279" w:lineRule="auto"/>
        <w:tabs>
          <w:tab w:leader="none" w:pos="1307"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60" w:firstLine="656"/>
        <w:spacing w:after="0" w:line="291" w:lineRule="auto"/>
        <w:tabs>
          <w:tab w:leader="none" w:pos="1294"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firstLine="656"/>
        <w:spacing w:after="0" w:line="259"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293" w:lineRule="auto"/>
        <w:tabs>
          <w:tab w:leader="none" w:pos="130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indemnification provided by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6"/>
          <w:szCs w:val="16"/>
          <w:u w:val="single" w:color="auto"/>
          <w:color w:val="auto"/>
        </w:rPr>
        <w:t>Section 7.2(c)</w:t>
      </w:r>
      <w:r>
        <w:rPr>
          <w:rFonts w:ascii="Arial" w:cs="Arial" w:eastAsia="Arial" w:hAnsi="Arial"/>
          <w:sz w:val="16"/>
          <w:szCs w:val="16"/>
          <w:color w:val="auto"/>
        </w:rPr>
        <w:t>. The Company shall not be required to indemnify any Member in connection with any losses, claims, demands, actions, disputes, suits or proceedings, of any Member against any other Member.</w:t>
      </w:r>
    </w:p>
    <w:p>
      <w:pPr>
        <w:spacing w:after="0" w:line="164" w:lineRule="exact"/>
        <w:rPr>
          <w:rFonts w:ascii="Arial" w:cs="Arial" w:eastAsia="Arial" w:hAnsi="Arial"/>
          <w:sz w:val="16"/>
          <w:szCs w:val="16"/>
          <w:color w:val="auto"/>
        </w:rPr>
      </w:pPr>
    </w:p>
    <w:p>
      <w:pPr>
        <w:ind w:right="600" w:firstLine="656"/>
        <w:spacing w:after="0" w:line="277"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Directors and Officers in such amounts and with such deductibles or self-insured retentions as determined by the Board.</w:t>
      </w:r>
    </w:p>
    <w:p>
      <w:pPr>
        <w:sectPr>
          <w:pgSz w:w="11900" w:h="16838" w:orient="portrait"/>
          <w:cols w:equalWidth="0" w:num="1">
            <w:col w:w="11380"/>
          </w:cols>
          <w:pgMar w:left="240" w:top="125" w:right="279" w:bottom="0" w:gutter="0" w:footer="0" w:header="0"/>
        </w:sectPr>
      </w:pPr>
    </w:p>
    <w:bookmarkStart w:id="14" w:name="page15"/>
    <w:bookmarkEnd w:id="14"/>
    <w:p>
      <w:pPr>
        <w:spacing w:after="0" w:line="79" w:lineRule="exact"/>
        <w:rPr>
          <w:sz w:val="20"/>
          <w:szCs w:val="20"/>
          <w:color w:val="auto"/>
        </w:rPr>
      </w:pPr>
    </w:p>
    <w:p>
      <w:pPr>
        <w:ind w:right="240" w:firstLine="656"/>
        <w:spacing w:after="0" w:line="277" w:lineRule="auto"/>
        <w:tabs>
          <w:tab w:leader="none" w:pos="1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40" w:firstLine="656"/>
        <w:spacing w:after="0" w:line="286" w:lineRule="auto"/>
        <w:tabs>
          <w:tab w:leader="none" w:pos="1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56"/>
        <w:spacing w:after="0" w:line="308" w:lineRule="auto"/>
        <w:tabs>
          <w:tab w:leader="none" w:pos="1317"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right="60" w:firstLine="656"/>
        <w:spacing w:after="0" w:line="257"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TRANSFERS OF UNITS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General Restrictions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1" w:lineRule="auto"/>
        <w:tabs>
          <w:tab w:leader="none" w:pos="12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7"/>
          <w:szCs w:val="17"/>
          <w:b w:val="1"/>
          <w:bCs w:val="1"/>
          <w:i w:val="1"/>
          <w:i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If for any reason the transfer of such AAP Class A Units or PAGP Class B Shares does not occur simultaneously and proportionately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Membership Transfer, then the Membership Transfer shall be null and void and of no force and effect.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no Member may pledge, mortgage or otherwise subject its Company Units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Substitute Members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273" w:lineRule="auto"/>
        <w:tabs>
          <w:tab w:leader="none" w:pos="12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Member pursuant to this </w:t>
      </w:r>
      <w:r>
        <w:rPr>
          <w:rFonts w:ascii="Arial" w:cs="Arial" w:eastAsia="Arial" w:hAnsi="Arial"/>
          <w:sz w:val="17"/>
          <w:szCs w:val="17"/>
          <w:u w:val="single" w:color="auto"/>
          <w:color w:val="auto"/>
        </w:rPr>
        <w:t>Section 8.2</w:t>
      </w:r>
      <w:r>
        <w:rPr>
          <w:rFonts w:ascii="Arial" w:cs="Arial" w:eastAsia="Arial" w:hAnsi="Arial"/>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vote such Transferred Company Units until the transferee is admitted to the Company as a substitute Member with respect to the Transferred Company Units.</w:t>
      </w:r>
    </w:p>
    <w:p>
      <w:pPr>
        <w:spacing w:after="0" w:line="248" w:lineRule="exact"/>
        <w:rPr>
          <w:sz w:val="20"/>
          <w:szCs w:val="20"/>
          <w:color w:val="auto"/>
        </w:rPr>
      </w:pPr>
    </w:p>
    <w:p>
      <w:pPr>
        <w:ind w:left="1320" w:hanging="664"/>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transferee of all or any of a Member’s Company Units shall become a substitute Member in place of the transferor unless and until:</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Company in connection with the admission of the transferee as a substitute Member.</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Effect of Admission as a Substitute Member</w:t>
      </w:r>
      <w:r>
        <w:rPr>
          <w:rFonts w:ascii="Arial" w:cs="Arial" w:eastAsia="Arial" w:hAnsi="Arial"/>
          <w:sz w:val="17"/>
          <w:szCs w:val="17"/>
          <w:color w:val="auto"/>
        </w:rPr>
        <w:t>.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Each Member hereby agrees that upon satisfaction of the terms and conditions of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 respect to any proposed Transfer, the transferee may be admitted as a Member without any further action by a Member hereunder.</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Dissolution</w:t>
      </w:r>
      <w:r>
        <w:rPr>
          <w:rFonts w:ascii="Arial" w:cs="Arial" w:eastAsia="Arial" w:hAnsi="Arial"/>
          <w:sz w:val="18"/>
          <w:szCs w:val="18"/>
          <w:color w:val="auto"/>
        </w:rPr>
        <w:t xml:space="preserve">. If a Member Transfers all of its Company Units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the transferee of such Company Units is admitted as a Member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such Person shall be admitted to the Company as a Member effective on the effective date of the Transfer and the Company shall not dissolve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ectPr>
          <w:pgSz w:w="11900" w:h="16918" w:orient="portrait"/>
          <w:cols w:equalWidth="0" w:num="1">
            <w:col w:w="11420"/>
          </w:cols>
          <w:pgMar w:left="240" w:top="125" w:right="239" w:bottom="0" w:gutter="0" w:footer="0" w:header="0"/>
        </w:sectPr>
      </w:pPr>
    </w:p>
    <w:bookmarkStart w:id="15" w:name="page16"/>
    <w:bookmarkEnd w:id="15"/>
    <w:p>
      <w:pPr>
        <w:ind w:right="120" w:firstLine="648"/>
        <w:spacing w:after="0" w:line="30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Additional Members</w:t>
      </w:r>
      <w:r>
        <w:rPr>
          <w:rFonts w:ascii="Arial" w:cs="Arial" w:eastAsia="Arial" w:hAnsi="Arial"/>
          <w:sz w:val="17"/>
          <w:szCs w:val="17"/>
          <w:color w:val="auto"/>
        </w:rPr>
        <w:t xml:space="preserve">. Any Person acceptable to the Board may become an additional Member of the Company on terms and conditions as 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u w:val="single" w:color="auto"/>
          <w:color w:val="auto"/>
        </w:rPr>
        <w:t>Section 8.2(b)(ii) and (b)(iii)</w:t>
      </w:r>
      <w:r>
        <w:rPr>
          <w:rFonts w:ascii="Arial" w:cs="Arial" w:eastAsia="Arial" w:hAnsi="Arial"/>
          <w:sz w:val="17"/>
          <w:szCs w:val="17"/>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Events Causing Dissolution</w:t>
      </w:r>
      <w:r>
        <w:rPr>
          <w:rFonts w:ascii="Arial" w:cs="Arial" w:eastAsia="Arial" w:hAnsi="Arial"/>
          <w:sz w:val="16"/>
          <w:szCs w:val="16"/>
          <w:color w:val="auto"/>
        </w:rPr>
        <w:t>.</w:t>
      </w:r>
    </w:p>
    <w:p>
      <w:pPr>
        <w:spacing w:after="0" w:line="225" w:lineRule="exact"/>
        <w:rPr>
          <w:sz w:val="20"/>
          <w:szCs w:val="20"/>
          <w:color w:val="auto"/>
        </w:rPr>
      </w:pPr>
    </w:p>
    <w:p>
      <w:pPr>
        <w:ind w:left="5620" w:right="2580" w:hanging="4964"/>
        <w:spacing w:after="0" w:line="528" w:lineRule="auto"/>
        <w:tabs>
          <w:tab w:leader="none" w:pos="12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be dissolved and its affairs wound up upon the first to occur of the following events: 23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020" w:hanging="715"/>
        <w:spacing w:after="0"/>
        <w:tabs>
          <w:tab w:leader="none" w:pos="2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consent of at least two-thirds of the members of the Board;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Act or this Agreement; or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entry of a decree of judicial dissolution pursuant to Section 18-802 of the Act.</w:t>
      </w:r>
    </w:p>
    <w:p>
      <w:pPr>
        <w:spacing w:after="0" w:line="225" w:lineRule="exact"/>
        <w:rPr>
          <w:rFonts w:ascii="Arial" w:cs="Arial" w:eastAsia="Arial" w:hAnsi="Arial"/>
          <w:sz w:val="18"/>
          <w:szCs w:val="18"/>
          <w:color w:val="auto"/>
        </w:rPr>
      </w:pPr>
    </w:p>
    <w:p>
      <w:pPr>
        <w:ind w:right="180" w:firstLine="656"/>
        <w:spacing w:after="0" w:line="308" w:lineRule="auto"/>
        <w:tabs>
          <w:tab w:leader="none" w:pos="13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-1520190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Final Accounting</w:t>
      </w:r>
      <w:r>
        <w:rPr>
          <w:rFonts w:ascii="Arial" w:cs="Arial" w:eastAsia="Arial" w:hAnsi="Arial"/>
          <w:sz w:val="17"/>
          <w:szCs w:val="17"/>
          <w:color w:val="auto"/>
        </w:rPr>
        <w:t>.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Distributions Following Dissolution and Termination</w:t>
      </w:r>
      <w:r>
        <w:rPr>
          <w:rFonts w:ascii="Arial" w:cs="Arial" w:eastAsia="Arial" w:hAnsi="Arial"/>
          <w:sz w:val="18"/>
          <w:szCs w:val="18"/>
          <w:color w:val="auto"/>
        </w:rPr>
        <w:t>. Upon dissolution and liquidation of the Company, the assets of the Company shall be applied and distributed in the following order of priority:</w:t>
      </w:r>
    </w:p>
    <w:p>
      <w:pPr>
        <w:spacing w:after="0" w:line="170" w:lineRule="exact"/>
        <w:rPr>
          <w:sz w:val="20"/>
          <w:szCs w:val="20"/>
          <w:color w:val="auto"/>
        </w:rPr>
      </w:pPr>
    </w:p>
    <w:p>
      <w:pPr>
        <w:ind w:right="600" w:firstLine="656"/>
        <w:spacing w:after="0" w:line="277" w:lineRule="auto"/>
        <w:tabs>
          <w:tab w:leader="none" w:pos="13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payment of debts and liabilities of the Company (including to the Members to the extent otherwise permitted by law) and the expenses of liquidation;</w:t>
      </w:r>
    </w:p>
    <w:p>
      <w:pPr>
        <w:spacing w:after="0" w:line="170" w:lineRule="exact"/>
        <w:rPr>
          <w:rFonts w:ascii="Arial" w:cs="Arial" w:eastAsia="Arial" w:hAnsi="Arial"/>
          <w:sz w:val="18"/>
          <w:szCs w:val="18"/>
          <w:color w:val="auto"/>
        </w:rPr>
      </w:pPr>
    </w:p>
    <w:p>
      <w:pPr>
        <w:ind w:right="40" w:firstLine="656"/>
        <w:spacing w:after="0" w:line="257" w:lineRule="auto"/>
        <w:tabs>
          <w:tab w:leader="none" w:pos="13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remainder to the Members in proportion to their relative ownership of Company Units.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provisions of this Agreement, including, without limitation, this </w:t>
      </w:r>
      <w:r>
        <w:rPr>
          <w:rFonts w:ascii="Arial" w:cs="Arial" w:eastAsia="Arial" w:hAnsi="Arial"/>
          <w:sz w:val="18"/>
          <w:szCs w:val="18"/>
          <w:u w:val="single" w:color="auto"/>
          <w:color w:val="auto"/>
        </w:rPr>
        <w:t>Section 9.3</w:t>
      </w:r>
      <w:r>
        <w:rPr>
          <w:rFonts w:ascii="Arial" w:cs="Arial" w:eastAsia="Arial" w:hAnsi="Arial"/>
          <w:sz w:val="18"/>
          <w:szCs w:val="18"/>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of the Company</w:t>
      </w:r>
      <w:r>
        <w:rPr>
          <w:rFonts w:ascii="Arial" w:cs="Arial" w:eastAsia="Arial" w:hAnsi="Arial"/>
          <w:sz w:val="18"/>
          <w:szCs w:val="18"/>
          <w:color w:val="auto"/>
        </w:rPr>
        <w:t>. The Company shall terminate when all assets of the Company, after payment or due provision for all debts, liabilities and obligations of the Company, shall have been distributed to the Members in the manner provided for in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9</w:t>
      </w:r>
      <w:r>
        <w:rPr>
          <w:rFonts w:ascii="Arial" w:cs="Arial" w:eastAsia="Arial" w:hAnsi="Arial"/>
          <w:sz w:val="18"/>
          <w:szCs w:val="18"/>
          <w:color w:val="auto"/>
        </w:rPr>
        <w:t>, and the Certificate of Formation of the Company shall have been canceled in the manner required by the Act.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 Action for Dissolution</w:t>
      </w:r>
      <w:r>
        <w:rPr>
          <w:rFonts w:ascii="Arial" w:cs="Arial" w:eastAsia="Arial" w:hAnsi="Arial"/>
          <w:sz w:val="18"/>
          <w:szCs w:val="18"/>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Accordingly, except where the Board has failed to cause the liquidation of the Company as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BOOKS AND RECORDS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Fiscal Year and Accounting Method</w:t>
      </w:r>
      <w:r>
        <w:rPr>
          <w:rFonts w:ascii="Arial" w:cs="Arial" w:eastAsia="Arial" w:hAnsi="Arial"/>
          <w:sz w:val="18"/>
          <w:szCs w:val="18"/>
          <w:color w:val="auto"/>
        </w:rPr>
        <w:t>. The fiscal year and taxable year of the Company shall be the calendar year. The Company shall use an accrual method of accounting.</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maintain at its principal office, or such other office as may be determined by the Board, all the following:</w:t>
      </w:r>
    </w:p>
    <w:p>
      <w:pPr>
        <w:spacing w:after="0" w:line="170" w:lineRule="exact"/>
        <w:rPr>
          <w:sz w:val="20"/>
          <w:szCs w:val="20"/>
          <w:color w:val="auto"/>
        </w:rPr>
      </w:pPr>
    </w:p>
    <w:p>
      <w:pPr>
        <w:ind w:left="1360" w:hanging="704"/>
        <w:spacing w:after="0"/>
        <w:tabs>
          <w:tab w:leader="none" w:pos="1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w:t>
      </w:r>
    </w:p>
    <w:p>
      <w:pPr>
        <w:spacing w:after="0" w:line="236" w:lineRule="exact"/>
        <w:rPr>
          <w:rFonts w:ascii="Arial" w:cs="Arial" w:eastAsia="Arial" w:hAnsi="Arial"/>
          <w:sz w:val="17"/>
          <w:szCs w:val="17"/>
          <w:color w:val="auto"/>
        </w:rPr>
      </w:pPr>
    </w:p>
    <w:p>
      <w:pPr>
        <w:ind w:right="360" w:firstLine="656"/>
        <w:spacing w:after="0" w:line="277" w:lineRule="auto"/>
        <w:tabs>
          <w:tab w:leader="none" w:pos="13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ectPr>
          <w:pgSz w:w="11900" w:h="16838" w:orient="portrait"/>
          <w:cols w:equalWidth="0" w:num="1">
            <w:col w:w="11400"/>
          </w:cols>
          <w:pgMar w:left="240" w:top="341" w:right="259" w:bottom="0" w:gutter="0" w:footer="0" w:header="0"/>
        </w:sectPr>
      </w:pPr>
    </w:p>
    <w:bookmarkStart w:id="16" w:name="page17"/>
    <w:bookmarkEnd w:id="16"/>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books and records.</w:t>
      </w:r>
    </w:p>
    <w:p>
      <w:pPr>
        <w:spacing w:after="0" w:line="225"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Delivery to Members; Inspection</w:t>
      </w:r>
      <w:r>
        <w:rPr>
          <w:rFonts w:ascii="Arial" w:cs="Arial" w:eastAsia="Arial" w:hAnsi="Arial"/>
          <w:sz w:val="16"/>
          <w:szCs w:val="16"/>
          <w:color w:val="auto"/>
        </w:rPr>
        <w:t>. Upon the request of any Member, for any purpose reasonably related to such Member’s interest as a member of the Company, the Board shall cause to be made available to the requesting Member the information required to be maintained by clauses</w:t>
      </w:r>
    </w:p>
    <w:p>
      <w:pPr>
        <w:ind w:right="340" w:firstLine="8"/>
        <w:spacing w:after="0" w:line="261"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through (c)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such other information regarding the business and affairs and financial condition of the Company as any Member may reasonably request.</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Non-Disclosure</w:t>
      </w:r>
      <w:r>
        <w:rPr>
          <w:rFonts w:ascii="Arial" w:cs="Arial" w:eastAsia="Arial" w:hAnsi="Arial"/>
          <w:sz w:val="17"/>
          <w:szCs w:val="17"/>
          <w:color w:val="auto"/>
        </w:rPr>
        <w:t>.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and are apprised of the confidential nature of such information, (b) each Member shall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 (c) each Member shall be permitted to disclose such information to possible purchasers of all or a portion of the Member’s Company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prospective purchaser shall execute a suitable confidentiality agreement in a form approved by the Company containing terms not less restrictive than the terms set forth herein,</w:t>
      </w:r>
    </w:p>
    <w:p>
      <w:pPr>
        <w:spacing w:after="0" w:line="2" w:lineRule="exact"/>
        <w:rPr>
          <w:sz w:val="20"/>
          <w:szCs w:val="20"/>
          <w:color w:val="auto"/>
        </w:rPr>
      </w:pPr>
    </w:p>
    <w:p>
      <w:pPr>
        <w:ind w:right="60" w:firstLine="8"/>
        <w:spacing w:after="0" w:line="268"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information shall not be deemed to be confidential information for purposes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where such information (i) is already known to such Member (or its Representatives), having been disclosed to such Member (or its Representatives) by a third Person without such third Person having an obligation of confidentiality to the Company (ii) 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by its Representatives.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NON-COMPETITION AND NON-SOLICITATION</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when a Member engages in such activities, there shall be no presumption of misuse of such confidential information solely because a Representative or Director 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6"/>
          <w:szCs w:val="16"/>
          <w:u w:val="single" w:color="auto"/>
          <w:color w:val="auto"/>
        </w:rPr>
        <w:t>Section 10.4</w:t>
      </w:r>
      <w:r>
        <w:rPr>
          <w:rFonts w:ascii="Arial" w:cs="Arial" w:eastAsia="Arial" w:hAnsi="Arial"/>
          <w:sz w:val="16"/>
          <w:szCs w:val="16"/>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and EMG Investment, LLC and its Affiliates (“</w:t>
      </w:r>
      <w:r>
        <w:rPr>
          <w:rFonts w:ascii="Arial" w:cs="Arial" w:eastAsia="Arial" w:hAnsi="Arial"/>
          <w:sz w:val="16"/>
          <w:szCs w:val="16"/>
          <w:b w:val="1"/>
          <w:bCs w:val="1"/>
          <w:i w:val="1"/>
          <w:iCs w:val="1"/>
          <w:color w:val="auto"/>
        </w:rPr>
        <w:t>EMG</w:t>
      </w:r>
      <w:r>
        <w:rPr>
          <w:rFonts w:ascii="Arial" w:cs="Arial" w:eastAsia="Arial" w:hAnsi="Arial"/>
          <w:sz w:val="16"/>
          <w:szCs w:val="16"/>
          <w:color w:val="auto"/>
        </w:rPr>
        <w:t>”) manage investments in the energy industry in the ordinary course of business (such investments referred to as “</w:t>
      </w:r>
      <w:r>
        <w:rPr>
          <w:rFonts w:ascii="Arial" w:cs="Arial" w:eastAsia="Arial" w:hAnsi="Arial"/>
          <w:sz w:val="16"/>
          <w:szCs w:val="16"/>
          <w:b w:val="1"/>
          <w:bCs w:val="1"/>
          <w:i w:val="1"/>
          <w:iCs w:val="1"/>
          <w:color w:val="auto"/>
        </w:rPr>
        <w:t>Institutional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and that Kayne Anderson and EMG may make Institutional Investments, even if such Institutional Investments are competitive with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Partnership’s and its Subsidiaries’ business; (ii) Oxy Holding Company (Pipeline), Inc. (“</w:t>
      </w:r>
      <w:r>
        <w:rPr>
          <w:rFonts w:ascii="Arial" w:cs="Arial" w:eastAsia="Arial" w:hAnsi="Arial"/>
          <w:sz w:val="17"/>
          <w:szCs w:val="17"/>
          <w:b w:val="1"/>
          <w:bCs w:val="1"/>
          <w:i w:val="1"/>
          <w:iCs w:val="1"/>
          <w:color w:val="auto"/>
        </w:rPr>
        <w:t>Oxy</w:t>
      </w:r>
      <w:r>
        <w:rPr>
          <w:rFonts w:ascii="Arial" w:cs="Arial" w:eastAsia="Arial" w:hAnsi="Arial"/>
          <w:sz w:val="17"/>
          <w:szCs w:val="17"/>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such Institutional Investments are not in violation of the provisions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the second sentence of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Each of the Members confirms that the restrictions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are reasonable and valid and all defenses to the strict enforcement thereof are hereby waived by each of the Members.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Non-Solicitation</w:t>
      </w:r>
      <w:r>
        <w:rPr>
          <w:rFonts w:ascii="Arial" w:cs="Arial" w:eastAsia="Arial" w:hAnsi="Arial"/>
          <w:sz w:val="17"/>
          <w:szCs w:val="17"/>
          <w:color w:val="auto"/>
        </w:rPr>
        <w:t>.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ectPr>
          <w:pgSz w:w="11900" w:h="16838" w:orient="portrait"/>
          <w:cols w:equalWidth="0" w:num="1">
            <w:col w:w="11400"/>
          </w:cols>
          <w:pgMar w:left="240" w:top="125" w:right="259" w:bottom="0" w:gutter="0" w:footer="0" w:header="0"/>
        </w:sectPr>
      </w:pPr>
    </w:p>
    <w:bookmarkStart w:id="17" w:name="page18"/>
    <w:bookmarkEnd w:id="17"/>
    <w:p>
      <w:pPr>
        <w:spacing w:after="0" w:line="7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and that the Company shall be entitled to seek injunctive relief with respect to any such breach in lieu of or in addition to any recourse in damages without the posting of a bond or other security.</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In the event that a court of competent jurisdiction decides that the limitations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 are too broad, such limitations shall be reduced to those limitations that such court deems reasonable.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Waiver of Default</w:t>
      </w:r>
      <w:r>
        <w:rPr>
          <w:rFonts w:ascii="Arial" w:cs="Arial" w:eastAsia="Arial" w:hAnsi="Arial"/>
          <w:sz w:val="16"/>
          <w:szCs w:val="16"/>
          <w:color w:val="auto"/>
        </w:rPr>
        <w:t>.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5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77" w:lineRule="auto"/>
        <w:tabs>
          <w:tab w:leader="none" w:pos="13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 amendment of the terms of this Agreement that (A) increases or extends any financial obligation or liability of a Member,</w:t>
      </w:r>
    </w:p>
    <w:p>
      <w:pPr>
        <w:spacing w:after="0" w:line="34" w:lineRule="exact"/>
        <w:rPr>
          <w:rFonts w:ascii="Arial" w:cs="Arial" w:eastAsia="Arial" w:hAnsi="Arial"/>
          <w:sz w:val="17"/>
          <w:szCs w:val="17"/>
          <w:color w:val="auto"/>
        </w:rPr>
      </w:pPr>
    </w:p>
    <w:p>
      <w:pPr>
        <w:ind w:left="660"/>
        <w:spacing w:after="0" w:line="323" w:lineRule="auto"/>
        <w:rPr>
          <w:rFonts w:ascii="Arial" w:cs="Arial" w:eastAsia="Arial" w:hAnsi="Arial"/>
          <w:sz w:val="17"/>
          <w:szCs w:val="17"/>
          <w:color w:val="auto"/>
        </w:rPr>
      </w:pPr>
      <w:r>
        <w:rPr>
          <w:rFonts w:ascii="Arial" w:cs="Arial" w:eastAsia="Arial" w:hAnsi="Arial"/>
          <w:sz w:val="16"/>
          <w:szCs w:val="16"/>
          <w:color w:val="auto"/>
        </w:rPr>
        <w:t>(B) 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38" w:lineRule="exact"/>
        <w:rPr>
          <w:rFonts w:ascii="Arial" w:cs="Arial" w:eastAsia="Arial" w:hAnsi="Arial"/>
          <w:sz w:val="17"/>
          <w:szCs w:val="17"/>
          <w:color w:val="auto"/>
        </w:rPr>
      </w:pPr>
    </w:p>
    <w:p>
      <w:pPr>
        <w:ind w:left="660" w:right="80" w:firstLine="645"/>
        <w:spacing w:after="0" w:line="277" w:lineRule="auto"/>
        <w:tabs>
          <w:tab w:leader="none" w:pos="2023"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no amendment of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that adversely affects the obligations or rights of a Member shall be effective as to any Member without the prior written consent of that Member;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w:t>
      </w:r>
    </w:p>
    <w:p>
      <w:pPr>
        <w:spacing w:after="0" w:line="35" w:lineRule="exact"/>
        <w:rPr>
          <w:sz w:val="20"/>
          <w:szCs w:val="20"/>
          <w:color w:val="auto"/>
        </w:rPr>
      </w:pPr>
    </w:p>
    <w:p>
      <w:pPr>
        <w:ind w:left="660" w:right="120" w:hanging="4"/>
        <w:spacing w:after="0" w:line="255" w:lineRule="auto"/>
        <w:tabs>
          <w:tab w:leader="none" w:pos="9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90" w:lineRule="exact"/>
        <w:rPr>
          <w:rFonts w:ascii="Arial" w:cs="Arial" w:eastAsia="Arial" w:hAnsi="Arial"/>
          <w:sz w:val="18"/>
          <w:szCs w:val="18"/>
          <w:color w:val="auto"/>
        </w:rPr>
      </w:pPr>
    </w:p>
    <w:p>
      <w:pPr>
        <w:ind w:left="660" w:right="400" w:firstLine="645"/>
        <w:spacing w:after="0" w:line="277" w:lineRule="auto"/>
        <w:tabs>
          <w:tab w:leader="none" w:pos="20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20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no amendment to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6.1(e)</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12.2(a)(v)</w:t>
      </w:r>
      <w:r>
        <w:rPr>
          <w:rFonts w:ascii="Arial" w:cs="Arial" w:eastAsia="Arial" w:hAnsi="Arial"/>
          <w:sz w:val="18"/>
          <w:szCs w:val="18"/>
          <w:color w:val="auto"/>
        </w:rPr>
        <w:t xml:space="preserve"> shall be effective without the consent of the Series A Preferred Unitholders holding a majority of the then outstanding Series A Preferred Units.</w:t>
      </w:r>
    </w:p>
    <w:p>
      <w:pPr>
        <w:spacing w:after="0" w:line="170" w:lineRule="exact"/>
        <w:rPr>
          <w:sz w:val="20"/>
          <w:szCs w:val="20"/>
          <w:color w:val="auto"/>
        </w:rPr>
      </w:pPr>
    </w:p>
    <w:p>
      <w:pPr>
        <w:ind w:right="580" w:firstLine="656"/>
        <w:spacing w:after="0" w:line="264" w:lineRule="auto"/>
        <w:tabs>
          <w:tab w:leader="none" w:pos="13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656"/>
        <w:spacing w:after="0" w:line="277" w:lineRule="auto"/>
        <w:tabs>
          <w:tab w:leader="none" w:pos="13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right="320" w:firstLine="656"/>
        <w:spacing w:after="0" w:line="277" w:lineRule="auto"/>
        <w:tabs>
          <w:tab w:leader="none" w:pos="13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Any modification or amendment to this Agreement or the Certificate made in accordance with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shall be binding on all Members and the Board.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Third Party Rights</w:t>
      </w:r>
      <w:r>
        <w:rPr>
          <w:rFonts w:ascii="Arial" w:cs="Arial" w:eastAsia="Arial" w:hAnsi="Arial"/>
          <w:sz w:val="18"/>
          <w:szCs w:val="18"/>
          <w:color w:val="auto"/>
        </w:rPr>
        <w:t xml:space="preserve">. Except for the rights provided to the Initial Designating Members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the rights provided to the Series A Preferred Unitholders in </w:t>
      </w:r>
      <w:r>
        <w:rPr>
          <w:rFonts w:ascii="Arial" w:cs="Arial" w:eastAsia="Arial" w:hAnsi="Arial"/>
          <w:sz w:val="18"/>
          <w:szCs w:val="18"/>
          <w:u w:val="single" w:color="auto"/>
          <w:color w:val="auto"/>
        </w:rPr>
        <w:t>Sections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as provided in </w:t>
      </w:r>
      <w:r>
        <w:rPr>
          <w:rFonts w:ascii="Arial" w:cs="Arial" w:eastAsia="Arial" w:hAnsi="Arial"/>
          <w:sz w:val="18"/>
          <w:szCs w:val="18"/>
          <w:u w:val="single" w:color="auto"/>
          <w:color w:val="auto"/>
        </w:rPr>
        <w:t>Article 7</w:t>
      </w:r>
      <w:r>
        <w:rPr>
          <w:rFonts w:ascii="Arial" w:cs="Arial" w:eastAsia="Arial" w:hAnsi="Arial"/>
          <w:sz w:val="18"/>
          <w:szCs w:val="18"/>
          <w:color w:val="auto"/>
        </w:rPr>
        <w:t>, none of the provisions contained in this Agreement shall be for the benefit of or enforceable by any third parties, including creditors of the Company.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A Member’s Company Units shall be personal property for all purposes.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Binding Agreement</w:t>
      </w:r>
      <w:r>
        <w:rPr>
          <w:rFonts w:ascii="Arial" w:cs="Arial" w:eastAsia="Arial" w:hAnsi="Arial"/>
          <w:sz w:val="16"/>
          <w:szCs w:val="16"/>
          <w:color w:val="auto"/>
        </w:rPr>
        <w:t>.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2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 any of the terms or provisions hereof.</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ectPr>
          <w:pgSz w:w="11900" w:h="16912" w:orient="portrait"/>
          <w:cols w:equalWidth="0" w:num="1">
            <w:col w:w="11360"/>
          </w:cols>
          <w:pgMar w:left="240" w:top="125" w:right="299" w:bottom="0" w:gutter="0" w:footer="0" w:header="0"/>
        </w:sectPr>
      </w:pPr>
    </w:p>
    <w:bookmarkStart w:id="18" w:name="page19"/>
    <w:bookmarkEnd w:id="18"/>
    <w:p>
      <w:pPr>
        <w:ind w:right="80" w:firstLine="648"/>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 agreements with respect to the subject matter hereof.</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Partition</w:t>
      </w:r>
      <w:r>
        <w:rPr>
          <w:rFonts w:ascii="Arial" w:cs="Arial" w:eastAsia="Arial" w:hAnsi="Arial"/>
          <w:sz w:val="18"/>
          <w:szCs w:val="18"/>
          <w:color w:val="auto"/>
        </w:rPr>
        <w:t>. The Members agree that the Property is not and will not be suitable for partition. Accordingly, each of the Members hereby irrevocably waives any and all right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Member may have to maintain any action for partition of any of the Property. No Member shall have any right to any specific assets of the Company upon the liquidation of, or any distribution from, the Company.</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Agreement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Counsel and Secretary</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FOR 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Original Members</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Oxy Holding Company (Pipeline), Inc.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EMG Investment, LLC.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KAFU Holdings, L.P.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 First Reserve XII, LLC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KAFU Holdings II, L.P.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Kayne Anderson MLP Investment Company</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Kayne Anderson Energy Development Company</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Kayne Anderson Midstream/Energy Fund, Inc.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PAA Management, L.P.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Mark E. Strome Living Trust</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Strome PAA, L.P.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Windy, L.L.C.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Lynx Holdings I, LLC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Jay M. Chernosky</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Kipp PAA Trust</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Paul N. Riddle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Russell T. Clingman</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David E. Humphreys</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Units as of November 15, 2016</w:t>
      </w:r>
    </w:p>
    <w:p>
      <w:pPr>
        <w:sectPr>
          <w:pgSz w:w="11900" w:h="16838" w:orient="portrait"/>
          <w:cols w:equalWidth="0" w:num="1">
            <w:col w:w="11420"/>
          </w:cols>
          <w:pgMar w:left="240" w:top="341"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7280" w:type="dxa"/>
            <w:vAlign w:val="bottom"/>
            <w:gridSpan w:val="3"/>
          </w:tcPr>
          <w:p>
            <w:pPr>
              <w:ind w:left="660"/>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Company Units</w:t>
            </w:r>
          </w:p>
        </w:tc>
        <w:tc>
          <w:tcPr>
            <w:tcW w:w="248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Plains GP Holdings L.P.</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95,465,638</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Oxy Holding Company (Pipeline), Inc.</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29,977,890</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EMG Investment, LLC.</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45,632,121</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KAFU Holdings, L.P.</w:t>
            </w:r>
          </w:p>
        </w:tc>
        <w:tc>
          <w:tcPr>
            <w:tcW w:w="1580" w:type="dxa"/>
            <w:vAlign w:val="bottom"/>
          </w:tcPr>
          <w:p>
            <w:pPr>
              <w:jc w:val="right"/>
              <w:spacing w:after="0"/>
              <w:rPr>
                <w:sz w:val="20"/>
                <w:szCs w:val="20"/>
                <w:color w:val="auto"/>
              </w:rPr>
            </w:pPr>
            <w:r>
              <w:rPr>
                <w:rFonts w:ascii="Arial" w:cs="Arial" w:eastAsia="Arial" w:hAnsi="Arial"/>
                <w:sz w:val="18"/>
                <w:szCs w:val="18"/>
                <w:color w:val="auto"/>
              </w:rPr>
              <w:t>1,241,167</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KAFU Holdings (QP), L.P.</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24,334,917</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KAFU Holdings II, L.P.</w:t>
            </w:r>
          </w:p>
        </w:tc>
        <w:tc>
          <w:tcPr>
            <w:tcW w:w="1580" w:type="dxa"/>
            <w:vAlign w:val="bottom"/>
          </w:tcPr>
          <w:p>
            <w:pPr>
              <w:jc w:val="right"/>
              <w:spacing w:after="0"/>
              <w:rPr>
                <w:sz w:val="20"/>
                <w:szCs w:val="20"/>
                <w:color w:val="auto"/>
              </w:rPr>
            </w:pPr>
            <w:r>
              <w:rPr>
                <w:rFonts w:ascii="Arial" w:cs="Arial" w:eastAsia="Arial" w:hAnsi="Arial"/>
                <w:sz w:val="18"/>
                <w:szCs w:val="18"/>
                <w:color w:val="auto"/>
              </w:rPr>
              <w:t>2,551,869</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Kayne Anderson MLP Investment Company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1,277,539</w:t>
            </w:r>
          </w:p>
        </w:tc>
        <w:tc>
          <w:tcPr>
            <w:tcW w:w="12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Kayne Anderson Energy Development Company</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344,729</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Kayne Anderson Midstream/Energy Fund, Inc.</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689,558</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PAA Management, L.P.</w:t>
            </w:r>
          </w:p>
        </w:tc>
        <w:tc>
          <w:tcPr>
            <w:tcW w:w="1580" w:type="dxa"/>
            <w:vAlign w:val="bottom"/>
          </w:tcPr>
          <w:p>
            <w:pPr>
              <w:jc w:val="right"/>
              <w:spacing w:after="0"/>
              <w:rPr>
                <w:sz w:val="20"/>
                <w:szCs w:val="20"/>
                <w:color w:val="auto"/>
              </w:rPr>
            </w:pPr>
            <w:r>
              <w:rPr>
                <w:rFonts w:ascii="Arial" w:cs="Arial" w:eastAsia="Arial" w:hAnsi="Arial"/>
                <w:sz w:val="18"/>
                <w:szCs w:val="18"/>
                <w:color w:val="auto"/>
              </w:rPr>
              <w:t>8,199,844</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Strome Living Trust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4,469,717</w:t>
            </w:r>
          </w:p>
        </w:tc>
        <w:tc>
          <w:tcPr>
            <w:tcW w:w="12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Strome PAA, L.P.</w:t>
            </w:r>
          </w:p>
        </w:tc>
        <w:tc>
          <w:tcPr>
            <w:tcW w:w="1580" w:type="dxa"/>
            <w:vAlign w:val="bottom"/>
          </w:tcPr>
          <w:p>
            <w:pPr>
              <w:jc w:val="right"/>
              <w:spacing w:after="0"/>
              <w:rPr>
                <w:sz w:val="20"/>
                <w:szCs w:val="20"/>
                <w:color w:val="auto"/>
              </w:rPr>
            </w:pPr>
            <w:r>
              <w:rPr>
                <w:rFonts w:ascii="Arial" w:cs="Arial" w:eastAsia="Arial" w:hAnsi="Arial"/>
                <w:sz w:val="18"/>
                <w:szCs w:val="18"/>
                <w:color w:val="auto"/>
              </w:rPr>
              <w:t>2,369,290</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Windy,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2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Lynx Holdings I, LLC</w:t>
            </w:r>
          </w:p>
        </w:tc>
        <w:tc>
          <w:tcPr>
            <w:tcW w:w="1580" w:type="dxa"/>
            <w:vAlign w:val="bottom"/>
          </w:tcPr>
          <w:p>
            <w:pPr>
              <w:jc w:val="right"/>
              <w:spacing w:after="0"/>
              <w:rPr>
                <w:sz w:val="20"/>
                <w:szCs w:val="20"/>
                <w:color w:val="auto"/>
              </w:rPr>
            </w:pPr>
            <w:r>
              <w:rPr>
                <w:rFonts w:ascii="Arial" w:cs="Arial" w:eastAsia="Arial" w:hAnsi="Arial"/>
                <w:sz w:val="18"/>
                <w:szCs w:val="18"/>
                <w:color w:val="auto"/>
              </w:rPr>
              <w:t>3,183,216</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M. Chernosky</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298,842</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Kipp PAA Trust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336,197</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N. Riddle</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336,197</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David E. Humphreys</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87,894</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J. Trinder</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56,328</w:t>
            </w:r>
          </w:p>
        </w:tc>
        <w:tc>
          <w:tcPr>
            <w:tcW w:w="2480" w:type="dxa"/>
            <w:vAlign w:val="bottom"/>
          </w:tcPr>
          <w:p>
            <w:pPr>
              <w:spacing w:after="0"/>
              <w:rPr>
                <w:sz w:val="18"/>
                <w:szCs w:val="18"/>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6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3</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3880" w:type="dxa"/>
            <w:vAlign w:val="bottom"/>
            <w:gridSpan w:val="2"/>
          </w:tcPr>
          <w:p>
            <w:pPr>
              <w:ind w:left="1520"/>
              <w:spacing w:after="0"/>
              <w:rPr>
                <w:sz w:val="20"/>
                <w:szCs w:val="20"/>
                <w:color w:val="auto"/>
              </w:rPr>
            </w:pPr>
            <w:r>
              <w:rPr>
                <w:rFonts w:ascii="Arial" w:cs="Arial" w:eastAsia="Arial" w:hAnsi="Arial"/>
                <w:sz w:val="14"/>
                <w:szCs w:val="14"/>
                <w:b w:val="1"/>
                <w:bCs w:val="1"/>
                <w:color w:val="auto"/>
              </w:rPr>
              <w:t>Individual</w:t>
            </w:r>
          </w:p>
        </w:tc>
        <w:tc>
          <w:tcPr>
            <w:tcW w:w="1740" w:type="dxa"/>
            <w:vAlign w:val="bottom"/>
            <w:gridSpan w:val="2"/>
          </w:tcPr>
          <w:p>
            <w:pPr>
              <w:ind w:left="68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Oxy Designee</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Ben Figlock</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Designee</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Robert V. Sinnott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EMG Designee</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John T. Raymond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Greg L. Armstrong</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Harry N. Pefanis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 (U.S.)</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Willie C. Chiang</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Everardo Goyanes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Victor Burk</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Bobby S. Shackouls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Gary R. Petersen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 Taft Symonds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Christopher M. Temple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154940</wp:posOffset>
            </wp:positionV>
            <wp:extent cx="6157595" cy="8661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759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Director Changes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(Houston — February 21, 2017) Plains All American Pipeline, L.P. (NYSE: PAA) and Plains GP Holdings (NYSE: PAGP) today announced that the Board of Directors of PAA GP Holdings LLC (“PAGP GP”) appointed Harry Pefanis and Willie Chiang to the Board. Mr. Pefanis and Mr. Chiang serve as the President and Chief Operating Officer and Executive Vice President and Chief Operating Officer (U.S.), respectively, of PAGP GP.</w:t>
      </w:r>
    </w:p>
    <w:p>
      <w:pPr>
        <w:spacing w:after="0" w:line="166"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Ryan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1)"/>
      <w:numFmt w:val="lowerLetter"/>
      <w:start w:val="1"/>
    </w:lvl>
  </w:abstractNum>
  <w:abstractNum w:abstractNumId="2">
    <w:nsid w:val="62BBD95A"/>
    <w:multiLevelType w:val="hybridMultilevel"/>
    <w:lvl w:ilvl="0">
      <w:lvlJc w:val="left"/>
      <w:lvlText w:val="(%1)"/>
      <w:numFmt w:val="lowerRoman"/>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3"/>
    </w:lvl>
  </w:abstractNum>
  <w:abstractNum w:abstractNumId="6">
    <w:nsid w:val="721DA317"/>
    <w:multiLevelType w:val="hybridMultilevel"/>
    <w:lvl w:ilvl="0">
      <w:lvlJc w:val="left"/>
      <w:lvlText w:val="(%1)"/>
      <w:numFmt w:val="lowerLetter"/>
      <w:start w:val="1"/>
    </w:lvl>
    <w:lvl w:ilvl="1">
      <w:lvlJc w:val="left"/>
      <w:lvlText w:val="(%2)"/>
      <w:numFmt w:val="lowerRoman"/>
      <w:start w:val="1"/>
    </w:lvl>
  </w:abstractNum>
  <w:abstractNum w:abstractNumId="7">
    <w:nsid w:val="2443A858"/>
    <w:multiLevelType w:val="hybridMultilevel"/>
    <w:lvl w:ilvl="0">
      <w:lvlJc w:val="left"/>
      <w:lvlText w:val="(%1)"/>
      <w:numFmt w:val="lowerRoman"/>
      <w:start w:val="3"/>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lowerLetter"/>
      <w:start w:val="2"/>
    </w:lvl>
    <w:lvl w:ilvl="1">
      <w:lvlJc w:val="left"/>
      <w:lvlText w:val="(%2)"/>
      <w:numFmt w:val="lowerRoman"/>
      <w:start w:val="1"/>
    </w:lvl>
  </w:abstractNum>
  <w:abstractNum w:abstractNumId="10">
    <w:nsid w:val="75A2A8D4"/>
    <w:multiLevelType w:val="hybridMultilevel"/>
    <w:lvl w:ilvl="0">
      <w:lvlJc w:val="left"/>
      <w:lvlText w:val="%1"/>
      <w:numFmt w:val="lowerLetter"/>
      <w:start w:val="1"/>
    </w:lvl>
    <w:lvl w:ilvl="1">
      <w:lvlJc w:val="left"/>
      <w:lvlText w:val="(%2)"/>
      <w:numFmt w:val="lowerRoman"/>
      <w:start w:val="4"/>
    </w:lvl>
  </w:abstractNum>
  <w:abstractNum w:abstractNumId="11">
    <w:nsid w:val="8EDBDAB"/>
    <w:multiLevelType w:val="hybridMultilevel"/>
    <w:lvl w:ilvl="0">
      <w:lvlJc w:val="left"/>
      <w:lvlText w:val="(%1)"/>
      <w:numFmt w:val="lowerLetter"/>
      <w:start w:val="3"/>
    </w:lvl>
    <w:lvl w:ilvl="1">
      <w:lvlJc w:val="left"/>
      <w:lvlText w:val="%2"/>
      <w:numFmt w:val="lowerRoman"/>
      <w:start w:val="1"/>
    </w:lvl>
  </w:abstractNum>
  <w:abstractNum w:abstractNumId="12">
    <w:nsid w:val="79838CB2"/>
    <w:multiLevelType w:val="hybridMultilevel"/>
    <w:lvl w:ilvl="0">
      <w:lvlJc w:val="left"/>
      <w:lvlText w:val="(%1)"/>
      <w:numFmt w:val="lowerLetter"/>
      <w:start w:val="2"/>
    </w:lvl>
  </w:abstractNum>
  <w:abstractNum w:abstractNumId="13">
    <w:nsid w:val="4353D0CD"/>
    <w:multiLevelType w:val="hybridMultilevel"/>
    <w:lvl w:ilvl="0">
      <w:lvlJc w:val="left"/>
      <w:lvlText w:val="(%1)"/>
      <w:numFmt w:val="lowerLetter"/>
      <w:start w:val="4"/>
    </w:lvl>
  </w:abstractNum>
  <w:abstractNum w:abstractNumId="14">
    <w:nsid w:val="B03E0C6"/>
    <w:multiLevelType w:val="hybridMultilevel"/>
    <w:lvl w:ilvl="0">
      <w:lvlJc w:val="left"/>
      <w:lvlText w:val="(%1)"/>
      <w:numFmt w:val="lowerLetter"/>
      <w:start w:val="5"/>
    </w:lvl>
  </w:abstractNum>
  <w:abstractNum w:abstractNumId="15">
    <w:nsid w:val="189A769B"/>
    <w:multiLevelType w:val="hybridMultilevel"/>
    <w:lvl w:ilvl="0">
      <w:lvlJc w:val="left"/>
      <w:lvlText w:val="%1"/>
      <w:numFmt w:val="lowerLetter"/>
      <w:start w:val="1"/>
    </w:lvl>
    <w:lvl w:ilvl="1">
      <w:lvlJc w:val="left"/>
      <w:lvlText w:val="(%2)"/>
      <w:numFmt w:val="lowerLetter"/>
      <w:start w:val="1"/>
    </w:lvl>
  </w:abstractNum>
  <w:abstractNum w:abstractNumId="16">
    <w:nsid w:val="54E49EB4"/>
    <w:multiLevelType w:val="hybridMultilevel"/>
    <w:lvl w:ilvl="0">
      <w:lvlJc w:val="left"/>
      <w:lvlText w:val="(%1)"/>
      <w:numFmt w:val="lowerLetter"/>
      <w:start w:val="35"/>
    </w:lvl>
    <w:lvl w:ilvl="1">
      <w:lvlJc w:val="left"/>
      <w:lvlText w:val="(%2)"/>
      <w:numFmt w:val="lowerLetter"/>
      <w:start w:val="2"/>
    </w:lvl>
  </w:abstractNum>
  <w:abstractNum w:abstractNumId="17">
    <w:nsid w:val="71F32454"/>
    <w:multiLevelType w:val="hybridMultilevel"/>
    <w:lvl w:ilvl="0">
      <w:lvlJc w:val="left"/>
      <w:lvlText w:val="(%1)"/>
      <w:numFmt w:val="lowerLetter"/>
      <w:start w:val="3"/>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5"/>
    </w:lvl>
  </w:abstractNum>
  <w:abstractNum w:abstractNumId="23">
    <w:nsid w:val="1E7FF521"/>
    <w:multiLevelType w:val="hybridMultilevel"/>
    <w:lvl w:ilvl="0">
      <w:lvlJc w:val="left"/>
      <w:lvlText w:val="(%1)"/>
      <w:numFmt w:val="lowerLetter"/>
      <w:start w:val="7"/>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2"/>
    </w:lvl>
    <w:lvl w:ilvl="1">
      <w:lvlJc w:val="left"/>
      <w:lvlText w:val="(%2)"/>
      <w:numFmt w:val="lowerRoman"/>
      <w:start w:val="1"/>
    </w:lvl>
  </w:abstractNum>
  <w:abstractNum w:abstractNumId="27">
    <w:nsid w:val="22221A70"/>
    <w:multiLevelType w:val="hybridMultilevel"/>
    <w:lvl w:ilvl="0">
      <w:lvlJc w:val="left"/>
      <w:lvlText w:val="(%1)"/>
      <w:numFmt w:val="lowerLetter"/>
      <w:start w:val="1"/>
    </w:lvl>
    <w:lvl w:ilvl="1">
      <w:lvlJc w:val="left"/>
      <w:lvlText w:val="(%2)"/>
      <w:numFmt w:val="lowerRoman"/>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4"/>
    </w:lvl>
  </w:abstractNum>
  <w:abstractNum w:abstractNumId="33">
    <w:nsid w:val="440BADFC"/>
    <w:multiLevelType w:val="hybridMultilevel"/>
    <w:lvl w:ilvl="0">
      <w:lvlJc w:val="left"/>
      <w:lvlText w:val="(%1)"/>
      <w:numFmt w:val="lowerLetter"/>
      <w:start w:val="1"/>
    </w:lvl>
    <w:lvl w:ilvl="1">
      <w:lvlJc w:val="left"/>
      <w:lvlText w:val="(%2)"/>
      <w:numFmt w:val="lowerRoman"/>
      <w:start w:val="1"/>
    </w:lvl>
  </w:abstractNum>
  <w:abstractNum w:abstractNumId="34">
    <w:nsid w:val="5072367"/>
    <w:multiLevelType w:val="hybridMultilevel"/>
    <w:lvl w:ilvl="0">
      <w:lvlJc w:val="left"/>
      <w:lvlText w:val="(%1)"/>
      <w:numFmt w:val="upperLetter"/>
      <w:start w:val="2"/>
    </w:lvl>
    <w:lvl w:ilvl="1">
      <w:lvlJc w:val="left"/>
      <w:lvlText w:val="(%2)"/>
      <w:numFmt w:val="lowerRoman"/>
      <w:start w:val="4"/>
    </w:lvl>
  </w:abstractNum>
  <w:abstractNum w:abstractNumId="35">
    <w:nsid w:val="3804823E"/>
    <w:multiLevelType w:val="hybridMultilevel"/>
    <w:lvl w:ilvl="0">
      <w:lvlJc w:val="left"/>
      <w:lvlText w:val="(%1)"/>
      <w:numFmt w:val="lowerLetter"/>
      <w:start w:val="2"/>
    </w:lvl>
  </w:abstractNum>
  <w:abstractNum w:abstractNumId="36">
    <w:nsid w:val="77465F0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2020-01-16T08:36:59Z</dcterms:created>
  <dcterms:modified xsi:type="dcterms:W3CDTF">2020-01-16T08:36:59Z</dcterms:modified>
</cp:coreProperties>
</file>