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0" w:lineRule="exact"/>
        <w:rPr>
          <w:sz w:val="24"/>
          <w:szCs w:val="24"/>
          <w:color w:val="auto"/>
        </w:rPr>
      </w:pPr>
    </w:p>
    <w:p>
      <w:pPr>
        <w:jc w:val="center"/>
        <w:ind w:right="-780"/>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ind w:right="-840"/>
        <w:spacing w:after="0"/>
        <w:rPr>
          <w:sz w:val="20"/>
          <w:szCs w:val="20"/>
          <w:color w:val="auto"/>
        </w:rPr>
      </w:pPr>
      <w:r>
        <w:rPr>
          <w:rFonts w:ascii="Arial" w:cs="Arial" w:eastAsia="Arial" w:hAnsi="Arial"/>
          <w:sz w:val="21"/>
          <w:szCs w:val="21"/>
          <w:b w:val="1"/>
          <w:bCs w:val="1"/>
          <w:color w:val="auto"/>
        </w:rPr>
        <w:t>SECURITIES AND EXCHANGE COMMISSION</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ind w:left="440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9879"/>
          </w:cols>
          <w:pgMar w:left="580" w:top="239" w:right="1440" w:bottom="1440" w:gutter="0" w:footer="0" w:header="0"/>
        </w:sectPr>
      </w:pPr>
    </w:p>
    <w:p>
      <w:pPr>
        <w:spacing w:after="0" w:line="220" w:lineRule="exact"/>
        <w:rPr>
          <w:sz w:val="24"/>
          <w:szCs w:val="24"/>
          <w:color w:val="auto"/>
        </w:rPr>
      </w:pPr>
    </w:p>
    <w:p>
      <w:pPr>
        <w:ind w:left="2880" w:firstLine="538"/>
        <w:spacing w:after="0" w:line="298" w:lineRule="auto"/>
        <w:rPr>
          <w:sz w:val="20"/>
          <w:szCs w:val="20"/>
          <w:color w:val="auto"/>
        </w:rPr>
      </w:pPr>
      <w:r>
        <w:rPr>
          <w:rFonts w:ascii="Arial" w:cs="Arial" w:eastAsia="Arial" w:hAnsi="Arial"/>
          <w:sz w:val="17"/>
          <w:szCs w:val="17"/>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63" w:lineRule="exact"/>
        <w:rPr>
          <w:sz w:val="24"/>
          <w:szCs w:val="24"/>
          <w:color w:val="auto"/>
        </w:rPr>
      </w:pPr>
    </w:p>
    <w:p>
      <w:pPr>
        <w:sectPr>
          <w:pgSz w:w="11900" w:h="16838" w:orient="portrait"/>
          <w:cols w:equalWidth="0" w:num="2">
            <w:col w:w="7440" w:space="340"/>
            <w:col w:w="2099"/>
          </w:cols>
          <w:pgMar w:left="580" w:top="239" w:right="1440" w:bottom="1440" w:gutter="0" w:footer="0" w:header="0"/>
          <w:type w:val="continuous"/>
        </w:sectPr>
      </w:pPr>
    </w:p>
    <w:p>
      <w:pPr>
        <w:ind w:left="5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02" w:lineRule="exact"/>
        <w:rPr>
          <w:sz w:val="24"/>
          <w:szCs w:val="24"/>
          <w:color w:val="auto"/>
        </w:rPr>
      </w:pPr>
    </w:p>
    <w:p>
      <w:pPr>
        <w:ind w:left="5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5"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88"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8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77"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3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50"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220345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86"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0"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88"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3714750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494665</wp:posOffset>
            </wp:positionV>
            <wp:extent cx="2177415"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74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14, 2022</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63" w:lineRule="exact"/>
        <w:rPr>
          <w:sz w:val="20"/>
          <w:szCs w:val="20"/>
          <w:color w:val="auto"/>
        </w:rPr>
      </w:pPr>
    </w:p>
    <w:p>
      <w:pPr>
        <w:ind w:left="1260" w:right="1019" w:firstLine="360"/>
        <w:spacing w:after="0" w:line="235" w:lineRule="auto"/>
        <w:rPr>
          <w:sz w:val="20"/>
          <w:szCs w:val="20"/>
          <w:color w:val="auto"/>
        </w:rPr>
      </w:pPr>
      <w:r>
        <w:rPr>
          <w:rFonts w:ascii="Arial" w:cs="Arial" w:eastAsia="Arial" w:hAnsi="Arial"/>
          <w:sz w:val="18"/>
          <w:szCs w:val="18"/>
          <w:color w:val="auto"/>
        </w:rPr>
        <w:t>We are grateful for your investment in Plains, and are pleased to invite you to join us for our May 25, 2022 annual meeting.</w:t>
      </w:r>
    </w:p>
    <w:p>
      <w:pPr>
        <w:spacing w:after="0" w:line="40" w:lineRule="exact"/>
        <w:rPr>
          <w:sz w:val="20"/>
          <w:szCs w:val="20"/>
          <w:color w:val="auto"/>
        </w:rPr>
      </w:pPr>
    </w:p>
    <w:p>
      <w:pPr>
        <w:ind w:left="1260" w:right="419" w:firstLine="360"/>
        <w:spacing w:after="0" w:line="225" w:lineRule="auto"/>
        <w:rPr>
          <w:sz w:val="20"/>
          <w:szCs w:val="20"/>
          <w:color w:val="auto"/>
        </w:rPr>
      </w:pPr>
      <w:r>
        <w:rPr>
          <w:rFonts w:ascii="Arial" w:cs="Arial" w:eastAsia="Arial" w:hAnsi="Arial"/>
          <w:sz w:val="18"/>
          <w:szCs w:val="18"/>
          <w:color w:val="auto"/>
        </w:rPr>
        <w:t>2021 was a year of solid execution for Plains that included significant free cash flow generation and debt reduction, disciplined capital investment and cost control, and the completion of a number of strategic initiatives that improve the positioning of the company for the future. Our teams rallied through demand fluctuations and a changing COVID-19 landscape to exceed our financial plan and substantially achieve our goals throughout the year. Key 2021 achievements include:</w:t>
      </w:r>
    </w:p>
    <w:p>
      <w:pPr>
        <w:spacing w:after="0" w:line="83" w:lineRule="exact"/>
        <w:rPr>
          <w:sz w:val="20"/>
          <w:szCs w:val="20"/>
          <w:color w:val="auto"/>
        </w:rPr>
      </w:pPr>
    </w:p>
    <w:p>
      <w:pPr>
        <w:ind w:left="1800" w:right="499" w:hanging="180"/>
        <w:spacing w:after="0" w:line="242"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$2.2 billion in Adjusted EBITDA attributable to Plains and ~$1.65 billion in Free Cash Flow after Distributions, which exceeded our goals for the year.</w:t>
      </w:r>
    </w:p>
    <w:p>
      <w:pPr>
        <w:spacing w:after="0" w:line="1"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debt by ~$1 billion and ended the year with ~$3.0 billion of committed liquidity.</w:t>
      </w:r>
    </w:p>
    <w:p>
      <w:pPr>
        <w:spacing w:after="0" w:line="9"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Returned ~$695 million to common equity holders via distributions and unit repurchases.</w:t>
      </w:r>
    </w:p>
    <w:p>
      <w:pPr>
        <w:spacing w:after="0" w:line="9"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asset sales of $875 million.</w:t>
      </w:r>
    </w:p>
    <w:p>
      <w:pPr>
        <w:spacing w:after="0" w:line="9" w:lineRule="exact"/>
        <w:rPr>
          <w:rFonts w:ascii="Arial" w:cs="Arial" w:eastAsia="Arial" w:hAnsi="Arial"/>
          <w:sz w:val="18"/>
          <w:szCs w:val="18"/>
          <w:color w:val="auto"/>
        </w:rPr>
      </w:pPr>
    </w:p>
    <w:p>
      <w:pPr>
        <w:ind w:left="1800" w:right="97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a targeted credit rating upgrade from Moody’s to investment grade and received affirmations of investment grade ratings from S&amp;P and Fitch.</w:t>
      </w:r>
    </w:p>
    <w:p>
      <w:pPr>
        <w:ind w:left="1800" w:right="43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Meaningfully expanded our Permian operational and commercial footprint via the cashless, debt-free Plains Oryx Permian Basin Joint Venture.</w:t>
      </w:r>
    </w:p>
    <w:p>
      <w:pPr>
        <w:ind w:left="1800" w:right="53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Placed both our Wink-to-Webster and Capline reversal projects into partial service and reduced capital expenditures by ~$230 million relative to our initial 2021 plan.</w:t>
      </w:r>
    </w:p>
    <w:p>
      <w:pPr>
        <w:ind w:left="1800" w:right="45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our investor and external stakeholder initiatives by progressing sustainability efforts to lower emissions, publishing a fulsome sustainability report (including disclosure of Scope 1 and Scope 2 emissions) and creating our Emerging Energy team.</w:t>
      </w:r>
    </w:p>
    <w:p>
      <w:pPr>
        <w:spacing w:after="0" w:line="1" w:lineRule="exact"/>
        <w:rPr>
          <w:rFonts w:ascii="Arial" w:cs="Arial" w:eastAsia="Arial" w:hAnsi="Arial"/>
          <w:sz w:val="18"/>
          <w:szCs w:val="18"/>
          <w:color w:val="auto"/>
        </w:rPr>
      </w:pPr>
    </w:p>
    <w:p>
      <w:pPr>
        <w:ind w:left="1800" w:right="51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Amended our governing agreements to eliminate all director designation rights, requiring that all Directors be subject to public election.</w:t>
      </w:r>
    </w:p>
    <w:p>
      <w:pPr>
        <w:jc w:val="both"/>
        <w:ind w:left="1800" w:right="1179" w:hanging="180"/>
        <w:spacing w:after="0" w:line="25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Formed a Health, Safety, Environmental and Sustainability Board Committee to provide enhanced oversight of our health, safety, environmental and sustainability activities and reporting.</w:t>
      </w:r>
    </w:p>
    <w:p>
      <w:pPr>
        <w:spacing w:after="0" w:line="53" w:lineRule="exact"/>
        <w:rPr>
          <w:sz w:val="20"/>
          <w:szCs w:val="20"/>
          <w:color w:val="auto"/>
        </w:rPr>
      </w:pPr>
    </w:p>
    <w:p>
      <w:pPr>
        <w:ind w:left="1260" w:right="419" w:firstLine="360"/>
        <w:spacing w:after="0" w:line="223" w:lineRule="auto"/>
        <w:rPr>
          <w:sz w:val="20"/>
          <w:szCs w:val="20"/>
          <w:color w:val="auto"/>
        </w:rPr>
      </w:pPr>
      <w:r>
        <w:rPr>
          <w:rFonts w:ascii="Arial" w:cs="Arial" w:eastAsia="Arial" w:hAnsi="Arial"/>
          <w:sz w:val="18"/>
          <w:szCs w:val="18"/>
          <w:color w:val="auto"/>
        </w:rPr>
        <w:t>We are optimistic about the future of our business as energy demand continues to return to pre-pandemic levels and it becomes increasingly apparent that there will be a critical need for all forms of energy in order to satisfy growing global demand. Underlying supply and demand fundamentals, together with realistic assumptions regarding the growth of various sources of energy, support our belief that hydrocarbons will remain an essential part of the world economy for decades to come. Energy from hydrocarbons will play a key role in supporting a growing global population, reducing poverty, extending longevity and improving overall quality of life.</w:t>
      </w:r>
    </w:p>
    <w:p>
      <w:pPr>
        <w:spacing w:after="0" w:line="44" w:lineRule="exact"/>
        <w:rPr>
          <w:sz w:val="20"/>
          <w:szCs w:val="20"/>
          <w:color w:val="auto"/>
        </w:rPr>
      </w:pPr>
    </w:p>
    <w:p>
      <w:pPr>
        <w:ind w:left="1260" w:right="439" w:firstLine="360"/>
        <w:spacing w:after="0" w:line="223" w:lineRule="auto"/>
        <w:rPr>
          <w:sz w:val="20"/>
          <w:szCs w:val="20"/>
          <w:color w:val="auto"/>
        </w:rPr>
      </w:pPr>
      <w:r>
        <w:rPr>
          <w:rFonts w:ascii="Arial" w:cs="Arial" w:eastAsia="Arial" w:hAnsi="Arial"/>
          <w:sz w:val="18"/>
          <w:szCs w:val="18"/>
          <w:color w:val="auto"/>
        </w:rPr>
        <w:t>With our network of strategically positioned North American midstream assets and our focus on the long term positioning and optimization of our business (including through the pursuit of emerging energy opportunities), we are very well positioned to play a critical role in the delivery of energy across North America and globally. As we do so, we will remain focused on generating meaningful multi-year free cash flow and maintaining a balanced approach to capital allocation that includes near-term debt reduction and increasing returns to equity holders through both distribution increases and equity buybacks. We believe we are on the right track and that execution of our plan will deliver strong performance and enhanced value for our investors over the long term.</w:t>
      </w:r>
    </w:p>
    <w:p>
      <w:pPr>
        <w:spacing w:after="0" w:line="41" w:lineRule="exact"/>
        <w:rPr>
          <w:sz w:val="20"/>
          <w:szCs w:val="20"/>
          <w:color w:val="auto"/>
        </w:rPr>
      </w:pPr>
    </w:p>
    <w:p>
      <w:pPr>
        <w:ind w:left="1260" w:right="519" w:firstLine="360"/>
        <w:spacing w:after="0" w:line="235"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2022 annual meeting in May.</w:t>
      </w:r>
    </w:p>
    <w:p>
      <w:pPr>
        <w:spacing w:after="0" w:line="5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48895</wp:posOffset>
            </wp:positionV>
            <wp:extent cx="126873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873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Willie Chiang</w:t>
      </w:r>
    </w:p>
    <w:p>
      <w:pPr>
        <w:ind w:left="5220"/>
        <w:spacing w:after="0"/>
        <w:rPr>
          <w:sz w:val="20"/>
          <w:szCs w:val="20"/>
          <w:color w:val="auto"/>
        </w:rPr>
      </w:pPr>
      <w:r>
        <w:rPr>
          <w:rFonts w:ascii="Arial" w:cs="Arial" w:eastAsia="Arial" w:hAnsi="Arial"/>
          <w:sz w:val="18"/>
          <w:szCs w:val="18"/>
          <w:i w:val="1"/>
          <w:iCs w:val="1"/>
          <w:color w:val="auto"/>
        </w:rPr>
        <w:t>Chairman of the Board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593725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494665</wp:posOffset>
            </wp:positionV>
            <wp:extent cx="217741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74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920"/>
        <w:spacing w:after="0"/>
        <w:rPr>
          <w:sz w:val="20"/>
          <w:szCs w:val="20"/>
          <w:color w:val="auto"/>
        </w:rPr>
      </w:pPr>
      <w:r>
        <w:rPr>
          <w:rFonts w:ascii="Arial" w:cs="Arial" w:eastAsia="Arial" w:hAnsi="Arial"/>
          <w:sz w:val="25"/>
          <w:szCs w:val="25"/>
          <w:b w:val="1"/>
          <w:bCs w:val="1"/>
          <w:color w:val="auto"/>
        </w:rPr>
        <w:t>Plains GP Holdings, L.P.</w:t>
      </w:r>
    </w:p>
    <w:p>
      <w:pPr>
        <w:spacing w:after="0" w:line="4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333 Clay Street, Suite 1600</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243205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3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holders of Class A, Class B and Class C shares of Plains GP Holdings, L.P.:</w:t>
      </w:r>
    </w:p>
    <w:p>
      <w:pPr>
        <w:spacing w:after="0" w:line="158" w:lineRule="exact"/>
        <w:rPr>
          <w:sz w:val="20"/>
          <w:szCs w:val="20"/>
          <w:color w:val="auto"/>
        </w:rPr>
      </w:pPr>
    </w:p>
    <w:p>
      <w:pPr>
        <w:ind w:left="1260" w:right="419" w:firstLine="360"/>
        <w:spacing w:after="0" w:line="233" w:lineRule="auto"/>
        <w:rPr>
          <w:sz w:val="20"/>
          <w:szCs w:val="20"/>
          <w:color w:val="auto"/>
        </w:rPr>
      </w:pPr>
      <w:r>
        <w:rPr>
          <w:rFonts w:ascii="Arial" w:cs="Arial" w:eastAsia="Arial" w:hAnsi="Arial"/>
          <w:sz w:val="18"/>
          <w:szCs w:val="18"/>
          <w:color w:val="auto"/>
        </w:rPr>
        <w:t>The 2022 Annual Meeting (the “PAGP Annual Meeting”) of the Class A, Class B and Class C shareholders (collectively, our “Shareholders”) of Plains GP Holdings, L.P. will be held on May 25, 2022,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At the PAGP Annual Meeting, our Shareholders will consider and vote on the following matters:</w:t>
      </w:r>
    </w:p>
    <w:p>
      <w:pPr>
        <w:spacing w:after="0" w:line="134" w:lineRule="exact"/>
        <w:rPr>
          <w:sz w:val="20"/>
          <w:szCs w:val="20"/>
          <w:color w:val="auto"/>
        </w:rPr>
      </w:pPr>
    </w:p>
    <w:p>
      <w:pPr>
        <w:ind w:left="1980" w:right="659" w:hanging="360"/>
        <w:spacing w:after="0" w:line="26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II directors to serve on the board of directors (the “Board”) of PAA GP Holdings LLC until the 2025 annual meeting;</w:t>
      </w:r>
    </w:p>
    <w:p>
      <w:pPr>
        <w:spacing w:after="0" w:line="130" w:lineRule="exact"/>
        <w:rPr>
          <w:rFonts w:ascii="Arial" w:cs="Arial" w:eastAsia="Arial" w:hAnsi="Arial"/>
          <w:sz w:val="18"/>
          <w:szCs w:val="18"/>
          <w:color w:val="auto"/>
        </w:rPr>
      </w:pPr>
    </w:p>
    <w:p>
      <w:pPr>
        <w:ind w:left="1980" w:right="639" w:hanging="360"/>
        <w:spacing w:after="0" w:line="256"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and Plains All American Pipeline, L.P.’s (“PAA”) independent registered public accounting firm for the fiscal year ending December 31, 2022;</w:t>
      </w:r>
    </w:p>
    <w:p>
      <w:pPr>
        <w:spacing w:after="0" w:line="134" w:lineRule="exact"/>
        <w:rPr>
          <w:rFonts w:ascii="Arial" w:cs="Arial" w:eastAsia="Arial" w:hAnsi="Arial"/>
          <w:sz w:val="18"/>
          <w:szCs w:val="18"/>
          <w:color w:val="auto"/>
        </w:rPr>
      </w:pPr>
    </w:p>
    <w:p>
      <w:pPr>
        <w:ind w:left="1980" w:right="1299" w:hanging="360"/>
        <w:spacing w:after="0" w:line="26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2021 named executive officer compensation; and</w:t>
      </w:r>
    </w:p>
    <w:p>
      <w:pPr>
        <w:spacing w:after="0" w:line="116" w:lineRule="exact"/>
        <w:rPr>
          <w:rFonts w:ascii="Arial" w:cs="Arial" w:eastAsia="Arial" w:hAnsi="Arial"/>
          <w:sz w:val="18"/>
          <w:szCs w:val="18"/>
          <w:color w:val="auto"/>
        </w:rPr>
      </w:pPr>
    </w:p>
    <w:p>
      <w:pPr>
        <w:ind w:left="1980" w:right="519" w:hanging="360"/>
        <w:spacing w:after="0" w:line="261"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PAGP Annual Meeting and any adjournment or postponement thereof.</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The Board unanimously recommends that our Shareholders vote “FOR” proposals 1, 2 and</w:t>
      </w:r>
    </w:p>
    <w:p>
      <w:pPr>
        <w:spacing w:after="0" w:line="31" w:lineRule="exact"/>
        <w:rPr>
          <w:sz w:val="20"/>
          <w:szCs w:val="20"/>
          <w:color w:val="auto"/>
        </w:rPr>
      </w:pPr>
    </w:p>
    <w:p>
      <w:pPr>
        <w:ind w:left="1260" w:right="419"/>
        <w:spacing w:after="0" w:line="291" w:lineRule="auto"/>
        <w:tabs>
          <w:tab w:leader="none" w:pos="145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information regarding these proposals is included in the attached proxy statement. See “Information About the PAA and PAGP Annual Meetings” below for more information.</w:t>
      </w:r>
    </w:p>
    <w:p>
      <w:pPr>
        <w:spacing w:after="0" w:line="106"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We have set the close of business on March 28, 2022 as the record date for determining which of our Shareholders are entitled to receive notice of and to vote at the PAGP Annual Meeting and any postponements or adjournments thereof. A list of Shareholders entitled to vote is on file at our principal offices, 333 Clay Street, Suite 1600, Houston, Texas 77002.</w:t>
      </w:r>
    </w:p>
    <w:p>
      <w:pPr>
        <w:spacing w:after="0" w:line="101"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PAGP Annual Meeting, please</w:t>
      </w:r>
      <w:r>
        <w:rPr>
          <w:rFonts w:ascii="Arial" w:cs="Arial" w:eastAsia="Arial" w:hAnsi="Arial"/>
          <w:sz w:val="17"/>
          <w:szCs w:val="17"/>
          <w:b w:val="1"/>
          <w:bCs w:val="1"/>
          <w:color w:val="auto"/>
        </w:rPr>
        <w:t xml:space="preserve"> </w:t>
      </w:r>
      <w:r>
        <w:rPr>
          <w:rFonts w:ascii="Arial" w:cs="Arial" w:eastAsia="Arial" w:hAnsi="Arial"/>
          <w:sz w:val="17"/>
          <w:szCs w:val="17"/>
          <w:color w:val="auto"/>
        </w:rPr>
        <w:t>cast your vote by following the Internet or telephone voting instructions on the proxy card. You may also vote by completing, signing and dating the accompanying proxy card and returning it promptly in the postage-prepaid envelope provided. See “Questions and Answers About the PAGP Annual Meeting — How do I vote?” in the attached proxy statement for more details. Returning the proxy card or voting on the Internet or by telephone does not deprive you of your right to attend the PAGP Annual Meeting and to vote your shares for the matters to be acted upon at the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1195705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 of</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117475</wp:posOffset>
            </wp:positionV>
            <wp:extent cx="205740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McGee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7"/>
          <w:szCs w:val="17"/>
          <w:i w:val="1"/>
          <w:iCs w:val="1"/>
          <w:color w:val="auto"/>
        </w:rPr>
        <w:t>Executive Vice President, General Counsel and</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Secretary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5212080"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754380"/>
                    </a:xfrm>
                    <a:prstGeom prst="rect">
                      <a:avLst/>
                    </a:prstGeom>
                    <a:noFill/>
                  </pic:spPr>
                </pic:pic>
              </a:graphicData>
            </a:graphic>
          </wp:anchor>
        </w:drawing>
      </w:r>
    </w:p>
    <w:p>
      <w:pPr>
        <w:spacing w:after="0" w:line="224" w:lineRule="exact"/>
        <w:rPr>
          <w:sz w:val="20"/>
          <w:szCs w:val="20"/>
          <w:color w:val="auto"/>
        </w:rPr>
      </w:pPr>
    </w:p>
    <w:p>
      <w:pPr>
        <w:jc w:val="center"/>
        <w:ind w:left="2240" w:right="640"/>
        <w:spacing w:after="0" w:line="268"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25, 2022</w:t>
      </w:r>
    </w:p>
    <w:p>
      <w:pPr>
        <w:spacing w:after="0" w:line="52"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The Notice of Annual Meeting, the proxy statement for the Annual Meeting and our 2021 Annual</w:t>
      </w:r>
    </w:p>
    <w:p>
      <w:pPr>
        <w:jc w:val="center"/>
        <w:ind w:right="-820"/>
        <w:spacing w:after="0"/>
        <w:rPr>
          <w:sz w:val="20"/>
          <w:szCs w:val="20"/>
          <w:color w:val="auto"/>
        </w:rPr>
      </w:pPr>
      <w:r>
        <w:rPr>
          <w:rFonts w:ascii="Arial" w:cs="Arial" w:eastAsia="Arial" w:hAnsi="Arial"/>
          <w:sz w:val="16"/>
          <w:szCs w:val="16"/>
          <w:b w:val="1"/>
          <w:bCs w:val="1"/>
          <w:color w:val="auto"/>
        </w:rPr>
        <w:t>Report are available at http://www.astproxyportal.com/ast/21140/.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5381625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3"/>
          </w:tcPr>
          <w:p>
            <w:pPr>
              <w:ind w:left="64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60" w:type="dxa"/>
            <w:vAlign w:val="bottom"/>
            <w:gridSpan w:val="19"/>
            <w:shd w:val="clear" w:color="auto" w:fill="CCEEFF"/>
          </w:tcPr>
          <w:p>
            <w:pPr>
              <w:spacing w:after="0" w:line="162" w:lineRule="exact"/>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PLAINS GP HOLDINGS, L.P. ANNUAL MEETING</w:t>
              </w:r>
            </w:hyperlink>
          </w:p>
        </w:tc>
        <w:tc>
          <w:tcPr>
            <w:tcW w:w="440" w:type="dxa"/>
            <w:vAlign w:val="bottom"/>
            <w:gridSpan w:val="3"/>
            <w:shd w:val="clear" w:color="auto" w:fill="CCEEFF"/>
          </w:tcPr>
          <w:p>
            <w:pPr>
              <w:jc w:val="right"/>
              <w:spacing w:after="0" w:line="162"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7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ABOUT THE PAA AND PAGP ANNUAL MEETINGS</w:t>
              </w:r>
            </w:hyperlink>
          </w:p>
        </w:tc>
        <w:tc>
          <w:tcPr>
            <w:tcW w:w="4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QUESTIONS AND ANSWERS ABOUT THE PAGP ANNUAL MEETING</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PROPOSAL 1 – ELECTION OF CLASS II DIRECTORS</w:t>
              </w:r>
            </w:hyperlink>
          </w:p>
        </w:tc>
        <w:tc>
          <w:tcPr>
            <w:tcW w:w="46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CORPORATE GOVERNANCE AND RELATED MATTERS</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EXECUTIVE OFFICERS</w:t>
              </w:r>
            </w:hyperlink>
          </w:p>
        </w:tc>
        <w:tc>
          <w:tcPr>
            <w:tcW w:w="4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shd w:val="clear" w:color="auto" w:fill="CCEEFF"/>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EXECUTIVE COMPENSATION</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w:t>
              </w:r>
            </w:hyperlink>
          </w:p>
        </w:tc>
        <w:tc>
          <w:tcPr>
            <w:tcW w:w="46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EQUITY COMPENSATION PLAN INFORMATION TABLE</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CERTAIN RELATIONSHIPS AND RELATED TRANSACTIONS</w:t>
              </w:r>
            </w:hyperlink>
          </w:p>
        </w:tc>
        <w:tc>
          <w:tcPr>
            <w:tcW w:w="46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shd w:val="clear" w:color="auto" w:fill="CCEEFF"/>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 OF THE AUDIT COMMITTEE</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46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77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PROPOSAL 2 – RATIFICATION OF APPOINTMENT OF INDEPENDENT REGISTERED PUBLIC</w:t>
              </w:r>
            </w:hyperlink>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18"/>
            <w:shd w:val="clear" w:color="auto" w:fill="CCEEFF"/>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ACCOUNTING FIRM</w:t>
              </w:r>
            </w:hyperlink>
          </w:p>
        </w:tc>
        <w:tc>
          <w:tcPr>
            <w:tcW w:w="44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Borders>
              <w:top w:val="single" w:sz="8" w:color="CCEEFF"/>
            </w:tcBorders>
            <w:shd w:val="clear" w:color="auto" w:fill="CCEEFF"/>
          </w:tcPr>
          <w:p>
            <w:pPr>
              <w:spacing w:after="0"/>
              <w:rPr>
                <w:sz w:val="7"/>
                <w:szCs w:val="7"/>
                <w:color w:val="auto"/>
              </w:rPr>
            </w:pPr>
          </w:p>
        </w:tc>
        <w:tc>
          <w:tcPr>
            <w:tcW w:w="17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66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73">
              <w:r>
                <w:rPr>
                  <w:rFonts w:ascii="Arial" w:cs="Arial" w:eastAsia="Arial" w:hAnsi="Arial"/>
                  <w:sz w:val="18"/>
                  <w:szCs w:val="18"/>
                  <w:color w:val="0000EE"/>
                  <w:w w:val="99"/>
                </w:rPr>
                <w:t>PROPOSAL 3 – ADVISORY VOTE TO APPROVE OUR 2021 NAMED EXECUTIVE</w:t>
              </w:r>
            </w:hyperlink>
          </w:p>
        </w:tc>
        <w:tc>
          <w:tcPr>
            <w:tcW w:w="10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1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OFFICER COMPENSATION</w:t>
              </w:r>
            </w:hyperlink>
          </w:p>
        </w:tc>
        <w:tc>
          <w:tcPr>
            <w:tcW w:w="460" w:type="dxa"/>
            <w:vAlign w:val="bottom"/>
            <w:gridSpan w:val="4"/>
          </w:tcPr>
          <w:p>
            <w:pPr>
              <w:jc w:val="right"/>
              <w:ind w:right="20"/>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17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7760" w:type="dxa"/>
            <w:vAlign w:val="bottom"/>
            <w:gridSpan w:val="19"/>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MATTERS FOR THE PAGP ANNUAL MEETING</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SHAREHOLDER PROPOSALS FOR THE 2023 ANNUAL MEETING</w:t>
              </w:r>
            </w:hyperlink>
          </w:p>
        </w:tc>
        <w:tc>
          <w:tcPr>
            <w:tcW w:w="46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19"/>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HOUSEHOLDING MATTERS</w:t>
              </w:r>
            </w:hyperlink>
          </w:p>
        </w:tc>
        <w:tc>
          <w:tcPr>
            <w:tcW w:w="440" w:type="dxa"/>
            <w:vAlign w:val="bottom"/>
            <w:gridSpan w:val="3"/>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7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PLAINS GP HOLDINGS, L.P.</w:t>
      </w: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PROXY STATEMENT</w:t>
      </w:r>
    </w:p>
    <w:p>
      <w:pPr>
        <w:spacing w:after="0" w:line="3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1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2022 Annual Meeting of Shareholders To Be Held On May 25, 2022</w:t>
      </w:r>
    </w:p>
    <w:p>
      <w:pPr>
        <w:spacing w:after="0" w:line="190"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GP HOLDINGS, L.P.</w:t>
      </w:r>
    </w:p>
    <w:p>
      <w:pPr>
        <w:spacing w:after="0" w:line="1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44" w:lineRule="exact"/>
        <w:rPr>
          <w:sz w:val="20"/>
          <w:szCs w:val="20"/>
          <w:color w:val="auto"/>
        </w:rPr>
      </w:pPr>
    </w:p>
    <w:p>
      <w:pPr>
        <w:ind w:left="1260" w:right="559" w:firstLine="360"/>
        <w:spacing w:after="0" w:line="227" w:lineRule="auto"/>
        <w:rPr>
          <w:sz w:val="20"/>
          <w:szCs w:val="20"/>
          <w:color w:val="auto"/>
        </w:rPr>
      </w:pPr>
      <w:r>
        <w:rPr>
          <w:rFonts w:ascii="Arial" w:cs="Arial" w:eastAsia="Arial" w:hAnsi="Arial"/>
          <w:sz w:val="18"/>
          <w:szCs w:val="18"/>
          <w:color w:val="auto"/>
        </w:rPr>
        <w:t>The board of directors (the “Board”) of PAA GP Holdings LLC (“PAGP GP” or our “general partner”), is soliciting proxies to be voted on behalf of our Class A, Class B and Class C shareholders (collectively, our “Shareholders”) at the 2022 annual meeting of Shareholders (the “PAGP Annual Meeting”). This proxy statement is being furnished to you in connection with the solicitation of proxies by and on behalf of the Board for use at the PAGP Annual Meeting and includes information about the matters to be voted upon at the PAGP Annual Meeting. The PAGP Annual Meeting will be held on May 25, 2022,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77002.References to “PAGP,” “we,” “us,” “our,” “ours” and similar terms refer to Plains GP Holdings, L.P.</w:t>
      </w:r>
    </w:p>
    <w:p>
      <w:pPr>
        <w:spacing w:after="0" w:line="122" w:lineRule="exact"/>
        <w:rPr>
          <w:sz w:val="20"/>
          <w:szCs w:val="20"/>
          <w:color w:val="auto"/>
        </w:rPr>
      </w:pPr>
    </w:p>
    <w:p>
      <w:pPr>
        <w:jc w:val="both"/>
        <w:ind w:left="1260" w:right="579" w:firstLine="360"/>
        <w:spacing w:after="0"/>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2021 (our “2021 Annual Report”), are being mailed to Shareholders beginning on or about April 14, 2022.</w:t>
      </w:r>
    </w:p>
    <w:p>
      <w:pPr>
        <w:spacing w:after="0" w:line="113"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b w:val="1"/>
          <w:bCs w:val="1"/>
          <w:color w:val="auto"/>
        </w:rPr>
        <w:t>We will furnish additional copies of our 2021 Annual Report without charge upon the written request of any record or beneficial owner of our Class A, Class B or Class C shares whose proxy we are soliciting in connection with the PAGP Annual Meeting. Please address requests for additional copies of the 2021 Annual Report to the Investor Relations Department, Plains All American, 333 Clay Street, Suite 1600, Houston, Texas 77002, or email your request to plainsIR@paalp.com.</w:t>
      </w:r>
    </w:p>
    <w:p>
      <w:pPr>
        <w:spacing w:after="0" w:line="17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INFORMATION ABOUT THE PAA AND PAGP ANNUAL MEETINGS</w:t>
      </w:r>
    </w:p>
    <w:p>
      <w:pPr>
        <w:spacing w:after="0" w:line="18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Plains All American Pipeline, L.P. (“PAA”) will hold an annual meeting of its unitholders (the “PAA Annual Meeting”) immediately prior to the PAGP Annual Meeting. At the PAA Annual Meeting, PAA unitholders (excluding Plains AAP, L.P. (“AAP”)) will vote on a pass-through basis on proposals 1, 2 and 3 described below by instructing PAA how to vote the PAGP Class C shares that it owns on such proposals at the PAGP Annual Meeting.</w:t>
      </w:r>
    </w:p>
    <w:p>
      <w:pPr>
        <w:spacing w:after="0" w:line="121" w:lineRule="exact"/>
        <w:rPr>
          <w:sz w:val="20"/>
          <w:szCs w:val="20"/>
          <w:color w:val="auto"/>
        </w:rPr>
      </w:pPr>
    </w:p>
    <w:p>
      <w:pPr>
        <w:ind w:left="1260" w:right="579" w:firstLine="360"/>
        <w:spacing w:after="0" w:line="237" w:lineRule="auto"/>
        <w:rPr>
          <w:sz w:val="20"/>
          <w:szCs w:val="20"/>
          <w:color w:val="auto"/>
        </w:rPr>
      </w:pPr>
      <w:r>
        <w:rPr>
          <w:rFonts w:ascii="Arial" w:cs="Arial" w:eastAsia="Arial" w:hAnsi="Arial"/>
          <w:sz w:val="18"/>
          <w:szCs w:val="18"/>
          <w:color w:val="auto"/>
        </w:rPr>
        <w:t>At the PAGP Annual Meeting, our Class A, Class B and Class C shareholders will be asked to approve proposals 1, 2 and 3 described below. Each Shareholder of record will be entitled to one vote for each Class A, Class B and Class C share owned for proposals 1, 2 and 3. PAA owns all of the issued and outstanding Class C shares and will vote (or refrain from voting) such shares on a pass-through basis on behalf of and according to the direction of PAA’s unitholders (excluding AAP) with respect to proposals 1, 2 and 3.</w:t>
      </w:r>
    </w:p>
    <w:p>
      <w:pPr>
        <w:spacing w:after="0" w:line="18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QUESTIONS AND ANSWERS ABOUT THE PAGP ANNUAL MEETING</w:t>
      </w:r>
    </w:p>
    <w:p>
      <w:pPr>
        <w:spacing w:after="0" w:line="18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7"/>
          <w:szCs w:val="17"/>
          <w:color w:val="auto"/>
        </w:rPr>
        <w:t>The following questions and answers are intended to address briefly some commonly asked questions regarding the PAGP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66" w:lineRule="exact"/>
        <w:rPr>
          <w:sz w:val="20"/>
          <w:szCs w:val="20"/>
          <w:color w:val="auto"/>
        </w:rPr>
      </w:pPr>
    </w:p>
    <w:p>
      <w:pPr>
        <w:ind w:left="1620" w:right="819" w:hanging="360"/>
        <w:spacing w:after="0" w:line="253"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is soliciting your proxy to vote at the PAGP Annual Meeting because you were a Shareholder at the close of business on March 28, 2022, the record date for the PAGP Annual Meeting (the “Record Date”), and are therefore entitled to receive notice regarding the PAGP Annual Meeting, and to attend and vote at the PAGP Annual Meeting. This proxy statement summarizes</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79"/>
        <w:spacing w:after="0" w:line="237" w:lineRule="auto"/>
        <w:rPr>
          <w:sz w:val="20"/>
          <w:szCs w:val="20"/>
          <w:color w:val="auto"/>
        </w:rPr>
      </w:pPr>
      <w:r>
        <w:rPr>
          <w:rFonts w:ascii="Arial" w:cs="Arial" w:eastAsia="Arial" w:hAnsi="Arial"/>
          <w:sz w:val="18"/>
          <w:szCs w:val="18"/>
          <w:color w:val="auto"/>
        </w:rPr>
        <w:t>the information that you need to know in order to cast your vote at the PAGP Annual Meeting. As a Shareholder, your vote is very important and the Board strongly encourages you to exercise your right to vote. You do not need to attend the PAGP Annual Meeting to vote your shares, and we encourage you to vote even if you are unable to attend the PAGP Annual Meeting in person. If you are unable to attend the PAGP Annual Meeting, you may vote by Internet, by telephone or by signing and returning the attached proxy card in the envelope provided. See “How do I vote?” below.</w:t>
      </w:r>
    </w:p>
    <w:p>
      <w:pPr>
        <w:spacing w:after="0" w:line="10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80"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95" w:lineRule="exact"/>
        <w:rPr>
          <w:rFonts w:ascii="Arial" w:cs="Arial" w:eastAsia="Arial" w:hAnsi="Arial"/>
          <w:sz w:val="18"/>
          <w:szCs w:val="18"/>
          <w:color w:val="auto"/>
        </w:rPr>
      </w:pPr>
    </w:p>
    <w:p>
      <w:pPr>
        <w:ind w:left="1800" w:right="979" w:hanging="180"/>
        <w:spacing w:after="0" w:line="28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Victor Burk, Kevin S. McCarthy, Harry N. Pefanis and Gary R.</w:t>
      </w:r>
      <w:r>
        <w:rPr>
          <w:rFonts w:ascii="Arial" w:cs="Arial" w:eastAsia="Arial" w:hAnsi="Arial"/>
          <w:sz w:val="18"/>
          <w:szCs w:val="18"/>
          <w:b w:val="1"/>
          <w:bCs w:val="1"/>
          <w:color w:val="auto"/>
        </w:rPr>
        <w:t xml:space="preserve"> </w:t>
      </w:r>
      <w:r>
        <w:rPr>
          <w:rFonts w:ascii="Arial" w:cs="Arial" w:eastAsia="Arial" w:hAnsi="Arial"/>
          <w:sz w:val="18"/>
          <w:szCs w:val="18"/>
          <w:color w:val="auto"/>
        </w:rPr>
        <w:t>Petersen as a Class II director of the Board to serve until the 2025 annual meeting;</w:t>
      </w:r>
    </w:p>
    <w:p>
      <w:pPr>
        <w:spacing w:after="0" w:line="31" w:lineRule="exact"/>
        <w:rPr>
          <w:rFonts w:ascii="Arial" w:cs="Arial" w:eastAsia="Arial" w:hAnsi="Arial"/>
          <w:sz w:val="18"/>
          <w:szCs w:val="18"/>
          <w:color w:val="auto"/>
        </w:rPr>
      </w:pPr>
    </w:p>
    <w:p>
      <w:pPr>
        <w:ind w:left="1800" w:right="459" w:hanging="180"/>
        <w:spacing w:after="0" w:line="268"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and Plains All</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Pipeline, L.P.’s independent registered public accounting firm for the fiscal year ending December 31, 2022; and</w:t>
      </w:r>
    </w:p>
    <w:p>
      <w:pPr>
        <w:spacing w:after="0" w:line="62" w:lineRule="exact"/>
        <w:rPr>
          <w:rFonts w:ascii="Arial" w:cs="Arial" w:eastAsia="Arial" w:hAnsi="Arial"/>
          <w:sz w:val="18"/>
          <w:szCs w:val="18"/>
          <w:color w:val="auto"/>
        </w:rPr>
      </w:pPr>
    </w:p>
    <w:p>
      <w:pPr>
        <w:ind w:left="1800" w:right="1099" w:hanging="180"/>
        <w:spacing w:after="0" w:line="28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2021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PAGP Annual Meeting?</w:t>
      </w:r>
    </w:p>
    <w:p>
      <w:pPr>
        <w:spacing w:after="0" w:line="180" w:lineRule="exact"/>
        <w:rPr>
          <w:sz w:val="20"/>
          <w:szCs w:val="20"/>
          <w:color w:val="auto"/>
        </w:rPr>
      </w:pPr>
    </w:p>
    <w:p>
      <w:pPr>
        <w:ind w:left="1620" w:right="439" w:hanging="360"/>
        <w:spacing w:after="0" w:line="241"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PAGP Annual Meeting will be held on May 25, 2022,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Only Shareholders of record as of March 28, 2022 are entitled to vote and ask questions at the PAGP Annual Meeting. If you are not a Shareholder of record but hold shares in “street name” through a brokerage firm, bank, dealer or other similar organization, trustee, or nominee (generally referred to in this proxy statement as a “broker”), you may attend the PAGP Annual Meeting as a guest. Please note that if you hold shares in “street name” through a broker and desire to vote your shares or ask questions during the PAGP Annual Meeting, you must request and obtain a valid “legal proxy” from your broker and register to attend the PAGP Annual Meeting as a Shareholder with American Stock Transfer &amp; Trust Company, LLC (“AST”).</w:t>
      </w:r>
    </w:p>
    <w:p>
      <w:pPr>
        <w:spacing w:after="0" w:line="137" w:lineRule="exact"/>
        <w:rPr>
          <w:rFonts w:ascii="Arial" w:cs="Arial" w:eastAsia="Arial" w:hAnsi="Arial"/>
          <w:sz w:val="18"/>
          <w:szCs w:val="18"/>
          <w:color w:val="auto"/>
        </w:rPr>
      </w:pPr>
    </w:p>
    <w:p>
      <w:pPr>
        <w:ind w:left="1620" w:right="819"/>
        <w:spacing w:after="0" w:line="261" w:lineRule="auto"/>
        <w:rPr>
          <w:rFonts w:ascii="Arial" w:cs="Arial" w:eastAsia="Arial" w:hAnsi="Arial"/>
          <w:sz w:val="18"/>
          <w:szCs w:val="18"/>
          <w:color w:val="auto"/>
        </w:rPr>
      </w:pPr>
      <w:r>
        <w:rPr>
          <w:rFonts w:ascii="Arial" w:cs="Arial" w:eastAsia="Arial" w:hAnsi="Arial"/>
          <w:sz w:val="18"/>
          <w:szCs w:val="18"/>
          <w:color w:val="auto"/>
        </w:rPr>
        <w:t>Information on who can vote and ask questions during the PAGP Annual Meeting is discussed immediately below.</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PAGP Annual Meeting?</w:t>
      </w:r>
    </w:p>
    <w:p>
      <w:pPr>
        <w:spacing w:after="0" w:line="180" w:lineRule="exact"/>
        <w:rPr>
          <w:sz w:val="20"/>
          <w:szCs w:val="20"/>
          <w:color w:val="auto"/>
        </w:rPr>
      </w:pPr>
    </w:p>
    <w:p>
      <w:pPr>
        <w:ind w:left="1620" w:right="539" w:hanging="360"/>
        <w:spacing w:after="0" w:line="256"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PAGP Annual Meeting if you were a Shareholder of record as the close of business on March 28, 2022, the record date for the PAGP Annual Meeting.</w:t>
      </w:r>
    </w:p>
    <w:p>
      <w:pPr>
        <w:spacing w:after="0" w:line="102" w:lineRule="exact"/>
        <w:rPr>
          <w:rFonts w:ascii="Arial" w:cs="Arial" w:eastAsia="Arial" w:hAnsi="Arial"/>
          <w:sz w:val="18"/>
          <w:szCs w:val="18"/>
          <w:color w:val="auto"/>
        </w:rPr>
      </w:pPr>
    </w:p>
    <w:p>
      <w:pPr>
        <w:ind w:left="1620" w:right="439"/>
        <w:spacing w:after="0" w:line="256" w:lineRule="auto"/>
        <w:rPr>
          <w:rFonts w:ascii="Arial" w:cs="Arial" w:eastAsia="Arial" w:hAnsi="Arial"/>
          <w:sz w:val="18"/>
          <w:szCs w:val="18"/>
          <w:color w:val="auto"/>
        </w:rPr>
      </w:pPr>
      <w:r>
        <w:rPr>
          <w:rFonts w:ascii="Arial" w:cs="Arial" w:eastAsia="Arial" w:hAnsi="Arial"/>
          <w:sz w:val="18"/>
          <w:szCs w:val="18"/>
          <w:i w:val="1"/>
          <w:iCs w:val="1"/>
          <w:color w:val="auto"/>
        </w:rPr>
        <w:t xml:space="preserve">Shareholder of Record: Shares Registered in Your Name. </w:t>
      </w:r>
      <w:r>
        <w:rPr>
          <w:rFonts w:ascii="Arial" w:cs="Arial" w:eastAsia="Arial" w:hAnsi="Arial"/>
          <w:sz w:val="18"/>
          <w:szCs w:val="18"/>
          <w:color w:val="auto"/>
        </w:rPr>
        <w:t>You are a Shareholder of record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were registered directly in your name with our transfer agent, AST, at the close of business on March 28, 2022. As a Shareholder of record, you may vote and ask questions during the PAGP Annual Meeting. Whether or not you plan to attend the PAGP Annual Meeting, we urge you to submit a proxy to ensure your vote is counted. </w:t>
      </w:r>
      <w:r>
        <w:rPr>
          <w:rFonts w:ascii="Arial" w:cs="Arial" w:eastAsia="Arial" w:hAnsi="Arial"/>
          <w:sz w:val="18"/>
          <w:szCs w:val="18"/>
          <w:b w:val="1"/>
          <w:bCs w:val="1"/>
          <w:i w:val="1"/>
          <w:iCs w:val="1"/>
          <w:color w:val="auto"/>
        </w:rPr>
        <w:t>See page 3 for detailed instructions on how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vote your shares.</w:t>
      </w:r>
    </w:p>
    <w:p>
      <w:pPr>
        <w:spacing w:after="0" w:line="119" w:lineRule="exact"/>
        <w:rPr>
          <w:rFonts w:ascii="Arial" w:cs="Arial" w:eastAsia="Arial" w:hAnsi="Arial"/>
          <w:sz w:val="18"/>
          <w:szCs w:val="18"/>
          <w:color w:val="auto"/>
        </w:rPr>
      </w:pPr>
    </w:p>
    <w:p>
      <w:pPr>
        <w:ind w:left="1620" w:right="519"/>
        <w:spacing w:after="0" w:line="253" w:lineRule="auto"/>
        <w:rPr>
          <w:rFonts w:ascii="Arial" w:cs="Arial" w:eastAsia="Arial" w:hAnsi="Arial"/>
          <w:sz w:val="18"/>
          <w:szCs w:val="18"/>
          <w:color w:val="auto"/>
        </w:rPr>
      </w:pPr>
      <w:r>
        <w:rPr>
          <w:rFonts w:ascii="Arial" w:cs="Arial" w:eastAsia="Arial" w:hAnsi="Arial"/>
          <w:sz w:val="18"/>
          <w:szCs w:val="18"/>
          <w:i w:val="1"/>
          <w:iCs w:val="1"/>
          <w:color w:val="auto"/>
        </w:rPr>
        <w:t xml:space="preserve">Beneficial Owner: Shares Registered in the Name of Broker. </w:t>
      </w:r>
      <w:r>
        <w:rPr>
          <w:rFonts w:ascii="Arial" w:cs="Arial" w:eastAsia="Arial" w:hAnsi="Arial"/>
          <w:sz w:val="18"/>
          <w:szCs w:val="18"/>
          <w:color w:val="auto"/>
        </w:rPr>
        <w:t>If your shares were held in an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at a broker at the close of business on March 28, 2022, then you are the beneficial owner of shares held in “street name” and the broker holding your account is considered to be the Shareholder of record for purposes of voting at the PAGP Annual Meeting. As a beneficial owner, you have the right to direct your broker regarding how to vote the shares in your account. You are also invited to attend the PAGP Annual Meeting as a guest. Because you are not the Shareholder of record, you may not vote your shares or ask questions at the PAGP Annual Meeting unless you request and obtain a valid legal proxy from the organization that holds your shares giving you the right to vote the shares at the PAGP Annual Meeting. Follow the instructions from your broker or bank included with these proxy materials, or contact your broker or bank to request a legal proxy form.</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579"/>
        <w:spacing w:after="0" w:line="253" w:lineRule="auto"/>
        <w:rPr>
          <w:sz w:val="20"/>
          <w:szCs w:val="20"/>
          <w:color w:val="auto"/>
        </w:rPr>
      </w:pPr>
      <w:r>
        <w:rPr>
          <w:rFonts w:ascii="Arial" w:cs="Arial" w:eastAsia="Arial" w:hAnsi="Arial"/>
          <w:sz w:val="18"/>
          <w:szCs w:val="18"/>
          <w:color w:val="auto"/>
        </w:rPr>
        <w:t>After obtaining a valid legal proxy from your broker, bank or other agent, to then register to attend the PAGP Annual Meeting as a Shareholder, you must submit proof of your legal proxy reflecting the number of your shares along with your name and email address to AST. Requests for registration should be directed to proxy@astfinancial.com or to facsimile number 718-765-8730. Written requests can be mailed to:</w:t>
      </w:r>
    </w:p>
    <w:p>
      <w:pPr>
        <w:spacing w:after="0" w:line="12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American Stock Transfer &amp; Trust Company,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Proxy Tabulation Department</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6201 15th Avenue | Brooklyn, NY 11219</w:t>
      </w:r>
    </w:p>
    <w:p>
      <w:pPr>
        <w:spacing w:after="0" w:line="158" w:lineRule="exact"/>
        <w:rPr>
          <w:sz w:val="20"/>
          <w:szCs w:val="20"/>
          <w:color w:val="auto"/>
        </w:rPr>
      </w:pPr>
    </w:p>
    <w:p>
      <w:pPr>
        <w:ind w:left="1620" w:right="439"/>
        <w:spacing w:after="0" w:line="261"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18, 2022.</w:t>
      </w:r>
    </w:p>
    <w:p>
      <w:pPr>
        <w:spacing w:after="0" w:line="130" w:lineRule="exact"/>
        <w:rPr>
          <w:sz w:val="20"/>
          <w:szCs w:val="20"/>
          <w:color w:val="auto"/>
        </w:rPr>
      </w:pPr>
    </w:p>
    <w:p>
      <w:pPr>
        <w:ind w:left="1620" w:right="539"/>
        <w:spacing w:after="0" w:line="256"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PAGP Annual Meeting, submit questions and vote your shares during the meeting.</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66" w:lineRule="exact"/>
        <w:rPr>
          <w:sz w:val="20"/>
          <w:szCs w:val="20"/>
          <w:color w:val="auto"/>
        </w:rPr>
      </w:pPr>
    </w:p>
    <w:p>
      <w:pPr>
        <w:ind w:left="1620" w:right="499" w:hanging="360"/>
        <w:spacing w:after="0" w:line="261"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PAGP Annual Meeting.</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entitled to vote at the PAGP Annual Meeting?</w:t>
      </w:r>
    </w:p>
    <w:p>
      <w:pPr>
        <w:spacing w:after="0" w:line="180" w:lineRule="exact"/>
        <w:rPr>
          <w:sz w:val="20"/>
          <w:szCs w:val="20"/>
          <w:color w:val="auto"/>
        </w:rPr>
      </w:pPr>
    </w:p>
    <w:p>
      <w:pPr>
        <w:ind w:left="1620" w:right="419" w:hanging="360"/>
        <w:spacing w:after="0" w:line="256"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holders of our Class A, Class B and Class C shares at the close of business on the Record Date are entitled to receive notice of the PAGP Annual Meeting and to vote the Class A, Class B and Class C shares that they held on the Record Date at the PAGP Annual Meeting.</w:t>
      </w:r>
    </w:p>
    <w:p>
      <w:pPr>
        <w:spacing w:after="0" w:line="134" w:lineRule="exact"/>
        <w:rPr>
          <w:rFonts w:ascii="Arial" w:cs="Arial" w:eastAsia="Arial" w:hAnsi="Arial"/>
          <w:sz w:val="18"/>
          <w:szCs w:val="18"/>
          <w:color w:val="auto"/>
        </w:rPr>
      </w:pPr>
    </w:p>
    <w:p>
      <w:pPr>
        <w:ind w:left="1620" w:right="419"/>
        <w:spacing w:after="0" w:line="252" w:lineRule="auto"/>
        <w:rPr>
          <w:rFonts w:ascii="Arial" w:cs="Arial" w:eastAsia="Arial" w:hAnsi="Arial"/>
          <w:sz w:val="18"/>
          <w:szCs w:val="18"/>
          <w:color w:val="auto"/>
        </w:rPr>
      </w:pPr>
      <w:r>
        <w:rPr>
          <w:rFonts w:ascii="Arial" w:cs="Arial" w:eastAsia="Arial" w:hAnsi="Arial"/>
          <w:sz w:val="18"/>
          <w:szCs w:val="18"/>
          <w:color w:val="auto"/>
        </w:rPr>
        <w:t>Each Shareholder is entitled to one vote for each Class A, Class B and Class C share owned for proposals 1, 2 and 3. On March 28, 2022, 194,192,777 Class A shares, 46,850,538 Class B shares and 532,273,469 Class C shares were issued and outstanding and entitled to vote. PAA owns all of the issued and outstanding Class C shares and will vote such shares on a “pass-through” basis on proposals 1, 2 and 3 at the PAGP Annual Meeting on behalf of and according to the direction of its eligible unitholders as determined at the PAA Annual Meeting.</w:t>
      </w:r>
    </w:p>
    <w:p>
      <w:pPr>
        <w:spacing w:after="0" w:line="1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80" w:lineRule="exact"/>
        <w:rPr>
          <w:sz w:val="20"/>
          <w:szCs w:val="20"/>
          <w:color w:val="auto"/>
        </w:rPr>
      </w:pPr>
    </w:p>
    <w:p>
      <w:pPr>
        <w:ind w:left="1620" w:right="499" w:hanging="360"/>
        <w:spacing w:after="0" w:line="261"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vote your shares by any of the following methods:</w:t>
      </w:r>
    </w:p>
    <w:p>
      <w:pPr>
        <w:spacing w:after="0" w:line="71" w:lineRule="exact"/>
        <w:rPr>
          <w:rFonts w:ascii="Arial" w:cs="Arial" w:eastAsia="Arial" w:hAnsi="Arial"/>
          <w:sz w:val="18"/>
          <w:szCs w:val="18"/>
          <w:color w:val="auto"/>
        </w:rPr>
      </w:pPr>
    </w:p>
    <w:p>
      <w:pPr>
        <w:ind w:left="1800" w:right="499" w:hanging="180"/>
        <w:spacing w:after="0" w:line="261"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71" w:lineRule="exact"/>
        <w:rPr>
          <w:rFonts w:ascii="Arial" w:cs="Arial" w:eastAsia="Arial" w:hAnsi="Arial"/>
          <w:sz w:val="18"/>
          <w:szCs w:val="18"/>
          <w:color w:val="auto"/>
        </w:rPr>
      </w:pPr>
    </w:p>
    <w:p>
      <w:pPr>
        <w:ind w:left="1800" w:right="559" w:hanging="180"/>
        <w:spacing w:after="0" w:line="261"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telephone before the meeting. </w:t>
      </w:r>
      <w:r>
        <w:rPr>
          <w:rFonts w:ascii="Arial" w:cs="Arial" w:eastAsia="Arial" w:hAnsi="Arial"/>
          <w:sz w:val="18"/>
          <w:szCs w:val="18"/>
          <w:color w:val="auto"/>
        </w:rPr>
        <w:t>You may vote by telephone by calling the toll-free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your proxy card. Telephone voting procedures have been established to verify your identity, to allow you to provide proxy voting instructions and to confirm that your instructions were accurately recorded. Please have your proxy card available when you call.</w:t>
      </w:r>
    </w:p>
    <w:p>
      <w:pPr>
        <w:spacing w:after="0" w:line="85" w:lineRule="exact"/>
        <w:rPr>
          <w:rFonts w:ascii="Arial" w:cs="Arial" w:eastAsia="Arial" w:hAnsi="Arial"/>
          <w:sz w:val="18"/>
          <w:szCs w:val="18"/>
          <w:color w:val="auto"/>
        </w:rPr>
      </w:pPr>
    </w:p>
    <w:p>
      <w:pPr>
        <w:ind w:left="1800" w:right="459" w:hanging="180"/>
        <w:spacing w:after="0" w:line="261"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w:t>
      </w:r>
      <w:r>
        <w:rPr>
          <w:rFonts w:ascii="Arial" w:cs="Arial" w:eastAsia="Arial" w:hAnsi="Arial"/>
          <w:sz w:val="18"/>
          <w:szCs w:val="18"/>
          <w:i w:val="1"/>
          <w:iCs w:val="1"/>
          <w:color w:val="auto"/>
        </w:rPr>
        <w:t xml:space="preserve"> </w:t>
      </w:r>
      <w:r>
        <w:rPr>
          <w:rFonts w:ascii="Arial" w:cs="Arial" w:eastAsia="Arial" w:hAnsi="Arial"/>
          <w:sz w:val="18"/>
          <w:szCs w:val="18"/>
          <w:color w:val="auto"/>
        </w:rPr>
        <w:t>and dated proxy card in the enclosed postage-paid return envelope. However, in order to ensure that your vote is received in a timely manner, we recommend that you vote online or by telephone as described above.</w:t>
      </w:r>
    </w:p>
    <w:p>
      <w:pPr>
        <w:spacing w:after="0" w:line="71" w:lineRule="exact"/>
        <w:rPr>
          <w:rFonts w:ascii="Arial" w:cs="Arial" w:eastAsia="Arial" w:hAnsi="Arial"/>
          <w:sz w:val="18"/>
          <w:szCs w:val="18"/>
          <w:color w:val="auto"/>
        </w:rPr>
      </w:pPr>
    </w:p>
    <w:p>
      <w:pPr>
        <w:ind w:left="1800" w:right="559" w:hanging="180"/>
        <w:spacing w:after="0" w:line="256"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are a Shareholder of record, you may attend the PAGP</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ask questions and vote during the meeting. If you are a beneficial owner of shares held in street name, you must be registered to attend the PAGP Annual Meeting as a Shareholder and must have a valid legal proxy in order to vote during the meeting. Please read the “Beneficial Owner: Shares Registered in the Name of Broker” answer under the question “Who</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59"/>
        <w:spacing w:after="0" w:line="246" w:lineRule="auto"/>
        <w:rPr>
          <w:sz w:val="20"/>
          <w:szCs w:val="20"/>
          <w:color w:val="auto"/>
        </w:rPr>
      </w:pPr>
      <w:r>
        <w:rPr>
          <w:rFonts w:ascii="Arial" w:cs="Arial" w:eastAsia="Arial" w:hAnsi="Arial"/>
          <w:sz w:val="18"/>
          <w:szCs w:val="18"/>
          <w:color w:val="auto"/>
        </w:rPr>
        <w:t>can vote and ask questions at the PAGP Annual Meeting?” above for instructions on how to register to attend the PAGP Annual Meeting and obtain a legal proxy.</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Internet and telephone voting will be available to Shareholders of record 24 hours a day until</w:t>
      </w:r>
    </w:p>
    <w:p>
      <w:pPr>
        <w:jc w:val="both"/>
        <w:ind w:left="1620" w:right="499"/>
        <w:spacing w:after="0" w:line="238" w:lineRule="auto"/>
        <w:rPr>
          <w:sz w:val="20"/>
          <w:szCs w:val="20"/>
          <w:color w:val="auto"/>
        </w:rPr>
      </w:pPr>
      <w:r>
        <w:rPr>
          <w:rFonts w:ascii="Arial" w:cs="Arial" w:eastAsia="Arial" w:hAnsi="Arial"/>
          <w:sz w:val="18"/>
          <w:szCs w:val="18"/>
          <w:color w:val="auto"/>
        </w:rPr>
        <w:t>11:59 p.m. Eastern Time on May 24, 2022, the night before the PAGP Annual Meeting. If you use the Internet or the toll-free telephone number to provide your proxy voting instructions, you do not need to mail in your proxy card. If you mail in your proxy card, it must be received by PAGP before the voting polls close at the PAGP Annual Meeting.</w:t>
      </w:r>
    </w:p>
    <w:p>
      <w:pPr>
        <w:spacing w:after="0" w:line="137" w:lineRule="exact"/>
        <w:rPr>
          <w:sz w:val="20"/>
          <w:szCs w:val="20"/>
          <w:color w:val="auto"/>
        </w:rPr>
      </w:pPr>
    </w:p>
    <w:p>
      <w:pPr>
        <w:ind w:left="1620" w:right="479"/>
        <w:spacing w:after="0" w:line="238" w:lineRule="auto"/>
        <w:rPr>
          <w:sz w:val="20"/>
          <w:szCs w:val="20"/>
          <w:color w:val="auto"/>
        </w:rPr>
      </w:pPr>
      <w:r>
        <w:rPr>
          <w:rFonts w:ascii="Arial" w:cs="Arial" w:eastAsia="Arial" w:hAnsi="Arial"/>
          <w:sz w:val="18"/>
          <w:szCs w:val="18"/>
          <w:color w:val="auto"/>
        </w:rPr>
        <w:t>Even if you plan to attend the PAGP Annual Meeting, please vote your shares by proxy in advance of the PAGP Annual Meeting (either online, by telephone or by mail as described above) as soon as possible so that your shares will be represented at the PAGP Annual Meeting if for any reason you are unable to attend.</w:t>
      </w:r>
    </w:p>
    <w:p>
      <w:pPr>
        <w:spacing w:after="0" w:line="10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80" w:lineRule="exact"/>
        <w:rPr>
          <w:sz w:val="20"/>
          <w:szCs w:val="20"/>
          <w:color w:val="auto"/>
        </w:rPr>
      </w:pPr>
    </w:p>
    <w:p>
      <w:pPr>
        <w:ind w:left="1620" w:right="659" w:hanging="360"/>
        <w:spacing w:after="0" w:line="261"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change your vote at any time before the voting polls close at the PAGP Annual Meeting by:</w:t>
      </w:r>
    </w:p>
    <w:p>
      <w:pPr>
        <w:spacing w:after="0" w:line="76" w:lineRule="exact"/>
        <w:rPr>
          <w:rFonts w:ascii="Arial" w:cs="Arial" w:eastAsia="Arial" w:hAnsi="Arial"/>
          <w:sz w:val="18"/>
          <w:szCs w:val="18"/>
          <w:color w:val="auto"/>
        </w:rPr>
      </w:pPr>
    </w:p>
    <w:p>
      <w:pPr>
        <w:ind w:left="1800" w:right="699" w:hanging="180"/>
        <w:spacing w:after="0" w:line="256"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24, 2022);</w:t>
      </w:r>
    </w:p>
    <w:p>
      <w:pPr>
        <w:spacing w:after="0" w:line="93" w:lineRule="exact"/>
        <w:rPr>
          <w:rFonts w:ascii="Arial" w:cs="Arial" w:eastAsia="Arial" w:hAnsi="Arial"/>
          <w:sz w:val="18"/>
          <w:szCs w:val="18"/>
          <w:color w:val="auto"/>
        </w:rPr>
      </w:pPr>
    </w:p>
    <w:p>
      <w:pPr>
        <w:ind w:left="1800" w:right="439" w:hanging="180"/>
        <w:spacing w:after="0" w:line="261"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delivering a later-dated, executed proxy card to American Stock Transfer &amp; Trust Company, LLC, 6201 15th Avenue, Brooklyn, New York 11219;</w:t>
      </w:r>
    </w:p>
    <w:p>
      <w:pPr>
        <w:spacing w:after="0" w:line="89" w:lineRule="exact"/>
        <w:rPr>
          <w:rFonts w:ascii="Arial" w:cs="Arial" w:eastAsia="Arial" w:hAnsi="Arial"/>
          <w:sz w:val="18"/>
          <w:szCs w:val="18"/>
          <w:color w:val="auto"/>
        </w:rPr>
      </w:pPr>
    </w:p>
    <w:p>
      <w:pPr>
        <w:ind w:left="1800" w:right="1079" w:hanging="180"/>
        <w:spacing w:after="0" w:line="261"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American Stock Transfer &amp; Trust Company, LLC, 6201 15th Avenue, Brooklyn, New York 11219; or</w:t>
      </w:r>
    </w:p>
    <w:p>
      <w:pPr>
        <w:spacing w:after="0" w:line="89" w:lineRule="exact"/>
        <w:rPr>
          <w:rFonts w:ascii="Arial" w:cs="Arial" w:eastAsia="Arial" w:hAnsi="Arial"/>
          <w:sz w:val="18"/>
          <w:szCs w:val="18"/>
          <w:color w:val="auto"/>
        </w:rPr>
      </w:pPr>
    </w:p>
    <w:p>
      <w:pPr>
        <w:ind w:left="1800" w:right="419" w:hanging="180"/>
        <w:spacing w:after="0" w:line="256" w:lineRule="auto"/>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attending the PAGP Annual Meeting and voting during the PAGP Annual Meeting pursuant to the instructions above. Please note that attendance at the PAGP Annual Meeting will not by itself (i.e., without also voting) revoke a previously granted proxy.</w:t>
      </w:r>
    </w:p>
    <w:p>
      <w:pPr>
        <w:spacing w:after="0" w:line="121" w:lineRule="exact"/>
        <w:rPr>
          <w:sz w:val="20"/>
          <w:szCs w:val="20"/>
          <w:color w:val="auto"/>
        </w:rPr>
      </w:pPr>
    </w:p>
    <w:p>
      <w:pPr>
        <w:ind w:left="1620" w:right="559"/>
        <w:spacing w:after="0" w:line="238" w:lineRule="auto"/>
        <w:rPr>
          <w:sz w:val="20"/>
          <w:szCs w:val="20"/>
          <w:color w:val="auto"/>
        </w:rPr>
      </w:pPr>
      <w:r>
        <w:rPr>
          <w:rFonts w:ascii="Arial" w:cs="Arial" w:eastAsia="Arial" w:hAnsi="Arial"/>
          <w:sz w:val="18"/>
          <w:szCs w:val="18"/>
          <w:color w:val="auto"/>
        </w:rPr>
        <w:t>If you are a beneficial owner of shares held in street name and you have instructed your broker or other nominee to vote your shares, you must follow the procedure your broker or other nominee provides to change those instructions. You may also vote during the PAGP Annual Meeting if you obtain a legal proxy from your broker or other nominee and register to attend the PAGP Annual Meeting pursuant to the instructions above.</w:t>
      </w:r>
    </w:p>
    <w:p>
      <w:pPr>
        <w:spacing w:after="0" w:line="11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66" w:lineRule="exact"/>
        <w:rPr>
          <w:sz w:val="20"/>
          <w:szCs w:val="20"/>
          <w:color w:val="auto"/>
        </w:rPr>
      </w:pPr>
    </w:p>
    <w:p>
      <w:pPr>
        <w:ind w:left="1620" w:right="499" w:hanging="360"/>
        <w:spacing w:after="0" w:line="267" w:lineRule="auto"/>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2021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as votes either “FOR” or “AGAINST” Proposals 1 and 3.</w:t>
      </w:r>
    </w:p>
    <w:p>
      <w:pPr>
        <w:spacing w:after="0" w:line="10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66" w:lineRule="exact"/>
        <w:rPr>
          <w:sz w:val="20"/>
          <w:szCs w:val="20"/>
          <w:color w:val="auto"/>
        </w:rPr>
      </w:pPr>
    </w:p>
    <w:p>
      <w:pPr>
        <w:ind w:left="1620" w:right="619" w:hanging="360"/>
        <w:spacing w:after="0" w:line="291"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holders of a majority of the outstanding Class A, Class B and Class C shares entitled to vote and represented in person or by proxy shall constitute a quorum at the PAGP Annual Meeting.</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Your shares will be counted as present at the PAGP Annual Meeting if:</w:t>
      </w:r>
    </w:p>
    <w:p>
      <w:pPr>
        <w:spacing w:after="0" w:line="117"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117" w:lineRule="exact"/>
        <w:rPr>
          <w:rFonts w:ascii="Arial" w:cs="Arial" w:eastAsia="Arial" w:hAnsi="Arial"/>
          <w:sz w:val="18"/>
          <w:szCs w:val="18"/>
          <w:color w:val="auto"/>
        </w:rPr>
      </w:pPr>
    </w:p>
    <w:p>
      <w:pPr>
        <w:ind w:left="1800" w:right="479" w:hanging="180"/>
        <w:spacing w:after="0" w:line="261"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shares held in street name, have submitted a properly executed proxy.</w:t>
      </w:r>
    </w:p>
    <w:p>
      <w:pPr>
        <w:spacing w:after="0" w:line="117" w:lineRule="exact"/>
        <w:rPr>
          <w:sz w:val="20"/>
          <w:szCs w:val="20"/>
          <w:color w:val="auto"/>
        </w:rPr>
      </w:pPr>
    </w:p>
    <w:p>
      <w:pPr>
        <w:ind w:left="1620" w:right="799"/>
        <w:spacing w:after="0" w:line="261"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108" w:lineRule="exact"/>
        <w:rPr>
          <w:sz w:val="20"/>
          <w:szCs w:val="20"/>
          <w:color w:val="auto"/>
        </w:rPr>
      </w:pPr>
    </w:p>
    <w:p>
      <w:pPr>
        <w:jc w:val="center"/>
        <w:ind w:right="-60"/>
        <w:spacing w:after="0"/>
        <w:tabs>
          <w:tab w:leader="none" w:pos="1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vote is required to approve the proposals discussed in this proxy statement?</w:t>
      </w:r>
    </w:p>
    <w:p>
      <w:pPr>
        <w:spacing w:after="0" w:line="180" w:lineRule="exact"/>
        <w:rPr>
          <w:sz w:val="20"/>
          <w:szCs w:val="20"/>
          <w:color w:val="auto"/>
        </w:rPr>
      </w:pPr>
    </w:p>
    <w:p>
      <w:pPr>
        <w:ind w:left="1620" w:right="519" w:hanging="360"/>
        <w:spacing w:after="0" w:line="261"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table sets forth certain information with respect to the proposals to be voted upon by the Class A, Class B and Class C shareholders at the PAGP Annual Meeting:</w:t>
      </w:r>
    </w:p>
    <w:p>
      <w:pPr>
        <w:spacing w:after="0" w:line="145"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Vote Required for Approval of</w:t>
      </w:r>
    </w:p>
    <w:p>
      <w:pPr>
        <w:spacing w:after="0" w:line="19" w:lineRule="exact"/>
        <w:rPr>
          <w:sz w:val="20"/>
          <w:szCs w:val="20"/>
          <w:color w:val="auto"/>
        </w:rPr>
      </w:pPr>
    </w:p>
    <w:p>
      <w:pPr>
        <w:jc w:val="both"/>
        <w:ind w:left="1620"/>
        <w:spacing w:after="0"/>
        <w:tabs>
          <w:tab w:leader="none" w:pos="4880" w:val="left"/>
          <w:tab w:leader="none" w:pos="6860" w:val="left"/>
        </w:tabs>
        <w:rPr>
          <w:sz w:val="20"/>
          <w:szCs w:val="20"/>
          <w:color w:val="auto"/>
        </w:rPr>
      </w:pPr>
      <w:r>
        <w:rPr>
          <w:rFonts w:ascii="Arial" w:cs="Arial" w:eastAsia="Arial" w:hAnsi="Arial"/>
          <w:sz w:val="14"/>
          <w:szCs w:val="14"/>
          <w:b w:val="1"/>
          <w:bCs w:val="1"/>
          <w:color w:val="auto"/>
        </w:rPr>
        <w:t>Proposal</w:t>
      </w:r>
      <w:r>
        <w:rPr>
          <w:sz w:val="20"/>
          <w:szCs w:val="20"/>
          <w:color w:val="auto"/>
        </w:rPr>
        <w:tab/>
      </w:r>
      <w:r>
        <w:rPr>
          <w:rFonts w:ascii="Arial" w:cs="Arial" w:eastAsia="Arial" w:hAnsi="Arial"/>
          <w:sz w:val="14"/>
          <w:szCs w:val="14"/>
          <w:b w:val="1"/>
          <w:bCs w:val="1"/>
          <w:color w:val="auto"/>
        </w:rPr>
        <w:t>Voting Options</w:t>
      </w:r>
      <w:r>
        <w:rPr>
          <w:sz w:val="20"/>
          <w:szCs w:val="20"/>
          <w:color w:val="auto"/>
        </w:rPr>
        <w:tab/>
      </w:r>
      <w:r>
        <w:rPr>
          <w:rFonts w:ascii="Arial" w:cs="Arial" w:eastAsia="Arial" w:hAnsi="Arial"/>
          <w:sz w:val="14"/>
          <w:szCs w:val="14"/>
          <w:b w:val="1"/>
          <w:bCs w:val="1"/>
          <w:color w:val="auto"/>
        </w:rPr>
        <w:t>Proposal at the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980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63" w:lineRule="exact"/>
        <w:rPr>
          <w:sz w:val="20"/>
          <w:szCs w:val="20"/>
          <w:color w:val="auto"/>
        </w:rPr>
      </w:pPr>
    </w:p>
    <w:p>
      <w:pPr>
        <w:ind w:left="1620"/>
        <w:spacing w:after="0" w:line="254" w:lineRule="auto"/>
        <w:tabs>
          <w:tab w:leader="none" w:pos="19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of four Class II directors to serve on the Board until the 2025 annual meeting.</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may vote “FOR”, or you may “WITHHOLD” authority to vote for, all, some or none of the nominees for director.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59"/>
        <w:spacing w:after="0" w:line="251" w:lineRule="auto"/>
        <w:rPr>
          <w:sz w:val="20"/>
          <w:szCs w:val="20"/>
          <w:color w:val="auto"/>
        </w:rPr>
      </w:pPr>
      <w:r>
        <w:rPr>
          <w:rFonts w:ascii="Arial" w:cs="Arial" w:eastAsia="Arial" w:hAnsi="Arial"/>
          <w:sz w:val="18"/>
          <w:szCs w:val="18"/>
          <w:color w:val="auto"/>
        </w:rPr>
        <w:t>Directors will be elected by a plurality of the votes cast, in person or by proxy, by the holders of our Class A, Class B and Class C shares present and entitled to vote, voting as a single class. Broker non-votes are not considered votes cast and will have no effect on the election of directors.</w:t>
      </w:r>
    </w:p>
    <w:p>
      <w:pPr>
        <w:spacing w:after="0" w:line="200" w:lineRule="exact"/>
        <w:rPr>
          <w:sz w:val="20"/>
          <w:szCs w:val="20"/>
          <w:color w:val="auto"/>
        </w:rPr>
      </w:pPr>
    </w:p>
    <w:p>
      <w:pPr>
        <w:sectPr>
          <w:pgSz w:w="11900" w:h="16838" w:orient="portrait"/>
          <w:cols w:equalWidth="0" w:num="3">
            <w:col w:w="3880" w:space="240"/>
            <w:col w:w="2560" w:space="200"/>
            <w:col w:w="2999"/>
          </w:cols>
          <w:pgMar w:left="580" w:top="131" w:right="1440" w:bottom="1440" w:gutter="0" w:footer="0" w:header="0"/>
          <w:type w:val="continuous"/>
        </w:sectPr>
      </w:pPr>
    </w:p>
    <w:p>
      <w:pPr>
        <w:spacing w:after="0" w:line="11" w:lineRule="exact"/>
        <w:rPr>
          <w:sz w:val="20"/>
          <w:szCs w:val="20"/>
          <w:color w:val="auto"/>
        </w:rPr>
      </w:pPr>
    </w:p>
    <w:p>
      <w:pPr>
        <w:ind w:left="1620"/>
        <w:spacing w:after="0" w:line="252" w:lineRule="auto"/>
        <w:tabs>
          <w:tab w:leader="none" w:pos="19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PAA’s independent registered public accounting firm for the fiscal year ending December 31, 2022.</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ind w:right="419"/>
        <w:spacing w:after="0" w:line="251" w:lineRule="auto"/>
        <w:rPr>
          <w:sz w:val="20"/>
          <w:szCs w:val="20"/>
          <w:color w:val="auto"/>
        </w:rPr>
      </w:pPr>
      <w:r>
        <w:rPr>
          <w:rFonts w:ascii="Arial" w:cs="Arial" w:eastAsia="Arial" w:hAnsi="Arial"/>
          <w:sz w:val="18"/>
          <w:szCs w:val="18"/>
          <w:color w:val="auto"/>
        </w:rPr>
        <w:t>This proposal must receive a majority of the votes cast, in person or by proxy, by the holders of our Class A, Class B and Class C shares present and entitled to vote, voting as a single class. Abstentions will be counted as votes present and entitled to vote and will have the same effect as votes “AGAINST” this proposal. We do not expect there to be any broker non-votes for this proposal.</w:t>
      </w:r>
    </w:p>
    <w:p>
      <w:pPr>
        <w:spacing w:after="0" w:line="200" w:lineRule="exact"/>
        <w:rPr>
          <w:sz w:val="20"/>
          <w:szCs w:val="20"/>
          <w:color w:val="auto"/>
        </w:rPr>
      </w:pPr>
    </w:p>
    <w:p>
      <w:pPr>
        <w:sectPr>
          <w:pgSz w:w="11900" w:h="16838" w:orient="portrait"/>
          <w:cols w:equalWidth="0" w:num="3">
            <w:col w:w="3900" w:space="220"/>
            <w:col w:w="2540" w:space="220"/>
            <w:col w:w="2999"/>
          </w:cols>
          <w:pgMar w:left="580" w:top="131" w:right="1440" w:bottom="1440" w:gutter="0" w:footer="0" w:header="0"/>
          <w:type w:val="continuous"/>
        </w:sectPr>
      </w:pPr>
    </w:p>
    <w:p>
      <w:pPr>
        <w:spacing w:after="0" w:line="9" w:lineRule="exact"/>
        <w:rPr>
          <w:sz w:val="20"/>
          <w:szCs w:val="20"/>
          <w:color w:val="auto"/>
        </w:rPr>
      </w:pPr>
    </w:p>
    <w:p>
      <w:pPr>
        <w:ind w:left="1620"/>
        <w:spacing w:after="0" w:line="254" w:lineRule="auto"/>
        <w:tabs>
          <w:tab w:leader="none" w:pos="1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2021 named executive officer compensation.</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ind w:right="459"/>
        <w:spacing w:after="0" w:line="251" w:lineRule="auto"/>
        <w:rPr>
          <w:sz w:val="20"/>
          <w:szCs w:val="20"/>
          <w:color w:val="auto"/>
        </w:rPr>
      </w:pPr>
      <w:r>
        <w:rPr>
          <w:rFonts w:ascii="Arial" w:cs="Arial" w:eastAsia="Arial" w:hAnsi="Arial"/>
          <w:sz w:val="18"/>
          <w:szCs w:val="18"/>
          <w:color w:val="auto"/>
        </w:rPr>
        <w:t>This proposal must receive a majority of the votes cast, in person or by proxy, by the holders of our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w:t>
      </w:r>
    </w:p>
    <w:p>
      <w:pPr>
        <w:spacing w:after="0" w:line="200" w:lineRule="exact"/>
        <w:rPr>
          <w:sz w:val="20"/>
          <w:szCs w:val="20"/>
          <w:color w:val="auto"/>
        </w:rPr>
      </w:pPr>
    </w:p>
    <w:p>
      <w:pPr>
        <w:sectPr>
          <w:pgSz w:w="11900" w:h="16838" w:orient="portrait"/>
          <w:cols w:equalWidth="0" w:num="3">
            <w:col w:w="3960" w:space="160"/>
            <w:col w:w="2540" w:space="220"/>
            <w:col w:w="2999"/>
          </w:cols>
          <w:pgMar w:left="580" w:top="131" w:right="1440" w:bottom="1440" w:gutter="0" w:footer="0" w:header="0"/>
          <w:type w:val="continuous"/>
        </w:sect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66" w:lineRule="exact"/>
        <w:rPr>
          <w:sz w:val="20"/>
          <w:szCs w:val="20"/>
          <w:color w:val="auto"/>
        </w:rPr>
      </w:pPr>
    </w:p>
    <w:p>
      <w:pPr>
        <w:ind w:left="1620" w:right="419" w:hanging="360"/>
        <w:spacing w:after="0" w:line="268"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$10,000 plus reasonable expenses for additional services.</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80" w:lineRule="exact"/>
        <w:rPr>
          <w:sz w:val="20"/>
          <w:szCs w:val="20"/>
          <w:color w:val="auto"/>
        </w:rPr>
      </w:pPr>
    </w:p>
    <w:p>
      <w:pPr>
        <w:ind w:left="1620" w:right="519" w:hanging="360"/>
        <w:spacing w:after="0" w:line="256"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shares will be voted in accordance with the Board’s recommendation for each proposal with respect to which a voting choice is not indicated.</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80" w:lineRule="exact"/>
        <w:rPr>
          <w:sz w:val="20"/>
          <w:szCs w:val="20"/>
          <w:color w:val="auto"/>
        </w:rPr>
      </w:pPr>
    </w:p>
    <w:p>
      <w:pPr>
        <w:ind w:left="1620" w:right="879" w:hanging="360"/>
        <w:spacing w:after="0" w:line="261"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AST will tabulate and certify the vote, and a representative of AST will act as the independent inspector of elections for the PAGP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1 — ELECTION OF CLASS II DIRECTORS</w:t>
      </w:r>
    </w:p>
    <w:p>
      <w:pPr>
        <w:spacing w:after="0" w:line="77" w:lineRule="exact"/>
        <w:rPr>
          <w:sz w:val="20"/>
          <w:szCs w:val="20"/>
          <w:color w:val="auto"/>
        </w:rPr>
      </w:pPr>
    </w:p>
    <w:p>
      <w:pPr>
        <w:jc w:val="center"/>
        <w:ind w:left="1820" w:right="240"/>
        <w:spacing w:after="0" w:line="262"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VICTOR BURK, KEVIN S. MCCARTHY, HARRY N. PEFANIS AND GARY R. PETERSEN TO SERVE AS A CLASS II DIRECTOR ON OUR GENERAL PARTNER’S BOARD OF DIRECTORS UNTIL THE 2025 ANNUAL MEETING.</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and Governance Structure</w:t>
      </w:r>
    </w:p>
    <w:p>
      <w:pPr>
        <w:spacing w:after="0" w:line="94"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i w:val="1"/>
          <w:iCs w:val="1"/>
          <w:color w:val="auto"/>
        </w:rPr>
        <w:t xml:space="preserve">Summary of Recent Changes. </w:t>
      </w:r>
      <w:r>
        <w:rPr>
          <w:rFonts w:ascii="Arial" w:cs="Arial" w:eastAsia="Arial" w:hAnsi="Arial"/>
          <w:sz w:val="18"/>
          <w:szCs w:val="18"/>
          <w:color w:val="auto"/>
        </w:rPr>
        <w:t>Investors have voiced a preference for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over the course of the last several years, our board and governance structure has evolved and changed in ways that we believe are meaningfully beneficial to investors. Highlights of some of the key changes are as follows: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2016</w:t>
      </w:r>
    </w:p>
    <w:p>
      <w:pPr>
        <w:spacing w:after="0" w:line="117" w:lineRule="exact"/>
        <w:rPr>
          <w:sz w:val="20"/>
          <w:szCs w:val="20"/>
          <w:color w:val="auto"/>
        </w:rPr>
      </w:pPr>
    </w:p>
    <w:p>
      <w:pPr>
        <w:ind w:left="1800" w:right="659" w:hanging="180"/>
        <w:spacing w:after="0" w:line="291"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Replaced our dual board structure for PAA and PAGP with a unified governance structure that resulted in the Board being solely responsible for the governance of PAA, AAP and PAGP;</w:t>
      </w:r>
    </w:p>
    <w:p>
      <w:pPr>
        <w:spacing w:after="0" w:line="65" w:lineRule="exact"/>
        <w:rPr>
          <w:rFonts w:ascii="Arial" w:cs="Arial" w:eastAsia="Arial" w:hAnsi="Arial"/>
          <w:sz w:val="17"/>
          <w:szCs w:val="17"/>
          <w:color w:val="auto"/>
        </w:rPr>
      </w:pPr>
    </w:p>
    <w:p>
      <w:pPr>
        <w:ind w:left="1800" w:right="839" w:hanging="180"/>
        <w:spacing w:after="0" w:line="278"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 year rolling basis);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ind w:left="1800" w:right="699" w:hanging="180"/>
        <w:spacing w:after="0" w:line="261"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Added Asian American director to the Board (subsequently became Chairman of the Board in January 2020);</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Added new independent female director to the Board;</w:t>
      </w:r>
    </w:p>
    <w:p>
      <w:pPr>
        <w:spacing w:after="0" w:line="13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2019</w:t>
      </w:r>
    </w:p>
    <w:p>
      <w:pPr>
        <w:spacing w:after="0" w:line="117"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(eight out of 11 (73%) of our current Board members have been assessed by the Board and determined to be independent);</w:t>
      </w:r>
    </w:p>
    <w:p>
      <w:pPr>
        <w:spacing w:after="0" w:line="95" w:lineRule="exact"/>
        <w:rPr>
          <w:rFonts w:ascii="Arial" w:cs="Arial" w:eastAsia="Arial" w:hAnsi="Arial"/>
          <w:sz w:val="18"/>
          <w:szCs w:val="18"/>
          <w:color w:val="auto"/>
        </w:rPr>
      </w:pPr>
    </w:p>
    <w:p>
      <w:pPr>
        <w:ind w:left="1800" w:right="779" w:hanging="180"/>
        <w:spacing w:after="0" w:line="256"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w:t>
      </w:r>
    </w:p>
    <w:p>
      <w:pPr>
        <w:spacing w:after="0" w:line="93"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director performance evaluations;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2020</w:t>
      </w:r>
    </w:p>
    <w:p>
      <w:pPr>
        <w:spacing w:after="0" w:line="117"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Added new independent director to the Board;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Adopted Equity Ownership Guidelines and Clawback Policy;</w:t>
      </w:r>
    </w:p>
    <w:p>
      <w:pPr>
        <w:spacing w:after="0" w:line="144"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2021</w:t>
      </w:r>
    </w:p>
    <w:p>
      <w:pPr>
        <w:spacing w:after="0" w:line="117" w:lineRule="exact"/>
        <w:rPr>
          <w:rFonts w:ascii="Arial" w:cs="Arial" w:eastAsia="Arial" w:hAnsi="Arial"/>
          <w:sz w:val="18"/>
          <w:szCs w:val="18"/>
          <w:color w:val="auto"/>
        </w:rPr>
      </w:pPr>
    </w:p>
    <w:p>
      <w:pPr>
        <w:ind w:left="1800" w:right="539" w:hanging="180"/>
        <w:spacing w:after="0" w:line="256"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Established a new committee, the Health, Safety, Environmental and Sustainability (“HSES”) Committee, to assist the Board in its oversight of various HSES matters and facilitate the efforts of management to further strengthen our focus on sustainability and ESG matters;</w:t>
      </w:r>
    </w:p>
    <w:p>
      <w:pPr>
        <w:spacing w:after="0" w:line="93"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Mandated that the members of all Board committees be independent;</w:t>
      </w: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439" w:hanging="180"/>
        <w:spacing w:after="0" w:line="261"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 and</w:t>
      </w:r>
    </w:p>
    <w:p>
      <w:pPr>
        <w:spacing w:after="0" w:line="76" w:lineRule="exact"/>
        <w:rPr>
          <w:rFonts w:ascii="Arial" w:cs="Arial" w:eastAsia="Arial" w:hAnsi="Arial"/>
          <w:sz w:val="18"/>
          <w:szCs w:val="18"/>
          <w:color w:val="auto"/>
        </w:rPr>
      </w:pPr>
    </w:p>
    <w:p>
      <w:pPr>
        <w:ind w:left="1800" w:right="579" w:hanging="180"/>
        <w:spacing w:after="0" w:line="278"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w:t>
      </w:r>
    </w:p>
    <w:p>
      <w:pPr>
        <w:spacing w:after="0" w:line="1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i w:val="1"/>
          <w:iCs w:val="1"/>
          <w:color w:val="auto"/>
        </w:rPr>
        <w:t xml:space="preserve">General Overview and Board Makeup. </w:t>
      </w:r>
      <w:r>
        <w:rPr>
          <w:rFonts w:ascii="Arial" w:cs="Arial" w:eastAsia="Arial" w:hAnsi="Arial"/>
          <w:sz w:val="17"/>
          <w:szCs w:val="17"/>
          <w:color w:val="auto"/>
        </w:rPr>
        <w:t>Our Board has responsibility for managing the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and affairs of PAGP, PAA and AAP. The Board currently has 11 members, including the CEO, who currently serves as Chairman of the Board. As contemplated by our governing documents, because the roles of CEO and Chairman of the Board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p>
    <w:p>
      <w:pPr>
        <w:spacing w:after="0" w:line="41"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shareholders have the right to nominate individuals to stand for election at an annual meeting. Individuals elected at an annual meeting will serve for a term of three years, subject to a director’s earlier resignation, death or removal. If an individual is elected to the Board to fill a vacancy, that director will have the same remaining term as his or her predecessor. All directors standing for election at the 2022 annual meeting were nominated by the Board (excluding the vote of the directors whose terms are expiring); no nominations were received from eligible shareholders.</w:t>
      </w:r>
    </w:p>
    <w:p>
      <w:pPr>
        <w:spacing w:after="0" w:line="105"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2040" w:type="dxa"/>
            <w:vAlign w:val="bottom"/>
            <w:tcBorders>
              <w:left w:val="single" w:sz="8" w:color="434F69"/>
              <w:right w:val="single" w:sz="8" w:color="434F69"/>
            </w:tcBorders>
            <w:shd w:val="clear" w:color="auto" w:fill="434F69"/>
          </w:tcPr>
          <w:p>
            <w:pPr>
              <w:spacing w:after="0"/>
              <w:rPr>
                <w:sz w:val="17"/>
                <w:szCs w:val="17"/>
                <w:color w:val="auto"/>
              </w:rPr>
            </w:pPr>
          </w:p>
        </w:tc>
        <w:tc>
          <w:tcPr>
            <w:tcW w:w="960" w:type="dxa"/>
            <w:vAlign w:val="bottom"/>
            <w:tcBorders>
              <w:right w:val="single" w:sz="8" w:color="434F69"/>
            </w:tcBorders>
            <w:shd w:val="clear" w:color="auto" w:fill="434F69"/>
          </w:tcPr>
          <w:p>
            <w:pPr>
              <w:spacing w:after="0"/>
              <w:rPr>
                <w:sz w:val="17"/>
                <w:szCs w:val="17"/>
                <w:color w:val="auto"/>
              </w:rPr>
            </w:pPr>
          </w:p>
        </w:tc>
        <w:tc>
          <w:tcPr>
            <w:tcW w:w="840" w:type="dxa"/>
            <w:vAlign w:val="bottom"/>
            <w:tcBorders>
              <w:right w:val="single" w:sz="8" w:color="434F69"/>
            </w:tcBorders>
            <w:shd w:val="clear" w:color="auto" w:fill="434F69"/>
          </w:tcPr>
          <w:p>
            <w:pPr>
              <w:spacing w:after="0"/>
              <w:rPr>
                <w:sz w:val="17"/>
                <w:szCs w:val="17"/>
                <w:color w:val="auto"/>
              </w:rPr>
            </w:pPr>
          </w:p>
        </w:tc>
        <w:tc>
          <w:tcPr>
            <w:tcW w:w="1100" w:type="dxa"/>
            <w:vAlign w:val="bottom"/>
            <w:tcBorders>
              <w:right w:val="single" w:sz="8" w:color="434F69"/>
            </w:tcBorders>
            <w:shd w:val="clear" w:color="auto" w:fill="434F69"/>
          </w:tcPr>
          <w:p>
            <w:pPr>
              <w:spacing w:after="0"/>
              <w:rPr>
                <w:sz w:val="17"/>
                <w:szCs w:val="17"/>
                <w:color w:val="auto"/>
              </w:rPr>
            </w:pPr>
          </w:p>
        </w:tc>
        <w:tc>
          <w:tcPr>
            <w:tcW w:w="960" w:type="dxa"/>
            <w:vAlign w:val="bottom"/>
            <w:tcBorders>
              <w:right w:val="single" w:sz="8" w:color="434F69"/>
            </w:tcBorders>
            <w:shd w:val="clear" w:color="auto" w:fill="434F69"/>
          </w:tcPr>
          <w:p>
            <w:pPr>
              <w:spacing w:after="0"/>
              <w:rPr>
                <w:sz w:val="17"/>
                <w:szCs w:val="17"/>
                <w:color w:val="auto"/>
              </w:rPr>
            </w:pPr>
          </w:p>
        </w:tc>
        <w:tc>
          <w:tcPr>
            <w:tcW w:w="820" w:type="dxa"/>
            <w:vAlign w:val="bottom"/>
            <w:tcBorders>
              <w:right w:val="single" w:sz="8" w:color="434F69"/>
            </w:tcBorders>
            <w:shd w:val="clear" w:color="auto" w:fill="434F69"/>
          </w:tcPr>
          <w:p>
            <w:pPr>
              <w:spacing w:after="0"/>
              <w:rPr>
                <w:sz w:val="17"/>
                <w:szCs w:val="17"/>
                <w:color w:val="auto"/>
              </w:rPr>
            </w:pPr>
          </w:p>
        </w:tc>
        <w:tc>
          <w:tcPr>
            <w:tcW w:w="8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Chairman</w:t>
            </w:r>
          </w:p>
        </w:tc>
        <w:tc>
          <w:tcPr>
            <w:tcW w:w="700" w:type="dxa"/>
            <w:vAlign w:val="bottom"/>
            <w:tcBorders>
              <w:right w:val="single" w:sz="8" w:color="434F69"/>
            </w:tcBorders>
            <w:shd w:val="clear" w:color="auto" w:fill="434F69"/>
          </w:tcPr>
          <w:p>
            <w:pPr>
              <w:spacing w:after="0"/>
              <w:rPr>
                <w:sz w:val="17"/>
                <w:szCs w:val="17"/>
                <w:color w:val="auto"/>
              </w:rPr>
            </w:pPr>
          </w:p>
        </w:tc>
      </w:tr>
      <w:tr>
        <w:trPr>
          <w:trHeight w:val="162"/>
        </w:trPr>
        <w:tc>
          <w:tcPr>
            <w:tcW w:w="2040" w:type="dxa"/>
            <w:vAlign w:val="bottom"/>
            <w:tcBorders>
              <w:left w:val="single" w:sz="8" w:color="434F69"/>
              <w:right w:val="single" w:sz="8" w:color="434F69"/>
            </w:tcBorders>
            <w:shd w:val="clear" w:color="auto" w:fill="434F69"/>
          </w:tcPr>
          <w:p>
            <w:pPr>
              <w:spacing w:after="0"/>
              <w:rPr>
                <w:sz w:val="14"/>
                <w:szCs w:val="14"/>
                <w:color w:val="auto"/>
              </w:rPr>
            </w:pPr>
          </w:p>
        </w:tc>
        <w:tc>
          <w:tcPr>
            <w:tcW w:w="960" w:type="dxa"/>
            <w:vAlign w:val="bottom"/>
            <w:tcBorders>
              <w:right w:val="single" w:sz="8" w:color="434F69"/>
            </w:tcBorders>
            <w:shd w:val="clear" w:color="auto" w:fill="434F69"/>
          </w:tcPr>
          <w:p>
            <w:pPr>
              <w:spacing w:after="0"/>
              <w:rPr>
                <w:sz w:val="14"/>
                <w:szCs w:val="14"/>
                <w:color w:val="auto"/>
              </w:rPr>
            </w:pPr>
          </w:p>
        </w:tc>
        <w:tc>
          <w:tcPr>
            <w:tcW w:w="840" w:type="dxa"/>
            <w:vAlign w:val="bottom"/>
            <w:tcBorders>
              <w:right w:val="single" w:sz="8" w:color="434F69"/>
            </w:tcBorders>
            <w:shd w:val="clear" w:color="auto" w:fill="434F69"/>
          </w:tcPr>
          <w:p>
            <w:pPr>
              <w:ind w:left="200"/>
              <w:spacing w:after="0"/>
              <w:rPr>
                <w:sz w:val="20"/>
                <w:szCs w:val="20"/>
                <w:color w:val="auto"/>
              </w:rPr>
            </w:pPr>
            <w:r>
              <w:rPr>
                <w:rFonts w:ascii="Arial" w:cs="Arial" w:eastAsia="Arial" w:hAnsi="Arial"/>
                <w:sz w:val="14"/>
                <w:szCs w:val="14"/>
                <w:b w:val="1"/>
                <w:bCs w:val="1"/>
                <w:color w:val="FFFFFF"/>
              </w:rPr>
              <w:t>Audit</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Compensation</w:t>
            </w:r>
          </w:p>
        </w:tc>
        <w:tc>
          <w:tcPr>
            <w:tcW w:w="9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Governance</w:t>
            </w:r>
          </w:p>
        </w:tc>
        <w:tc>
          <w:tcPr>
            <w:tcW w:w="8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HSES</w:t>
            </w:r>
          </w:p>
        </w:tc>
        <w:tc>
          <w:tcPr>
            <w:tcW w:w="8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of the</w:t>
            </w:r>
          </w:p>
        </w:tc>
        <w:tc>
          <w:tcPr>
            <w:tcW w:w="700" w:type="dxa"/>
            <w:vAlign w:val="bottom"/>
            <w:tcBorders>
              <w:right w:val="single" w:sz="8" w:color="434F69"/>
            </w:tcBorders>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rPr>
              <w:t>Lead</w:t>
            </w:r>
          </w:p>
        </w:tc>
      </w:tr>
      <w:tr>
        <w:trPr>
          <w:trHeight w:val="175"/>
        </w:trPr>
        <w:tc>
          <w:tcPr>
            <w:tcW w:w="2040" w:type="dxa"/>
            <w:vAlign w:val="bottom"/>
            <w:tcBorders>
              <w:left w:val="single" w:sz="8" w:color="434F69"/>
              <w:right w:val="single" w:sz="8" w:color="434F69"/>
            </w:tcBorders>
            <w:shd w:val="clear" w:color="auto" w:fill="434F69"/>
          </w:tcPr>
          <w:p>
            <w:pPr>
              <w:spacing w:after="0"/>
              <w:rPr>
                <w:sz w:val="15"/>
                <w:szCs w:val="15"/>
                <w:color w:val="auto"/>
              </w:rPr>
            </w:pPr>
          </w:p>
        </w:tc>
        <w:tc>
          <w:tcPr>
            <w:tcW w:w="1800" w:type="dxa"/>
            <w:vAlign w:val="bottom"/>
            <w:tcBorders>
              <w:right w:val="single" w:sz="8" w:color="434F69"/>
            </w:tcBorders>
            <w:gridSpan w:val="2"/>
            <w:shd w:val="clear" w:color="auto" w:fill="434F69"/>
          </w:tcPr>
          <w:p>
            <w:pPr>
              <w:ind w:left="40"/>
              <w:spacing w:after="0"/>
              <w:rPr>
                <w:sz w:val="20"/>
                <w:szCs w:val="20"/>
                <w:color w:val="auto"/>
              </w:rPr>
            </w:pPr>
            <w:r>
              <w:rPr>
                <w:rFonts w:ascii="Arial" w:cs="Arial" w:eastAsia="Arial" w:hAnsi="Arial"/>
                <w:sz w:val="14"/>
                <w:szCs w:val="14"/>
                <w:b w:val="1"/>
                <w:bCs w:val="1"/>
                <w:color w:val="FFFFFF"/>
              </w:rPr>
              <w:t>Independent Committee</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Committee</w:t>
            </w:r>
          </w:p>
        </w:tc>
        <w:tc>
          <w:tcPr>
            <w:tcW w:w="9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Committee</w:t>
            </w:r>
          </w:p>
        </w:tc>
        <w:tc>
          <w:tcPr>
            <w:tcW w:w="8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Committee</w:t>
            </w:r>
          </w:p>
        </w:tc>
        <w:tc>
          <w:tcPr>
            <w:tcW w:w="8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Board</w:t>
            </w:r>
          </w:p>
        </w:tc>
        <w:tc>
          <w:tcPr>
            <w:tcW w:w="7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Director</w:t>
            </w:r>
          </w:p>
        </w:tc>
      </w:tr>
      <w:tr>
        <w:trPr>
          <w:trHeight w:val="200"/>
        </w:trPr>
        <w:tc>
          <w:tcPr>
            <w:tcW w:w="2040" w:type="dxa"/>
            <w:vAlign w:val="bottom"/>
            <w:tcBorders>
              <w:left w:val="single" w:sz="8" w:color="434F69"/>
              <w:right w:val="single" w:sz="8" w:color="434F69"/>
            </w:tcBorders>
            <w:shd w:val="clear" w:color="auto" w:fill="D9DCE1"/>
          </w:tcPr>
          <w:p>
            <w:pPr>
              <w:ind w:left="40"/>
              <w:spacing w:after="0"/>
              <w:rPr>
                <w:sz w:val="20"/>
                <w:szCs w:val="20"/>
                <w:color w:val="auto"/>
              </w:rPr>
            </w:pPr>
            <w:r>
              <w:rPr>
                <w:rFonts w:ascii="Arial" w:cs="Arial" w:eastAsia="Arial" w:hAnsi="Arial"/>
                <w:sz w:val="17"/>
                <w:szCs w:val="17"/>
                <w:color w:val="auto"/>
              </w:rPr>
              <w:t>Class I Directors</w:t>
            </w:r>
          </w:p>
        </w:tc>
        <w:tc>
          <w:tcPr>
            <w:tcW w:w="960" w:type="dxa"/>
            <w:vAlign w:val="bottom"/>
            <w:tcBorders>
              <w:right w:val="single" w:sz="8" w:color="434F69"/>
            </w:tcBorders>
            <w:shd w:val="clear" w:color="auto" w:fill="D9DCE1"/>
          </w:tcPr>
          <w:p>
            <w:pPr>
              <w:spacing w:after="0"/>
              <w:rPr>
                <w:sz w:val="17"/>
                <w:szCs w:val="17"/>
                <w:color w:val="auto"/>
              </w:rPr>
            </w:pPr>
          </w:p>
        </w:tc>
        <w:tc>
          <w:tcPr>
            <w:tcW w:w="840" w:type="dxa"/>
            <w:vAlign w:val="bottom"/>
            <w:tcBorders>
              <w:right w:val="single" w:sz="8" w:color="434F69"/>
            </w:tcBorders>
            <w:shd w:val="clear" w:color="auto" w:fill="D9DCE1"/>
          </w:tcPr>
          <w:p>
            <w:pPr>
              <w:spacing w:after="0"/>
              <w:rPr>
                <w:sz w:val="17"/>
                <w:szCs w:val="17"/>
                <w:color w:val="auto"/>
              </w:rPr>
            </w:pPr>
          </w:p>
        </w:tc>
        <w:tc>
          <w:tcPr>
            <w:tcW w:w="1100" w:type="dxa"/>
            <w:vAlign w:val="bottom"/>
            <w:tcBorders>
              <w:right w:val="single" w:sz="8" w:color="434F69"/>
            </w:tcBorders>
            <w:shd w:val="clear" w:color="auto" w:fill="D9DCE1"/>
          </w:tcPr>
          <w:p>
            <w:pPr>
              <w:spacing w:after="0"/>
              <w:rPr>
                <w:sz w:val="17"/>
                <w:szCs w:val="17"/>
                <w:color w:val="auto"/>
              </w:rPr>
            </w:pPr>
          </w:p>
        </w:tc>
        <w:tc>
          <w:tcPr>
            <w:tcW w:w="960" w:type="dxa"/>
            <w:vAlign w:val="bottom"/>
            <w:tcBorders>
              <w:right w:val="single" w:sz="8" w:color="434F69"/>
            </w:tcBorders>
            <w:shd w:val="clear" w:color="auto" w:fill="D9DCE1"/>
          </w:tcPr>
          <w:p>
            <w:pPr>
              <w:spacing w:after="0"/>
              <w:rPr>
                <w:sz w:val="17"/>
                <w:szCs w:val="17"/>
                <w:color w:val="auto"/>
              </w:rPr>
            </w:pPr>
          </w:p>
        </w:tc>
        <w:tc>
          <w:tcPr>
            <w:tcW w:w="820" w:type="dxa"/>
            <w:vAlign w:val="bottom"/>
            <w:tcBorders>
              <w:right w:val="single" w:sz="8" w:color="434F69"/>
            </w:tcBorders>
            <w:shd w:val="clear" w:color="auto" w:fill="D9DCE1"/>
          </w:tcPr>
          <w:p>
            <w:pPr>
              <w:spacing w:after="0"/>
              <w:rPr>
                <w:sz w:val="17"/>
                <w:szCs w:val="17"/>
                <w:color w:val="auto"/>
              </w:rPr>
            </w:pPr>
          </w:p>
        </w:tc>
        <w:tc>
          <w:tcPr>
            <w:tcW w:w="800" w:type="dxa"/>
            <w:vAlign w:val="bottom"/>
            <w:tcBorders>
              <w:right w:val="single" w:sz="8" w:color="434F69"/>
            </w:tcBorders>
            <w:shd w:val="clear" w:color="auto" w:fill="D9DCE1"/>
          </w:tcPr>
          <w:p>
            <w:pPr>
              <w:spacing w:after="0"/>
              <w:rPr>
                <w:sz w:val="17"/>
                <w:szCs w:val="17"/>
                <w:color w:val="auto"/>
              </w:rPr>
            </w:pPr>
          </w:p>
        </w:tc>
        <w:tc>
          <w:tcPr>
            <w:tcW w:w="700" w:type="dxa"/>
            <w:vAlign w:val="bottom"/>
            <w:tcBorders>
              <w:right w:val="single" w:sz="8" w:color="434F69"/>
            </w:tcBorders>
            <w:shd w:val="clear" w:color="auto" w:fill="D9DCE1"/>
          </w:tcPr>
          <w:p>
            <w:pPr>
              <w:spacing w:after="0"/>
              <w:rPr>
                <w:sz w:val="17"/>
                <w:szCs w:val="17"/>
                <w:color w:val="auto"/>
              </w:rPr>
            </w:pPr>
          </w:p>
        </w:tc>
      </w:tr>
      <w:tr>
        <w:trPr>
          <w:trHeight w:val="192"/>
        </w:trPr>
        <w:tc>
          <w:tcPr>
            <w:tcW w:w="2040" w:type="dxa"/>
            <w:vAlign w:val="bottom"/>
            <w:tcBorders>
              <w:left w:val="single" w:sz="8" w:color="434F69"/>
              <w:bottom w:val="single" w:sz="8" w:color="434F69"/>
              <w:right w:val="single" w:sz="8" w:color="434F69"/>
            </w:tcBorders>
            <w:shd w:val="clear" w:color="auto" w:fill="D9DCE1"/>
          </w:tcPr>
          <w:p>
            <w:pPr>
              <w:ind w:left="200"/>
              <w:spacing w:after="0" w:line="192" w:lineRule="exact"/>
              <w:rPr>
                <w:sz w:val="20"/>
                <w:szCs w:val="20"/>
                <w:color w:val="auto"/>
              </w:rPr>
            </w:pPr>
            <w:r>
              <w:rPr>
                <w:rFonts w:ascii="Arial" w:cs="Arial" w:eastAsia="Arial" w:hAnsi="Arial"/>
                <w:sz w:val="17"/>
                <w:szCs w:val="17"/>
                <w:color w:val="auto"/>
              </w:rPr>
              <w:t>(Term expires 2023)</w:t>
            </w:r>
          </w:p>
        </w:tc>
        <w:tc>
          <w:tcPr>
            <w:tcW w:w="960" w:type="dxa"/>
            <w:vAlign w:val="bottom"/>
            <w:tcBorders>
              <w:bottom w:val="single" w:sz="8" w:color="434F69"/>
              <w:right w:val="single" w:sz="8" w:color="434F69"/>
            </w:tcBorders>
            <w:shd w:val="clear" w:color="auto" w:fill="D9DCE1"/>
          </w:tcPr>
          <w:p>
            <w:pPr>
              <w:spacing w:after="0"/>
              <w:rPr>
                <w:sz w:val="16"/>
                <w:szCs w:val="16"/>
                <w:color w:val="auto"/>
              </w:rPr>
            </w:pPr>
          </w:p>
        </w:tc>
        <w:tc>
          <w:tcPr>
            <w:tcW w:w="840" w:type="dxa"/>
            <w:vAlign w:val="bottom"/>
            <w:tcBorders>
              <w:bottom w:val="single" w:sz="8" w:color="434F69"/>
              <w:right w:val="single" w:sz="8" w:color="434F69"/>
            </w:tcBorders>
            <w:shd w:val="clear" w:color="auto" w:fill="D9DCE1"/>
          </w:tcPr>
          <w:p>
            <w:pPr>
              <w:spacing w:after="0"/>
              <w:rPr>
                <w:sz w:val="16"/>
                <w:szCs w:val="16"/>
                <w:color w:val="auto"/>
              </w:rPr>
            </w:pPr>
          </w:p>
        </w:tc>
        <w:tc>
          <w:tcPr>
            <w:tcW w:w="1100" w:type="dxa"/>
            <w:vAlign w:val="bottom"/>
            <w:tcBorders>
              <w:bottom w:val="single" w:sz="8" w:color="434F69"/>
              <w:right w:val="single" w:sz="8" w:color="434F69"/>
            </w:tcBorders>
            <w:shd w:val="clear" w:color="auto" w:fill="D9DCE1"/>
          </w:tcPr>
          <w:p>
            <w:pPr>
              <w:spacing w:after="0"/>
              <w:rPr>
                <w:sz w:val="16"/>
                <w:szCs w:val="16"/>
                <w:color w:val="auto"/>
              </w:rPr>
            </w:pPr>
          </w:p>
        </w:tc>
        <w:tc>
          <w:tcPr>
            <w:tcW w:w="960" w:type="dxa"/>
            <w:vAlign w:val="bottom"/>
            <w:tcBorders>
              <w:bottom w:val="single" w:sz="8" w:color="434F69"/>
              <w:right w:val="single" w:sz="8" w:color="434F69"/>
            </w:tcBorders>
            <w:shd w:val="clear" w:color="auto" w:fill="D9DCE1"/>
          </w:tcPr>
          <w:p>
            <w:pPr>
              <w:spacing w:after="0"/>
              <w:rPr>
                <w:sz w:val="16"/>
                <w:szCs w:val="16"/>
                <w:color w:val="auto"/>
              </w:rPr>
            </w:pPr>
          </w:p>
        </w:tc>
        <w:tc>
          <w:tcPr>
            <w:tcW w:w="820" w:type="dxa"/>
            <w:vAlign w:val="bottom"/>
            <w:tcBorders>
              <w:bottom w:val="single" w:sz="8" w:color="434F69"/>
              <w:right w:val="single" w:sz="8" w:color="434F69"/>
            </w:tcBorders>
            <w:shd w:val="clear" w:color="auto" w:fill="D9DCE1"/>
          </w:tcPr>
          <w:p>
            <w:pPr>
              <w:spacing w:after="0"/>
              <w:rPr>
                <w:sz w:val="16"/>
                <w:szCs w:val="16"/>
                <w:color w:val="auto"/>
              </w:rPr>
            </w:pPr>
          </w:p>
        </w:tc>
        <w:tc>
          <w:tcPr>
            <w:tcW w:w="800" w:type="dxa"/>
            <w:vAlign w:val="bottom"/>
            <w:tcBorders>
              <w:bottom w:val="single" w:sz="8" w:color="434F69"/>
              <w:right w:val="single" w:sz="8" w:color="434F69"/>
            </w:tcBorders>
            <w:shd w:val="clear" w:color="auto" w:fill="D9DCE1"/>
          </w:tcPr>
          <w:p>
            <w:pPr>
              <w:spacing w:after="0"/>
              <w:rPr>
                <w:sz w:val="16"/>
                <w:szCs w:val="16"/>
                <w:color w:val="auto"/>
              </w:rPr>
            </w:pPr>
          </w:p>
        </w:tc>
        <w:tc>
          <w:tcPr>
            <w:tcW w:w="700" w:type="dxa"/>
            <w:vAlign w:val="bottom"/>
            <w:tcBorders>
              <w:bottom w:val="single" w:sz="8" w:color="434F69"/>
              <w:right w:val="single" w:sz="8" w:color="434F69"/>
            </w:tcBorders>
            <w:shd w:val="clear" w:color="auto" w:fill="D9DCE1"/>
          </w:tcPr>
          <w:p>
            <w:pPr>
              <w:spacing w:after="0"/>
              <w:rPr>
                <w:sz w:val="16"/>
                <w:szCs w:val="16"/>
                <w:color w:val="auto"/>
              </w:rPr>
            </w:pPr>
          </w:p>
        </w:tc>
      </w:tr>
      <w:tr>
        <w:trPr>
          <w:trHeight w:val="193"/>
        </w:trPr>
        <w:tc>
          <w:tcPr>
            <w:tcW w:w="2040" w:type="dxa"/>
            <w:vAlign w:val="bottom"/>
            <w:tcBorders>
              <w:left w:val="single" w:sz="8" w:color="434F69"/>
              <w:right w:val="single" w:sz="8" w:color="434F69"/>
            </w:tcBorders>
          </w:tcPr>
          <w:p>
            <w:pPr>
              <w:ind w:left="200"/>
              <w:spacing w:after="0" w:line="193" w:lineRule="exact"/>
              <w:rPr>
                <w:sz w:val="20"/>
                <w:szCs w:val="20"/>
                <w:color w:val="auto"/>
              </w:rPr>
            </w:pPr>
            <w:r>
              <w:rPr>
                <w:rFonts w:ascii="Arial" w:cs="Arial" w:eastAsia="Arial" w:hAnsi="Arial"/>
                <w:sz w:val="17"/>
                <w:szCs w:val="17"/>
                <w:color w:val="auto"/>
                <w:w w:val="98"/>
              </w:rPr>
              <w:t>Willie Chiang, Chairman</w:t>
            </w:r>
          </w:p>
        </w:tc>
        <w:tc>
          <w:tcPr>
            <w:tcW w:w="960" w:type="dxa"/>
            <w:vAlign w:val="bottom"/>
            <w:tcBorders>
              <w:right w:val="single" w:sz="8" w:color="434F69"/>
            </w:tcBorders>
          </w:tcPr>
          <w:p>
            <w:pPr>
              <w:spacing w:after="0"/>
              <w:rPr>
                <w:sz w:val="16"/>
                <w:szCs w:val="16"/>
                <w:color w:val="auto"/>
              </w:rPr>
            </w:pPr>
          </w:p>
        </w:tc>
        <w:tc>
          <w:tcPr>
            <w:tcW w:w="840" w:type="dxa"/>
            <w:vAlign w:val="bottom"/>
            <w:tcBorders>
              <w:right w:val="single" w:sz="8" w:color="434F69"/>
            </w:tcBorders>
          </w:tcPr>
          <w:p>
            <w:pPr>
              <w:spacing w:after="0"/>
              <w:rPr>
                <w:sz w:val="16"/>
                <w:szCs w:val="16"/>
                <w:color w:val="auto"/>
              </w:rPr>
            </w:pPr>
          </w:p>
        </w:tc>
        <w:tc>
          <w:tcPr>
            <w:tcW w:w="1100" w:type="dxa"/>
            <w:vAlign w:val="bottom"/>
            <w:tcBorders>
              <w:right w:val="single" w:sz="8" w:color="434F69"/>
            </w:tcBorders>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c>
          <w:tcPr>
            <w:tcW w:w="820" w:type="dxa"/>
            <w:vAlign w:val="bottom"/>
            <w:tcBorders>
              <w:right w:val="single" w:sz="8" w:color="434F69"/>
            </w:tcBorders>
          </w:tcPr>
          <w:p>
            <w:pPr>
              <w:spacing w:after="0"/>
              <w:rPr>
                <w:sz w:val="16"/>
                <w:szCs w:val="16"/>
                <w:color w:val="auto"/>
              </w:rPr>
            </w:pPr>
          </w:p>
        </w:tc>
        <w:tc>
          <w:tcPr>
            <w:tcW w:w="800" w:type="dxa"/>
            <w:vAlign w:val="bottom"/>
            <w:tcBorders>
              <w:right w:val="single" w:sz="8" w:color="434F69"/>
            </w:tcBorders>
          </w:tcPr>
          <w:p>
            <w:pPr>
              <w:spacing w:after="0"/>
              <w:rPr>
                <w:sz w:val="16"/>
                <w:szCs w:val="16"/>
                <w:color w:val="auto"/>
              </w:rPr>
            </w:pPr>
          </w:p>
        </w:tc>
        <w:tc>
          <w:tcPr>
            <w:tcW w:w="700" w:type="dxa"/>
            <w:vAlign w:val="bottom"/>
            <w:tcBorders>
              <w:right w:val="single" w:sz="8" w:color="434F69"/>
            </w:tcBorders>
          </w:tcPr>
          <w:p>
            <w:pPr>
              <w:spacing w:after="0"/>
              <w:rPr>
                <w:sz w:val="16"/>
                <w:szCs w:val="16"/>
                <w:color w:val="auto"/>
              </w:rPr>
            </w:pPr>
          </w:p>
        </w:tc>
      </w:tr>
      <w:tr>
        <w:trPr>
          <w:trHeight w:val="189"/>
        </w:trPr>
        <w:tc>
          <w:tcPr>
            <w:tcW w:w="2040" w:type="dxa"/>
            <w:vAlign w:val="bottom"/>
            <w:tcBorders>
              <w:left w:val="single" w:sz="8" w:color="434F69"/>
              <w:right w:val="single" w:sz="8" w:color="434F69"/>
            </w:tcBorders>
          </w:tcPr>
          <w:p>
            <w:pPr>
              <w:ind w:left="380"/>
              <w:spacing w:after="0" w:line="189" w:lineRule="exact"/>
              <w:rPr>
                <w:sz w:val="20"/>
                <w:szCs w:val="20"/>
                <w:color w:val="auto"/>
              </w:rPr>
            </w:pPr>
            <w:r>
              <w:rPr>
                <w:rFonts w:ascii="Arial" w:cs="Arial" w:eastAsia="Arial" w:hAnsi="Arial"/>
                <w:sz w:val="17"/>
                <w:szCs w:val="17"/>
                <w:color w:val="auto"/>
              </w:rPr>
              <w:t>of the Board and</w:t>
            </w:r>
          </w:p>
        </w:tc>
        <w:tc>
          <w:tcPr>
            <w:tcW w:w="960" w:type="dxa"/>
            <w:vAlign w:val="bottom"/>
            <w:tcBorders>
              <w:right w:val="single" w:sz="8" w:color="434F69"/>
            </w:tcBorders>
          </w:tcPr>
          <w:p>
            <w:pPr>
              <w:spacing w:after="0"/>
              <w:rPr>
                <w:sz w:val="16"/>
                <w:szCs w:val="16"/>
                <w:color w:val="auto"/>
              </w:rPr>
            </w:pPr>
          </w:p>
        </w:tc>
        <w:tc>
          <w:tcPr>
            <w:tcW w:w="840" w:type="dxa"/>
            <w:vAlign w:val="bottom"/>
            <w:tcBorders>
              <w:right w:val="single" w:sz="8" w:color="434F69"/>
            </w:tcBorders>
          </w:tcPr>
          <w:p>
            <w:pPr>
              <w:spacing w:after="0"/>
              <w:rPr>
                <w:sz w:val="16"/>
                <w:szCs w:val="16"/>
                <w:color w:val="auto"/>
              </w:rPr>
            </w:pPr>
          </w:p>
        </w:tc>
        <w:tc>
          <w:tcPr>
            <w:tcW w:w="1100" w:type="dxa"/>
            <w:vAlign w:val="bottom"/>
            <w:tcBorders>
              <w:right w:val="single" w:sz="8" w:color="434F69"/>
            </w:tcBorders>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c>
          <w:tcPr>
            <w:tcW w:w="820" w:type="dxa"/>
            <w:vAlign w:val="bottom"/>
            <w:tcBorders>
              <w:right w:val="single" w:sz="8" w:color="434F69"/>
            </w:tcBorders>
          </w:tcPr>
          <w:p>
            <w:pPr>
              <w:spacing w:after="0"/>
              <w:rPr>
                <w:sz w:val="16"/>
                <w:szCs w:val="16"/>
                <w:color w:val="auto"/>
              </w:rPr>
            </w:pPr>
          </w:p>
        </w:tc>
        <w:tc>
          <w:tcPr>
            <w:tcW w:w="800" w:type="dxa"/>
            <w:vAlign w:val="bottom"/>
            <w:tcBorders>
              <w:right w:val="single" w:sz="8" w:color="434F69"/>
            </w:tcBorders>
          </w:tcPr>
          <w:p>
            <w:pPr>
              <w:spacing w:after="0"/>
              <w:rPr>
                <w:sz w:val="16"/>
                <w:szCs w:val="16"/>
                <w:color w:val="auto"/>
              </w:rPr>
            </w:pPr>
          </w:p>
        </w:tc>
        <w:tc>
          <w:tcPr>
            <w:tcW w:w="700" w:type="dxa"/>
            <w:vAlign w:val="bottom"/>
            <w:tcBorders>
              <w:right w:val="single" w:sz="8" w:color="434F69"/>
            </w:tcBorders>
          </w:tcPr>
          <w:p>
            <w:pPr>
              <w:spacing w:after="0"/>
              <w:rPr>
                <w:sz w:val="16"/>
                <w:szCs w:val="16"/>
                <w:color w:val="auto"/>
              </w:rPr>
            </w:pPr>
          </w:p>
        </w:tc>
      </w:tr>
      <w:tr>
        <w:trPr>
          <w:trHeight w:val="192"/>
        </w:trPr>
        <w:tc>
          <w:tcPr>
            <w:tcW w:w="2040" w:type="dxa"/>
            <w:vAlign w:val="bottom"/>
            <w:tcBorders>
              <w:left w:val="single" w:sz="8" w:color="434F69"/>
              <w:bottom w:val="single" w:sz="8" w:color="434F69"/>
              <w:right w:val="single" w:sz="8" w:color="434F69"/>
            </w:tcBorders>
          </w:tcPr>
          <w:p>
            <w:pPr>
              <w:ind w:left="380"/>
              <w:spacing w:after="0" w:line="192" w:lineRule="exact"/>
              <w:rPr>
                <w:sz w:val="20"/>
                <w:szCs w:val="20"/>
                <w:color w:val="auto"/>
              </w:rPr>
            </w:pPr>
            <w:r>
              <w:rPr>
                <w:rFonts w:ascii="Arial" w:cs="Arial" w:eastAsia="Arial" w:hAnsi="Arial"/>
                <w:sz w:val="17"/>
                <w:szCs w:val="17"/>
                <w:color w:val="auto"/>
              </w:rPr>
              <w:t>CEO</w:t>
            </w:r>
          </w:p>
        </w:tc>
        <w:tc>
          <w:tcPr>
            <w:tcW w:w="960" w:type="dxa"/>
            <w:vAlign w:val="bottom"/>
            <w:tcBorders>
              <w:bottom w:val="single" w:sz="8" w:color="434F69"/>
              <w:right w:val="single" w:sz="8" w:color="434F69"/>
            </w:tcBorders>
          </w:tcPr>
          <w:p>
            <w:pPr>
              <w:spacing w:after="0"/>
              <w:rPr>
                <w:sz w:val="16"/>
                <w:szCs w:val="16"/>
                <w:color w:val="auto"/>
              </w:rPr>
            </w:pPr>
          </w:p>
        </w:tc>
        <w:tc>
          <w:tcPr>
            <w:tcW w:w="840" w:type="dxa"/>
            <w:vAlign w:val="bottom"/>
            <w:tcBorders>
              <w:bottom w:val="single" w:sz="8" w:color="434F69"/>
              <w:right w:val="single" w:sz="8" w:color="434F69"/>
            </w:tcBorders>
          </w:tcPr>
          <w:p>
            <w:pPr>
              <w:spacing w:after="0"/>
              <w:rPr>
                <w:sz w:val="16"/>
                <w:szCs w:val="16"/>
                <w:color w:val="auto"/>
              </w:rPr>
            </w:pPr>
          </w:p>
        </w:tc>
        <w:tc>
          <w:tcPr>
            <w:tcW w:w="1100" w:type="dxa"/>
            <w:vAlign w:val="bottom"/>
            <w:tcBorders>
              <w:bottom w:val="single" w:sz="8" w:color="434F69"/>
              <w:right w:val="single" w:sz="8" w:color="434F69"/>
            </w:tcBorders>
          </w:tcPr>
          <w:p>
            <w:pPr>
              <w:spacing w:after="0"/>
              <w:rPr>
                <w:sz w:val="16"/>
                <w:szCs w:val="16"/>
                <w:color w:val="auto"/>
              </w:rPr>
            </w:pPr>
          </w:p>
        </w:tc>
        <w:tc>
          <w:tcPr>
            <w:tcW w:w="960" w:type="dxa"/>
            <w:vAlign w:val="bottom"/>
            <w:tcBorders>
              <w:bottom w:val="single" w:sz="8" w:color="434F69"/>
              <w:right w:val="single" w:sz="8" w:color="434F69"/>
            </w:tcBorders>
          </w:tcPr>
          <w:p>
            <w:pPr>
              <w:spacing w:after="0"/>
              <w:rPr>
                <w:sz w:val="16"/>
                <w:szCs w:val="16"/>
                <w:color w:val="auto"/>
              </w:rPr>
            </w:pPr>
          </w:p>
        </w:tc>
        <w:tc>
          <w:tcPr>
            <w:tcW w:w="820" w:type="dxa"/>
            <w:vAlign w:val="bottom"/>
            <w:tcBorders>
              <w:bottom w:val="single" w:sz="8" w:color="434F69"/>
              <w:right w:val="single" w:sz="8" w:color="434F69"/>
            </w:tcBorders>
          </w:tcPr>
          <w:p>
            <w:pPr>
              <w:spacing w:after="0"/>
              <w:rPr>
                <w:sz w:val="16"/>
                <w:szCs w:val="16"/>
                <w:color w:val="auto"/>
              </w:rPr>
            </w:pPr>
          </w:p>
        </w:tc>
        <w:tc>
          <w:tcPr>
            <w:tcW w:w="800" w:type="dxa"/>
            <w:vAlign w:val="bottom"/>
            <w:tcBorders>
              <w:bottom w:val="single" w:sz="8" w:color="434F69"/>
              <w:right w:val="single" w:sz="8" w:color="434F69"/>
            </w:tcBorders>
          </w:tcPr>
          <w:p>
            <w:pPr>
              <w:spacing w:after="0"/>
              <w:rPr>
                <w:sz w:val="16"/>
                <w:szCs w:val="16"/>
                <w:color w:val="auto"/>
              </w:rPr>
            </w:pPr>
          </w:p>
        </w:tc>
        <w:tc>
          <w:tcPr>
            <w:tcW w:w="700" w:type="dxa"/>
            <w:vAlign w:val="bottom"/>
            <w:tcBorders>
              <w:bottom w:val="single" w:sz="8" w:color="434F69"/>
              <w:right w:val="single" w:sz="8" w:color="434F69"/>
            </w:tcBorders>
          </w:tcPr>
          <w:p>
            <w:pPr>
              <w:spacing w:after="0"/>
              <w:rPr>
                <w:sz w:val="16"/>
                <w:szCs w:val="16"/>
                <w:color w:val="auto"/>
              </w:rPr>
            </w:pPr>
          </w:p>
        </w:tc>
      </w:tr>
      <w:tr>
        <w:trPr>
          <w:trHeight w:val="235"/>
        </w:trPr>
        <w:tc>
          <w:tcPr>
            <w:tcW w:w="204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Alexandra D. Pruner</w:t>
            </w:r>
          </w:p>
        </w:tc>
        <w:tc>
          <w:tcPr>
            <w:tcW w:w="960" w:type="dxa"/>
            <w:vAlign w:val="bottom"/>
            <w:tcBorders>
              <w:bottom w:val="single" w:sz="8" w:color="434F69"/>
              <w:right w:val="single" w:sz="8" w:color="434F69"/>
            </w:tcBorders>
          </w:tcPr>
          <w:p>
            <w:pPr>
              <w:spacing w:after="0"/>
              <w:rPr>
                <w:sz w:val="20"/>
                <w:szCs w:val="20"/>
                <w:color w:val="auto"/>
              </w:rPr>
            </w:pPr>
          </w:p>
        </w:tc>
        <w:tc>
          <w:tcPr>
            <w:tcW w:w="840" w:type="dxa"/>
            <w:vAlign w:val="bottom"/>
            <w:tcBorders>
              <w:bottom w:val="single" w:sz="8" w:color="434F69"/>
              <w:right w:val="single" w:sz="8" w:color="434F69"/>
            </w:tcBorders>
          </w:tcPr>
          <w:p>
            <w:pPr>
              <w:spacing w:after="0"/>
              <w:rPr>
                <w:sz w:val="20"/>
                <w:szCs w:val="20"/>
                <w:color w:val="auto"/>
              </w:rPr>
            </w:pPr>
          </w:p>
        </w:tc>
        <w:tc>
          <w:tcPr>
            <w:tcW w:w="1100" w:type="dxa"/>
            <w:vAlign w:val="bottom"/>
            <w:tcBorders>
              <w:bottom w:val="single" w:sz="8" w:color="434F69"/>
              <w:right w:val="single" w:sz="8" w:color="434F69"/>
            </w:tcBorders>
          </w:tcPr>
          <w:p>
            <w:pPr>
              <w:spacing w:after="0"/>
              <w:rPr>
                <w:sz w:val="20"/>
                <w:szCs w:val="20"/>
                <w:color w:val="auto"/>
              </w:rPr>
            </w:pPr>
          </w:p>
        </w:tc>
        <w:tc>
          <w:tcPr>
            <w:tcW w:w="960" w:type="dxa"/>
            <w:vAlign w:val="bottom"/>
            <w:tcBorders>
              <w:bottom w:val="single" w:sz="8" w:color="434F69"/>
              <w:right w:val="single" w:sz="8" w:color="434F69"/>
            </w:tcBorders>
          </w:tcPr>
          <w:p>
            <w:pPr>
              <w:spacing w:after="0"/>
              <w:rPr>
                <w:sz w:val="20"/>
                <w:szCs w:val="20"/>
                <w:color w:val="auto"/>
              </w:rPr>
            </w:pPr>
          </w:p>
        </w:tc>
        <w:tc>
          <w:tcPr>
            <w:tcW w:w="82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236"/>
        </w:trPr>
        <w:tc>
          <w:tcPr>
            <w:tcW w:w="204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Lawrence M. Ziemba</w:t>
            </w:r>
          </w:p>
        </w:tc>
        <w:tc>
          <w:tcPr>
            <w:tcW w:w="960" w:type="dxa"/>
            <w:vAlign w:val="bottom"/>
            <w:tcBorders>
              <w:bottom w:val="single" w:sz="8" w:color="434F69"/>
              <w:right w:val="single" w:sz="8" w:color="434F69"/>
            </w:tcBorders>
          </w:tcPr>
          <w:p>
            <w:pPr>
              <w:spacing w:after="0"/>
              <w:rPr>
                <w:sz w:val="20"/>
                <w:szCs w:val="20"/>
                <w:color w:val="auto"/>
              </w:rPr>
            </w:pPr>
          </w:p>
        </w:tc>
        <w:tc>
          <w:tcPr>
            <w:tcW w:w="840" w:type="dxa"/>
            <w:vAlign w:val="bottom"/>
            <w:tcBorders>
              <w:bottom w:val="single" w:sz="8" w:color="434F69"/>
              <w:right w:val="single" w:sz="8" w:color="434F69"/>
            </w:tcBorders>
          </w:tcPr>
          <w:p>
            <w:pPr>
              <w:spacing w:after="0"/>
              <w:rPr>
                <w:sz w:val="20"/>
                <w:szCs w:val="20"/>
                <w:color w:val="auto"/>
              </w:rPr>
            </w:pPr>
          </w:p>
        </w:tc>
        <w:tc>
          <w:tcPr>
            <w:tcW w:w="1100" w:type="dxa"/>
            <w:vAlign w:val="bottom"/>
            <w:tcBorders>
              <w:bottom w:val="single" w:sz="8" w:color="434F69"/>
              <w:right w:val="single" w:sz="8" w:color="434F69"/>
            </w:tcBorders>
          </w:tcPr>
          <w:p>
            <w:pPr>
              <w:spacing w:after="0"/>
              <w:rPr>
                <w:sz w:val="20"/>
                <w:szCs w:val="20"/>
                <w:color w:val="auto"/>
              </w:rPr>
            </w:pPr>
          </w:p>
        </w:tc>
        <w:tc>
          <w:tcPr>
            <w:tcW w:w="960" w:type="dxa"/>
            <w:vAlign w:val="bottom"/>
            <w:tcBorders>
              <w:bottom w:val="single" w:sz="8" w:color="434F69"/>
              <w:right w:val="single" w:sz="8" w:color="434F69"/>
            </w:tcBorders>
          </w:tcPr>
          <w:p>
            <w:pPr>
              <w:spacing w:after="0"/>
              <w:rPr>
                <w:sz w:val="20"/>
                <w:szCs w:val="20"/>
                <w:color w:val="auto"/>
              </w:rPr>
            </w:pPr>
          </w:p>
        </w:tc>
        <w:tc>
          <w:tcPr>
            <w:tcW w:w="82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195"/>
        </w:trPr>
        <w:tc>
          <w:tcPr>
            <w:tcW w:w="2040" w:type="dxa"/>
            <w:vAlign w:val="bottom"/>
            <w:tcBorders>
              <w:left w:val="single" w:sz="8" w:color="434F69"/>
              <w:right w:val="single" w:sz="8" w:color="434F69"/>
            </w:tcBorders>
            <w:shd w:val="clear" w:color="auto" w:fill="D9DCE1"/>
          </w:tcPr>
          <w:p>
            <w:pPr>
              <w:ind w:left="40"/>
              <w:spacing w:after="0"/>
              <w:rPr>
                <w:sz w:val="20"/>
                <w:szCs w:val="20"/>
                <w:color w:val="auto"/>
              </w:rPr>
            </w:pPr>
            <w:r>
              <w:rPr>
                <w:rFonts w:ascii="Arial" w:cs="Arial" w:eastAsia="Arial" w:hAnsi="Arial"/>
                <w:sz w:val="17"/>
                <w:szCs w:val="17"/>
                <w:color w:val="auto"/>
              </w:rPr>
              <w:t>Class II Directors</w:t>
            </w:r>
          </w:p>
        </w:tc>
        <w:tc>
          <w:tcPr>
            <w:tcW w:w="960" w:type="dxa"/>
            <w:vAlign w:val="bottom"/>
            <w:tcBorders>
              <w:right w:val="single" w:sz="8" w:color="434F69"/>
            </w:tcBorders>
            <w:shd w:val="clear" w:color="auto" w:fill="D9DCE1"/>
          </w:tcPr>
          <w:p>
            <w:pPr>
              <w:spacing w:after="0"/>
              <w:rPr>
                <w:sz w:val="16"/>
                <w:szCs w:val="16"/>
                <w:color w:val="auto"/>
              </w:rPr>
            </w:pPr>
          </w:p>
        </w:tc>
        <w:tc>
          <w:tcPr>
            <w:tcW w:w="840" w:type="dxa"/>
            <w:vAlign w:val="bottom"/>
            <w:tcBorders>
              <w:right w:val="single" w:sz="8" w:color="434F69"/>
            </w:tcBorders>
            <w:shd w:val="clear" w:color="auto" w:fill="D9DCE1"/>
          </w:tcPr>
          <w:p>
            <w:pPr>
              <w:spacing w:after="0"/>
              <w:rPr>
                <w:sz w:val="16"/>
                <w:szCs w:val="16"/>
                <w:color w:val="auto"/>
              </w:rPr>
            </w:pPr>
          </w:p>
        </w:tc>
        <w:tc>
          <w:tcPr>
            <w:tcW w:w="1100" w:type="dxa"/>
            <w:vAlign w:val="bottom"/>
            <w:tcBorders>
              <w:right w:val="single" w:sz="8" w:color="434F69"/>
            </w:tcBorders>
            <w:shd w:val="clear" w:color="auto" w:fill="D9DCE1"/>
          </w:tcPr>
          <w:p>
            <w:pPr>
              <w:spacing w:after="0"/>
              <w:rPr>
                <w:sz w:val="16"/>
                <w:szCs w:val="16"/>
                <w:color w:val="auto"/>
              </w:rPr>
            </w:pPr>
          </w:p>
        </w:tc>
        <w:tc>
          <w:tcPr>
            <w:tcW w:w="960" w:type="dxa"/>
            <w:vAlign w:val="bottom"/>
            <w:tcBorders>
              <w:right w:val="single" w:sz="8" w:color="434F69"/>
            </w:tcBorders>
            <w:shd w:val="clear" w:color="auto" w:fill="D9DCE1"/>
          </w:tcPr>
          <w:p>
            <w:pPr>
              <w:spacing w:after="0"/>
              <w:rPr>
                <w:sz w:val="16"/>
                <w:szCs w:val="16"/>
                <w:color w:val="auto"/>
              </w:rPr>
            </w:pPr>
          </w:p>
        </w:tc>
        <w:tc>
          <w:tcPr>
            <w:tcW w:w="820" w:type="dxa"/>
            <w:vAlign w:val="bottom"/>
            <w:tcBorders>
              <w:right w:val="single" w:sz="8" w:color="434F69"/>
            </w:tcBorders>
            <w:shd w:val="clear" w:color="auto" w:fill="D9DCE1"/>
          </w:tcPr>
          <w:p>
            <w:pPr>
              <w:spacing w:after="0"/>
              <w:rPr>
                <w:sz w:val="16"/>
                <w:szCs w:val="16"/>
                <w:color w:val="auto"/>
              </w:rPr>
            </w:pPr>
          </w:p>
        </w:tc>
        <w:tc>
          <w:tcPr>
            <w:tcW w:w="800" w:type="dxa"/>
            <w:vAlign w:val="bottom"/>
            <w:tcBorders>
              <w:right w:val="single" w:sz="8" w:color="434F69"/>
            </w:tcBorders>
            <w:shd w:val="clear" w:color="auto" w:fill="D9DCE1"/>
          </w:tcPr>
          <w:p>
            <w:pPr>
              <w:spacing w:after="0"/>
              <w:rPr>
                <w:sz w:val="16"/>
                <w:szCs w:val="16"/>
                <w:color w:val="auto"/>
              </w:rPr>
            </w:pPr>
          </w:p>
        </w:tc>
        <w:tc>
          <w:tcPr>
            <w:tcW w:w="700" w:type="dxa"/>
            <w:vAlign w:val="bottom"/>
            <w:tcBorders>
              <w:right w:val="single" w:sz="8" w:color="434F69"/>
            </w:tcBorders>
            <w:shd w:val="clear" w:color="auto" w:fill="D9DCE1"/>
          </w:tcPr>
          <w:p>
            <w:pPr>
              <w:spacing w:after="0"/>
              <w:rPr>
                <w:sz w:val="16"/>
                <w:szCs w:val="16"/>
                <w:color w:val="auto"/>
              </w:rPr>
            </w:pPr>
          </w:p>
        </w:tc>
      </w:tr>
      <w:tr>
        <w:trPr>
          <w:trHeight w:val="192"/>
        </w:trPr>
        <w:tc>
          <w:tcPr>
            <w:tcW w:w="2040" w:type="dxa"/>
            <w:vAlign w:val="bottom"/>
            <w:tcBorders>
              <w:left w:val="single" w:sz="8" w:color="434F69"/>
              <w:bottom w:val="single" w:sz="8" w:color="434F69"/>
              <w:right w:val="single" w:sz="8" w:color="434F69"/>
            </w:tcBorders>
            <w:shd w:val="clear" w:color="auto" w:fill="D9DCE1"/>
          </w:tcPr>
          <w:p>
            <w:pPr>
              <w:ind w:left="200"/>
              <w:spacing w:after="0" w:line="192" w:lineRule="exact"/>
              <w:rPr>
                <w:sz w:val="20"/>
                <w:szCs w:val="20"/>
                <w:color w:val="auto"/>
              </w:rPr>
            </w:pPr>
            <w:r>
              <w:rPr>
                <w:rFonts w:ascii="Arial" w:cs="Arial" w:eastAsia="Arial" w:hAnsi="Arial"/>
                <w:sz w:val="17"/>
                <w:szCs w:val="17"/>
                <w:color w:val="auto"/>
              </w:rPr>
              <w:t>(Term expires 2022)</w:t>
            </w:r>
          </w:p>
        </w:tc>
        <w:tc>
          <w:tcPr>
            <w:tcW w:w="960" w:type="dxa"/>
            <w:vAlign w:val="bottom"/>
            <w:tcBorders>
              <w:bottom w:val="single" w:sz="8" w:color="434F69"/>
              <w:right w:val="single" w:sz="8" w:color="434F69"/>
            </w:tcBorders>
            <w:shd w:val="clear" w:color="auto" w:fill="D9DCE1"/>
          </w:tcPr>
          <w:p>
            <w:pPr>
              <w:spacing w:after="0"/>
              <w:rPr>
                <w:sz w:val="16"/>
                <w:szCs w:val="16"/>
                <w:color w:val="auto"/>
              </w:rPr>
            </w:pPr>
          </w:p>
        </w:tc>
        <w:tc>
          <w:tcPr>
            <w:tcW w:w="840" w:type="dxa"/>
            <w:vAlign w:val="bottom"/>
            <w:tcBorders>
              <w:bottom w:val="single" w:sz="8" w:color="434F69"/>
              <w:right w:val="single" w:sz="8" w:color="434F69"/>
            </w:tcBorders>
            <w:shd w:val="clear" w:color="auto" w:fill="D9DCE1"/>
          </w:tcPr>
          <w:p>
            <w:pPr>
              <w:spacing w:after="0"/>
              <w:rPr>
                <w:sz w:val="16"/>
                <w:szCs w:val="16"/>
                <w:color w:val="auto"/>
              </w:rPr>
            </w:pPr>
          </w:p>
        </w:tc>
        <w:tc>
          <w:tcPr>
            <w:tcW w:w="1100" w:type="dxa"/>
            <w:vAlign w:val="bottom"/>
            <w:tcBorders>
              <w:bottom w:val="single" w:sz="8" w:color="434F69"/>
              <w:right w:val="single" w:sz="8" w:color="434F69"/>
            </w:tcBorders>
            <w:shd w:val="clear" w:color="auto" w:fill="D9DCE1"/>
          </w:tcPr>
          <w:p>
            <w:pPr>
              <w:spacing w:after="0"/>
              <w:rPr>
                <w:sz w:val="16"/>
                <w:szCs w:val="16"/>
                <w:color w:val="auto"/>
              </w:rPr>
            </w:pPr>
          </w:p>
        </w:tc>
        <w:tc>
          <w:tcPr>
            <w:tcW w:w="960" w:type="dxa"/>
            <w:vAlign w:val="bottom"/>
            <w:tcBorders>
              <w:bottom w:val="single" w:sz="8" w:color="434F69"/>
              <w:right w:val="single" w:sz="8" w:color="434F69"/>
            </w:tcBorders>
            <w:shd w:val="clear" w:color="auto" w:fill="D9DCE1"/>
          </w:tcPr>
          <w:p>
            <w:pPr>
              <w:spacing w:after="0"/>
              <w:rPr>
                <w:sz w:val="16"/>
                <w:szCs w:val="16"/>
                <w:color w:val="auto"/>
              </w:rPr>
            </w:pPr>
          </w:p>
        </w:tc>
        <w:tc>
          <w:tcPr>
            <w:tcW w:w="820" w:type="dxa"/>
            <w:vAlign w:val="bottom"/>
            <w:tcBorders>
              <w:bottom w:val="single" w:sz="8" w:color="434F69"/>
              <w:right w:val="single" w:sz="8" w:color="434F69"/>
            </w:tcBorders>
            <w:shd w:val="clear" w:color="auto" w:fill="D9DCE1"/>
          </w:tcPr>
          <w:p>
            <w:pPr>
              <w:spacing w:after="0"/>
              <w:rPr>
                <w:sz w:val="16"/>
                <w:szCs w:val="16"/>
                <w:color w:val="auto"/>
              </w:rPr>
            </w:pPr>
          </w:p>
        </w:tc>
        <w:tc>
          <w:tcPr>
            <w:tcW w:w="800" w:type="dxa"/>
            <w:vAlign w:val="bottom"/>
            <w:tcBorders>
              <w:bottom w:val="single" w:sz="8" w:color="434F69"/>
              <w:right w:val="single" w:sz="8" w:color="434F69"/>
            </w:tcBorders>
            <w:shd w:val="clear" w:color="auto" w:fill="D9DCE1"/>
          </w:tcPr>
          <w:p>
            <w:pPr>
              <w:spacing w:after="0"/>
              <w:rPr>
                <w:sz w:val="16"/>
                <w:szCs w:val="16"/>
                <w:color w:val="auto"/>
              </w:rPr>
            </w:pPr>
          </w:p>
        </w:tc>
        <w:tc>
          <w:tcPr>
            <w:tcW w:w="700" w:type="dxa"/>
            <w:vAlign w:val="bottom"/>
            <w:tcBorders>
              <w:bottom w:val="single" w:sz="8" w:color="434F69"/>
              <w:right w:val="single" w:sz="8" w:color="434F69"/>
            </w:tcBorders>
            <w:shd w:val="clear" w:color="auto" w:fill="D9DCE1"/>
          </w:tcPr>
          <w:p>
            <w:pPr>
              <w:spacing w:after="0"/>
              <w:rPr>
                <w:sz w:val="16"/>
                <w:szCs w:val="16"/>
                <w:color w:val="auto"/>
              </w:rPr>
            </w:pPr>
          </w:p>
        </w:tc>
      </w:tr>
      <w:tr>
        <w:trPr>
          <w:trHeight w:val="235"/>
        </w:trPr>
        <w:tc>
          <w:tcPr>
            <w:tcW w:w="204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Victor Burk*</w:t>
            </w:r>
          </w:p>
        </w:tc>
        <w:tc>
          <w:tcPr>
            <w:tcW w:w="960" w:type="dxa"/>
            <w:vAlign w:val="bottom"/>
            <w:tcBorders>
              <w:bottom w:val="single" w:sz="8" w:color="434F69"/>
              <w:right w:val="single" w:sz="8" w:color="434F69"/>
            </w:tcBorders>
          </w:tcPr>
          <w:p>
            <w:pPr>
              <w:spacing w:after="0"/>
              <w:rPr>
                <w:sz w:val="20"/>
                <w:szCs w:val="20"/>
                <w:color w:val="auto"/>
              </w:rPr>
            </w:pPr>
          </w:p>
        </w:tc>
        <w:tc>
          <w:tcPr>
            <w:tcW w:w="840" w:type="dxa"/>
            <w:vAlign w:val="bottom"/>
            <w:tcBorders>
              <w:bottom w:val="single" w:sz="8" w:color="434F69"/>
              <w:right w:val="single" w:sz="8" w:color="434F69"/>
            </w:tcBorders>
          </w:tcPr>
          <w:p>
            <w:pPr>
              <w:spacing w:after="0"/>
              <w:rPr>
                <w:sz w:val="20"/>
                <w:szCs w:val="20"/>
                <w:color w:val="auto"/>
              </w:rPr>
            </w:pPr>
          </w:p>
        </w:tc>
        <w:tc>
          <w:tcPr>
            <w:tcW w:w="1100" w:type="dxa"/>
            <w:vAlign w:val="bottom"/>
            <w:tcBorders>
              <w:bottom w:val="single" w:sz="8" w:color="434F69"/>
              <w:right w:val="single" w:sz="8" w:color="434F69"/>
            </w:tcBorders>
          </w:tcPr>
          <w:p>
            <w:pPr>
              <w:spacing w:after="0"/>
              <w:rPr>
                <w:sz w:val="20"/>
                <w:szCs w:val="20"/>
                <w:color w:val="auto"/>
              </w:rPr>
            </w:pPr>
          </w:p>
        </w:tc>
        <w:tc>
          <w:tcPr>
            <w:tcW w:w="960" w:type="dxa"/>
            <w:vAlign w:val="bottom"/>
            <w:tcBorders>
              <w:bottom w:val="single" w:sz="8" w:color="434F69"/>
              <w:right w:val="single" w:sz="8" w:color="434F69"/>
            </w:tcBorders>
          </w:tcPr>
          <w:p>
            <w:pPr>
              <w:spacing w:after="0"/>
              <w:rPr>
                <w:sz w:val="20"/>
                <w:szCs w:val="20"/>
                <w:color w:val="auto"/>
              </w:rPr>
            </w:pPr>
          </w:p>
        </w:tc>
        <w:tc>
          <w:tcPr>
            <w:tcW w:w="82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237"/>
        </w:trPr>
        <w:tc>
          <w:tcPr>
            <w:tcW w:w="204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Kevin S. McCarthy*</w:t>
            </w:r>
          </w:p>
        </w:tc>
        <w:tc>
          <w:tcPr>
            <w:tcW w:w="960" w:type="dxa"/>
            <w:vAlign w:val="bottom"/>
            <w:tcBorders>
              <w:bottom w:val="single" w:sz="8" w:color="434F69"/>
              <w:right w:val="single" w:sz="8" w:color="434F69"/>
            </w:tcBorders>
          </w:tcPr>
          <w:p>
            <w:pPr>
              <w:spacing w:after="0"/>
              <w:rPr>
                <w:sz w:val="20"/>
                <w:szCs w:val="20"/>
                <w:color w:val="auto"/>
              </w:rPr>
            </w:pPr>
          </w:p>
        </w:tc>
        <w:tc>
          <w:tcPr>
            <w:tcW w:w="840" w:type="dxa"/>
            <w:vAlign w:val="bottom"/>
            <w:tcBorders>
              <w:bottom w:val="single" w:sz="8" w:color="434F69"/>
              <w:right w:val="single" w:sz="8" w:color="434F69"/>
            </w:tcBorders>
          </w:tcPr>
          <w:p>
            <w:pPr>
              <w:spacing w:after="0"/>
              <w:rPr>
                <w:sz w:val="20"/>
                <w:szCs w:val="20"/>
                <w:color w:val="auto"/>
              </w:rPr>
            </w:pPr>
          </w:p>
        </w:tc>
        <w:tc>
          <w:tcPr>
            <w:tcW w:w="1100" w:type="dxa"/>
            <w:vAlign w:val="bottom"/>
            <w:tcBorders>
              <w:bottom w:val="single" w:sz="8" w:color="434F69"/>
              <w:right w:val="single" w:sz="8" w:color="434F69"/>
            </w:tcBorders>
          </w:tcPr>
          <w:p>
            <w:pPr>
              <w:spacing w:after="0"/>
              <w:rPr>
                <w:sz w:val="20"/>
                <w:szCs w:val="20"/>
                <w:color w:val="auto"/>
              </w:rPr>
            </w:pPr>
          </w:p>
        </w:tc>
        <w:tc>
          <w:tcPr>
            <w:tcW w:w="960" w:type="dxa"/>
            <w:vAlign w:val="bottom"/>
            <w:tcBorders>
              <w:bottom w:val="single" w:sz="8" w:color="434F69"/>
              <w:right w:val="single" w:sz="8" w:color="434F69"/>
            </w:tcBorders>
          </w:tcPr>
          <w:p>
            <w:pPr>
              <w:spacing w:after="0"/>
              <w:rPr>
                <w:sz w:val="20"/>
                <w:szCs w:val="20"/>
                <w:color w:val="auto"/>
              </w:rPr>
            </w:pPr>
          </w:p>
        </w:tc>
        <w:tc>
          <w:tcPr>
            <w:tcW w:w="82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195"/>
        </w:trPr>
        <w:tc>
          <w:tcPr>
            <w:tcW w:w="204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Harry N. Pefanis,</w:t>
            </w:r>
          </w:p>
        </w:tc>
        <w:tc>
          <w:tcPr>
            <w:tcW w:w="960" w:type="dxa"/>
            <w:vAlign w:val="bottom"/>
            <w:tcBorders>
              <w:right w:val="single" w:sz="8" w:color="434F69"/>
            </w:tcBorders>
          </w:tcPr>
          <w:p>
            <w:pPr>
              <w:spacing w:after="0"/>
              <w:rPr>
                <w:sz w:val="16"/>
                <w:szCs w:val="16"/>
                <w:color w:val="auto"/>
              </w:rPr>
            </w:pPr>
          </w:p>
        </w:tc>
        <w:tc>
          <w:tcPr>
            <w:tcW w:w="840" w:type="dxa"/>
            <w:vAlign w:val="bottom"/>
            <w:tcBorders>
              <w:right w:val="single" w:sz="8" w:color="434F69"/>
            </w:tcBorders>
          </w:tcPr>
          <w:p>
            <w:pPr>
              <w:spacing w:after="0"/>
              <w:rPr>
                <w:sz w:val="16"/>
                <w:szCs w:val="16"/>
                <w:color w:val="auto"/>
              </w:rPr>
            </w:pPr>
          </w:p>
        </w:tc>
        <w:tc>
          <w:tcPr>
            <w:tcW w:w="1100" w:type="dxa"/>
            <w:vAlign w:val="bottom"/>
            <w:tcBorders>
              <w:right w:val="single" w:sz="8" w:color="434F69"/>
            </w:tcBorders>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c>
          <w:tcPr>
            <w:tcW w:w="820" w:type="dxa"/>
            <w:vAlign w:val="bottom"/>
            <w:tcBorders>
              <w:right w:val="single" w:sz="8" w:color="434F69"/>
            </w:tcBorders>
          </w:tcPr>
          <w:p>
            <w:pPr>
              <w:spacing w:after="0"/>
              <w:rPr>
                <w:sz w:val="16"/>
                <w:szCs w:val="16"/>
                <w:color w:val="auto"/>
              </w:rPr>
            </w:pPr>
          </w:p>
        </w:tc>
        <w:tc>
          <w:tcPr>
            <w:tcW w:w="800" w:type="dxa"/>
            <w:vAlign w:val="bottom"/>
            <w:tcBorders>
              <w:right w:val="single" w:sz="8" w:color="434F69"/>
            </w:tcBorders>
          </w:tcPr>
          <w:p>
            <w:pPr>
              <w:spacing w:after="0"/>
              <w:rPr>
                <w:sz w:val="16"/>
                <w:szCs w:val="16"/>
                <w:color w:val="auto"/>
              </w:rPr>
            </w:pPr>
          </w:p>
        </w:tc>
        <w:tc>
          <w:tcPr>
            <w:tcW w:w="700" w:type="dxa"/>
            <w:vAlign w:val="bottom"/>
            <w:tcBorders>
              <w:right w:val="single" w:sz="8" w:color="434F69"/>
            </w:tcBorders>
          </w:tcPr>
          <w:p>
            <w:pPr>
              <w:spacing w:after="0"/>
              <w:rPr>
                <w:sz w:val="16"/>
                <w:szCs w:val="16"/>
                <w:color w:val="auto"/>
              </w:rPr>
            </w:pPr>
          </w:p>
        </w:tc>
      </w:tr>
      <w:tr>
        <w:trPr>
          <w:trHeight w:val="192"/>
        </w:trPr>
        <w:tc>
          <w:tcPr>
            <w:tcW w:w="2040" w:type="dxa"/>
            <w:vAlign w:val="bottom"/>
            <w:tcBorders>
              <w:left w:val="single" w:sz="8" w:color="434F69"/>
              <w:bottom w:val="single" w:sz="8" w:color="434F69"/>
              <w:right w:val="single" w:sz="8" w:color="434F69"/>
            </w:tcBorders>
          </w:tcPr>
          <w:p>
            <w:pPr>
              <w:ind w:left="380"/>
              <w:spacing w:after="0" w:line="192" w:lineRule="exact"/>
              <w:rPr>
                <w:sz w:val="20"/>
                <w:szCs w:val="20"/>
                <w:color w:val="auto"/>
              </w:rPr>
            </w:pPr>
            <w:r>
              <w:rPr>
                <w:rFonts w:ascii="Arial" w:cs="Arial" w:eastAsia="Arial" w:hAnsi="Arial"/>
                <w:sz w:val="17"/>
                <w:szCs w:val="17"/>
                <w:color w:val="auto"/>
              </w:rPr>
              <w:t>President*</w:t>
            </w:r>
          </w:p>
        </w:tc>
        <w:tc>
          <w:tcPr>
            <w:tcW w:w="960" w:type="dxa"/>
            <w:vAlign w:val="bottom"/>
            <w:tcBorders>
              <w:bottom w:val="single" w:sz="8" w:color="434F69"/>
              <w:right w:val="single" w:sz="8" w:color="434F69"/>
            </w:tcBorders>
          </w:tcPr>
          <w:p>
            <w:pPr>
              <w:spacing w:after="0"/>
              <w:rPr>
                <w:sz w:val="16"/>
                <w:szCs w:val="16"/>
                <w:color w:val="auto"/>
              </w:rPr>
            </w:pPr>
          </w:p>
        </w:tc>
        <w:tc>
          <w:tcPr>
            <w:tcW w:w="840" w:type="dxa"/>
            <w:vAlign w:val="bottom"/>
            <w:tcBorders>
              <w:bottom w:val="single" w:sz="8" w:color="434F69"/>
              <w:right w:val="single" w:sz="8" w:color="434F69"/>
            </w:tcBorders>
          </w:tcPr>
          <w:p>
            <w:pPr>
              <w:spacing w:after="0"/>
              <w:rPr>
                <w:sz w:val="16"/>
                <w:szCs w:val="16"/>
                <w:color w:val="auto"/>
              </w:rPr>
            </w:pPr>
          </w:p>
        </w:tc>
        <w:tc>
          <w:tcPr>
            <w:tcW w:w="1100" w:type="dxa"/>
            <w:vAlign w:val="bottom"/>
            <w:tcBorders>
              <w:bottom w:val="single" w:sz="8" w:color="434F69"/>
              <w:right w:val="single" w:sz="8" w:color="434F69"/>
            </w:tcBorders>
          </w:tcPr>
          <w:p>
            <w:pPr>
              <w:spacing w:after="0"/>
              <w:rPr>
                <w:sz w:val="16"/>
                <w:szCs w:val="16"/>
                <w:color w:val="auto"/>
              </w:rPr>
            </w:pPr>
          </w:p>
        </w:tc>
        <w:tc>
          <w:tcPr>
            <w:tcW w:w="960" w:type="dxa"/>
            <w:vAlign w:val="bottom"/>
            <w:tcBorders>
              <w:bottom w:val="single" w:sz="8" w:color="434F69"/>
              <w:right w:val="single" w:sz="8" w:color="434F69"/>
            </w:tcBorders>
          </w:tcPr>
          <w:p>
            <w:pPr>
              <w:spacing w:after="0"/>
              <w:rPr>
                <w:sz w:val="16"/>
                <w:szCs w:val="16"/>
                <w:color w:val="auto"/>
              </w:rPr>
            </w:pPr>
          </w:p>
        </w:tc>
        <w:tc>
          <w:tcPr>
            <w:tcW w:w="820" w:type="dxa"/>
            <w:vAlign w:val="bottom"/>
            <w:tcBorders>
              <w:bottom w:val="single" w:sz="8" w:color="434F69"/>
              <w:right w:val="single" w:sz="8" w:color="434F69"/>
            </w:tcBorders>
          </w:tcPr>
          <w:p>
            <w:pPr>
              <w:spacing w:after="0"/>
              <w:rPr>
                <w:sz w:val="16"/>
                <w:szCs w:val="16"/>
                <w:color w:val="auto"/>
              </w:rPr>
            </w:pPr>
          </w:p>
        </w:tc>
        <w:tc>
          <w:tcPr>
            <w:tcW w:w="800" w:type="dxa"/>
            <w:vAlign w:val="bottom"/>
            <w:tcBorders>
              <w:bottom w:val="single" w:sz="8" w:color="434F69"/>
              <w:right w:val="single" w:sz="8" w:color="434F69"/>
            </w:tcBorders>
          </w:tcPr>
          <w:p>
            <w:pPr>
              <w:spacing w:after="0"/>
              <w:rPr>
                <w:sz w:val="16"/>
                <w:szCs w:val="16"/>
                <w:color w:val="auto"/>
              </w:rPr>
            </w:pPr>
          </w:p>
        </w:tc>
        <w:tc>
          <w:tcPr>
            <w:tcW w:w="700" w:type="dxa"/>
            <w:vAlign w:val="bottom"/>
            <w:tcBorders>
              <w:bottom w:val="single" w:sz="8" w:color="434F69"/>
              <w:right w:val="single" w:sz="8" w:color="434F69"/>
            </w:tcBorders>
          </w:tcPr>
          <w:p>
            <w:pPr>
              <w:spacing w:after="0"/>
              <w:rPr>
                <w:sz w:val="16"/>
                <w:szCs w:val="16"/>
                <w:color w:val="auto"/>
              </w:rPr>
            </w:pPr>
          </w:p>
        </w:tc>
      </w:tr>
      <w:tr>
        <w:trPr>
          <w:trHeight w:val="235"/>
        </w:trPr>
        <w:tc>
          <w:tcPr>
            <w:tcW w:w="204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Gary R. Petersen*</w:t>
            </w:r>
          </w:p>
        </w:tc>
        <w:tc>
          <w:tcPr>
            <w:tcW w:w="960" w:type="dxa"/>
            <w:vAlign w:val="bottom"/>
            <w:tcBorders>
              <w:bottom w:val="single" w:sz="8" w:color="434F69"/>
              <w:right w:val="single" w:sz="8" w:color="434F69"/>
            </w:tcBorders>
          </w:tcPr>
          <w:p>
            <w:pPr>
              <w:spacing w:after="0"/>
              <w:rPr>
                <w:sz w:val="20"/>
                <w:szCs w:val="20"/>
                <w:color w:val="auto"/>
              </w:rPr>
            </w:pPr>
          </w:p>
        </w:tc>
        <w:tc>
          <w:tcPr>
            <w:tcW w:w="840" w:type="dxa"/>
            <w:vAlign w:val="bottom"/>
            <w:tcBorders>
              <w:bottom w:val="single" w:sz="8" w:color="434F69"/>
              <w:right w:val="single" w:sz="8" w:color="434F69"/>
            </w:tcBorders>
          </w:tcPr>
          <w:p>
            <w:pPr>
              <w:spacing w:after="0"/>
              <w:rPr>
                <w:sz w:val="20"/>
                <w:szCs w:val="20"/>
                <w:color w:val="auto"/>
              </w:rPr>
            </w:pPr>
          </w:p>
        </w:tc>
        <w:tc>
          <w:tcPr>
            <w:tcW w:w="1100" w:type="dxa"/>
            <w:vAlign w:val="bottom"/>
            <w:tcBorders>
              <w:bottom w:val="single" w:sz="8" w:color="434F69"/>
              <w:right w:val="single" w:sz="8" w:color="434F69"/>
            </w:tcBorders>
          </w:tcPr>
          <w:p>
            <w:pPr>
              <w:spacing w:after="0"/>
              <w:rPr>
                <w:sz w:val="20"/>
                <w:szCs w:val="20"/>
                <w:color w:val="auto"/>
              </w:rPr>
            </w:pPr>
          </w:p>
        </w:tc>
        <w:tc>
          <w:tcPr>
            <w:tcW w:w="960" w:type="dxa"/>
            <w:vAlign w:val="bottom"/>
            <w:tcBorders>
              <w:bottom w:val="single" w:sz="8" w:color="434F69"/>
              <w:right w:val="single" w:sz="8" w:color="434F69"/>
            </w:tcBorders>
          </w:tcPr>
          <w:p>
            <w:pPr>
              <w:spacing w:after="0"/>
              <w:rPr>
                <w:sz w:val="20"/>
                <w:szCs w:val="20"/>
                <w:color w:val="auto"/>
              </w:rPr>
            </w:pPr>
          </w:p>
        </w:tc>
        <w:tc>
          <w:tcPr>
            <w:tcW w:w="82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195"/>
        </w:trPr>
        <w:tc>
          <w:tcPr>
            <w:tcW w:w="2040" w:type="dxa"/>
            <w:vAlign w:val="bottom"/>
            <w:tcBorders>
              <w:left w:val="single" w:sz="8" w:color="434F69"/>
              <w:right w:val="single" w:sz="8" w:color="434F69"/>
            </w:tcBorders>
            <w:shd w:val="clear" w:color="auto" w:fill="D9DCE1"/>
          </w:tcPr>
          <w:p>
            <w:pPr>
              <w:ind w:left="40"/>
              <w:spacing w:after="0"/>
              <w:rPr>
                <w:sz w:val="20"/>
                <w:szCs w:val="20"/>
                <w:color w:val="auto"/>
              </w:rPr>
            </w:pPr>
            <w:r>
              <w:rPr>
                <w:rFonts w:ascii="Arial" w:cs="Arial" w:eastAsia="Arial" w:hAnsi="Arial"/>
                <w:sz w:val="17"/>
                <w:szCs w:val="17"/>
                <w:color w:val="auto"/>
              </w:rPr>
              <w:t>Class III Directors</w:t>
            </w:r>
          </w:p>
        </w:tc>
        <w:tc>
          <w:tcPr>
            <w:tcW w:w="960" w:type="dxa"/>
            <w:vAlign w:val="bottom"/>
            <w:tcBorders>
              <w:right w:val="single" w:sz="8" w:color="434F69"/>
            </w:tcBorders>
            <w:shd w:val="clear" w:color="auto" w:fill="D9DCE1"/>
          </w:tcPr>
          <w:p>
            <w:pPr>
              <w:spacing w:after="0"/>
              <w:rPr>
                <w:sz w:val="16"/>
                <w:szCs w:val="16"/>
                <w:color w:val="auto"/>
              </w:rPr>
            </w:pPr>
          </w:p>
        </w:tc>
        <w:tc>
          <w:tcPr>
            <w:tcW w:w="840" w:type="dxa"/>
            <w:vAlign w:val="bottom"/>
            <w:tcBorders>
              <w:right w:val="single" w:sz="8" w:color="434F69"/>
            </w:tcBorders>
            <w:shd w:val="clear" w:color="auto" w:fill="D9DCE1"/>
          </w:tcPr>
          <w:p>
            <w:pPr>
              <w:spacing w:after="0"/>
              <w:rPr>
                <w:sz w:val="16"/>
                <w:szCs w:val="16"/>
                <w:color w:val="auto"/>
              </w:rPr>
            </w:pPr>
          </w:p>
        </w:tc>
        <w:tc>
          <w:tcPr>
            <w:tcW w:w="1100" w:type="dxa"/>
            <w:vAlign w:val="bottom"/>
            <w:tcBorders>
              <w:right w:val="single" w:sz="8" w:color="434F69"/>
            </w:tcBorders>
            <w:shd w:val="clear" w:color="auto" w:fill="D9DCE1"/>
          </w:tcPr>
          <w:p>
            <w:pPr>
              <w:spacing w:after="0"/>
              <w:rPr>
                <w:sz w:val="16"/>
                <w:szCs w:val="16"/>
                <w:color w:val="auto"/>
              </w:rPr>
            </w:pPr>
          </w:p>
        </w:tc>
        <w:tc>
          <w:tcPr>
            <w:tcW w:w="960" w:type="dxa"/>
            <w:vAlign w:val="bottom"/>
            <w:tcBorders>
              <w:right w:val="single" w:sz="8" w:color="434F69"/>
            </w:tcBorders>
            <w:shd w:val="clear" w:color="auto" w:fill="D9DCE1"/>
          </w:tcPr>
          <w:p>
            <w:pPr>
              <w:spacing w:after="0"/>
              <w:rPr>
                <w:sz w:val="16"/>
                <w:szCs w:val="16"/>
                <w:color w:val="auto"/>
              </w:rPr>
            </w:pPr>
          </w:p>
        </w:tc>
        <w:tc>
          <w:tcPr>
            <w:tcW w:w="820" w:type="dxa"/>
            <w:vAlign w:val="bottom"/>
            <w:tcBorders>
              <w:right w:val="single" w:sz="8" w:color="434F69"/>
            </w:tcBorders>
            <w:shd w:val="clear" w:color="auto" w:fill="D9DCE1"/>
          </w:tcPr>
          <w:p>
            <w:pPr>
              <w:spacing w:after="0"/>
              <w:rPr>
                <w:sz w:val="16"/>
                <w:szCs w:val="16"/>
                <w:color w:val="auto"/>
              </w:rPr>
            </w:pPr>
          </w:p>
        </w:tc>
        <w:tc>
          <w:tcPr>
            <w:tcW w:w="800" w:type="dxa"/>
            <w:vAlign w:val="bottom"/>
            <w:tcBorders>
              <w:right w:val="single" w:sz="8" w:color="434F69"/>
            </w:tcBorders>
            <w:shd w:val="clear" w:color="auto" w:fill="D9DCE1"/>
          </w:tcPr>
          <w:p>
            <w:pPr>
              <w:spacing w:after="0"/>
              <w:rPr>
                <w:sz w:val="16"/>
                <w:szCs w:val="16"/>
                <w:color w:val="auto"/>
              </w:rPr>
            </w:pPr>
          </w:p>
        </w:tc>
        <w:tc>
          <w:tcPr>
            <w:tcW w:w="700" w:type="dxa"/>
            <w:vAlign w:val="bottom"/>
            <w:tcBorders>
              <w:right w:val="single" w:sz="8" w:color="434F69"/>
            </w:tcBorders>
            <w:shd w:val="clear" w:color="auto" w:fill="D9DCE1"/>
          </w:tcPr>
          <w:p>
            <w:pPr>
              <w:spacing w:after="0"/>
              <w:rPr>
                <w:sz w:val="16"/>
                <w:szCs w:val="16"/>
                <w:color w:val="auto"/>
              </w:rPr>
            </w:pPr>
          </w:p>
        </w:tc>
      </w:tr>
      <w:tr>
        <w:trPr>
          <w:trHeight w:val="192"/>
        </w:trPr>
        <w:tc>
          <w:tcPr>
            <w:tcW w:w="2040" w:type="dxa"/>
            <w:vAlign w:val="bottom"/>
            <w:tcBorders>
              <w:left w:val="single" w:sz="8" w:color="434F69"/>
              <w:bottom w:val="single" w:sz="8" w:color="434F69"/>
              <w:right w:val="single" w:sz="8" w:color="434F69"/>
            </w:tcBorders>
            <w:shd w:val="clear" w:color="auto" w:fill="D9DCE1"/>
          </w:tcPr>
          <w:p>
            <w:pPr>
              <w:ind w:left="200"/>
              <w:spacing w:after="0" w:line="192" w:lineRule="exact"/>
              <w:rPr>
                <w:sz w:val="20"/>
                <w:szCs w:val="20"/>
                <w:color w:val="auto"/>
              </w:rPr>
            </w:pPr>
            <w:r>
              <w:rPr>
                <w:rFonts w:ascii="Arial" w:cs="Arial" w:eastAsia="Arial" w:hAnsi="Arial"/>
                <w:sz w:val="17"/>
                <w:szCs w:val="17"/>
                <w:color w:val="auto"/>
              </w:rPr>
              <w:t>(Term expires 2024)</w:t>
            </w:r>
          </w:p>
        </w:tc>
        <w:tc>
          <w:tcPr>
            <w:tcW w:w="960" w:type="dxa"/>
            <w:vAlign w:val="bottom"/>
            <w:tcBorders>
              <w:bottom w:val="single" w:sz="8" w:color="434F69"/>
              <w:right w:val="single" w:sz="8" w:color="434F69"/>
            </w:tcBorders>
            <w:shd w:val="clear" w:color="auto" w:fill="D9DCE1"/>
          </w:tcPr>
          <w:p>
            <w:pPr>
              <w:spacing w:after="0"/>
              <w:rPr>
                <w:sz w:val="16"/>
                <w:szCs w:val="16"/>
                <w:color w:val="auto"/>
              </w:rPr>
            </w:pPr>
          </w:p>
        </w:tc>
        <w:tc>
          <w:tcPr>
            <w:tcW w:w="840" w:type="dxa"/>
            <w:vAlign w:val="bottom"/>
            <w:tcBorders>
              <w:bottom w:val="single" w:sz="8" w:color="434F69"/>
              <w:right w:val="single" w:sz="8" w:color="434F69"/>
            </w:tcBorders>
            <w:shd w:val="clear" w:color="auto" w:fill="D9DCE1"/>
          </w:tcPr>
          <w:p>
            <w:pPr>
              <w:spacing w:after="0"/>
              <w:rPr>
                <w:sz w:val="16"/>
                <w:szCs w:val="16"/>
                <w:color w:val="auto"/>
              </w:rPr>
            </w:pPr>
          </w:p>
        </w:tc>
        <w:tc>
          <w:tcPr>
            <w:tcW w:w="1100" w:type="dxa"/>
            <w:vAlign w:val="bottom"/>
            <w:tcBorders>
              <w:bottom w:val="single" w:sz="8" w:color="434F69"/>
              <w:right w:val="single" w:sz="8" w:color="434F69"/>
            </w:tcBorders>
            <w:shd w:val="clear" w:color="auto" w:fill="D9DCE1"/>
          </w:tcPr>
          <w:p>
            <w:pPr>
              <w:spacing w:after="0"/>
              <w:rPr>
                <w:sz w:val="16"/>
                <w:szCs w:val="16"/>
                <w:color w:val="auto"/>
              </w:rPr>
            </w:pPr>
          </w:p>
        </w:tc>
        <w:tc>
          <w:tcPr>
            <w:tcW w:w="960" w:type="dxa"/>
            <w:vAlign w:val="bottom"/>
            <w:tcBorders>
              <w:bottom w:val="single" w:sz="8" w:color="434F69"/>
              <w:right w:val="single" w:sz="8" w:color="434F69"/>
            </w:tcBorders>
            <w:shd w:val="clear" w:color="auto" w:fill="D9DCE1"/>
          </w:tcPr>
          <w:p>
            <w:pPr>
              <w:spacing w:after="0"/>
              <w:rPr>
                <w:sz w:val="16"/>
                <w:szCs w:val="16"/>
                <w:color w:val="auto"/>
              </w:rPr>
            </w:pPr>
          </w:p>
        </w:tc>
        <w:tc>
          <w:tcPr>
            <w:tcW w:w="820" w:type="dxa"/>
            <w:vAlign w:val="bottom"/>
            <w:tcBorders>
              <w:bottom w:val="single" w:sz="8" w:color="434F69"/>
              <w:right w:val="single" w:sz="8" w:color="434F69"/>
            </w:tcBorders>
            <w:shd w:val="clear" w:color="auto" w:fill="D9DCE1"/>
          </w:tcPr>
          <w:p>
            <w:pPr>
              <w:spacing w:after="0"/>
              <w:rPr>
                <w:sz w:val="16"/>
                <w:szCs w:val="16"/>
                <w:color w:val="auto"/>
              </w:rPr>
            </w:pPr>
          </w:p>
        </w:tc>
        <w:tc>
          <w:tcPr>
            <w:tcW w:w="800" w:type="dxa"/>
            <w:vAlign w:val="bottom"/>
            <w:tcBorders>
              <w:bottom w:val="single" w:sz="8" w:color="434F69"/>
              <w:right w:val="single" w:sz="8" w:color="434F69"/>
            </w:tcBorders>
            <w:shd w:val="clear" w:color="auto" w:fill="D9DCE1"/>
          </w:tcPr>
          <w:p>
            <w:pPr>
              <w:spacing w:after="0"/>
              <w:rPr>
                <w:sz w:val="16"/>
                <w:szCs w:val="16"/>
                <w:color w:val="auto"/>
              </w:rPr>
            </w:pPr>
          </w:p>
        </w:tc>
        <w:tc>
          <w:tcPr>
            <w:tcW w:w="700" w:type="dxa"/>
            <w:vAlign w:val="bottom"/>
            <w:tcBorders>
              <w:bottom w:val="single" w:sz="8" w:color="434F69"/>
              <w:right w:val="single" w:sz="8" w:color="434F69"/>
            </w:tcBorders>
            <w:shd w:val="clear" w:color="auto" w:fill="D9DCE1"/>
          </w:tcPr>
          <w:p>
            <w:pPr>
              <w:spacing w:after="0"/>
              <w:rPr>
                <w:sz w:val="16"/>
                <w:szCs w:val="16"/>
                <w:color w:val="auto"/>
              </w:rPr>
            </w:pPr>
          </w:p>
        </w:tc>
      </w:tr>
      <w:tr>
        <w:trPr>
          <w:trHeight w:val="193"/>
        </w:trPr>
        <w:tc>
          <w:tcPr>
            <w:tcW w:w="2040" w:type="dxa"/>
            <w:vAlign w:val="bottom"/>
            <w:tcBorders>
              <w:left w:val="single" w:sz="8" w:color="434F69"/>
              <w:right w:val="single" w:sz="8" w:color="434F69"/>
            </w:tcBorders>
          </w:tcPr>
          <w:p>
            <w:pPr>
              <w:ind w:left="200"/>
              <w:spacing w:after="0" w:line="193" w:lineRule="exact"/>
              <w:rPr>
                <w:sz w:val="20"/>
                <w:szCs w:val="20"/>
                <w:color w:val="auto"/>
              </w:rPr>
            </w:pPr>
            <w:r>
              <w:rPr>
                <w:rFonts w:ascii="Arial" w:cs="Arial" w:eastAsia="Arial" w:hAnsi="Arial"/>
                <w:sz w:val="17"/>
                <w:szCs w:val="17"/>
                <w:color w:val="auto"/>
              </w:rPr>
              <w:t>Greg L. Armstrong,</w:t>
            </w:r>
          </w:p>
        </w:tc>
        <w:tc>
          <w:tcPr>
            <w:tcW w:w="960" w:type="dxa"/>
            <w:vAlign w:val="bottom"/>
            <w:tcBorders>
              <w:right w:val="single" w:sz="8" w:color="434F69"/>
            </w:tcBorders>
          </w:tcPr>
          <w:p>
            <w:pPr>
              <w:spacing w:after="0"/>
              <w:rPr>
                <w:sz w:val="16"/>
                <w:szCs w:val="16"/>
                <w:color w:val="auto"/>
              </w:rPr>
            </w:pPr>
          </w:p>
        </w:tc>
        <w:tc>
          <w:tcPr>
            <w:tcW w:w="840" w:type="dxa"/>
            <w:vAlign w:val="bottom"/>
            <w:tcBorders>
              <w:right w:val="single" w:sz="8" w:color="434F69"/>
            </w:tcBorders>
          </w:tcPr>
          <w:p>
            <w:pPr>
              <w:spacing w:after="0"/>
              <w:rPr>
                <w:sz w:val="16"/>
                <w:szCs w:val="16"/>
                <w:color w:val="auto"/>
              </w:rPr>
            </w:pPr>
          </w:p>
        </w:tc>
        <w:tc>
          <w:tcPr>
            <w:tcW w:w="1100" w:type="dxa"/>
            <w:vAlign w:val="bottom"/>
            <w:tcBorders>
              <w:right w:val="single" w:sz="8" w:color="434F69"/>
            </w:tcBorders>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c>
          <w:tcPr>
            <w:tcW w:w="820" w:type="dxa"/>
            <w:vAlign w:val="bottom"/>
            <w:tcBorders>
              <w:right w:val="single" w:sz="8" w:color="434F69"/>
            </w:tcBorders>
          </w:tcPr>
          <w:p>
            <w:pPr>
              <w:spacing w:after="0"/>
              <w:rPr>
                <w:sz w:val="16"/>
                <w:szCs w:val="16"/>
                <w:color w:val="auto"/>
              </w:rPr>
            </w:pPr>
          </w:p>
        </w:tc>
        <w:tc>
          <w:tcPr>
            <w:tcW w:w="800" w:type="dxa"/>
            <w:vAlign w:val="bottom"/>
            <w:tcBorders>
              <w:right w:val="single" w:sz="8" w:color="434F69"/>
            </w:tcBorders>
          </w:tcPr>
          <w:p>
            <w:pPr>
              <w:spacing w:after="0"/>
              <w:rPr>
                <w:sz w:val="16"/>
                <w:szCs w:val="16"/>
                <w:color w:val="auto"/>
              </w:rPr>
            </w:pPr>
          </w:p>
        </w:tc>
        <w:tc>
          <w:tcPr>
            <w:tcW w:w="700" w:type="dxa"/>
            <w:vAlign w:val="bottom"/>
            <w:tcBorders>
              <w:right w:val="single" w:sz="8" w:color="434F69"/>
            </w:tcBorders>
          </w:tcPr>
          <w:p>
            <w:pPr>
              <w:spacing w:after="0"/>
              <w:rPr>
                <w:sz w:val="16"/>
                <w:szCs w:val="16"/>
                <w:color w:val="auto"/>
              </w:rPr>
            </w:pPr>
          </w:p>
        </w:tc>
      </w:tr>
      <w:tr>
        <w:trPr>
          <w:trHeight w:val="189"/>
        </w:trPr>
        <w:tc>
          <w:tcPr>
            <w:tcW w:w="2040" w:type="dxa"/>
            <w:vAlign w:val="bottom"/>
            <w:tcBorders>
              <w:left w:val="single" w:sz="8" w:color="434F69"/>
              <w:right w:val="single" w:sz="8" w:color="434F69"/>
            </w:tcBorders>
          </w:tcPr>
          <w:p>
            <w:pPr>
              <w:ind w:left="380"/>
              <w:spacing w:after="0" w:line="189" w:lineRule="exact"/>
              <w:rPr>
                <w:sz w:val="20"/>
                <w:szCs w:val="20"/>
                <w:color w:val="auto"/>
              </w:rPr>
            </w:pPr>
            <w:r>
              <w:rPr>
                <w:rFonts w:ascii="Arial" w:cs="Arial" w:eastAsia="Arial" w:hAnsi="Arial"/>
                <w:sz w:val="17"/>
                <w:szCs w:val="17"/>
                <w:color w:val="auto"/>
              </w:rPr>
              <w:t>Senior Advisor to the</w:t>
            </w:r>
          </w:p>
        </w:tc>
        <w:tc>
          <w:tcPr>
            <w:tcW w:w="960" w:type="dxa"/>
            <w:vAlign w:val="bottom"/>
            <w:tcBorders>
              <w:right w:val="single" w:sz="8" w:color="434F69"/>
            </w:tcBorders>
          </w:tcPr>
          <w:p>
            <w:pPr>
              <w:spacing w:after="0"/>
              <w:rPr>
                <w:sz w:val="16"/>
                <w:szCs w:val="16"/>
                <w:color w:val="auto"/>
              </w:rPr>
            </w:pPr>
          </w:p>
        </w:tc>
        <w:tc>
          <w:tcPr>
            <w:tcW w:w="840" w:type="dxa"/>
            <w:vAlign w:val="bottom"/>
            <w:tcBorders>
              <w:right w:val="single" w:sz="8" w:color="434F69"/>
            </w:tcBorders>
          </w:tcPr>
          <w:p>
            <w:pPr>
              <w:spacing w:after="0"/>
              <w:rPr>
                <w:sz w:val="16"/>
                <w:szCs w:val="16"/>
                <w:color w:val="auto"/>
              </w:rPr>
            </w:pPr>
          </w:p>
        </w:tc>
        <w:tc>
          <w:tcPr>
            <w:tcW w:w="1100" w:type="dxa"/>
            <w:vAlign w:val="bottom"/>
            <w:tcBorders>
              <w:right w:val="single" w:sz="8" w:color="434F69"/>
            </w:tcBorders>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c>
          <w:tcPr>
            <w:tcW w:w="820" w:type="dxa"/>
            <w:vAlign w:val="bottom"/>
            <w:tcBorders>
              <w:right w:val="single" w:sz="8" w:color="434F69"/>
            </w:tcBorders>
          </w:tcPr>
          <w:p>
            <w:pPr>
              <w:spacing w:after="0"/>
              <w:rPr>
                <w:sz w:val="16"/>
                <w:szCs w:val="16"/>
                <w:color w:val="auto"/>
              </w:rPr>
            </w:pPr>
          </w:p>
        </w:tc>
        <w:tc>
          <w:tcPr>
            <w:tcW w:w="800" w:type="dxa"/>
            <w:vAlign w:val="bottom"/>
            <w:tcBorders>
              <w:right w:val="single" w:sz="8" w:color="434F69"/>
            </w:tcBorders>
          </w:tcPr>
          <w:p>
            <w:pPr>
              <w:spacing w:after="0"/>
              <w:rPr>
                <w:sz w:val="16"/>
                <w:szCs w:val="16"/>
                <w:color w:val="auto"/>
              </w:rPr>
            </w:pPr>
          </w:p>
        </w:tc>
        <w:tc>
          <w:tcPr>
            <w:tcW w:w="700" w:type="dxa"/>
            <w:vAlign w:val="bottom"/>
            <w:tcBorders>
              <w:right w:val="single" w:sz="8" w:color="434F69"/>
            </w:tcBorders>
          </w:tcPr>
          <w:p>
            <w:pPr>
              <w:spacing w:after="0"/>
              <w:rPr>
                <w:sz w:val="16"/>
                <w:szCs w:val="16"/>
                <w:color w:val="auto"/>
              </w:rPr>
            </w:pPr>
          </w:p>
        </w:tc>
      </w:tr>
      <w:tr>
        <w:trPr>
          <w:trHeight w:val="189"/>
        </w:trPr>
        <w:tc>
          <w:tcPr>
            <w:tcW w:w="2040" w:type="dxa"/>
            <w:vAlign w:val="bottom"/>
            <w:tcBorders>
              <w:left w:val="single" w:sz="8" w:color="434F69"/>
              <w:right w:val="single" w:sz="8" w:color="434F69"/>
            </w:tcBorders>
          </w:tcPr>
          <w:p>
            <w:pPr>
              <w:ind w:left="380"/>
              <w:spacing w:after="0" w:line="189" w:lineRule="exact"/>
              <w:rPr>
                <w:sz w:val="20"/>
                <w:szCs w:val="20"/>
                <w:color w:val="auto"/>
              </w:rPr>
            </w:pPr>
            <w:r>
              <w:rPr>
                <w:rFonts w:ascii="Arial" w:cs="Arial" w:eastAsia="Arial" w:hAnsi="Arial"/>
                <w:sz w:val="17"/>
                <w:szCs w:val="17"/>
                <w:color w:val="auto"/>
              </w:rPr>
              <w:t>CEO (former</w:t>
            </w:r>
          </w:p>
        </w:tc>
        <w:tc>
          <w:tcPr>
            <w:tcW w:w="960" w:type="dxa"/>
            <w:vAlign w:val="bottom"/>
            <w:tcBorders>
              <w:right w:val="single" w:sz="8" w:color="434F69"/>
            </w:tcBorders>
          </w:tcPr>
          <w:p>
            <w:pPr>
              <w:spacing w:after="0"/>
              <w:rPr>
                <w:sz w:val="16"/>
                <w:szCs w:val="16"/>
                <w:color w:val="auto"/>
              </w:rPr>
            </w:pPr>
          </w:p>
        </w:tc>
        <w:tc>
          <w:tcPr>
            <w:tcW w:w="840" w:type="dxa"/>
            <w:vAlign w:val="bottom"/>
            <w:tcBorders>
              <w:right w:val="single" w:sz="8" w:color="434F69"/>
            </w:tcBorders>
          </w:tcPr>
          <w:p>
            <w:pPr>
              <w:spacing w:after="0"/>
              <w:rPr>
                <w:sz w:val="16"/>
                <w:szCs w:val="16"/>
                <w:color w:val="auto"/>
              </w:rPr>
            </w:pPr>
          </w:p>
        </w:tc>
        <w:tc>
          <w:tcPr>
            <w:tcW w:w="1100" w:type="dxa"/>
            <w:vAlign w:val="bottom"/>
            <w:tcBorders>
              <w:right w:val="single" w:sz="8" w:color="434F69"/>
            </w:tcBorders>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c>
          <w:tcPr>
            <w:tcW w:w="820" w:type="dxa"/>
            <w:vAlign w:val="bottom"/>
            <w:tcBorders>
              <w:right w:val="single" w:sz="8" w:color="434F69"/>
            </w:tcBorders>
          </w:tcPr>
          <w:p>
            <w:pPr>
              <w:spacing w:after="0"/>
              <w:rPr>
                <w:sz w:val="16"/>
                <w:szCs w:val="16"/>
                <w:color w:val="auto"/>
              </w:rPr>
            </w:pPr>
          </w:p>
        </w:tc>
        <w:tc>
          <w:tcPr>
            <w:tcW w:w="800" w:type="dxa"/>
            <w:vAlign w:val="bottom"/>
            <w:tcBorders>
              <w:right w:val="single" w:sz="8" w:color="434F69"/>
            </w:tcBorders>
          </w:tcPr>
          <w:p>
            <w:pPr>
              <w:spacing w:after="0"/>
              <w:rPr>
                <w:sz w:val="16"/>
                <w:szCs w:val="16"/>
                <w:color w:val="auto"/>
              </w:rPr>
            </w:pPr>
          </w:p>
        </w:tc>
        <w:tc>
          <w:tcPr>
            <w:tcW w:w="700" w:type="dxa"/>
            <w:vAlign w:val="bottom"/>
            <w:tcBorders>
              <w:right w:val="single" w:sz="8" w:color="434F69"/>
            </w:tcBorders>
          </w:tcPr>
          <w:p>
            <w:pPr>
              <w:spacing w:after="0"/>
              <w:rPr>
                <w:sz w:val="16"/>
                <w:szCs w:val="16"/>
                <w:color w:val="auto"/>
              </w:rPr>
            </w:pPr>
          </w:p>
        </w:tc>
      </w:tr>
      <w:tr>
        <w:trPr>
          <w:trHeight w:val="189"/>
        </w:trPr>
        <w:tc>
          <w:tcPr>
            <w:tcW w:w="2040" w:type="dxa"/>
            <w:vAlign w:val="bottom"/>
            <w:tcBorders>
              <w:left w:val="single" w:sz="8" w:color="434F69"/>
              <w:right w:val="single" w:sz="8" w:color="434F69"/>
            </w:tcBorders>
          </w:tcPr>
          <w:p>
            <w:pPr>
              <w:ind w:left="380"/>
              <w:spacing w:after="0" w:line="189" w:lineRule="exact"/>
              <w:rPr>
                <w:sz w:val="20"/>
                <w:szCs w:val="20"/>
                <w:color w:val="auto"/>
              </w:rPr>
            </w:pPr>
            <w:r>
              <w:rPr>
                <w:rFonts w:ascii="Arial" w:cs="Arial" w:eastAsia="Arial" w:hAnsi="Arial"/>
                <w:sz w:val="17"/>
                <w:szCs w:val="17"/>
                <w:color w:val="auto"/>
              </w:rPr>
              <w:t>Chairman of the</w:t>
            </w:r>
          </w:p>
        </w:tc>
        <w:tc>
          <w:tcPr>
            <w:tcW w:w="960" w:type="dxa"/>
            <w:vAlign w:val="bottom"/>
            <w:tcBorders>
              <w:right w:val="single" w:sz="8" w:color="434F69"/>
            </w:tcBorders>
          </w:tcPr>
          <w:p>
            <w:pPr>
              <w:spacing w:after="0"/>
              <w:rPr>
                <w:sz w:val="16"/>
                <w:szCs w:val="16"/>
                <w:color w:val="auto"/>
              </w:rPr>
            </w:pPr>
          </w:p>
        </w:tc>
        <w:tc>
          <w:tcPr>
            <w:tcW w:w="840" w:type="dxa"/>
            <w:vAlign w:val="bottom"/>
            <w:tcBorders>
              <w:right w:val="single" w:sz="8" w:color="434F69"/>
            </w:tcBorders>
          </w:tcPr>
          <w:p>
            <w:pPr>
              <w:spacing w:after="0"/>
              <w:rPr>
                <w:sz w:val="16"/>
                <w:szCs w:val="16"/>
                <w:color w:val="auto"/>
              </w:rPr>
            </w:pPr>
          </w:p>
        </w:tc>
        <w:tc>
          <w:tcPr>
            <w:tcW w:w="1100" w:type="dxa"/>
            <w:vAlign w:val="bottom"/>
            <w:tcBorders>
              <w:right w:val="single" w:sz="8" w:color="434F69"/>
            </w:tcBorders>
          </w:tcPr>
          <w:p>
            <w:pPr>
              <w:spacing w:after="0"/>
              <w:rPr>
                <w:sz w:val="16"/>
                <w:szCs w:val="16"/>
                <w:color w:val="auto"/>
              </w:rPr>
            </w:pPr>
          </w:p>
        </w:tc>
        <w:tc>
          <w:tcPr>
            <w:tcW w:w="960" w:type="dxa"/>
            <w:vAlign w:val="bottom"/>
            <w:tcBorders>
              <w:right w:val="single" w:sz="8" w:color="434F69"/>
            </w:tcBorders>
          </w:tcPr>
          <w:p>
            <w:pPr>
              <w:spacing w:after="0"/>
              <w:rPr>
                <w:sz w:val="16"/>
                <w:szCs w:val="16"/>
                <w:color w:val="auto"/>
              </w:rPr>
            </w:pPr>
          </w:p>
        </w:tc>
        <w:tc>
          <w:tcPr>
            <w:tcW w:w="820" w:type="dxa"/>
            <w:vAlign w:val="bottom"/>
            <w:tcBorders>
              <w:right w:val="single" w:sz="8" w:color="434F69"/>
            </w:tcBorders>
          </w:tcPr>
          <w:p>
            <w:pPr>
              <w:spacing w:after="0"/>
              <w:rPr>
                <w:sz w:val="16"/>
                <w:szCs w:val="16"/>
                <w:color w:val="auto"/>
              </w:rPr>
            </w:pPr>
          </w:p>
        </w:tc>
        <w:tc>
          <w:tcPr>
            <w:tcW w:w="800" w:type="dxa"/>
            <w:vAlign w:val="bottom"/>
            <w:tcBorders>
              <w:right w:val="single" w:sz="8" w:color="434F69"/>
            </w:tcBorders>
          </w:tcPr>
          <w:p>
            <w:pPr>
              <w:spacing w:after="0"/>
              <w:rPr>
                <w:sz w:val="16"/>
                <w:szCs w:val="16"/>
                <w:color w:val="auto"/>
              </w:rPr>
            </w:pPr>
          </w:p>
        </w:tc>
        <w:tc>
          <w:tcPr>
            <w:tcW w:w="700" w:type="dxa"/>
            <w:vAlign w:val="bottom"/>
            <w:tcBorders>
              <w:right w:val="single" w:sz="8" w:color="434F69"/>
            </w:tcBorders>
          </w:tcPr>
          <w:p>
            <w:pPr>
              <w:spacing w:after="0"/>
              <w:rPr>
                <w:sz w:val="16"/>
                <w:szCs w:val="16"/>
                <w:color w:val="auto"/>
              </w:rPr>
            </w:pPr>
          </w:p>
        </w:tc>
      </w:tr>
      <w:tr>
        <w:trPr>
          <w:trHeight w:val="203"/>
        </w:trPr>
        <w:tc>
          <w:tcPr>
            <w:tcW w:w="2040" w:type="dxa"/>
            <w:vAlign w:val="bottom"/>
            <w:tcBorders>
              <w:left w:val="single" w:sz="8" w:color="434F69"/>
              <w:bottom w:val="single" w:sz="8" w:color="434F69"/>
              <w:right w:val="single" w:sz="8" w:color="434F69"/>
            </w:tcBorders>
          </w:tcPr>
          <w:p>
            <w:pPr>
              <w:ind w:left="380"/>
              <w:spacing w:after="0"/>
              <w:rPr>
                <w:sz w:val="20"/>
                <w:szCs w:val="20"/>
                <w:color w:val="auto"/>
              </w:rPr>
            </w:pPr>
            <w:r>
              <w:rPr>
                <w:rFonts w:ascii="Arial" w:cs="Arial" w:eastAsia="Arial" w:hAnsi="Arial"/>
                <w:sz w:val="17"/>
                <w:szCs w:val="17"/>
                <w:color w:val="auto"/>
              </w:rPr>
              <w:t>Board and CEO)</w:t>
            </w:r>
          </w:p>
        </w:tc>
        <w:tc>
          <w:tcPr>
            <w:tcW w:w="960" w:type="dxa"/>
            <w:vAlign w:val="bottom"/>
            <w:tcBorders>
              <w:bottom w:val="single" w:sz="8" w:color="434F69"/>
              <w:right w:val="single" w:sz="8" w:color="434F69"/>
            </w:tcBorders>
          </w:tcPr>
          <w:p>
            <w:pPr>
              <w:spacing w:after="0"/>
              <w:rPr>
                <w:sz w:val="17"/>
                <w:szCs w:val="17"/>
                <w:color w:val="auto"/>
              </w:rPr>
            </w:pPr>
          </w:p>
        </w:tc>
        <w:tc>
          <w:tcPr>
            <w:tcW w:w="840" w:type="dxa"/>
            <w:vAlign w:val="bottom"/>
            <w:tcBorders>
              <w:bottom w:val="single" w:sz="8" w:color="434F69"/>
              <w:right w:val="single" w:sz="8" w:color="434F69"/>
            </w:tcBorders>
          </w:tcPr>
          <w:p>
            <w:pPr>
              <w:spacing w:after="0"/>
              <w:rPr>
                <w:sz w:val="17"/>
                <w:szCs w:val="17"/>
                <w:color w:val="auto"/>
              </w:rPr>
            </w:pPr>
          </w:p>
        </w:tc>
        <w:tc>
          <w:tcPr>
            <w:tcW w:w="110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820" w:type="dxa"/>
            <w:vAlign w:val="bottom"/>
            <w:tcBorders>
              <w:bottom w:val="single" w:sz="8" w:color="434F69"/>
              <w:right w:val="single" w:sz="8" w:color="434F69"/>
            </w:tcBorders>
          </w:tcPr>
          <w:p>
            <w:pPr>
              <w:spacing w:after="0"/>
              <w:rPr>
                <w:sz w:val="17"/>
                <w:szCs w:val="17"/>
                <w:color w:val="auto"/>
              </w:rPr>
            </w:pPr>
          </w:p>
        </w:tc>
        <w:tc>
          <w:tcPr>
            <w:tcW w:w="800" w:type="dxa"/>
            <w:vAlign w:val="bottom"/>
            <w:tcBorders>
              <w:bottom w:val="single" w:sz="8" w:color="434F69"/>
              <w:right w:val="single" w:sz="8" w:color="434F69"/>
            </w:tcBorders>
          </w:tcPr>
          <w:p>
            <w:pPr>
              <w:spacing w:after="0"/>
              <w:rPr>
                <w:sz w:val="17"/>
                <w:szCs w:val="17"/>
                <w:color w:val="auto"/>
              </w:rPr>
            </w:pPr>
          </w:p>
        </w:tc>
        <w:tc>
          <w:tcPr>
            <w:tcW w:w="700" w:type="dxa"/>
            <w:vAlign w:val="bottom"/>
            <w:tcBorders>
              <w:bottom w:val="single" w:sz="8" w:color="434F69"/>
              <w:right w:val="single" w:sz="8" w:color="434F69"/>
            </w:tcBorders>
          </w:tcPr>
          <w:p>
            <w:pPr>
              <w:spacing w:after="0"/>
              <w:rPr>
                <w:sz w:val="17"/>
                <w:szCs w:val="17"/>
                <w:color w:val="auto"/>
              </w:rPr>
            </w:pPr>
          </w:p>
        </w:tc>
      </w:tr>
      <w:tr>
        <w:trPr>
          <w:trHeight w:val="237"/>
        </w:trPr>
        <w:tc>
          <w:tcPr>
            <w:tcW w:w="2040" w:type="dxa"/>
            <w:vAlign w:val="bottom"/>
            <w:tcBorders>
              <w:left w:val="single" w:sz="8" w:color="434F69"/>
              <w:bottom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John T. Raymond</w:t>
            </w:r>
          </w:p>
        </w:tc>
        <w:tc>
          <w:tcPr>
            <w:tcW w:w="960" w:type="dxa"/>
            <w:vAlign w:val="bottom"/>
            <w:tcBorders>
              <w:bottom w:val="single" w:sz="8" w:color="434F69"/>
              <w:right w:val="single" w:sz="8" w:color="434F69"/>
            </w:tcBorders>
          </w:tcPr>
          <w:p>
            <w:pPr>
              <w:spacing w:after="0"/>
              <w:rPr>
                <w:sz w:val="20"/>
                <w:szCs w:val="20"/>
                <w:color w:val="auto"/>
              </w:rPr>
            </w:pPr>
          </w:p>
        </w:tc>
        <w:tc>
          <w:tcPr>
            <w:tcW w:w="840" w:type="dxa"/>
            <w:vAlign w:val="bottom"/>
            <w:tcBorders>
              <w:bottom w:val="single" w:sz="8" w:color="434F69"/>
              <w:right w:val="single" w:sz="8" w:color="434F69"/>
            </w:tcBorders>
          </w:tcPr>
          <w:p>
            <w:pPr>
              <w:spacing w:after="0"/>
              <w:rPr>
                <w:sz w:val="20"/>
                <w:szCs w:val="20"/>
                <w:color w:val="auto"/>
              </w:rPr>
            </w:pPr>
          </w:p>
        </w:tc>
        <w:tc>
          <w:tcPr>
            <w:tcW w:w="1100" w:type="dxa"/>
            <w:vAlign w:val="bottom"/>
            <w:tcBorders>
              <w:bottom w:val="single" w:sz="8" w:color="434F69"/>
              <w:right w:val="single" w:sz="8" w:color="434F69"/>
            </w:tcBorders>
          </w:tcPr>
          <w:p>
            <w:pPr>
              <w:spacing w:after="0"/>
              <w:rPr>
                <w:sz w:val="20"/>
                <w:szCs w:val="20"/>
                <w:color w:val="auto"/>
              </w:rPr>
            </w:pPr>
          </w:p>
        </w:tc>
        <w:tc>
          <w:tcPr>
            <w:tcW w:w="960" w:type="dxa"/>
            <w:vAlign w:val="bottom"/>
            <w:tcBorders>
              <w:bottom w:val="single" w:sz="8" w:color="434F69"/>
              <w:right w:val="single" w:sz="8" w:color="434F69"/>
            </w:tcBorders>
          </w:tcPr>
          <w:p>
            <w:pPr>
              <w:spacing w:after="0"/>
              <w:rPr>
                <w:sz w:val="20"/>
                <w:szCs w:val="20"/>
                <w:color w:val="auto"/>
              </w:rPr>
            </w:pPr>
          </w:p>
        </w:tc>
        <w:tc>
          <w:tcPr>
            <w:tcW w:w="82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275"/>
        </w:trPr>
        <w:tc>
          <w:tcPr>
            <w:tcW w:w="204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Bobby S. Shackouls</w:t>
            </w:r>
          </w:p>
        </w:tc>
        <w:tc>
          <w:tcPr>
            <w:tcW w:w="960" w:type="dxa"/>
            <w:vAlign w:val="bottom"/>
            <w:tcBorders>
              <w:right w:val="single" w:sz="8" w:color="434F69"/>
            </w:tcBorders>
          </w:tcPr>
          <w:p>
            <w:pPr>
              <w:spacing w:after="0"/>
              <w:rPr>
                <w:sz w:val="23"/>
                <w:szCs w:val="23"/>
                <w:color w:val="auto"/>
              </w:rPr>
            </w:pPr>
          </w:p>
        </w:tc>
        <w:tc>
          <w:tcPr>
            <w:tcW w:w="840" w:type="dxa"/>
            <w:vAlign w:val="bottom"/>
            <w:tcBorders>
              <w:right w:val="single" w:sz="8" w:color="434F69"/>
            </w:tcBorders>
          </w:tcPr>
          <w:p>
            <w:pPr>
              <w:spacing w:after="0"/>
              <w:rPr>
                <w:sz w:val="23"/>
                <w:szCs w:val="23"/>
                <w:color w:val="auto"/>
              </w:rPr>
            </w:pPr>
          </w:p>
        </w:tc>
        <w:tc>
          <w:tcPr>
            <w:tcW w:w="1100" w:type="dxa"/>
            <w:vAlign w:val="bottom"/>
            <w:tcBorders>
              <w:right w:val="single" w:sz="8" w:color="434F69"/>
            </w:tcBorders>
          </w:tcPr>
          <w:p>
            <w:pPr>
              <w:spacing w:after="0"/>
              <w:rPr>
                <w:sz w:val="23"/>
                <w:szCs w:val="23"/>
                <w:color w:val="auto"/>
              </w:rPr>
            </w:pPr>
          </w:p>
        </w:tc>
        <w:tc>
          <w:tcPr>
            <w:tcW w:w="960" w:type="dxa"/>
            <w:vAlign w:val="bottom"/>
            <w:tcBorders>
              <w:right w:val="single" w:sz="8" w:color="434F69"/>
            </w:tcBorders>
          </w:tcPr>
          <w:p>
            <w:pPr>
              <w:spacing w:after="0"/>
              <w:rPr>
                <w:sz w:val="23"/>
                <w:szCs w:val="23"/>
                <w:color w:val="auto"/>
              </w:rPr>
            </w:pPr>
          </w:p>
        </w:tc>
        <w:tc>
          <w:tcPr>
            <w:tcW w:w="820" w:type="dxa"/>
            <w:vAlign w:val="bottom"/>
            <w:tcBorders>
              <w:right w:val="single" w:sz="8" w:color="434F69"/>
            </w:tcBorders>
          </w:tcPr>
          <w:p>
            <w:pPr>
              <w:spacing w:after="0"/>
              <w:rPr>
                <w:sz w:val="23"/>
                <w:szCs w:val="23"/>
                <w:color w:val="auto"/>
              </w:rPr>
            </w:pPr>
          </w:p>
        </w:tc>
        <w:tc>
          <w:tcPr>
            <w:tcW w:w="800" w:type="dxa"/>
            <w:vAlign w:val="bottom"/>
            <w:tcBorders>
              <w:right w:val="single" w:sz="8" w:color="434F69"/>
            </w:tcBorders>
          </w:tcPr>
          <w:p>
            <w:pPr>
              <w:spacing w:after="0"/>
              <w:rPr>
                <w:sz w:val="23"/>
                <w:szCs w:val="23"/>
                <w:color w:val="auto"/>
              </w:rPr>
            </w:pPr>
          </w:p>
        </w:tc>
        <w:tc>
          <w:tcPr>
            <w:tcW w:w="700" w:type="dxa"/>
            <w:vAlign w:val="bottom"/>
            <w:tcBorders>
              <w:right w:val="single" w:sz="8" w:color="434F69"/>
            </w:tcBorders>
          </w:tcPr>
          <w:p>
            <w:pPr>
              <w:spacing w:after="0"/>
              <w:rPr>
                <w:sz w:val="23"/>
                <w:szCs w:val="23"/>
                <w:color w:val="auto"/>
              </w:rPr>
            </w:pPr>
          </w:p>
        </w:tc>
      </w:tr>
      <w:tr>
        <w:trPr>
          <w:trHeight w:val="44"/>
        </w:trPr>
        <w:tc>
          <w:tcPr>
            <w:tcW w:w="2040" w:type="dxa"/>
            <w:vAlign w:val="bottom"/>
            <w:tcBorders>
              <w:left w:val="single" w:sz="8" w:color="434F69"/>
              <w:bottom w:val="single" w:sz="8" w:color="434F69"/>
              <w:right w:val="single" w:sz="8" w:color="434F69"/>
            </w:tcBorders>
          </w:tcPr>
          <w:p>
            <w:pPr>
              <w:spacing w:after="0"/>
              <w:rPr>
                <w:sz w:val="3"/>
                <w:szCs w:val="3"/>
                <w:color w:val="auto"/>
              </w:rPr>
            </w:pPr>
          </w:p>
        </w:tc>
        <w:tc>
          <w:tcPr>
            <w:tcW w:w="960" w:type="dxa"/>
            <w:vAlign w:val="bottom"/>
            <w:tcBorders>
              <w:bottom w:val="single" w:sz="8" w:color="434F69"/>
              <w:right w:val="single" w:sz="8" w:color="434F69"/>
            </w:tcBorders>
          </w:tcPr>
          <w:p>
            <w:pPr>
              <w:spacing w:after="0"/>
              <w:rPr>
                <w:sz w:val="3"/>
                <w:szCs w:val="3"/>
                <w:color w:val="auto"/>
              </w:rPr>
            </w:pPr>
          </w:p>
        </w:tc>
        <w:tc>
          <w:tcPr>
            <w:tcW w:w="840" w:type="dxa"/>
            <w:vAlign w:val="bottom"/>
            <w:tcBorders>
              <w:bottom w:val="single" w:sz="8" w:color="434F69"/>
              <w:right w:val="single" w:sz="8" w:color="434F69"/>
            </w:tcBorders>
          </w:tcPr>
          <w:p>
            <w:pPr>
              <w:spacing w:after="0"/>
              <w:rPr>
                <w:sz w:val="3"/>
                <w:szCs w:val="3"/>
                <w:color w:val="auto"/>
              </w:rPr>
            </w:pPr>
          </w:p>
        </w:tc>
        <w:tc>
          <w:tcPr>
            <w:tcW w:w="1100" w:type="dxa"/>
            <w:vAlign w:val="bottom"/>
            <w:tcBorders>
              <w:bottom w:val="single" w:sz="8" w:color="434F69"/>
              <w:right w:val="single" w:sz="8" w:color="434F69"/>
            </w:tcBorders>
          </w:tcPr>
          <w:p>
            <w:pPr>
              <w:spacing w:after="0"/>
              <w:rPr>
                <w:sz w:val="3"/>
                <w:szCs w:val="3"/>
                <w:color w:val="auto"/>
              </w:rPr>
            </w:pPr>
          </w:p>
        </w:tc>
        <w:tc>
          <w:tcPr>
            <w:tcW w:w="960" w:type="dxa"/>
            <w:vAlign w:val="bottom"/>
            <w:tcBorders>
              <w:bottom w:val="single" w:sz="8" w:color="434F69"/>
              <w:right w:val="single" w:sz="8" w:color="434F69"/>
            </w:tcBorders>
          </w:tcPr>
          <w:p>
            <w:pPr>
              <w:spacing w:after="0"/>
              <w:rPr>
                <w:sz w:val="3"/>
                <w:szCs w:val="3"/>
                <w:color w:val="auto"/>
              </w:rPr>
            </w:pPr>
          </w:p>
        </w:tc>
        <w:tc>
          <w:tcPr>
            <w:tcW w:w="820" w:type="dxa"/>
            <w:vAlign w:val="bottom"/>
            <w:tcBorders>
              <w:bottom w:val="single" w:sz="8" w:color="434F69"/>
              <w:right w:val="single" w:sz="8" w:color="434F69"/>
            </w:tcBorders>
          </w:tcPr>
          <w:p>
            <w:pPr>
              <w:spacing w:after="0"/>
              <w:rPr>
                <w:sz w:val="3"/>
                <w:szCs w:val="3"/>
                <w:color w:val="auto"/>
              </w:rPr>
            </w:pPr>
          </w:p>
        </w:tc>
        <w:tc>
          <w:tcPr>
            <w:tcW w:w="800" w:type="dxa"/>
            <w:vAlign w:val="bottom"/>
            <w:tcBorders>
              <w:bottom w:val="single" w:sz="8" w:color="434F69"/>
              <w:right w:val="single" w:sz="8" w:color="434F69"/>
            </w:tcBorders>
          </w:tcPr>
          <w:p>
            <w:pPr>
              <w:spacing w:after="0"/>
              <w:rPr>
                <w:sz w:val="3"/>
                <w:szCs w:val="3"/>
                <w:color w:val="auto"/>
              </w:rPr>
            </w:pPr>
          </w:p>
        </w:tc>
        <w:tc>
          <w:tcPr>
            <w:tcW w:w="700" w:type="dxa"/>
            <w:vAlign w:val="bottom"/>
            <w:tcBorders>
              <w:bottom w:val="single" w:sz="8" w:color="434F69"/>
              <w:right w:val="single" w:sz="8" w:color="434F69"/>
            </w:tcBorders>
          </w:tcPr>
          <w:p>
            <w:pPr>
              <w:spacing w:after="0"/>
              <w:rPr>
                <w:sz w:val="3"/>
                <w:szCs w:val="3"/>
                <w:color w:val="auto"/>
              </w:rPr>
            </w:pPr>
          </w:p>
        </w:tc>
      </w:tr>
      <w:tr>
        <w:trPr>
          <w:trHeight w:val="233"/>
        </w:trPr>
        <w:tc>
          <w:tcPr>
            <w:tcW w:w="2040" w:type="dxa"/>
            <w:vAlign w:val="bottom"/>
            <w:tcBorders>
              <w:left w:val="single" w:sz="8" w:color="434F69"/>
              <w:right w:val="single" w:sz="8" w:color="434F69"/>
            </w:tcBorders>
          </w:tcPr>
          <w:p>
            <w:pPr>
              <w:ind w:left="200"/>
              <w:spacing w:after="0"/>
              <w:rPr>
                <w:sz w:val="20"/>
                <w:szCs w:val="20"/>
                <w:color w:val="auto"/>
              </w:rPr>
            </w:pPr>
            <w:r>
              <w:rPr>
                <w:rFonts w:ascii="Arial" w:cs="Arial" w:eastAsia="Arial" w:hAnsi="Arial"/>
                <w:sz w:val="17"/>
                <w:szCs w:val="17"/>
                <w:color w:val="auto"/>
              </w:rPr>
              <w:t>Christopher M. Temple</w:t>
            </w:r>
          </w:p>
        </w:tc>
        <w:tc>
          <w:tcPr>
            <w:tcW w:w="960" w:type="dxa"/>
            <w:vAlign w:val="bottom"/>
            <w:tcBorders>
              <w:right w:val="single" w:sz="8" w:color="434F69"/>
            </w:tcBorders>
          </w:tcPr>
          <w:p>
            <w:pPr>
              <w:spacing w:after="0"/>
              <w:rPr>
                <w:sz w:val="20"/>
                <w:szCs w:val="20"/>
                <w:color w:val="auto"/>
              </w:rPr>
            </w:pPr>
          </w:p>
        </w:tc>
        <w:tc>
          <w:tcPr>
            <w:tcW w:w="840" w:type="dxa"/>
            <w:vAlign w:val="bottom"/>
            <w:tcBorders>
              <w:right w:val="single" w:sz="8" w:color="434F69"/>
            </w:tcBorders>
          </w:tcPr>
          <w:p>
            <w:pPr>
              <w:spacing w:after="0"/>
              <w:rPr>
                <w:sz w:val="20"/>
                <w:szCs w:val="20"/>
                <w:color w:val="auto"/>
              </w:rPr>
            </w:pPr>
          </w:p>
        </w:tc>
        <w:tc>
          <w:tcPr>
            <w:tcW w:w="1100" w:type="dxa"/>
            <w:vAlign w:val="bottom"/>
            <w:tcBorders>
              <w:right w:val="single" w:sz="8" w:color="434F69"/>
            </w:tcBorders>
          </w:tcPr>
          <w:p>
            <w:pPr>
              <w:spacing w:after="0"/>
              <w:rPr>
                <w:sz w:val="20"/>
                <w:szCs w:val="20"/>
                <w:color w:val="auto"/>
              </w:rPr>
            </w:pPr>
          </w:p>
        </w:tc>
        <w:tc>
          <w:tcPr>
            <w:tcW w:w="960" w:type="dxa"/>
            <w:vAlign w:val="bottom"/>
            <w:tcBorders>
              <w:right w:val="single" w:sz="8" w:color="434F69"/>
            </w:tcBorders>
          </w:tcPr>
          <w:p>
            <w:pPr>
              <w:spacing w:after="0"/>
              <w:rPr>
                <w:sz w:val="20"/>
                <w:szCs w:val="20"/>
                <w:color w:val="auto"/>
              </w:rPr>
            </w:pPr>
          </w:p>
        </w:tc>
        <w:tc>
          <w:tcPr>
            <w:tcW w:w="820" w:type="dxa"/>
            <w:vAlign w:val="bottom"/>
            <w:tcBorders>
              <w:right w:val="single" w:sz="8" w:color="434F69"/>
            </w:tcBorders>
          </w:tcPr>
          <w:p>
            <w:pPr>
              <w:spacing w:after="0"/>
              <w:rPr>
                <w:sz w:val="20"/>
                <w:szCs w:val="20"/>
                <w:color w:val="auto"/>
              </w:rPr>
            </w:pPr>
          </w:p>
        </w:tc>
        <w:tc>
          <w:tcPr>
            <w:tcW w:w="800" w:type="dxa"/>
            <w:vAlign w:val="bottom"/>
            <w:tcBorders>
              <w:right w:val="single" w:sz="8" w:color="434F69"/>
            </w:tcBorders>
          </w:tcPr>
          <w:p>
            <w:pPr>
              <w:spacing w:after="0"/>
              <w:rPr>
                <w:sz w:val="20"/>
                <w:szCs w:val="20"/>
                <w:color w:val="auto"/>
              </w:rPr>
            </w:pPr>
          </w:p>
        </w:tc>
        <w:tc>
          <w:tcPr>
            <w:tcW w:w="700" w:type="dxa"/>
            <w:vAlign w:val="bottom"/>
            <w:tcBorders>
              <w:right w:val="single" w:sz="8" w:color="434F69"/>
            </w:tcBorders>
          </w:tcPr>
          <w:p>
            <w:pPr>
              <w:spacing w:after="0"/>
              <w:rPr>
                <w:sz w:val="20"/>
                <w:szCs w:val="20"/>
                <w:color w:val="auto"/>
              </w:rPr>
            </w:pPr>
          </w:p>
        </w:tc>
      </w:tr>
      <w:tr>
        <w:trPr>
          <w:trHeight w:val="58"/>
        </w:trPr>
        <w:tc>
          <w:tcPr>
            <w:tcW w:w="2040" w:type="dxa"/>
            <w:vAlign w:val="bottom"/>
            <w:tcBorders>
              <w:left w:val="single" w:sz="8" w:color="434F69"/>
              <w:bottom w:val="single" w:sz="8" w:color="434F69"/>
              <w:right w:val="single" w:sz="8" w:color="434F69"/>
            </w:tcBorders>
          </w:tcPr>
          <w:p>
            <w:pPr>
              <w:spacing w:after="0"/>
              <w:rPr>
                <w:sz w:val="5"/>
                <w:szCs w:val="5"/>
                <w:color w:val="auto"/>
              </w:rPr>
            </w:pPr>
          </w:p>
        </w:tc>
        <w:tc>
          <w:tcPr>
            <w:tcW w:w="960" w:type="dxa"/>
            <w:vAlign w:val="bottom"/>
            <w:tcBorders>
              <w:bottom w:val="single" w:sz="8" w:color="434F69"/>
              <w:right w:val="single" w:sz="8" w:color="434F69"/>
            </w:tcBorders>
          </w:tcPr>
          <w:p>
            <w:pPr>
              <w:spacing w:after="0"/>
              <w:rPr>
                <w:sz w:val="5"/>
                <w:szCs w:val="5"/>
                <w:color w:val="auto"/>
              </w:rPr>
            </w:pPr>
          </w:p>
        </w:tc>
        <w:tc>
          <w:tcPr>
            <w:tcW w:w="840" w:type="dxa"/>
            <w:vAlign w:val="bottom"/>
            <w:tcBorders>
              <w:bottom w:val="single" w:sz="8" w:color="434F69"/>
              <w:right w:val="single" w:sz="8" w:color="434F69"/>
            </w:tcBorders>
          </w:tcPr>
          <w:p>
            <w:pPr>
              <w:spacing w:after="0"/>
              <w:rPr>
                <w:sz w:val="5"/>
                <w:szCs w:val="5"/>
                <w:color w:val="auto"/>
              </w:rPr>
            </w:pPr>
          </w:p>
        </w:tc>
        <w:tc>
          <w:tcPr>
            <w:tcW w:w="1100" w:type="dxa"/>
            <w:vAlign w:val="bottom"/>
            <w:tcBorders>
              <w:bottom w:val="single" w:sz="8" w:color="434F69"/>
              <w:right w:val="single" w:sz="8" w:color="434F69"/>
            </w:tcBorders>
          </w:tcPr>
          <w:p>
            <w:pPr>
              <w:spacing w:after="0"/>
              <w:rPr>
                <w:sz w:val="5"/>
                <w:szCs w:val="5"/>
                <w:color w:val="auto"/>
              </w:rPr>
            </w:pPr>
          </w:p>
        </w:tc>
        <w:tc>
          <w:tcPr>
            <w:tcW w:w="960" w:type="dxa"/>
            <w:vAlign w:val="bottom"/>
            <w:tcBorders>
              <w:bottom w:val="single" w:sz="8" w:color="434F69"/>
              <w:right w:val="single" w:sz="8" w:color="434F69"/>
            </w:tcBorders>
          </w:tcPr>
          <w:p>
            <w:pPr>
              <w:spacing w:after="0"/>
              <w:rPr>
                <w:sz w:val="5"/>
                <w:szCs w:val="5"/>
                <w:color w:val="auto"/>
              </w:rPr>
            </w:pPr>
          </w:p>
        </w:tc>
        <w:tc>
          <w:tcPr>
            <w:tcW w:w="820" w:type="dxa"/>
            <w:vAlign w:val="bottom"/>
            <w:tcBorders>
              <w:bottom w:val="single" w:sz="8" w:color="434F69"/>
              <w:right w:val="single" w:sz="8" w:color="434F69"/>
            </w:tcBorders>
          </w:tcPr>
          <w:p>
            <w:pPr>
              <w:spacing w:after="0"/>
              <w:rPr>
                <w:sz w:val="5"/>
                <w:szCs w:val="5"/>
                <w:color w:val="auto"/>
              </w:rPr>
            </w:pPr>
          </w:p>
        </w:tc>
        <w:tc>
          <w:tcPr>
            <w:tcW w:w="800" w:type="dxa"/>
            <w:vAlign w:val="bottom"/>
            <w:tcBorders>
              <w:bottom w:val="single" w:sz="8" w:color="434F69"/>
              <w:right w:val="single" w:sz="8" w:color="434F69"/>
            </w:tcBorders>
          </w:tcPr>
          <w:p>
            <w:pPr>
              <w:spacing w:after="0"/>
              <w:rPr>
                <w:sz w:val="5"/>
                <w:szCs w:val="5"/>
                <w:color w:val="auto"/>
              </w:rPr>
            </w:pPr>
          </w:p>
        </w:tc>
        <w:tc>
          <w:tcPr>
            <w:tcW w:w="700" w:type="dxa"/>
            <w:vAlign w:val="bottom"/>
            <w:tcBorders>
              <w:bottom w:val="single" w:sz="8" w:color="434F69"/>
              <w:right w:val="single" w:sz="8" w:color="434F69"/>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-3034030</wp:posOffset>
            </wp:positionV>
            <wp:extent cx="111125"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-3051175</wp:posOffset>
            </wp:positionV>
            <wp:extent cx="10287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-2768600</wp:posOffset>
            </wp:positionV>
            <wp:extent cx="12001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-2768600</wp:posOffset>
            </wp:positionV>
            <wp:extent cx="128905"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-2768600</wp:posOffset>
            </wp:positionV>
            <wp:extent cx="128905"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-2605405</wp:posOffset>
            </wp:positionV>
            <wp:extent cx="12001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-2605405</wp:posOffset>
            </wp:positionV>
            <wp:extent cx="128905"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-2605405</wp:posOffset>
            </wp:positionV>
            <wp:extent cx="111125" cy="111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-2185670</wp:posOffset>
            </wp:positionV>
            <wp:extent cx="12001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-2185670</wp:posOffset>
            </wp:positionV>
            <wp:extent cx="111760"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-2022475</wp:posOffset>
            </wp:positionV>
            <wp:extent cx="12001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-1808480</wp:posOffset>
            </wp:positionV>
            <wp:extent cx="111125" cy="111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-1602740</wp:posOffset>
            </wp:positionV>
            <wp:extent cx="12001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-1602740</wp:posOffset>
            </wp:positionV>
            <wp:extent cx="128905" cy="111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-1602740</wp:posOffset>
            </wp:positionV>
            <wp:extent cx="128905" cy="111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-951230</wp:posOffset>
            </wp:positionV>
            <wp:extent cx="111125" cy="111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-556895</wp:posOffset>
            </wp:positionV>
            <wp:extent cx="12001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-556895</wp:posOffset>
            </wp:positionV>
            <wp:extent cx="111125" cy="1111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-368300</wp:posOffset>
            </wp:positionV>
            <wp:extent cx="12001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-368300</wp:posOffset>
            </wp:positionV>
            <wp:extent cx="111760"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-393700</wp:posOffset>
            </wp:positionV>
            <wp:extent cx="11112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-162560</wp:posOffset>
            </wp:positionV>
            <wp:extent cx="12001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-162560</wp:posOffset>
            </wp:positionV>
            <wp:extent cx="128905" cy="111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-162560</wp:posOffset>
            </wp:positionV>
            <wp:extent cx="128905" cy="111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hanging="360"/>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Nominated by the Board for re-election at the 2022 PAGP Annual Meeting.</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-113030</wp:posOffset>
            </wp:positionV>
            <wp:extent cx="9398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-113030</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11125"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259"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As described in the summary above, since 2016, the Board has taken numerous meaningful steps to provide PAGP shareholders and PAA unitholders the right to vote for members of the Board. At a special meeting of PAGP shareholders called by the Board and held in November 2016 in connection with our simplification transaction (the “Simplification Transaction”), our shareholders overwhelmingly approved the following changes to our governing documents, among others:</w:t>
      </w:r>
    </w:p>
    <w:p>
      <w:pPr>
        <w:spacing w:after="0" w:line="94" w:lineRule="exact"/>
        <w:rPr>
          <w:sz w:val="20"/>
          <w:szCs w:val="20"/>
          <w:color w:val="auto"/>
        </w:rPr>
      </w:pPr>
    </w:p>
    <w:p>
      <w:pPr>
        <w:ind w:left="1800" w:right="859" w:hanging="180"/>
        <w:spacing w:after="0" w:line="261"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solely responsible for the governance of PAGP, AAP and PAA; and</w:t>
      </w:r>
    </w:p>
    <w:p>
      <w:pPr>
        <w:spacing w:after="0" w:line="89" w:lineRule="exact"/>
        <w:rPr>
          <w:rFonts w:ascii="Arial" w:cs="Arial" w:eastAsia="Arial" w:hAnsi="Arial"/>
          <w:sz w:val="18"/>
          <w:szCs w:val="18"/>
          <w:color w:val="auto"/>
        </w:rPr>
      </w:pPr>
    </w:p>
    <w:p>
      <w:pPr>
        <w:ind w:left="1800" w:right="459" w:hanging="180"/>
        <w:spacing w:after="0" w:line="27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division of the Board into three classes and the commencement of shareholder elections of directors by class starting in 2018, with the participation and enfranchisement of all shareholders of PAGP and all public common unitholders and Series A preferred unitholders of PAA.</w:t>
      </w:r>
    </w:p>
    <w:p>
      <w:pPr>
        <w:spacing w:after="0" w:line="36"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These features distinguish PAGP and PAA from many of their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made in recent years, is consistent with the will and expectations of investors in PAA and PAGP.</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99"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(including diversity of gender, race and ethnicity) in connection with the process of identifying and assessing potential Board candidates.</w:t>
      </w:r>
    </w:p>
    <w:p>
      <w:pPr>
        <w:spacing w:after="0" w:line="73"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During 2019, with the assistance of the governance committee, the Board initiated a board assessment, refreshment and succession planning process. This process includes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director evaluations are updated on a regular basis. The governance committee also oversees the Board’s annual self-assessment process as well as the process by which the Board assesses the effectiveness of its various committees.</w:t>
      </w:r>
    </w:p>
    <w:p>
      <w:pPr>
        <w:spacing w:after="0" w:line="56"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7"/>
          <w:szCs w:val="17"/>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w:t>
      </w: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80"/>
        <w:spacing w:after="0" w:line="254" w:lineRule="auto"/>
        <w:rPr>
          <w:sz w:val="20"/>
          <w:szCs w:val="20"/>
          <w:color w:val="auto"/>
        </w:rPr>
      </w:pPr>
      <w:r>
        <w:rPr>
          <w:rFonts w:ascii="Arial" w:cs="Arial" w:eastAsia="Arial" w:hAnsi="Arial"/>
          <w:sz w:val="18"/>
          <w:szCs w:val="18"/>
          <w:color w:val="auto"/>
        </w:rPr>
        <w:t>in light of the needs of the company. For incumbent directors, factors also include past performance on the Board. The Board has determined that it is beneficial to have individuals on the Board with the following skills, experiences, and characteristics (See the Director Skills Matrix below for an overview of the skills, experiences and characteristics of our current Board members):</w:t>
      </w:r>
    </w:p>
    <w:p>
      <w:pPr>
        <w:spacing w:after="0" w:line="77" w:lineRule="exact"/>
        <w:rPr>
          <w:sz w:val="20"/>
          <w:szCs w:val="20"/>
          <w:color w:val="auto"/>
        </w:rPr>
      </w:pPr>
    </w:p>
    <w:tbl>
      <w:tblPr>
        <w:tblLayout w:type="fixed"/>
        <w:tblInd w:w="1270" w:type="dxa"/>
        <w:tblCellMar>
          <w:top w:w="0" w:type="dxa"/>
          <w:left w:w="0" w:type="dxa"/>
          <w:bottom w:w="0" w:type="dxa"/>
          <w:right w:w="0" w:type="dxa"/>
        </w:tblCellMar>
      </w:tblPr>
      <w:tr>
        <w:trPr>
          <w:trHeight w:val="305"/>
        </w:trPr>
        <w:tc>
          <w:tcPr>
            <w:tcW w:w="3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 Public Company Experience (Officer/Director)</w:t>
            </w: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Industry Experience (Upstream/Midstream/Downstream)</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Private Equity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Diversity (Gender/Race/Ethnicity)</w:t>
            </w:r>
          </w:p>
        </w:tc>
      </w:tr>
      <w:tr>
        <w:trPr>
          <w:trHeight w:val="257"/>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Legal/Governance/Government Relations</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International</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Cybersecurity/IT</w:t>
            </w:r>
          </w:p>
        </w:tc>
      </w:tr>
      <w:tr>
        <w:trPr>
          <w:trHeight w:val="154"/>
        </w:trPr>
        <w:tc>
          <w:tcPr>
            <w:tcW w:w="160" w:type="dxa"/>
            <w:vAlign w:val="bottom"/>
            <w:tcBorders>
              <w:left w:val="single" w:sz="8" w:color="auto"/>
              <w:bottom w:val="single" w:sz="8" w:color="auto"/>
            </w:tcBorders>
          </w:tcPr>
          <w:p>
            <w:pPr>
              <w:spacing w:after="0"/>
              <w:rPr>
                <w:sz w:val="13"/>
                <w:szCs w:val="13"/>
                <w:color w:val="auto"/>
              </w:rPr>
            </w:pPr>
          </w:p>
        </w:tc>
        <w:tc>
          <w:tcPr>
            <w:tcW w:w="34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20" w:type="dxa"/>
            <w:vAlign w:val="bottom"/>
            <w:tcBorders>
              <w:bottom w:val="single" w:sz="8" w:color="auto"/>
              <w:right w:val="single" w:sz="8" w:color="auto"/>
            </w:tcBorders>
          </w:tcPr>
          <w:p>
            <w:pPr>
              <w:spacing w:after="0"/>
              <w:rPr>
                <w:sz w:val="13"/>
                <w:szCs w:val="13"/>
                <w:color w:val="auto"/>
              </w:rPr>
            </w:pPr>
          </w:p>
        </w:tc>
      </w:tr>
    </w:tbl>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09"/>
        </w:trPr>
        <w:tc>
          <w:tcPr>
            <w:tcW w:w="2060" w:type="dxa"/>
            <w:vAlign w:val="bottom"/>
            <w:tcBorders>
              <w:left w:val="single" w:sz="8" w:color="434F69"/>
              <w:bottom w:val="single" w:sz="8" w:color="434F69"/>
              <w:right w:val="single" w:sz="8" w:color="auto"/>
            </w:tcBorders>
            <w:shd w:val="clear" w:color="auto" w:fill="434F69"/>
          </w:tcPr>
          <w:p>
            <w:pPr>
              <w:spacing w:after="0"/>
              <w:rPr>
                <w:sz w:val="18"/>
                <w:szCs w:val="18"/>
                <w:color w:val="auto"/>
              </w:rPr>
            </w:pPr>
          </w:p>
        </w:tc>
        <w:tc>
          <w:tcPr>
            <w:tcW w:w="70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6"/>
                <w:shd w:val="clear" w:color="auto" w:fill="434F69"/>
              </w:rPr>
              <w:t>Armstrong</w:t>
            </w:r>
          </w:p>
        </w:tc>
        <w:tc>
          <w:tcPr>
            <w:tcW w:w="36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4"/>
                <w:shd w:val="clear" w:color="auto" w:fill="434F69"/>
              </w:rPr>
              <w:t>Burk</w:t>
            </w:r>
          </w:p>
        </w:tc>
        <w:tc>
          <w:tcPr>
            <w:tcW w:w="50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5"/>
                <w:shd w:val="clear" w:color="auto" w:fill="434F69"/>
              </w:rPr>
              <w:t>Chiang</w:t>
            </w:r>
          </w:p>
        </w:tc>
        <w:tc>
          <w:tcPr>
            <w:tcW w:w="68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7"/>
                <w:shd w:val="clear" w:color="auto" w:fill="434F69"/>
              </w:rPr>
              <w:t>McCarthy</w:t>
            </w:r>
          </w:p>
        </w:tc>
        <w:tc>
          <w:tcPr>
            <w:tcW w:w="54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5"/>
                <w:shd w:val="clear" w:color="auto" w:fill="434F69"/>
              </w:rPr>
              <w:t>Pefanis</w:t>
            </w:r>
          </w:p>
        </w:tc>
        <w:tc>
          <w:tcPr>
            <w:tcW w:w="62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4"/>
                <w:shd w:val="clear" w:color="auto" w:fill="434F69"/>
              </w:rPr>
              <w:t>Petersen</w:t>
            </w:r>
          </w:p>
        </w:tc>
        <w:tc>
          <w:tcPr>
            <w:tcW w:w="48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shd w:val="clear" w:color="auto" w:fill="434F69"/>
              </w:rPr>
              <w:t>Pruner</w:t>
            </w:r>
          </w:p>
        </w:tc>
        <w:tc>
          <w:tcPr>
            <w:tcW w:w="68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7"/>
                <w:shd w:val="clear" w:color="auto" w:fill="434F69"/>
              </w:rPr>
              <w:t>Raymond</w:t>
            </w:r>
          </w:p>
        </w:tc>
        <w:tc>
          <w:tcPr>
            <w:tcW w:w="74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5"/>
                <w:shd w:val="clear" w:color="auto" w:fill="434F69"/>
              </w:rPr>
              <w:t>Shackouls</w:t>
            </w:r>
          </w:p>
        </w:tc>
        <w:tc>
          <w:tcPr>
            <w:tcW w:w="50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2"/>
                <w:shd w:val="clear" w:color="auto" w:fill="434F69"/>
              </w:rPr>
              <w:t>Temple</w:t>
            </w:r>
          </w:p>
        </w:tc>
        <w:tc>
          <w:tcPr>
            <w:tcW w:w="5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3"/>
                <w:szCs w:val="13"/>
                <w:b w:val="1"/>
                <w:bCs w:val="1"/>
                <w:color w:val="FFFFFF"/>
                <w:w w:val="96"/>
              </w:rPr>
              <w:t>Ziemba</w:t>
            </w:r>
          </w:p>
        </w:tc>
        <w:tc>
          <w:tcPr>
            <w:tcW w:w="0" w:type="dxa"/>
            <w:vAlign w:val="bottom"/>
          </w:tcPr>
          <w:p>
            <w:pPr>
              <w:spacing w:after="0"/>
              <w:rPr>
                <w:sz w:val="1"/>
                <w:szCs w:val="1"/>
                <w:color w:val="auto"/>
              </w:rPr>
            </w:pPr>
          </w:p>
        </w:tc>
      </w:tr>
      <w:tr>
        <w:trPr>
          <w:trHeight w:val="202"/>
        </w:trPr>
        <w:tc>
          <w:tcPr>
            <w:tcW w:w="2060" w:type="dxa"/>
            <w:vAlign w:val="bottom"/>
            <w:tcBorders>
              <w:left w:val="single" w:sz="8" w:color="434F69"/>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Public Company Experience</w:t>
            </w:r>
          </w:p>
        </w:tc>
        <w:tc>
          <w:tcPr>
            <w:tcW w:w="7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434F69"/>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9"/>
        </w:trPr>
        <w:tc>
          <w:tcPr>
            <w:tcW w:w="2060" w:type="dxa"/>
            <w:vAlign w:val="bottom"/>
            <w:tcBorders>
              <w:left w:val="single" w:sz="8" w:color="434F69"/>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Finance/Accounting</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434F69"/>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4"/>
        </w:trPr>
        <w:tc>
          <w:tcPr>
            <w:tcW w:w="2060" w:type="dxa"/>
            <w:vAlign w:val="bottom"/>
            <w:tcBorders>
              <w:left w:val="single" w:sz="8" w:color="434F69"/>
              <w:right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Business Development/</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right w:val="single" w:sz="8" w:color="434F69"/>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4"/>
        </w:trPr>
        <w:tc>
          <w:tcPr>
            <w:tcW w:w="2060" w:type="dxa"/>
            <w:vAlign w:val="bottom"/>
            <w:tcBorders>
              <w:left w:val="single" w:sz="8" w:color="434F69"/>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Strategy/Commercial</w:t>
            </w:r>
          </w:p>
        </w:tc>
        <w:tc>
          <w:tcPr>
            <w:tcW w:w="7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36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2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4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7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60" w:type="dxa"/>
            <w:vAlign w:val="bottom"/>
            <w:tcBorders>
              <w:bottom w:val="single" w:sz="8" w:color="auto"/>
              <w:right w:val="single" w:sz="8" w:color="434F69"/>
            </w:tcBorders>
            <w:vMerge w:val="continue"/>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60" w:type="dxa"/>
            <w:vAlign w:val="bottom"/>
            <w:tcBorders>
              <w:left w:val="single" w:sz="8" w:color="434F69"/>
              <w:right w:val="single" w:sz="8" w:color="auto"/>
            </w:tcBorders>
          </w:tcPr>
          <w:p>
            <w:pPr>
              <w:ind w:left="20"/>
              <w:spacing w:after="0"/>
              <w:rPr>
                <w:sz w:val="20"/>
                <w:szCs w:val="20"/>
                <w:color w:val="auto"/>
              </w:rPr>
            </w:pPr>
            <w:r>
              <w:rPr>
                <w:rFonts w:ascii="Arial" w:cs="Arial" w:eastAsia="Arial" w:hAnsi="Arial"/>
                <w:sz w:val="14"/>
                <w:szCs w:val="14"/>
                <w:color w:val="auto"/>
              </w:rPr>
              <w:t>Legal/Governance/Government</w:t>
            </w:r>
          </w:p>
        </w:tc>
        <w:tc>
          <w:tcPr>
            <w:tcW w:w="7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right w:val="single" w:sz="8" w:color="auto"/>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right w:val="single" w:sz="8" w:color="434F69"/>
            </w:tcBorders>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4"/>
        </w:trPr>
        <w:tc>
          <w:tcPr>
            <w:tcW w:w="2060" w:type="dxa"/>
            <w:vAlign w:val="bottom"/>
            <w:tcBorders>
              <w:left w:val="single" w:sz="8" w:color="434F69"/>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Relations</w:t>
            </w: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360" w:type="dxa"/>
            <w:vAlign w:val="bottom"/>
            <w:tcBorders>
              <w:bottom w:val="single" w:sz="8" w:color="auto"/>
              <w:right w:val="single" w:sz="8" w:color="auto"/>
            </w:tcBorders>
            <w:vMerge w:val="continue"/>
          </w:tcPr>
          <w:p>
            <w:pPr>
              <w:spacing w:after="0"/>
              <w:rPr>
                <w:sz w:val="16"/>
                <w:szCs w:val="16"/>
                <w:color w:val="auto"/>
              </w:rPr>
            </w:pPr>
          </w:p>
        </w:tc>
        <w:tc>
          <w:tcPr>
            <w:tcW w:w="50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54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480" w:type="dxa"/>
            <w:vAlign w:val="bottom"/>
            <w:tcBorders>
              <w:bottom w:val="single" w:sz="8" w:color="auto"/>
              <w:right w:val="single" w:sz="8" w:color="auto"/>
            </w:tcBorders>
            <w:vMerge w:val="continue"/>
          </w:tcPr>
          <w:p>
            <w:pPr>
              <w:spacing w:after="0"/>
              <w:rPr>
                <w:sz w:val="16"/>
                <w:szCs w:val="16"/>
                <w:color w:val="auto"/>
              </w:rPr>
            </w:pPr>
          </w:p>
        </w:tc>
        <w:tc>
          <w:tcPr>
            <w:tcW w:w="6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500" w:type="dxa"/>
            <w:vAlign w:val="bottom"/>
            <w:tcBorders>
              <w:bottom w:val="single" w:sz="8" w:color="auto"/>
              <w:right w:val="single" w:sz="8" w:color="auto"/>
            </w:tcBorders>
            <w:vMerge w:val="continue"/>
          </w:tcPr>
          <w:p>
            <w:pPr>
              <w:spacing w:after="0"/>
              <w:rPr>
                <w:sz w:val="16"/>
                <w:szCs w:val="16"/>
                <w:color w:val="auto"/>
              </w:rPr>
            </w:pPr>
          </w:p>
        </w:tc>
        <w:tc>
          <w:tcPr>
            <w:tcW w:w="560" w:type="dxa"/>
            <w:vAlign w:val="bottom"/>
            <w:tcBorders>
              <w:bottom w:val="single" w:sz="8" w:color="auto"/>
              <w:right w:val="single" w:sz="8" w:color="434F69"/>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60" w:type="dxa"/>
            <w:vAlign w:val="bottom"/>
            <w:tcBorders>
              <w:left w:val="single" w:sz="8" w:color="434F69"/>
              <w:right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Operations/Engineering/</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Borders>
              <w:right w:val="single" w:sz="8" w:color="auto"/>
            </w:tcBorders>
            <w:shd w:val="clear" w:color="auto" w:fill="D9DCE1"/>
          </w:tcPr>
          <w:p>
            <w:pPr>
              <w:spacing w:after="0"/>
              <w:rPr>
                <w:sz w:val="15"/>
                <w:szCs w:val="15"/>
                <w:color w:val="auto"/>
              </w:rPr>
            </w:pPr>
          </w:p>
        </w:tc>
        <w:tc>
          <w:tcPr>
            <w:tcW w:w="5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shd w:val="clear" w:color="auto" w:fill="D9DCE1"/>
          </w:tcPr>
          <w:p>
            <w:pPr>
              <w:spacing w:after="0"/>
              <w:rPr>
                <w:sz w:val="15"/>
                <w:szCs w:val="15"/>
                <w:color w:val="auto"/>
              </w:rPr>
            </w:pP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right w:val="single" w:sz="8" w:color="auto"/>
            </w:tcBorders>
            <w:shd w:val="clear" w:color="auto" w:fill="D9DCE1"/>
          </w:tcPr>
          <w:p>
            <w:pPr>
              <w:spacing w:after="0"/>
              <w:rPr>
                <w:sz w:val="15"/>
                <w:szCs w:val="15"/>
                <w:color w:val="auto"/>
              </w:rPr>
            </w:pPr>
          </w:p>
        </w:tc>
        <w:tc>
          <w:tcPr>
            <w:tcW w:w="480" w:type="dxa"/>
            <w:vAlign w:val="bottom"/>
            <w:tcBorders>
              <w:right w:val="single" w:sz="8" w:color="auto"/>
            </w:tcBorders>
            <w:shd w:val="clear" w:color="auto" w:fill="D9DCE1"/>
          </w:tcPr>
          <w:p>
            <w:pPr>
              <w:spacing w:after="0"/>
              <w:rPr>
                <w:sz w:val="15"/>
                <w:szCs w:val="15"/>
                <w:color w:val="auto"/>
              </w:rPr>
            </w:pP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right w:val="single" w:sz="8" w:color="auto"/>
            </w:tcBorders>
            <w:shd w:val="clear" w:color="auto" w:fill="D9DCE1"/>
          </w:tcPr>
          <w:p>
            <w:pPr>
              <w:spacing w:after="0"/>
              <w:rPr>
                <w:sz w:val="15"/>
                <w:szCs w:val="15"/>
                <w:color w:val="auto"/>
              </w:rPr>
            </w:pPr>
          </w:p>
        </w:tc>
        <w:tc>
          <w:tcPr>
            <w:tcW w:w="560" w:type="dxa"/>
            <w:vAlign w:val="bottom"/>
            <w:tcBorders>
              <w:right w:val="single" w:sz="8" w:color="434F69"/>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4"/>
        </w:trPr>
        <w:tc>
          <w:tcPr>
            <w:tcW w:w="2060" w:type="dxa"/>
            <w:vAlign w:val="bottom"/>
            <w:tcBorders>
              <w:left w:val="single" w:sz="8" w:color="434F69"/>
              <w:bottom w:val="single" w:sz="8" w:color="auto"/>
              <w:right w:val="single" w:sz="8" w:color="auto"/>
            </w:tcBorders>
            <w:shd w:val="clear" w:color="auto" w:fill="D9DCE1"/>
          </w:tcPr>
          <w:p>
            <w:pPr>
              <w:ind w:left="180"/>
              <w:spacing w:after="0"/>
              <w:rPr>
                <w:sz w:val="20"/>
                <w:szCs w:val="20"/>
                <w:color w:val="auto"/>
              </w:rPr>
            </w:pPr>
            <w:r>
              <w:rPr>
                <w:rFonts w:ascii="Arial" w:cs="Arial" w:eastAsia="Arial" w:hAnsi="Arial"/>
                <w:sz w:val="14"/>
                <w:szCs w:val="14"/>
                <w:color w:val="auto"/>
              </w:rPr>
              <w:t>Construction</w:t>
            </w:r>
          </w:p>
        </w:tc>
        <w:tc>
          <w:tcPr>
            <w:tcW w:w="7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360" w:type="dxa"/>
            <w:vAlign w:val="bottom"/>
            <w:tcBorders>
              <w:bottom w:val="single" w:sz="8" w:color="auto"/>
              <w:right w:val="single" w:sz="8" w:color="auto"/>
            </w:tcBorders>
            <w:shd w:val="clear" w:color="auto" w:fill="D9DCE1"/>
          </w:tcPr>
          <w:p>
            <w:pPr>
              <w:spacing w:after="0"/>
              <w:rPr>
                <w:sz w:val="16"/>
                <w:szCs w:val="16"/>
                <w:color w:val="auto"/>
              </w:rPr>
            </w:pPr>
          </w:p>
        </w:tc>
        <w:tc>
          <w:tcPr>
            <w:tcW w:w="50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80" w:type="dxa"/>
            <w:vAlign w:val="bottom"/>
            <w:tcBorders>
              <w:bottom w:val="single" w:sz="8" w:color="auto"/>
              <w:right w:val="single" w:sz="8" w:color="auto"/>
            </w:tcBorders>
            <w:shd w:val="clear" w:color="auto" w:fill="D9DCE1"/>
          </w:tcPr>
          <w:p>
            <w:pPr>
              <w:spacing w:after="0"/>
              <w:rPr>
                <w:sz w:val="16"/>
                <w:szCs w:val="16"/>
                <w:color w:val="auto"/>
              </w:rPr>
            </w:pPr>
          </w:p>
        </w:tc>
        <w:tc>
          <w:tcPr>
            <w:tcW w:w="5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620" w:type="dxa"/>
            <w:vAlign w:val="bottom"/>
            <w:tcBorders>
              <w:bottom w:val="single" w:sz="8" w:color="auto"/>
              <w:right w:val="single" w:sz="8" w:color="auto"/>
            </w:tcBorders>
            <w:shd w:val="clear" w:color="auto" w:fill="D9DCE1"/>
          </w:tcPr>
          <w:p>
            <w:pPr>
              <w:spacing w:after="0"/>
              <w:rPr>
                <w:sz w:val="16"/>
                <w:szCs w:val="16"/>
                <w:color w:val="auto"/>
              </w:rPr>
            </w:pPr>
          </w:p>
        </w:tc>
        <w:tc>
          <w:tcPr>
            <w:tcW w:w="480" w:type="dxa"/>
            <w:vAlign w:val="bottom"/>
            <w:tcBorders>
              <w:bottom w:val="single" w:sz="8" w:color="auto"/>
              <w:right w:val="single" w:sz="8" w:color="auto"/>
            </w:tcBorders>
            <w:shd w:val="clear" w:color="auto" w:fill="D9DCE1"/>
          </w:tcPr>
          <w:p>
            <w:pPr>
              <w:spacing w:after="0"/>
              <w:rPr>
                <w:sz w:val="16"/>
                <w:szCs w:val="16"/>
                <w:color w:val="auto"/>
              </w:rPr>
            </w:pPr>
          </w:p>
        </w:tc>
        <w:tc>
          <w:tcPr>
            <w:tcW w:w="68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740" w:type="dxa"/>
            <w:vAlign w:val="bottom"/>
            <w:tcBorders>
              <w:bottom w:val="single" w:sz="8" w:color="auto"/>
              <w:right w:val="single" w:sz="8" w:color="auto"/>
            </w:tcBorders>
            <w:vMerge w:val="continue"/>
            <w:shd w:val="clear" w:color="auto" w:fill="D9DCE1"/>
          </w:tcPr>
          <w:p>
            <w:pPr>
              <w:spacing w:after="0"/>
              <w:rPr>
                <w:sz w:val="16"/>
                <w:szCs w:val="16"/>
                <w:color w:val="auto"/>
              </w:rPr>
            </w:pPr>
          </w:p>
        </w:tc>
        <w:tc>
          <w:tcPr>
            <w:tcW w:w="500" w:type="dxa"/>
            <w:vAlign w:val="bottom"/>
            <w:tcBorders>
              <w:bottom w:val="single" w:sz="8" w:color="auto"/>
              <w:right w:val="single" w:sz="8" w:color="auto"/>
            </w:tcBorders>
            <w:shd w:val="clear" w:color="auto" w:fill="D9DCE1"/>
          </w:tcPr>
          <w:p>
            <w:pPr>
              <w:spacing w:after="0"/>
              <w:rPr>
                <w:sz w:val="16"/>
                <w:szCs w:val="16"/>
                <w:color w:val="auto"/>
              </w:rPr>
            </w:pPr>
          </w:p>
        </w:tc>
        <w:tc>
          <w:tcPr>
            <w:tcW w:w="560" w:type="dxa"/>
            <w:vAlign w:val="bottom"/>
            <w:tcBorders>
              <w:bottom w:val="single" w:sz="8" w:color="auto"/>
              <w:right w:val="single" w:sz="8" w:color="434F69"/>
            </w:tcBorders>
            <w:vMerge w:val="continue"/>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434F69"/>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Industry Experience</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434F69"/>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9"/>
        </w:trPr>
        <w:tc>
          <w:tcPr>
            <w:tcW w:w="2060" w:type="dxa"/>
            <w:vAlign w:val="bottom"/>
            <w:tcBorders>
              <w:left w:val="single" w:sz="8" w:color="434F69"/>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Private Equity</w:t>
            </w:r>
          </w:p>
        </w:tc>
        <w:tc>
          <w:tcPr>
            <w:tcW w:w="700" w:type="dxa"/>
            <w:vAlign w:val="bottom"/>
            <w:tcBorders>
              <w:bottom w:val="single" w:sz="8" w:color="auto"/>
              <w:right w:val="single" w:sz="8" w:color="auto"/>
            </w:tcBorders>
            <w:shd w:val="clear" w:color="auto" w:fill="D9DCE1"/>
          </w:tcPr>
          <w:p>
            <w:pPr>
              <w:spacing w:after="0"/>
              <w:rPr>
                <w:sz w:val="18"/>
                <w:szCs w:val="18"/>
                <w:color w:val="auto"/>
              </w:rPr>
            </w:pPr>
          </w:p>
        </w:tc>
        <w:tc>
          <w:tcPr>
            <w:tcW w:w="360" w:type="dxa"/>
            <w:vAlign w:val="bottom"/>
            <w:tcBorders>
              <w:bottom w:val="single" w:sz="8" w:color="auto"/>
              <w:right w:val="single" w:sz="8" w:color="auto"/>
            </w:tcBorders>
            <w:shd w:val="clear" w:color="auto" w:fill="D9DCE1"/>
          </w:tcPr>
          <w:p>
            <w:pPr>
              <w:spacing w:after="0"/>
              <w:rPr>
                <w:sz w:val="18"/>
                <w:szCs w:val="18"/>
                <w:color w:val="auto"/>
              </w:rPr>
            </w:pPr>
          </w:p>
        </w:tc>
        <w:tc>
          <w:tcPr>
            <w:tcW w:w="500" w:type="dxa"/>
            <w:vAlign w:val="bottom"/>
            <w:tcBorders>
              <w:bottom w:val="single" w:sz="8" w:color="auto"/>
              <w:right w:val="single" w:sz="8" w:color="auto"/>
            </w:tcBorders>
            <w:shd w:val="clear" w:color="auto" w:fill="D9DCE1"/>
          </w:tcPr>
          <w:p>
            <w:pPr>
              <w:spacing w:after="0"/>
              <w:rPr>
                <w:sz w:val="18"/>
                <w:szCs w:val="18"/>
                <w:color w:val="auto"/>
              </w:rPr>
            </w:pP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shd w:val="clear" w:color="auto" w:fill="D9DCE1"/>
          </w:tcPr>
          <w:p>
            <w:pPr>
              <w:spacing w:after="0"/>
              <w:rPr>
                <w:sz w:val="18"/>
                <w:szCs w:val="18"/>
                <w:color w:val="auto"/>
              </w:rPr>
            </w:pPr>
          </w:p>
        </w:tc>
        <w:tc>
          <w:tcPr>
            <w:tcW w:w="6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Borders>
              <w:bottom w:val="single" w:sz="8" w:color="auto"/>
              <w:right w:val="single" w:sz="8" w:color="auto"/>
            </w:tcBorders>
            <w:shd w:val="clear" w:color="auto" w:fill="D9DCE1"/>
          </w:tcPr>
          <w:p>
            <w:pPr>
              <w:spacing w:after="0"/>
              <w:rPr>
                <w:sz w:val="18"/>
                <w:szCs w:val="18"/>
                <w:color w:val="auto"/>
              </w:rPr>
            </w:pP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bottom w:val="single" w:sz="8" w:color="auto"/>
              <w:right w:val="single" w:sz="8" w:color="auto"/>
            </w:tcBorders>
            <w:shd w:val="clear" w:color="auto" w:fill="D9DCE1"/>
          </w:tcPr>
          <w:p>
            <w:pPr>
              <w:spacing w:after="0"/>
              <w:rPr>
                <w:sz w:val="18"/>
                <w:szCs w:val="18"/>
                <w:color w:val="auto"/>
              </w:rPr>
            </w:pPr>
          </w:p>
        </w:tc>
        <w:tc>
          <w:tcPr>
            <w:tcW w:w="5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434F69"/>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434F69"/>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Diversity</w:t>
            </w:r>
          </w:p>
        </w:tc>
        <w:tc>
          <w:tcPr>
            <w:tcW w:w="7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434F69"/>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434F69"/>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International</w:t>
            </w:r>
          </w:p>
        </w:tc>
        <w:tc>
          <w:tcPr>
            <w:tcW w:w="7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6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shd w:val="clear" w:color="auto" w:fill="D9DCE1"/>
          </w:tcPr>
          <w:p>
            <w:pPr>
              <w:spacing w:after="0"/>
              <w:rPr>
                <w:sz w:val="18"/>
                <w:szCs w:val="18"/>
                <w:color w:val="auto"/>
              </w:rPr>
            </w:pPr>
          </w:p>
        </w:tc>
        <w:tc>
          <w:tcPr>
            <w:tcW w:w="5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Borders>
              <w:bottom w:val="single" w:sz="8" w:color="auto"/>
              <w:right w:val="single" w:sz="8" w:color="auto"/>
            </w:tcBorders>
            <w:shd w:val="clear" w:color="auto" w:fill="D9DCE1"/>
          </w:tcPr>
          <w:p>
            <w:pPr>
              <w:spacing w:after="0"/>
              <w:rPr>
                <w:sz w:val="18"/>
                <w:szCs w:val="18"/>
                <w:color w:val="auto"/>
              </w:rPr>
            </w:pPr>
          </w:p>
        </w:tc>
        <w:tc>
          <w:tcPr>
            <w:tcW w:w="560" w:type="dxa"/>
            <w:vAlign w:val="bottom"/>
            <w:tcBorders>
              <w:bottom w:val="single" w:sz="8" w:color="auto"/>
              <w:right w:val="single" w:sz="8" w:color="434F69"/>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10"/>
        </w:trPr>
        <w:tc>
          <w:tcPr>
            <w:tcW w:w="2060" w:type="dxa"/>
            <w:vAlign w:val="bottom"/>
            <w:tcBorders>
              <w:left w:val="single" w:sz="8" w:color="434F69"/>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Cybersecurity/IT</w:t>
            </w:r>
          </w:p>
        </w:tc>
        <w:tc>
          <w:tcPr>
            <w:tcW w:w="7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tcBorders>
              <w:bottom w:val="single" w:sz="8" w:color="auto"/>
              <w:right w:val="single" w:sz="8" w:color="434F69"/>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Diversity Matrix</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information is provided pursuant to Nasdaq Listing Rule 5605(f) and 5606: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74930</wp:posOffset>
            </wp:positionV>
            <wp:extent cx="5212080" cy="257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2571750"/>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Board Diversity Matrix (As of March 28,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260" w:type="dxa"/>
            <w:vAlign w:val="bottom"/>
          </w:tcPr>
          <w:p>
            <w:pPr>
              <w:spacing w:after="0"/>
              <w:rPr>
                <w:sz w:val="22"/>
                <w:szCs w:val="22"/>
                <w:color w:val="auto"/>
              </w:rPr>
            </w:pPr>
          </w:p>
        </w:tc>
        <w:tc>
          <w:tcPr>
            <w:tcW w:w="3960" w:type="dxa"/>
            <w:vAlign w:val="bottom"/>
            <w:tcBorders>
              <w:top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Number of Directors</w:t>
            </w:r>
          </w:p>
        </w:tc>
        <w:tc>
          <w:tcPr>
            <w:tcW w:w="84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auto"/>
              <w:right w:val="single" w:sz="8" w:color="CCEEFF"/>
            </w:tcBorders>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11</w:t>
            </w:r>
          </w:p>
        </w:tc>
        <w:tc>
          <w:tcPr>
            <w:tcW w:w="158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Female</w:t>
            </w:r>
          </w:p>
        </w:tc>
        <w:tc>
          <w:tcPr>
            <w:tcW w:w="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Male</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Non-Binary</w:t>
            </w:r>
          </w:p>
        </w:tc>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Did Not Disclose</w:t>
            </w: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Part I: Gender Identity</w:t>
            </w:r>
          </w:p>
        </w:tc>
        <w:tc>
          <w:tcPr>
            <w:tcW w:w="840" w:type="dxa"/>
            <w:vAlign w:val="bottom"/>
            <w:tcBorders>
              <w:bottom w:val="single" w:sz="8" w:color="auto"/>
              <w:right w:val="single" w:sz="8" w:color="CCEEFF"/>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1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Part II: Demographic Background</w:t>
            </w:r>
          </w:p>
        </w:tc>
        <w:tc>
          <w:tcPr>
            <w:tcW w:w="840" w:type="dxa"/>
            <w:vAlign w:val="bottom"/>
            <w:tcBorders>
              <w:bottom w:val="single" w:sz="8" w:color="auto"/>
              <w:right w:val="single" w:sz="8" w:color="CCEEFF"/>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African American or Black</w:t>
            </w:r>
          </w:p>
        </w:tc>
        <w:tc>
          <w:tcPr>
            <w:tcW w:w="8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Alaskan Native or Native American</w:t>
            </w: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auto"/>
            </w:tcBorders>
            <w:shd w:val="clear" w:color="auto" w:fill="CCEEFF"/>
          </w:tcPr>
          <w:p>
            <w:pPr>
              <w:spacing w:after="0"/>
              <w:rPr>
                <w:sz w:val="21"/>
                <w:szCs w:val="21"/>
                <w:color w:val="auto"/>
              </w:rPr>
            </w:pPr>
          </w:p>
        </w:tc>
        <w:tc>
          <w:tcPr>
            <w:tcW w:w="1180" w:type="dxa"/>
            <w:vAlign w:val="bottom"/>
            <w:tcBorders>
              <w:bottom w:val="single" w:sz="8" w:color="auto"/>
              <w:right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Asian</w:t>
            </w:r>
          </w:p>
        </w:tc>
        <w:tc>
          <w:tcPr>
            <w:tcW w:w="8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1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Hispanic or Latinx</w:t>
            </w:r>
          </w:p>
        </w:tc>
        <w:tc>
          <w:tcPr>
            <w:tcW w:w="840" w:type="dxa"/>
            <w:vAlign w:val="bottom"/>
            <w:tcBorders>
              <w:bottom w:val="single" w:sz="8" w:color="auto"/>
              <w:right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auto"/>
            </w:tcBorders>
            <w:shd w:val="clear" w:color="auto" w:fill="CCEEFF"/>
          </w:tcPr>
          <w:p>
            <w:pPr>
              <w:spacing w:after="0"/>
              <w:rPr>
                <w:sz w:val="21"/>
                <w:szCs w:val="21"/>
                <w:color w:val="auto"/>
              </w:rPr>
            </w:pPr>
          </w:p>
        </w:tc>
        <w:tc>
          <w:tcPr>
            <w:tcW w:w="1180" w:type="dxa"/>
            <w:vAlign w:val="bottom"/>
            <w:tcBorders>
              <w:bottom w:val="single" w:sz="8" w:color="auto"/>
              <w:right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Native Hawaiian or Pacific Islander</w:t>
            </w:r>
          </w:p>
        </w:tc>
        <w:tc>
          <w:tcPr>
            <w:tcW w:w="8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White</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180" w:type="dxa"/>
            <w:vAlign w:val="bottom"/>
            <w:tcBorders>
              <w:bottom w:val="single" w:sz="8" w:color="auto"/>
              <w:right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Two or More Races or Ethnicities</w:t>
            </w:r>
          </w:p>
        </w:tc>
        <w:tc>
          <w:tcPr>
            <w:tcW w:w="8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LGBTQ+</w:t>
            </w:r>
          </w:p>
        </w:tc>
        <w:tc>
          <w:tcPr>
            <w:tcW w:w="840" w:type="dxa"/>
            <w:vAlign w:val="bottom"/>
            <w:tcBorders>
              <w:bottom w:val="single" w:sz="8" w:color="auto"/>
              <w:right w:val="single" w:sz="8" w:color="CCEEFF"/>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spacing w:after="0"/>
              <w:rPr>
                <w:sz w:val="21"/>
                <w:szCs w:val="21"/>
                <w:color w:val="auto"/>
              </w:rPr>
            </w:pPr>
          </w:p>
        </w:tc>
        <w:tc>
          <w:tcPr>
            <w:tcW w:w="1180" w:type="dxa"/>
            <w:vAlign w:val="bottom"/>
            <w:tcBorders>
              <w:bottom w:val="single" w:sz="8" w:color="auto"/>
              <w:right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1260" w:type="dxa"/>
            <w:vAlign w:val="bottom"/>
          </w:tcPr>
          <w:p>
            <w:pPr>
              <w:spacing w:after="0"/>
              <w:rPr>
                <w:sz w:val="21"/>
                <w:szCs w:val="21"/>
                <w:color w:val="auto"/>
              </w:rPr>
            </w:pPr>
          </w:p>
        </w:tc>
        <w:tc>
          <w:tcPr>
            <w:tcW w:w="39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Did Not Disclose Demographic Background</w:t>
            </w:r>
          </w:p>
        </w:tc>
        <w:tc>
          <w:tcPr>
            <w:tcW w:w="8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r>
      <w:tr>
        <w:trPr>
          <w:trHeight w:val="608"/>
        </w:trPr>
        <w:tc>
          <w:tcPr>
            <w:tcW w:w="1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10</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 Directors Standing for Election at the 2022 Annual Meeting</w:t>
      </w:r>
    </w:p>
    <w:p>
      <w:pPr>
        <w:spacing w:after="0" w:line="9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Board has nominated Messrs. Burk, McCarthy, Pefanis and Petersen, current Class II directors, for election at the 2022 annual meeting. Each nominee has consented to serve if elected and, if elected, will serve until the 2025 annual meeting, subject to their earlier resignation, death or removal. If any of the nominees becomes unavailable to serve as a director prior to the 2022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80"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18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VICTOR BURK</w:t>
            </w:r>
          </w:p>
        </w:tc>
        <w:tc>
          <w:tcPr>
            <w:tcW w:w="3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Victor Burk, age 72, </w:t>
            </w:r>
            <w:r>
              <w:rPr>
                <w:rFonts w:ascii="Arial" w:cs="Arial" w:eastAsia="Arial" w:hAnsi="Arial"/>
                <w:sz w:val="16"/>
                <w:szCs w:val="16"/>
                <w:color w:val="auto"/>
              </w:rPr>
              <w:t>has served as a director</w:t>
            </w:r>
          </w:p>
        </w:tc>
        <w:tc>
          <w:tcPr>
            <w:tcW w:w="6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16"/>
                <w:szCs w:val="16"/>
                <w:b w:val="1"/>
                <w:bCs w:val="1"/>
                <w:color w:val="auto"/>
              </w:rPr>
              <w:t>Independent</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PAGP GP since January 2014. He has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been a Managing Director for Alvarez and</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2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Marsal, a privately owned professional</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7"/>
        </w:trPr>
        <w:tc>
          <w:tcPr>
            <w:tcW w:w="42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400"/>
              <w:spacing w:after="0" w:line="178" w:lineRule="exact"/>
              <w:rPr>
                <w:sz w:val="20"/>
                <w:szCs w:val="20"/>
                <w:color w:val="auto"/>
              </w:rPr>
            </w:pPr>
            <w:r>
              <w:rPr>
                <w:rFonts w:ascii="Arial" w:cs="Arial" w:eastAsia="Arial" w:hAnsi="Arial"/>
                <w:sz w:val="16"/>
                <w:szCs w:val="16"/>
                <w:b w:val="1"/>
                <w:bCs w:val="1"/>
                <w:i w:val="1"/>
                <w:iCs w:val="1"/>
                <w:color w:val="auto"/>
              </w:rPr>
              <w:t>since 2010</w:t>
            </w:r>
          </w:p>
        </w:tc>
        <w:tc>
          <w:tcPr>
            <w:tcW w:w="352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services firm, since April 2009. From 2005 to</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Committees</w:t>
            </w:r>
          </w:p>
        </w:tc>
        <w:tc>
          <w:tcPr>
            <w:tcW w:w="480" w:type="dxa"/>
            <w:vAlign w:val="bottom"/>
            <w:tcBorders>
              <w:right w:val="single" w:sz="8" w:color="auto"/>
            </w:tcBorders>
            <w:vMerge w:val="restart"/>
          </w:tcPr>
          <w:p>
            <w:pPr>
              <w:jc w:val="right"/>
              <w:ind w:right="400"/>
              <w:spacing w:after="0"/>
              <w:rPr>
                <w:sz w:val="20"/>
                <w:szCs w:val="20"/>
                <w:color w:val="auto"/>
              </w:rPr>
            </w:pPr>
            <w:r>
              <w:rPr>
                <w:rFonts w:ascii="Arial" w:cs="Arial" w:eastAsia="Arial" w:hAnsi="Arial"/>
                <w:sz w:val="8"/>
                <w:szCs w:val="8"/>
                <w:b w:val="1"/>
                <w:bCs w:val="1"/>
                <w:color w:val="auto"/>
                <w:w w:val="73"/>
              </w:rPr>
              <w:t>:</w:t>
            </w:r>
          </w:p>
        </w:tc>
        <w:tc>
          <w:tcPr>
            <w:tcW w:w="35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2009, Mr. Burk was the global energy practice</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20" w:type="dxa"/>
            <w:vAlign w:val="bottom"/>
            <w:tcBorders>
              <w:left w:val="single" w:sz="8" w:color="auto"/>
            </w:tcBorders>
            <w:vMerge w:val="restart"/>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leader for Spencer Stuart, a privately owned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3"/>
        </w:trPr>
        <w:tc>
          <w:tcPr>
            <w:tcW w:w="420" w:type="dxa"/>
            <w:vAlign w:val="bottom"/>
            <w:tcBorders>
              <w:lef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16"/>
                <w:szCs w:val="16"/>
                <w:color w:val="auto"/>
              </w:rPr>
              <w:t>Audit (chair)</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recruiting firm. Prior to joining</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60"/>
        </w:trPr>
        <w:tc>
          <w:tcPr>
            <w:tcW w:w="42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Spencer Stuart, Mr. Burk served as managing</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2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2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41"/>
        </w:trPr>
        <w:tc>
          <w:tcPr>
            <w:tcW w:w="42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partner of Deloitte &amp; Touche’s global oil and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2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natural gas group from 2002 to 2005. He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42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began his professional career in 1972 with</w:t>
            </w: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Arthur Andersen and served as managing</w:t>
            </w:r>
          </w:p>
        </w:tc>
        <w:tc>
          <w:tcPr>
            <w:tcW w:w="180" w:type="dxa"/>
            <w:vAlign w:val="bottom"/>
            <w:gridSpan w:val="2"/>
            <w:vMerge w:val="continue"/>
          </w:tcPr>
          <w:p>
            <w:pPr>
              <w:spacing w:after="0"/>
              <w:rPr>
                <w:sz w:val="16"/>
                <w:szCs w:val="16"/>
                <w:color w:val="auto"/>
              </w:rPr>
            </w:pPr>
          </w:p>
        </w:tc>
        <w:tc>
          <w:tcPr>
            <w:tcW w:w="26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of Arthur Andersen’s global oil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natural gas group from 1989 until 2002.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 served on the board of directors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audit committee of EV Energy Partners, L.P.</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September 2006 until June 2018.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 served as a director and as chairman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the audit committee of PNGS GP LLC,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general partner of PAA Natural Gas Storage,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L.P., from April 2010 through December 2013.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 also serves as a board member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Sam Houston Area Council of the Boy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Scouts of America. He received a BBA 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Accounting from Stephen F. Austin State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University, graduating with highest honors.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 has determined that Mr. Burk is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 rules and qualifies as an “Audit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Financial Expert.” We believe that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Burk’s background, spanning over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30 years of extensive public accounting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consulting experience in the energy industry,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coupled with his demonstrated leadership</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abilities, bring valuable experience and insight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the 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9"/>
              </w:rPr>
              <w:t>KEVIN S.</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Kevin S. McCarthy, age 62, </w:t>
            </w:r>
            <w:r>
              <w:rPr>
                <w:rFonts w:ascii="Arial" w:cs="Arial" w:eastAsia="Arial" w:hAnsi="Arial"/>
                <w:sz w:val="16"/>
                <w:szCs w:val="16"/>
                <w:color w:val="auto"/>
              </w:rPr>
              <w:t>has served as a</w:t>
            </w:r>
          </w:p>
        </w:tc>
        <w:tc>
          <w:tcPr>
            <w:tcW w:w="60" w:type="dxa"/>
            <w:vAlign w:val="bottom"/>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rPr>
              <w:t>MCCARTHY</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October 2020. He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16"/>
                <w:szCs w:val="16"/>
                <w:b w:val="1"/>
                <w:bCs w:val="1"/>
                <w:color w:val="auto"/>
              </w:rPr>
              <w:t>Independent</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currently serves as Vice Chairman at Kayne</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20" w:type="dxa"/>
            <w:vAlign w:val="bottom"/>
            <w:tcBorders>
              <w:left w:val="single" w:sz="8" w:color="auto"/>
            </w:tcBorders>
          </w:tcPr>
          <w:p>
            <w:pPr>
              <w:spacing w:after="0"/>
              <w:rPr>
                <w:sz w:val="6"/>
                <w:szCs w:val="6"/>
                <w:color w:val="auto"/>
              </w:rPr>
            </w:pPr>
          </w:p>
        </w:tc>
        <w:tc>
          <w:tcPr>
            <w:tcW w:w="1420" w:type="dxa"/>
            <w:vAlign w:val="bottom"/>
            <w:tcBorders>
              <w:right w:val="single" w:sz="8" w:color="auto"/>
            </w:tcBorders>
            <w:gridSpan w:val="2"/>
            <w:vMerge w:val="continue"/>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Anderson, where he co-founded the firm’s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75"/>
        </w:trPr>
        <w:tc>
          <w:tcPr>
            <w:tcW w:w="42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energy infrastructure securities activities, and</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40" w:type="dxa"/>
            <w:vAlign w:val="bottom"/>
            <w:tcBorders>
              <w:left w:val="single" w:sz="8" w:color="auto"/>
              <w:right w:val="single" w:sz="8" w:color="auto"/>
            </w:tcBorders>
            <w:gridSpan w:val="3"/>
            <w:vMerge w:val="continue"/>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400"/>
              <w:spacing w:after="0" w:line="175" w:lineRule="exact"/>
              <w:rPr>
                <w:sz w:val="20"/>
                <w:szCs w:val="20"/>
                <w:color w:val="auto"/>
              </w:rPr>
            </w:pPr>
            <w:r>
              <w:rPr>
                <w:rFonts w:ascii="Arial" w:cs="Arial" w:eastAsia="Arial" w:hAnsi="Arial"/>
                <w:sz w:val="16"/>
                <w:szCs w:val="16"/>
                <w:b w:val="1"/>
                <w:bCs w:val="1"/>
                <w:i w:val="1"/>
                <w:iCs w:val="1"/>
                <w:color w:val="auto"/>
              </w:rPr>
              <w:t>since 2020</w:t>
            </w:r>
          </w:p>
        </w:tc>
        <w:tc>
          <w:tcPr>
            <w:tcW w:w="35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served as CEO and Chairman of the Board of</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Directors for Kayne Anderson’s closed-end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6"/>
        </w:trPr>
        <w:tc>
          <w:tcPr>
            <w:tcW w:w="1840" w:type="dxa"/>
            <w:vAlign w:val="bottom"/>
            <w:tcBorders>
              <w:left w:val="single" w:sz="8" w:color="auto"/>
              <w:right w:val="single" w:sz="8" w:color="auto"/>
            </w:tcBorders>
            <w:gridSpan w:val="3"/>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funds from 2004 through July 2019. Prior to</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63"/>
        </w:trPr>
        <w:tc>
          <w:tcPr>
            <w:tcW w:w="420" w:type="dxa"/>
            <w:vAlign w:val="bottom"/>
            <w:tcBorders>
              <w:left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2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16"/>
                <w:szCs w:val="16"/>
                <w:color w:val="auto"/>
              </w:rPr>
              <w:t>None</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joining Kayne Anderson in 2004, Mr. McCarthy</w:t>
            </w:r>
          </w:p>
        </w:tc>
        <w:tc>
          <w:tcPr>
            <w:tcW w:w="180" w:type="dxa"/>
            <w:vAlign w:val="bottom"/>
            <w:gridSpan w:val="2"/>
            <w:vMerge w:val="continue"/>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20" w:type="dxa"/>
            <w:vAlign w:val="bottom"/>
            <w:tcBorders>
              <w:left w:val="single" w:sz="8" w:color="auto"/>
            </w:tcBorders>
          </w:tcPr>
          <w:p>
            <w:pPr>
              <w:spacing w:after="0"/>
              <w:rPr>
                <w:sz w:val="4"/>
                <w:szCs w:val="4"/>
                <w:color w:val="auto"/>
              </w:rPr>
            </w:pPr>
          </w:p>
        </w:tc>
        <w:tc>
          <w:tcPr>
            <w:tcW w:w="1420" w:type="dxa"/>
            <w:vAlign w:val="bottom"/>
            <w:tcBorders>
              <w:right w:val="single" w:sz="8" w:color="auto"/>
            </w:tcBorders>
            <w:gridSpan w:val="2"/>
            <w:vMerge w:val="continue"/>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60"/>
        </w:trPr>
        <w:tc>
          <w:tcPr>
            <w:tcW w:w="42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was global head of energy investment banking</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42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 UBS Securities LLC and held similar</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42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positions at PaineWebber Incorporated and</w:t>
            </w: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Dean Witter Reynolds. Mr. McCarthy serves</w:t>
            </w:r>
          </w:p>
        </w:tc>
        <w:tc>
          <w:tcPr>
            <w:tcW w:w="180" w:type="dxa"/>
            <w:vAlign w:val="bottom"/>
            <w:gridSpan w:val="2"/>
            <w:vMerge w:val="continue"/>
          </w:tcPr>
          <w:p>
            <w:pPr>
              <w:spacing w:after="0"/>
              <w:rPr>
                <w:sz w:val="16"/>
                <w:szCs w:val="16"/>
                <w:color w:val="auto"/>
              </w:rPr>
            </w:pPr>
          </w:p>
        </w:tc>
        <w:tc>
          <w:tcPr>
            <w:tcW w:w="26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a director of Kinetik Holdings Inc. (formerly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Altus Midstream Company) and Whiting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Corporation, and previously served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a director of Range Resources Corporation,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ONEOK, Inc., Emerge Energy Services LP</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K-Sea Transportation Partners L.P. 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also sits on the board of directors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Gladney Fund. Mr. McCarthy earned a BA 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economics and geology from Amherst College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90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90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72"/>
        </w:trPr>
        <w:tc>
          <w:tcPr>
            <w:tcW w:w="440" w:type="dxa"/>
            <w:vAlign w:val="bottom"/>
            <w:tcBorders>
              <w:top w:val="single" w:sz="8" w:color="auto"/>
              <w:left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500" w:type="dxa"/>
            <w:vAlign w:val="bottom"/>
            <w:tcBorders>
              <w:top w:val="single" w:sz="8" w:color="auto"/>
              <w:right w:val="single" w:sz="8" w:color="auto"/>
            </w:tcBorders>
          </w:tcPr>
          <w:p>
            <w:pPr>
              <w:spacing w:after="0"/>
              <w:rPr>
                <w:sz w:val="23"/>
                <w:szCs w:val="23"/>
                <w:color w:val="auto"/>
              </w:rPr>
            </w:pPr>
          </w:p>
        </w:tc>
        <w:tc>
          <w:tcPr>
            <w:tcW w:w="35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MBA in Finance from the Wharton School at</w:t>
            </w: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3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University of Pennsylvania. The Board has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McCarthy is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 rules. Mr. McCarthy’s extensive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investment management background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involvement in the energy sector, along with</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breadth and depth of his market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industry knowledge, brings substantial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insight and skill to the 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40" w:type="dxa"/>
            <w:vAlign w:val="bottom"/>
            <w:tcBorders>
              <w:left w:val="single" w:sz="8" w:color="auto"/>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3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gridSpan w:val="2"/>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HARRY N. PEFANIS</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Harry N. Pefanis, age 64, </w:t>
            </w:r>
            <w:r>
              <w:rPr>
                <w:rFonts w:ascii="Arial" w:cs="Arial" w:eastAsia="Arial" w:hAnsi="Arial"/>
                <w:sz w:val="16"/>
                <w:szCs w:val="16"/>
                <w:color w:val="auto"/>
              </w:rPr>
              <w:t>has served as a</w:t>
            </w:r>
          </w:p>
        </w:tc>
        <w:tc>
          <w:tcPr>
            <w:tcW w:w="60" w:type="dxa"/>
            <w:vAlign w:val="bottom"/>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February 2017 and</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1860" w:type="dxa"/>
            <w:vAlign w:val="bottom"/>
            <w:tcBorders>
              <w:left w:val="single" w:sz="8" w:color="auto"/>
              <w:right w:val="single" w:sz="8" w:color="auto"/>
            </w:tcBorders>
            <w:gridSpan w:val="3"/>
            <w:vMerge w:val="continue"/>
          </w:tcPr>
          <w:p>
            <w:pPr>
              <w:spacing w:after="0"/>
              <w:rPr>
                <w:sz w:val="9"/>
                <w:szCs w:val="9"/>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President of PAGP GP and GP LLC since</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March 2021. He previously served as</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i w:val="1"/>
                <w:iCs w:val="1"/>
                <w:color w:val="auto"/>
              </w:rPr>
              <w:t>since 2017</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and Chief Commercial Officer of</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6"/>
                <w:szCs w:val="16"/>
                <w:b w:val="1"/>
                <w:bCs w:val="1"/>
                <w:i w:val="1"/>
                <w:iCs w:val="1"/>
                <w:color w:val="auto"/>
              </w:rPr>
              <w:t>President</w:t>
            </w:r>
          </w:p>
        </w:tc>
        <w:tc>
          <w:tcPr>
            <w:tcW w:w="35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PAGP GP and GP LLC from January 2018</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1420" w:type="dxa"/>
            <w:vAlign w:val="bottom"/>
            <w:tcBorders>
              <w:right w:val="single" w:sz="8" w:color="auto"/>
            </w:tcBorders>
            <w:gridSpan w:val="2"/>
            <w:vMerge w:val="continue"/>
          </w:tcPr>
          <w:p>
            <w:pPr>
              <w:spacing w:after="0"/>
              <w:rPr>
                <w:sz w:val="17"/>
                <w:szCs w:val="17"/>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March 2021. He served as President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Chief Operating Officer of GP LLC from PAA’s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formation in 1998 through December 2017,</w:t>
            </w:r>
          </w:p>
        </w:tc>
        <w:tc>
          <w:tcPr>
            <w:tcW w:w="180" w:type="dxa"/>
            <w:vAlign w:val="bottom"/>
            <w:gridSpan w:val="2"/>
            <w:vMerge w:val="continue"/>
          </w:tcPr>
          <w:p>
            <w:pPr>
              <w:spacing w:after="0"/>
              <w:rPr>
                <w:sz w:val="10"/>
                <w:szCs w:val="10"/>
                <w:color w:val="auto"/>
              </w:rPr>
            </w:pPr>
          </w:p>
        </w:tc>
        <w:tc>
          <w:tcPr>
            <w:tcW w:w="26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27"/>
        </w:trPr>
        <w:tc>
          <w:tcPr>
            <w:tcW w:w="4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as President and Chief Operating Officer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PAGP GP from July 2013 through</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2017. He was also a director of</w:t>
            </w:r>
          </w:p>
        </w:tc>
        <w:tc>
          <w:tcPr>
            <w:tcW w:w="180" w:type="dxa"/>
            <w:vAlign w:val="bottom"/>
            <w:gridSpan w:val="2"/>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4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PAA’s former general partner. In addition, he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5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was Executive Vice President — Midstream of</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from May 1998 to</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7"/>
        </w:trPr>
        <w:tc>
          <w:tcPr>
            <w:tcW w:w="4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May 2001. He previously served Plains</w:t>
            </w:r>
          </w:p>
        </w:tc>
        <w:tc>
          <w:tcPr>
            <w:tcW w:w="180" w:type="dxa"/>
            <w:vAlign w:val="bottom"/>
            <w:gridSpan w:val="2"/>
            <w:vMerge w:val="continue"/>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as: Senior Vice President from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February 1996 until May 1998; Vice President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Products Marketing from 1988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February 1996; Manager of Products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Marketing from 1987 to 1988; and Special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Assistant for Corporate Planning from 1983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1987. Mr. Pefanis was also President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several former midstream subsidiaries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prior to PAA’s formation.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Pefanis served as a director of Oasis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Midstream Partners, L.P. from July 2018 until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February 2022. He is also a director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Memorial Hermann Foundation. Mr. Pefanis’s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involvement with PAA since its formation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considerable operational, commercial,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accounting and financial experience brings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important and valuable skills to the 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40" w:type="dxa"/>
            <w:vAlign w:val="bottom"/>
            <w:tcBorders>
              <w:left w:val="single" w:sz="8" w:color="auto"/>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GARY R. PETERSEN</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Gary R. Petersen, age 75, </w:t>
            </w:r>
            <w:r>
              <w:rPr>
                <w:rFonts w:ascii="Arial" w:cs="Arial" w:eastAsia="Arial" w:hAnsi="Arial"/>
                <w:sz w:val="16"/>
                <w:szCs w:val="16"/>
                <w:color w:val="auto"/>
              </w:rPr>
              <w:t>has served as a</w:t>
            </w:r>
          </w:p>
        </w:tc>
        <w:tc>
          <w:tcPr>
            <w:tcW w:w="60" w:type="dxa"/>
            <w:vAlign w:val="bottom"/>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b w:val="1"/>
                <w:bCs w:val="1"/>
                <w:color w:val="auto"/>
              </w:rPr>
              <w:t>Independent</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November 2016.</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44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He served as a director of PAA’s general</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from June 2001 until November 2016.</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i w:val="1"/>
                <w:iCs w:val="1"/>
                <w:color w:val="auto"/>
              </w:rPr>
              <w:t>since 2001</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Petersen is a Managing Partner of EnCap</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00" w:type="dxa"/>
            <w:vAlign w:val="bottom"/>
            <w:tcBorders>
              <w:right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w w:val="74"/>
              </w:rPr>
              <w:t>:</w:t>
            </w:r>
          </w:p>
        </w:tc>
        <w:tc>
          <w:tcPr>
            <w:tcW w:w="35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Investments L.P., an investment management</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40" w:type="dxa"/>
            <w:vAlign w:val="bottom"/>
            <w:tcBorders>
              <w:left w:val="single" w:sz="8" w:color="auto"/>
            </w:tcBorders>
            <w:vMerge w:val="restart"/>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firm which he co-founded in 1988. He also</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3"/>
        </w:trPr>
        <w:tc>
          <w:tcPr>
            <w:tcW w:w="440" w:type="dxa"/>
            <w:vAlign w:val="bottom"/>
            <w:tcBorders>
              <w:lef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Compensation</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a director of EV Energy Partners,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60"/>
        </w:trPr>
        <w:tc>
          <w:tcPr>
            <w:tcW w:w="1860" w:type="dxa"/>
            <w:vAlign w:val="bottom"/>
            <w:tcBorders>
              <w:left w:val="single" w:sz="8" w:color="auto"/>
              <w:right w:val="single" w:sz="8" w:color="auto"/>
            </w:tcBorders>
            <w:gridSpan w:val="3"/>
            <w:vMerge w:val="continue"/>
          </w:tcPr>
          <w:p>
            <w:pPr>
              <w:spacing w:after="0"/>
              <w:rPr>
                <w:sz w:val="5"/>
                <w:szCs w:val="5"/>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L.P. from September 2006 until June 2018. He</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color w:val="auto"/>
              </w:rPr>
              <w:t>Governance</w:t>
            </w: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vMerge w:val="continue"/>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had previously served as Senior Vice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and Manager of the Corporate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4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Finance Division of the Energy Banking Group</w:t>
            </w: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500" w:type="dxa"/>
            <w:vAlign w:val="bottom"/>
            <w:tcBorders>
              <w:right w:val="single" w:sz="8" w:color="auto"/>
            </w:tcBorders>
            <w:vMerge w:val="continue"/>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RepublicBank Corporation. Prior to his</w:t>
            </w:r>
          </w:p>
        </w:tc>
        <w:tc>
          <w:tcPr>
            <w:tcW w:w="180" w:type="dxa"/>
            <w:vAlign w:val="bottom"/>
            <w:gridSpan w:val="2"/>
            <w:vMerge w:val="continue"/>
          </w:tcPr>
          <w:p>
            <w:pPr>
              <w:spacing w:after="0"/>
              <w:rPr>
                <w:sz w:val="16"/>
                <w:szCs w:val="16"/>
                <w:color w:val="auto"/>
              </w:rPr>
            </w:pPr>
          </w:p>
        </w:tc>
        <w:tc>
          <w:tcPr>
            <w:tcW w:w="26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position at RepublicBank, he was Executive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00"/>
        </w:trPr>
        <w:tc>
          <w:tcPr>
            <w:tcW w:w="4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Vice President and a member of the Board of</w:t>
            </w:r>
          </w:p>
        </w:tc>
        <w:tc>
          <w:tcPr>
            <w:tcW w:w="180" w:type="dxa"/>
            <w:vAlign w:val="bottom"/>
            <w:gridSpan w:val="2"/>
            <w:vMerge w:val="continue"/>
          </w:tcPr>
          <w:p>
            <w:pPr>
              <w:spacing w:after="0"/>
              <w:rPr>
                <w:sz w:val="8"/>
                <w:szCs w:val="8"/>
                <w:color w:val="auto"/>
              </w:rPr>
            </w:pPr>
          </w:p>
        </w:tc>
        <w:tc>
          <w:tcPr>
            <w:tcW w:w="26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Directors of Nicklos Oil &amp; Gas Company from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1979 to 1984. He served from 1970 to 1971 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U.S. Army as a First Lieutenant in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Finance Corps and as an Army Officer in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Army Security Agency. He is a member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Petroleum Association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America, the Houston Producers Forum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Petroleum Club of Houston. Mr. Petersen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 a director of the Memorial Hermann Health</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System and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40" w:type="dxa"/>
            <w:vAlign w:val="bottom"/>
            <w:tcBorders>
              <w:left w:val="single" w:sz="8" w:color="auto"/>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13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13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911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Houston Museum of Natural Science. He also sits on</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the board of trustees of The Council on Recovery.</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Mr. Petersen holds BBA and MBA degrees in finance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from Texas Tech University. The Board has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determined that Mr. Petersen is “independent” under</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applicable Nasdaq and SEC rules. Mr. Petersen has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been involved in the energy sector for a period of</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more than 35 years, garnering extensive knowledge of</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the energy sectors’ various cycles, as well as the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current market and industry knowledge that comes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with management of approximately $18 billion of</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energy-related investments. In tandem with the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leadership qualities evidenced by his executive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background, we believe that Mr. Petersen brings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numerous valuable attributes to the Board.</w:t>
      </w:r>
    </w:p>
    <w:p>
      <w:pPr>
        <w:spacing w:after="0" w:line="2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(Not Standing for Election at the 2022 Annual Meeting)</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 Directors (terms expire in 2023):</w:t>
      </w:r>
    </w:p>
    <w:p>
      <w:pPr>
        <w:spacing w:after="0" w:line="111"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18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WILLIE CHIANG</w:t>
            </w:r>
          </w:p>
        </w:tc>
        <w:tc>
          <w:tcPr>
            <w:tcW w:w="3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Willie Chiang, age 61, </w:t>
            </w:r>
            <w:r>
              <w:rPr>
                <w:rFonts w:ascii="Arial" w:cs="Arial" w:eastAsia="Arial" w:hAnsi="Arial"/>
                <w:sz w:val="16"/>
                <w:szCs w:val="16"/>
                <w:color w:val="auto"/>
              </w:rPr>
              <w:t>has served as a</w:t>
            </w:r>
          </w:p>
        </w:tc>
        <w:tc>
          <w:tcPr>
            <w:tcW w:w="6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February 2017, as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1840" w:type="dxa"/>
            <w:vAlign w:val="bottom"/>
            <w:tcBorders>
              <w:left w:val="single" w:sz="8" w:color="auto"/>
              <w:right w:val="single" w:sz="8" w:color="auto"/>
            </w:tcBorders>
            <w:gridSpan w:val="3"/>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Chief Executive Officer of PAGP GP and GP</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40" w:type="dxa"/>
            <w:vAlign w:val="bottom"/>
            <w:tcBorders>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LLC since October 2018 and as Chairman of</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7"/>
        </w:trPr>
        <w:tc>
          <w:tcPr>
            <w:tcW w:w="40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420"/>
              <w:spacing w:after="0" w:line="178" w:lineRule="exact"/>
              <w:rPr>
                <w:sz w:val="20"/>
                <w:szCs w:val="20"/>
                <w:color w:val="auto"/>
              </w:rPr>
            </w:pPr>
            <w:r>
              <w:rPr>
                <w:rFonts w:ascii="Arial" w:cs="Arial" w:eastAsia="Arial" w:hAnsi="Arial"/>
                <w:sz w:val="16"/>
                <w:szCs w:val="16"/>
                <w:b w:val="1"/>
                <w:bCs w:val="1"/>
                <w:i w:val="1"/>
                <w:iCs w:val="1"/>
                <w:color w:val="auto"/>
              </w:rPr>
              <w:t>since 2017</w:t>
            </w:r>
          </w:p>
        </w:tc>
        <w:tc>
          <w:tcPr>
            <w:tcW w:w="352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the Board since January 2020. He served as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Chairman and CEO</w:t>
            </w:r>
          </w:p>
        </w:tc>
        <w:tc>
          <w:tcPr>
            <w:tcW w:w="35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Executive Vice President and Chief Operating</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tcBorders>
              <w:left w:val="single" w:sz="8" w:color="auto"/>
              <w:right w:val="single" w:sz="8" w:color="auto"/>
            </w:tcBorders>
            <w:gridSpan w:val="3"/>
            <w:vMerge w:val="continue"/>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of PAGP GP and GP LLC from</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January 2018 until October 2018. He also</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Executive Vice President and Chief</w:t>
            </w:r>
          </w:p>
        </w:tc>
        <w:tc>
          <w:tcPr>
            <w:tcW w:w="180" w:type="dxa"/>
            <w:vAlign w:val="bottom"/>
            <w:gridSpan w:val="2"/>
            <w:vMerge w:val="continue"/>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41"/>
        </w:trPr>
        <w:tc>
          <w:tcPr>
            <w:tcW w:w="40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Operating Officer (U.S.) of PAGP GP and GP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0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LLC from August 2015 through</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2017. Prior to joining Plains,</w:t>
            </w:r>
          </w:p>
        </w:tc>
        <w:tc>
          <w:tcPr>
            <w:tcW w:w="180" w:type="dxa"/>
            <w:vAlign w:val="bottom"/>
            <w:gridSpan w:val="2"/>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0" w:type="dxa"/>
            <w:vAlign w:val="bottom"/>
            <w:tcBorders>
              <w:lef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40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Chiang served as Executive Vice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0" w:type="dxa"/>
            <w:vAlign w:val="bottom"/>
            <w:tcBorders>
              <w:left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 Operations for Occidental</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Corporation from 2012 until 2015.</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41"/>
        </w:trPr>
        <w:tc>
          <w:tcPr>
            <w:tcW w:w="40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From 1996 until 2012, he served in various</w:t>
            </w:r>
          </w:p>
        </w:tc>
        <w:tc>
          <w:tcPr>
            <w:tcW w:w="180" w:type="dxa"/>
            <w:vAlign w:val="bottom"/>
            <w:gridSpan w:val="2"/>
            <w:vMerge w:val="continue"/>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0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positions at ConocoPhillips, including most</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60"/>
        </w:trPr>
        <w:tc>
          <w:tcPr>
            <w:tcW w:w="400" w:type="dxa"/>
            <w:vAlign w:val="bottom"/>
            <w:tcBorders>
              <w:lef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recently as Senior Vice President — Refining,</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Marketing, Transportation and Commercial.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 serves on the board of the Society for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Performing Arts and as chair of the finance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and as incoming chair for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United Way of Greater Houston. He received 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BS in Mechanical Engineering from South</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Dakota School of Mines and Technology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completed the Advanced Management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Program at the University of Pennsylvania.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Chiang’s role as CEO and his broad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in the energy industry, together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his leadership capabilities and strategic</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focus, make him highly qualified to serve 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8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rPr>
              <w:t>ALEXANDRA D.</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Alexandra D. Pruner, age 60, </w:t>
            </w:r>
            <w:r>
              <w:rPr>
                <w:rFonts w:ascii="Arial" w:cs="Arial" w:eastAsia="Arial" w:hAnsi="Arial"/>
                <w:sz w:val="16"/>
                <w:szCs w:val="16"/>
                <w:color w:val="auto"/>
              </w:rPr>
              <w:t>has served as a</w:t>
            </w:r>
          </w:p>
        </w:tc>
        <w:tc>
          <w:tcPr>
            <w:tcW w:w="60" w:type="dxa"/>
            <w:vAlign w:val="bottom"/>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rPr>
              <w:t>PRUNER</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December 2018.</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jc w:val="center"/>
              <w:ind w:right="400"/>
              <w:spacing w:after="0"/>
              <w:rPr>
                <w:sz w:val="20"/>
                <w:szCs w:val="20"/>
                <w:color w:val="auto"/>
              </w:rPr>
            </w:pPr>
            <w:r>
              <w:rPr>
                <w:rFonts w:ascii="Arial" w:cs="Arial" w:eastAsia="Arial" w:hAnsi="Arial"/>
                <w:sz w:val="16"/>
                <w:szCs w:val="16"/>
                <w:b w:val="1"/>
                <w:bCs w:val="1"/>
                <w:color w:val="auto"/>
              </w:rPr>
              <w:t>Independent</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Ms. Pruner has served as a Senior Advisor of</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1440" w:type="dxa"/>
            <w:vAlign w:val="bottom"/>
            <w:tcBorders>
              <w:right w:val="single" w:sz="8" w:color="auto"/>
            </w:tcBorders>
            <w:gridSpan w:val="2"/>
            <w:vMerge w:val="continue"/>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Perella Weinberg Partners (“PWP”), a global</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independent advisory firm providing strategic</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40" w:type="dxa"/>
            <w:vAlign w:val="bottom"/>
            <w:tcBorders>
              <w:left w:val="single" w:sz="8" w:color="auto"/>
              <w:right w:val="single" w:sz="8" w:color="auto"/>
            </w:tcBorders>
            <w:gridSpan w:val="3"/>
            <w:vMerge w:val="continue"/>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0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420"/>
              <w:spacing w:after="0" w:line="175" w:lineRule="exact"/>
              <w:rPr>
                <w:sz w:val="20"/>
                <w:szCs w:val="20"/>
                <w:color w:val="auto"/>
              </w:rPr>
            </w:pPr>
            <w:r>
              <w:rPr>
                <w:rFonts w:ascii="Arial" w:cs="Arial" w:eastAsia="Arial" w:hAnsi="Arial"/>
                <w:sz w:val="16"/>
                <w:szCs w:val="16"/>
                <w:b w:val="1"/>
                <w:bCs w:val="1"/>
                <w:i w:val="1"/>
                <w:iCs w:val="1"/>
                <w:color w:val="auto"/>
              </w:rPr>
              <w:t>since 2018</w:t>
            </w:r>
          </w:p>
        </w:tc>
        <w:tc>
          <w:tcPr>
            <w:tcW w:w="35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financial advice and asset-management</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Borders>
              <w:left w:val="single" w:sz="8" w:color="auto"/>
            </w:tcBorders>
          </w:tcPr>
          <w:p>
            <w:pPr>
              <w:spacing w:after="0"/>
              <w:rPr>
                <w:sz w:val="17"/>
                <w:szCs w:val="17"/>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b w:val="1"/>
                <w:bCs w:val="1"/>
                <w:color w:val="auto"/>
              </w:rPr>
              <w:t>Committees:</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services, and its energy division, Tudor,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6"/>
        </w:trPr>
        <w:tc>
          <w:tcPr>
            <w:tcW w:w="40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Pickering, Holt &amp; Co., since December 2018.</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400" w:type="dxa"/>
            <w:vAlign w:val="bottom"/>
            <w:tcBorders>
              <w:left w:val="single" w:sz="8" w:color="auto"/>
            </w:tcBorders>
          </w:tcPr>
          <w:p>
            <w:pPr>
              <w:spacing w:after="0"/>
              <w:rPr>
                <w:sz w:val="5"/>
                <w:szCs w:val="5"/>
                <w:color w:val="auto"/>
              </w:rPr>
            </w:pPr>
          </w:p>
        </w:tc>
        <w:tc>
          <w:tcPr>
            <w:tcW w:w="940" w:type="dxa"/>
            <w:vAlign w:val="bottom"/>
            <w:tcBorders>
              <w:top w:val="single" w:sz="8" w:color="auto"/>
            </w:tcBorders>
            <w:vMerge w:val="restart"/>
          </w:tcPr>
          <w:p>
            <w:pPr>
              <w:jc w:val="center"/>
              <w:ind w:left="19"/>
              <w:spacing w:after="0"/>
              <w:rPr>
                <w:sz w:val="20"/>
                <w:szCs w:val="20"/>
                <w:color w:val="auto"/>
              </w:rPr>
            </w:pPr>
            <w:r>
              <w:rPr>
                <w:rFonts w:ascii="Arial" w:cs="Arial" w:eastAsia="Arial" w:hAnsi="Arial"/>
                <w:sz w:val="16"/>
                <w:szCs w:val="16"/>
                <w:color w:val="auto"/>
                <w:w w:val="98"/>
              </w:rPr>
              <w:t>Audit</w:t>
            </w:r>
          </w:p>
        </w:tc>
        <w:tc>
          <w:tcPr>
            <w:tcW w:w="500" w:type="dxa"/>
            <w:vAlign w:val="bottom"/>
            <w:tcBorders>
              <w:right w:val="single" w:sz="8" w:color="auto"/>
            </w:tcBorders>
            <w:vMerge w:val="restart"/>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135"/>
        </w:trPr>
        <w:tc>
          <w:tcPr>
            <w:tcW w:w="400" w:type="dxa"/>
            <w:vAlign w:val="bottom"/>
            <w:tcBorders>
              <w:left w:val="single" w:sz="8" w:color="auto"/>
            </w:tcBorders>
          </w:tcPr>
          <w:p>
            <w:pPr>
              <w:spacing w:after="0"/>
              <w:rPr>
                <w:sz w:val="11"/>
                <w:szCs w:val="11"/>
                <w:color w:val="auto"/>
              </w:rPr>
            </w:pPr>
          </w:p>
        </w:tc>
        <w:tc>
          <w:tcPr>
            <w:tcW w:w="94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She previously served as Partner and Chief</w:t>
            </w:r>
          </w:p>
        </w:tc>
        <w:tc>
          <w:tcPr>
            <w:tcW w:w="180" w:type="dxa"/>
            <w:vAlign w:val="bottom"/>
            <w:gridSpan w:val="2"/>
            <w:vMerge w:val="continue"/>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41"/>
        </w:trPr>
        <w:tc>
          <w:tcPr>
            <w:tcW w:w="40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restart"/>
          </w:tcPr>
          <w:p>
            <w:pPr>
              <w:jc w:val="center"/>
              <w:ind w:right="400"/>
              <w:spacing w:after="0"/>
              <w:rPr>
                <w:sz w:val="20"/>
                <w:szCs w:val="20"/>
                <w:color w:val="auto"/>
              </w:rPr>
            </w:pPr>
            <w:r>
              <w:rPr>
                <w:rFonts w:ascii="Arial" w:cs="Arial" w:eastAsia="Arial" w:hAnsi="Arial"/>
                <w:sz w:val="16"/>
                <w:szCs w:val="16"/>
                <w:color w:val="auto"/>
              </w:rPr>
              <w:t>Governance</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Financial Officer of PWP from December 2016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00" w:type="dxa"/>
            <w:vAlign w:val="bottom"/>
            <w:tcBorders>
              <w:left w:val="single" w:sz="8" w:color="auto"/>
            </w:tcBorders>
          </w:tcPr>
          <w:p>
            <w:pPr>
              <w:spacing w:after="0"/>
              <w:rPr>
                <w:sz w:val="4"/>
                <w:szCs w:val="4"/>
                <w:color w:val="auto"/>
              </w:rPr>
            </w:pPr>
          </w:p>
        </w:tc>
        <w:tc>
          <w:tcPr>
            <w:tcW w:w="1440" w:type="dxa"/>
            <w:vAlign w:val="bottom"/>
            <w:tcBorders>
              <w:right w:val="single" w:sz="8" w:color="auto"/>
            </w:tcBorders>
            <w:gridSpan w:val="2"/>
            <w:vMerge w:val="continue"/>
          </w:tcPr>
          <w:p>
            <w:pPr>
              <w:spacing w:after="0"/>
              <w:rPr>
                <w:sz w:val="4"/>
                <w:szCs w:val="4"/>
                <w:color w:val="auto"/>
              </w:rPr>
            </w:pPr>
          </w:p>
        </w:tc>
        <w:tc>
          <w:tcPr>
            <w:tcW w:w="352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0" w:type="dxa"/>
            <w:vAlign w:val="bottom"/>
            <w:tcBorders>
              <w:left w:val="single" w:sz="8" w:color="auto"/>
            </w:tcBorders>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through November 2018. She served as CFO</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continue"/>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40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a member of the Management Committee</w:t>
            </w: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 Tudor, Pickering, Holt &amp; Co. from the firm’s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founding in 2007 until its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312"/>
        </w:trPr>
        <w:tc>
          <w:tcPr>
            <w:tcW w:w="42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80" w:type="dxa"/>
            <w:vAlign w:val="bottom"/>
            <w:tcBorders>
              <w:top w:val="single" w:sz="8" w:color="auto"/>
              <w:right w:val="single" w:sz="8" w:color="auto"/>
            </w:tcBorders>
          </w:tcPr>
          <w:p>
            <w:pPr>
              <w:spacing w:after="0"/>
              <w:rPr>
                <w:sz w:val="24"/>
                <w:szCs w:val="24"/>
                <w:color w:val="auto"/>
              </w:rPr>
            </w:pPr>
          </w:p>
        </w:tc>
        <w:tc>
          <w:tcPr>
            <w:tcW w:w="3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combination with PWP in 2016. Ms. Pruner</w:t>
            </w:r>
          </w:p>
        </w:tc>
        <w:tc>
          <w:tcPr>
            <w:tcW w:w="1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a director and member of the audit</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00"/>
        </w:trPr>
        <w:tc>
          <w:tcPr>
            <w:tcW w:w="420" w:type="dxa"/>
            <w:vAlign w:val="bottom"/>
            <w:tcBorders>
              <w:left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committee of Anadarko Petroleum Corporation</w:t>
            </w:r>
          </w:p>
        </w:tc>
        <w:tc>
          <w:tcPr>
            <w:tcW w:w="180" w:type="dxa"/>
            <w:vAlign w:val="bottom"/>
            <w:gridSpan w:val="2"/>
            <w:vMerge w:val="continue"/>
          </w:tcPr>
          <w:p>
            <w:pPr>
              <w:spacing w:after="0"/>
              <w:rPr>
                <w:sz w:val="8"/>
                <w:szCs w:val="8"/>
                <w:color w:val="auto"/>
              </w:rPr>
            </w:pPr>
          </w:p>
        </w:tc>
        <w:tc>
          <w:tcPr>
            <w:tcW w:w="26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2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December 2018 until August 2019. She</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has also served as a director of NRG Energy,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 since October 2019, as chairman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Malta Inc. since April 2022, and as 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Encino Acquisition Partners, LLC</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since November 2019 and as chairman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since December 2021. She is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founder and a board member of Women’s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Global Leadership Conference in Energy &amp;</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Technology, is an Emeritus Director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Amegy Bank Development Board, and is Chair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Brown University’s President’s Advisory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Council on the Economics Department. She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also serves on the Board of the Houston Zoo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the Texas Medical Center, among other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volunteer efforts. Ms. Pruner holds a BA 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Economics from Brown University. The 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has determined that Ms. Pruner is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 rules and qualifies as an “Audit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Financial Expert.” Ms. Pruner’s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extensive experience in the energy industry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a variety of perspectives, along with her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strong finance and investment banking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background, make her uniquely qualified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 on the 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LAWRENCE M.</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Lawrence M. Ziemba</w:t>
            </w:r>
            <w:r>
              <w:rPr>
                <w:rFonts w:ascii="Arial" w:cs="Arial" w:eastAsia="Arial" w:hAnsi="Arial"/>
                <w:sz w:val="16"/>
                <w:szCs w:val="16"/>
                <w:color w:val="auto"/>
              </w:rPr>
              <w:t>,</w:t>
            </w:r>
            <w:r>
              <w:rPr>
                <w:rFonts w:ascii="Arial" w:cs="Arial" w:eastAsia="Arial" w:hAnsi="Arial"/>
                <w:sz w:val="16"/>
                <w:szCs w:val="16"/>
                <w:i w:val="1"/>
                <w:iCs w:val="1"/>
                <w:color w:val="auto"/>
              </w:rPr>
              <w:t xml:space="preserve"> age 66</w:t>
            </w:r>
            <w:r>
              <w:rPr>
                <w:rFonts w:ascii="Arial" w:cs="Arial" w:eastAsia="Arial" w:hAnsi="Arial"/>
                <w:sz w:val="16"/>
                <w:szCs w:val="16"/>
                <w:color w:val="auto"/>
              </w:rPr>
              <w:t>, has served as a</w:t>
            </w:r>
          </w:p>
        </w:tc>
        <w:tc>
          <w:tcPr>
            <w:tcW w:w="60" w:type="dxa"/>
            <w:vAlign w:val="bottom"/>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rPr>
              <w:t>ZIEMBA</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January 2020.</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Independent</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Ziemba served as Executive Vice</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20" w:type="dxa"/>
            <w:vAlign w:val="bottom"/>
            <w:tcBorders>
              <w:left w:val="single" w:sz="8" w:color="auto"/>
            </w:tcBorders>
          </w:tcPr>
          <w:p>
            <w:pPr>
              <w:spacing w:after="0"/>
              <w:rPr>
                <w:sz w:val="6"/>
                <w:szCs w:val="6"/>
                <w:color w:val="auto"/>
              </w:rPr>
            </w:pPr>
          </w:p>
        </w:tc>
        <w:tc>
          <w:tcPr>
            <w:tcW w:w="1420" w:type="dxa"/>
            <w:vAlign w:val="bottom"/>
            <w:tcBorders>
              <w:right w:val="single" w:sz="8" w:color="auto"/>
            </w:tcBorders>
            <w:gridSpan w:val="2"/>
            <w:vMerge w:val="continue"/>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President, Refining, and a member of the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75"/>
        </w:trPr>
        <w:tc>
          <w:tcPr>
            <w:tcW w:w="420" w:type="dxa"/>
            <w:vAlign w:val="bottom"/>
            <w:tcBorders>
              <w:lef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3520" w:type="dxa"/>
            <w:vAlign w:val="bottom"/>
            <w:tcBorders>
              <w:right w:val="single" w:sz="8" w:color="auto"/>
            </w:tcBorders>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committee of Phillips 66 from</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440"/>
              <w:spacing w:after="0" w:line="175" w:lineRule="exact"/>
              <w:rPr>
                <w:sz w:val="20"/>
                <w:szCs w:val="20"/>
                <w:color w:val="auto"/>
              </w:rPr>
            </w:pPr>
            <w:r>
              <w:rPr>
                <w:rFonts w:ascii="Arial" w:cs="Arial" w:eastAsia="Arial" w:hAnsi="Arial"/>
                <w:sz w:val="16"/>
                <w:szCs w:val="16"/>
                <w:b w:val="1"/>
                <w:bCs w:val="1"/>
                <w:i w:val="1"/>
                <w:iCs w:val="1"/>
                <w:color w:val="auto"/>
              </w:rPr>
              <w:t>since 2020</w:t>
            </w:r>
          </w:p>
        </w:tc>
        <w:tc>
          <w:tcPr>
            <w:tcW w:w="35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May 2012 until his retirement in</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tcBorders>
              <w:left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16"/>
                <w:szCs w:val="16"/>
                <w:b w:val="1"/>
                <w:bCs w:val="1"/>
                <w:color w:val="auto"/>
              </w:rPr>
              <w:t>Committees:</w:t>
            </w: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2017. From 2001 to May 2012, he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6"/>
        </w:trPr>
        <w:tc>
          <w:tcPr>
            <w:tcW w:w="1840" w:type="dxa"/>
            <w:vAlign w:val="bottom"/>
            <w:tcBorders>
              <w:left w:val="single" w:sz="8" w:color="auto"/>
              <w:right w:val="single" w:sz="8" w:color="auto"/>
            </w:tcBorders>
            <w:gridSpan w:val="3"/>
            <w:vMerge w:val="continue"/>
          </w:tcPr>
          <w:p>
            <w:pPr>
              <w:spacing w:after="0"/>
              <w:rPr>
                <w:sz w:val="9"/>
                <w:szCs w:val="9"/>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in various downstream positions with</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63"/>
        </w:trPr>
        <w:tc>
          <w:tcPr>
            <w:tcW w:w="420" w:type="dxa"/>
            <w:vAlign w:val="bottom"/>
            <w:tcBorders>
              <w:left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142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Audit</w:t>
            </w: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ConocoPhillips, including most recently as</w:t>
            </w:r>
          </w:p>
        </w:tc>
        <w:tc>
          <w:tcPr>
            <w:tcW w:w="180" w:type="dxa"/>
            <w:vAlign w:val="bottom"/>
            <w:gridSpan w:val="2"/>
            <w:vMerge w:val="continue"/>
          </w:tcPr>
          <w:p>
            <w:pPr>
              <w:spacing w:after="0"/>
              <w:rPr>
                <w:sz w:val="10"/>
                <w:szCs w:val="10"/>
                <w:color w:val="auto"/>
              </w:rPr>
            </w:pPr>
          </w:p>
        </w:tc>
        <w:tc>
          <w:tcPr>
            <w:tcW w:w="26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60"/>
        </w:trPr>
        <w:tc>
          <w:tcPr>
            <w:tcW w:w="42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President, Global Refining, and as a member</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20" w:type="dxa"/>
            <w:vAlign w:val="bottom"/>
            <w:tcBorders>
              <w:left w:val="single" w:sz="8" w:color="auto"/>
            </w:tcBorders>
          </w:tcPr>
          <w:p>
            <w:pPr>
              <w:spacing w:after="0"/>
              <w:rPr>
                <w:sz w:val="5"/>
                <w:szCs w:val="5"/>
                <w:color w:val="auto"/>
              </w:rPr>
            </w:pPr>
          </w:p>
        </w:tc>
        <w:tc>
          <w:tcPr>
            <w:tcW w:w="142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6"/>
                <w:szCs w:val="16"/>
                <w:color w:val="auto"/>
              </w:rPr>
              <w:t>HSES (chair)</w:t>
            </w:r>
          </w:p>
        </w:tc>
        <w:tc>
          <w:tcPr>
            <w:tcW w:w="35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2"/>
            <w:vMerge w:val="continue"/>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the executive committee. He also held</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various positions of increasing responsibility</w:t>
            </w:r>
          </w:p>
        </w:tc>
        <w:tc>
          <w:tcPr>
            <w:tcW w:w="180" w:type="dxa"/>
            <w:vAlign w:val="bottom"/>
            <w:gridSpan w:val="2"/>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42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with Tosco/Unocal from 1977 to 2001. He has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20" w:type="dxa"/>
            <w:vAlign w:val="bottom"/>
            <w:tcBorders>
              <w:left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held a number of industry leadership positions,</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 with API and AFPM. He currently</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7"/>
        </w:trPr>
        <w:tc>
          <w:tcPr>
            <w:tcW w:w="4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serves on the board of directors of PBF</w:t>
            </w:r>
          </w:p>
        </w:tc>
        <w:tc>
          <w:tcPr>
            <w:tcW w:w="180" w:type="dxa"/>
            <w:vAlign w:val="bottom"/>
            <w:gridSpan w:val="2"/>
            <w:vMerge w:val="continue"/>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20" w:type="dxa"/>
            <w:vAlign w:val="bottom"/>
            <w:tcBorders>
              <w:lef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Logistics GP LLC. He also serves on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trustees of Duchesne Academy 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Houston, where he chairs the finance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Mr. Ziemba received a BS 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mechanical engineering from the University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Illinois — Champaign and an MBA from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University of Chicago. The Board has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Ziemba is “independent”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under applicable Nasdaq and SEC rules. We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believe that his operations, technical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project management expertise, coupled with</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business sense and understanding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strategic positioning in the energy space, adds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diverse operating and downstream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 to the 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20" w:type="dxa"/>
            <w:vAlign w:val="bottom"/>
            <w:tcBorders>
              <w:left w:val="single" w:sz="8" w:color="auto"/>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III Directors (terms expire in 2024):</w:t>
      </w:r>
    </w:p>
    <w:p>
      <w:pPr>
        <w:spacing w:after="0" w:line="111"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440" w:type="dxa"/>
            <w:vAlign w:val="bottom"/>
            <w:tcBorders>
              <w:top w:val="single" w:sz="8" w:color="auto"/>
              <w:left w:val="single" w:sz="8" w:color="auto"/>
            </w:tcBorders>
          </w:tcPr>
          <w:p>
            <w:pPr>
              <w:spacing w:after="0"/>
              <w:rPr>
                <w:sz w:val="19"/>
                <w:szCs w:val="19"/>
                <w:color w:val="auto"/>
              </w:rPr>
            </w:pPr>
          </w:p>
        </w:tc>
        <w:tc>
          <w:tcPr>
            <w:tcW w:w="1420" w:type="dxa"/>
            <w:vAlign w:val="bottom"/>
            <w:tcBorders>
              <w:top w:val="single" w:sz="8" w:color="auto"/>
              <w:right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rPr>
              <w:t>GREG L.</w:t>
            </w:r>
          </w:p>
        </w:tc>
        <w:tc>
          <w:tcPr>
            <w:tcW w:w="35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Greg L. Armstrong, age 63, </w:t>
            </w:r>
            <w:r>
              <w:rPr>
                <w:rFonts w:ascii="Arial" w:cs="Arial" w:eastAsia="Arial" w:hAnsi="Arial"/>
                <w:sz w:val="16"/>
                <w:szCs w:val="16"/>
                <w:color w:val="auto"/>
              </w:rPr>
              <w:t>has served as a</w:t>
            </w:r>
          </w:p>
        </w:tc>
        <w:tc>
          <w:tcPr>
            <w:tcW w:w="6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ARMSTRONG</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2013. He has also</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Senior Advisor to the CEO since</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gridSpan w:val="3"/>
            <w:vMerge w:val="continue"/>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60" w:type="dxa"/>
            <w:vAlign w:val="bottom"/>
            <w:tcBorders>
              <w:left w:val="single" w:sz="8" w:color="auto"/>
              <w:right w:val="single" w:sz="8" w:color="auto"/>
            </w:tcBorders>
            <w:gridSpan w:val="3"/>
            <w:vMerge w:val="continue"/>
          </w:tcPr>
          <w:p>
            <w:pPr>
              <w:spacing w:after="0"/>
              <w:rPr>
                <w:sz w:val="9"/>
                <w:szCs w:val="9"/>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January 1, 2020. Mr. Armstrong served as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75"/>
        </w:trPr>
        <w:tc>
          <w:tcPr>
            <w:tcW w:w="4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Chairman of the Board of PAGP GP from</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60" w:type="dxa"/>
            <w:vAlign w:val="bottom"/>
            <w:tcBorders>
              <w:left w:val="single" w:sz="8" w:color="auto"/>
              <w:right w:val="single" w:sz="8" w:color="auto"/>
            </w:tcBorders>
            <w:gridSpan w:val="3"/>
            <w:vMerge w:val="continue"/>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359"/>
              <w:spacing w:after="0" w:line="175" w:lineRule="exact"/>
              <w:rPr>
                <w:sz w:val="20"/>
                <w:szCs w:val="20"/>
                <w:color w:val="auto"/>
              </w:rPr>
            </w:pPr>
            <w:r>
              <w:rPr>
                <w:rFonts w:ascii="Arial" w:cs="Arial" w:eastAsia="Arial" w:hAnsi="Arial"/>
                <w:sz w:val="16"/>
                <w:szCs w:val="16"/>
                <w:b w:val="1"/>
                <w:bCs w:val="1"/>
                <w:i w:val="1"/>
                <w:iCs w:val="1"/>
                <w:color w:val="auto"/>
              </w:rPr>
              <w:t>since 1998</w:t>
            </w:r>
          </w:p>
        </w:tc>
        <w:tc>
          <w:tcPr>
            <w:tcW w:w="35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July 2013 through December 31, 2019 and as</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Former Chairman</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Chief Executive Officer of PAGP GP from</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gridSpan w:val="3"/>
            <w:vMerge w:val="continue"/>
          </w:tcPr>
          <w:p>
            <w:pPr>
              <w:spacing w:after="0"/>
              <w:rPr>
                <w:sz w:val="10"/>
                <w:szCs w:val="10"/>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July 2013 until his retirement from such</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40" w:type="dxa"/>
            <w:vAlign w:val="bottom"/>
            <w:tcBorders>
              <w:left w:val="single" w:sz="8" w:color="auto"/>
            </w:tcBorders>
          </w:tcPr>
          <w:p>
            <w:pPr>
              <w:spacing w:after="0"/>
              <w:rPr>
                <w:sz w:val="6"/>
                <w:szCs w:val="6"/>
                <w:color w:val="auto"/>
              </w:rPr>
            </w:pPr>
          </w:p>
        </w:tc>
        <w:tc>
          <w:tcPr>
            <w:tcW w:w="142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b w:val="1"/>
                <w:bCs w:val="1"/>
                <w:i w:val="1"/>
                <w:iCs w:val="1"/>
                <w:color w:val="auto"/>
              </w:rPr>
              <w:t>and CEO</w:t>
            </w:r>
          </w:p>
        </w:tc>
        <w:tc>
          <w:tcPr>
            <w:tcW w:w="3500" w:type="dxa"/>
            <w:vAlign w:val="bottom"/>
            <w:tcBorders>
              <w:right w:val="single" w:sz="8" w:color="auto"/>
            </w:tcBorders>
            <w:vMerge w:val="continue"/>
          </w:tcPr>
          <w:p>
            <w:pPr>
              <w:spacing w:after="0"/>
              <w:rPr>
                <w:sz w:val="6"/>
                <w:szCs w:val="6"/>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135"/>
        </w:trPr>
        <w:tc>
          <w:tcPr>
            <w:tcW w:w="440" w:type="dxa"/>
            <w:vAlign w:val="bottom"/>
            <w:tcBorders>
              <w:left w:val="single" w:sz="8" w:color="auto"/>
            </w:tcBorders>
          </w:tcPr>
          <w:p>
            <w:pPr>
              <w:spacing w:after="0"/>
              <w:rPr>
                <w:sz w:val="11"/>
                <w:szCs w:val="11"/>
                <w:color w:val="auto"/>
              </w:rPr>
            </w:pPr>
          </w:p>
        </w:tc>
        <w:tc>
          <w:tcPr>
            <w:tcW w:w="1420" w:type="dxa"/>
            <w:vAlign w:val="bottom"/>
            <w:tcBorders>
              <w:right w:val="single" w:sz="8" w:color="auto"/>
            </w:tcBorders>
            <w:gridSpan w:val="2"/>
            <w:vMerge w:val="continue"/>
          </w:tcPr>
          <w:p>
            <w:pPr>
              <w:spacing w:after="0"/>
              <w:rPr>
                <w:sz w:val="11"/>
                <w:szCs w:val="11"/>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position in October 2018. He also served as</w:t>
            </w:r>
          </w:p>
        </w:tc>
        <w:tc>
          <w:tcPr>
            <w:tcW w:w="180" w:type="dxa"/>
            <w:vAlign w:val="bottom"/>
            <w:gridSpan w:val="2"/>
            <w:vMerge w:val="continue"/>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41"/>
        </w:trPr>
        <w:tc>
          <w:tcPr>
            <w:tcW w:w="4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Chief Executive Officer of GP LLC from PAA’s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formation in 1998 until his retirement from that</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position in October 2018. He served as a</w:t>
            </w:r>
          </w:p>
        </w:tc>
        <w:tc>
          <w:tcPr>
            <w:tcW w:w="180" w:type="dxa"/>
            <w:vAlign w:val="bottom"/>
            <w:gridSpan w:val="2"/>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4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PAA’s general partner or former</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5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general partner from PAA’s formation until</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November 2016 when the Board of PAGP GP</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41"/>
        </w:trPr>
        <w:tc>
          <w:tcPr>
            <w:tcW w:w="4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assumed responsibility for PAA in addition to</w:t>
            </w:r>
          </w:p>
        </w:tc>
        <w:tc>
          <w:tcPr>
            <w:tcW w:w="180" w:type="dxa"/>
            <w:vAlign w:val="bottom"/>
            <w:gridSpan w:val="2"/>
            <w:vMerge w:val="continue"/>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and AAP. In addition, he was President,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Chief Executive Officer and director of Plains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Inc. from 1992 to May 2001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in various roles of increasing</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responsibility from 1981 to 1992.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 served as a director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Federal Reserve Bank of Dallas from 2015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2021, retiring as Chair at the end of 2021.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 also serves as a director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Memorial Hermann Health System and NOV,</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 Mr. Armstrong is also a member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advisory board of the Maguire Energy Institute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 the Cox School of Business at Southern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Methodist University, a member of the adjunct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faculty for the University of Oklahoma’s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MBA in Energy program and is 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past Chairman of the National Petroleum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Council. Mr. Armstrong’s experience with PAA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since its formation, including as former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Chairman and CEO, and his long-time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involvement in the energy industry, provide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with invaluable insight and perspective.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4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35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JOHN T. RAYMOND</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John T. Raymond, age 51, </w:t>
            </w:r>
            <w:r>
              <w:rPr>
                <w:rFonts w:ascii="Arial" w:cs="Arial" w:eastAsia="Arial" w:hAnsi="Arial"/>
                <w:sz w:val="16"/>
                <w:szCs w:val="16"/>
                <w:color w:val="auto"/>
              </w:rPr>
              <w:t>has served as a</w:t>
            </w:r>
          </w:p>
        </w:tc>
        <w:tc>
          <w:tcPr>
            <w:tcW w:w="6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b w:val="1"/>
                <w:bCs w:val="1"/>
                <w:color w:val="auto"/>
              </w:rPr>
              <w:t>Independent</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October 2013. He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440" w:type="dxa"/>
            <w:vAlign w:val="bottom"/>
            <w:tcBorders>
              <w:left w:val="single" w:sz="8" w:color="auto"/>
            </w:tcBorders>
          </w:tcPr>
          <w:p>
            <w:pPr>
              <w:spacing w:after="0"/>
              <w:rPr>
                <w:sz w:val="9"/>
                <w:szCs w:val="9"/>
                <w:color w:val="auto"/>
              </w:rPr>
            </w:pPr>
          </w:p>
        </w:tc>
        <w:tc>
          <w:tcPr>
            <w:tcW w:w="1420" w:type="dxa"/>
            <w:vAlign w:val="bottom"/>
            <w:tcBorders>
              <w:right w:val="single" w:sz="8" w:color="auto"/>
            </w:tcBorders>
            <w:gridSpan w:val="2"/>
            <w:vMerge w:val="continue"/>
          </w:tcPr>
          <w:p>
            <w:pPr>
              <w:spacing w:after="0"/>
              <w:rPr>
                <w:sz w:val="9"/>
                <w:szCs w:val="9"/>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a director of PAA’s general partner</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December 2010 until November 2016.</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7"/>
        </w:trPr>
        <w:tc>
          <w:tcPr>
            <w:tcW w:w="440" w:type="dxa"/>
            <w:vAlign w:val="bottom"/>
            <w:tcBorders>
              <w:left w:val="single" w:sz="8" w:color="auto"/>
            </w:tcBorders>
          </w:tcPr>
          <w:p>
            <w:pPr>
              <w:spacing w:after="0"/>
              <w:rPr>
                <w:sz w:val="15"/>
                <w:szCs w:val="15"/>
                <w:color w:val="auto"/>
              </w:rPr>
            </w:pPr>
          </w:p>
        </w:tc>
        <w:tc>
          <w:tcPr>
            <w:tcW w:w="1420" w:type="dxa"/>
            <w:vAlign w:val="bottom"/>
            <w:tcBorders>
              <w:right w:val="single" w:sz="8" w:color="auto"/>
            </w:tcBorders>
            <w:gridSpan w:val="2"/>
          </w:tcPr>
          <w:p>
            <w:pPr>
              <w:jc w:val="center"/>
              <w:ind w:right="359"/>
              <w:spacing w:after="0" w:line="178" w:lineRule="exact"/>
              <w:rPr>
                <w:sz w:val="20"/>
                <w:szCs w:val="20"/>
                <w:color w:val="auto"/>
              </w:rPr>
            </w:pPr>
            <w:r>
              <w:rPr>
                <w:rFonts w:ascii="Arial" w:cs="Arial" w:eastAsia="Arial" w:hAnsi="Arial"/>
                <w:sz w:val="16"/>
                <w:szCs w:val="16"/>
                <w:b w:val="1"/>
                <w:bCs w:val="1"/>
                <w:i w:val="1"/>
                <w:iCs w:val="1"/>
                <w:color w:val="auto"/>
              </w:rPr>
              <w:t>since 2010</w:t>
            </w:r>
          </w:p>
        </w:tc>
        <w:tc>
          <w:tcPr>
            <w:tcW w:w="350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Mr. Raymond is the founder and majority</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00" w:type="dxa"/>
            <w:vAlign w:val="bottom"/>
            <w:tcBorders>
              <w:right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w w:val="74"/>
              </w:rPr>
              <w:t>:</w:t>
            </w:r>
          </w:p>
        </w:tc>
        <w:tc>
          <w:tcPr>
            <w:tcW w:w="35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owner of The Energy &amp; Minerals Group</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40" w:type="dxa"/>
            <w:vAlign w:val="bottom"/>
            <w:tcBorders>
              <w:left w:val="single" w:sz="8" w:color="auto"/>
            </w:tcBorders>
            <w:vMerge w:val="restart"/>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(“EMG”), which is the management company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3"/>
        </w:trPr>
        <w:tc>
          <w:tcPr>
            <w:tcW w:w="440" w:type="dxa"/>
            <w:vAlign w:val="bottom"/>
            <w:tcBorders>
              <w:lef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Compensation (chair)</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a series of specialized private equity funds.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60"/>
        </w:trPr>
        <w:tc>
          <w:tcPr>
            <w:tcW w:w="1860" w:type="dxa"/>
            <w:vAlign w:val="bottom"/>
            <w:tcBorders>
              <w:left w:val="single" w:sz="8" w:color="auto"/>
              <w:right w:val="single" w:sz="8" w:color="auto"/>
            </w:tcBorders>
            <w:gridSpan w:val="3"/>
            <w:vMerge w:val="continue"/>
          </w:tcPr>
          <w:p>
            <w:pPr>
              <w:spacing w:after="0"/>
              <w:rPr>
                <w:sz w:val="5"/>
                <w:szCs w:val="5"/>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EMG was founded in 2006 and focuses on</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4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41"/>
        </w:trPr>
        <w:tc>
          <w:tcPr>
            <w:tcW w:w="4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investing across various facets of the global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natural resource industry including the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upstream and midstream segments of the</w:t>
            </w:r>
          </w:p>
        </w:tc>
        <w:tc>
          <w:tcPr>
            <w:tcW w:w="180" w:type="dxa"/>
            <w:vAlign w:val="bottom"/>
            <w:gridSpan w:val="2"/>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7"/>
        </w:trPr>
        <w:tc>
          <w:tcPr>
            <w:tcW w:w="4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energy complex. As of September 30, 2021,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5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EMG had approximately $12 billion of</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regulatory assets under management and</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41"/>
        </w:trPr>
        <w:tc>
          <w:tcPr>
            <w:tcW w:w="4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approximately $12 billion in commitments</w:t>
            </w:r>
          </w:p>
        </w:tc>
        <w:tc>
          <w:tcPr>
            <w:tcW w:w="180" w:type="dxa"/>
            <w:vAlign w:val="bottom"/>
            <w:gridSpan w:val="2"/>
            <w:vMerge w:val="continue"/>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have been allocated across the energy sector</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60"/>
        </w:trPr>
        <w:tc>
          <w:tcPr>
            <w:tcW w:w="4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since inception. From 1998 until founding</w:t>
            </w: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EMG, Mr. Raymond held various executive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leadership positions with several energy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companies, including Plains Resources Inc.</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publicly traded predecessor company to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Vulcan Energy), Plains Exploration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Production Company, Kinder Morgan, Inc.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Ocean Energy, Inc. From 1992 to 1998, 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was a Vice President with Howard Weil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Labouisse Friedrichs, Inc. Mr. Raymond has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been a direct or indirect owner of PAA’s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general partner since 2001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40" w:type="dxa"/>
            <w:vAlign w:val="bottom"/>
            <w:tcBorders>
              <w:left w:val="single" w:sz="8" w:color="auto"/>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35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72"/>
        </w:trPr>
        <w:tc>
          <w:tcPr>
            <w:tcW w:w="400" w:type="dxa"/>
            <w:vAlign w:val="bottom"/>
            <w:tcBorders>
              <w:top w:val="single" w:sz="8" w:color="auto"/>
              <w:left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right w:val="single" w:sz="8" w:color="auto"/>
            </w:tcBorders>
          </w:tcPr>
          <w:p>
            <w:pPr>
              <w:spacing w:after="0"/>
              <w:rPr>
                <w:sz w:val="23"/>
                <w:szCs w:val="23"/>
                <w:color w:val="auto"/>
              </w:rPr>
            </w:pPr>
          </w:p>
        </w:tc>
        <w:tc>
          <w:tcPr>
            <w:tcW w:w="35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and served on the board of PAA’s general</w:t>
            </w: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3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from 2001 to 2005. He serves 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numerous other private company boards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serves on the board of NGL Energy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Holdings LLC, the general partner of NGL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Partners, L.P. Mr. Raymond received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BSM degree from the A.B. Freeman School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Business at Tulane University with dual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concentrations in finance and accounting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sits on the board of the Business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School Council. He also serves as a director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 the board of the American Heart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Association, as a member of the MD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Anderson Cancer Center Board of Visitors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is a member of YPO. The Board has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Raymond is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 rules. We believe that Mr. Raymond’s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with investment in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of a variety of upstream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midstream assets and operations provides a</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valuable resource to the Board.</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6"/>
                <w:szCs w:val="16"/>
                <w:b w:val="1"/>
                <w:bCs w:val="1"/>
                <w:color w:val="auto"/>
              </w:rPr>
              <w:t>BOBBY S.</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Bobby S. Shackouls, age 71, </w:t>
            </w:r>
            <w:r>
              <w:rPr>
                <w:rFonts w:ascii="Arial" w:cs="Arial" w:eastAsia="Arial" w:hAnsi="Arial"/>
                <w:sz w:val="16"/>
                <w:szCs w:val="16"/>
                <w:color w:val="auto"/>
              </w:rPr>
              <w:t>has served as a</w:t>
            </w:r>
          </w:p>
        </w:tc>
        <w:tc>
          <w:tcPr>
            <w:tcW w:w="60" w:type="dxa"/>
            <w:vAlign w:val="bottom"/>
          </w:tcPr>
          <w:p>
            <w:pPr>
              <w:spacing w:after="0"/>
              <w:rPr>
                <w:sz w:val="21"/>
                <w:szCs w:val="21"/>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0" w:type="dxa"/>
            <w:vAlign w:val="bottom"/>
            <w:tcBorders>
              <w:left w:val="single" w:sz="8" w:color="auto"/>
            </w:tcBorders>
          </w:tcPr>
          <w:p>
            <w:pPr>
              <w:spacing w:after="0"/>
              <w:rPr>
                <w:sz w:val="18"/>
                <w:szCs w:val="18"/>
                <w:color w:val="auto"/>
              </w:rPr>
            </w:pPr>
          </w:p>
        </w:tc>
        <w:tc>
          <w:tcPr>
            <w:tcW w:w="1460" w:type="dxa"/>
            <w:vAlign w:val="bottom"/>
            <w:tcBorders>
              <w:right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rPr>
              <w:t>SHACKOULS</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January 2014 and</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186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rPr>
              <w:t>Lead Director</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Lead Director since January 2020.</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60" w:type="dxa"/>
            <w:vAlign w:val="bottom"/>
            <w:tcBorders>
              <w:left w:val="single" w:sz="8" w:color="auto"/>
              <w:right w:val="single" w:sz="8" w:color="auto"/>
            </w:tcBorders>
            <w:gridSpan w:val="5"/>
            <w:vMerge w:val="continue"/>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860" w:type="dxa"/>
            <w:vAlign w:val="bottom"/>
            <w:tcBorders>
              <w:left w:val="single" w:sz="8" w:color="auto"/>
              <w:right w:val="single" w:sz="8" w:color="auto"/>
            </w:tcBorders>
            <w:gridSpan w:val="5"/>
            <w:vMerge w:val="continue"/>
          </w:tcPr>
          <w:p>
            <w:pPr>
              <w:spacing w:after="0"/>
              <w:rPr>
                <w:sz w:val="6"/>
                <w:szCs w:val="6"/>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Shackouls served as Chairman of</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90"/>
        </w:trPr>
        <w:tc>
          <w:tcPr>
            <w:tcW w:w="400" w:type="dxa"/>
            <w:vAlign w:val="bottom"/>
            <w:tcBorders>
              <w:left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rPr>
              <w:t>Independent</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Burlington Resources Inc. from 1997 until its</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186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5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acquisition by ConocoPhillips in 2006, and</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860" w:type="dxa"/>
            <w:vAlign w:val="bottom"/>
            <w:tcBorders>
              <w:left w:val="single" w:sz="8" w:color="auto"/>
              <w:right w:val="single" w:sz="8" w:color="auto"/>
            </w:tcBorders>
            <w:gridSpan w:val="5"/>
            <w:vMerge w:val="continue"/>
          </w:tcPr>
          <w:p>
            <w:pPr>
              <w:spacing w:after="0"/>
              <w:rPr>
                <w:sz w:val="11"/>
                <w:szCs w:val="11"/>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continued to serve on the ConocoPhillips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74"/>
        </w:trPr>
        <w:tc>
          <w:tcPr>
            <w:tcW w:w="40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tcBorders>
              <w:right w:val="single" w:sz="8" w:color="auto"/>
            </w:tcBorders>
            <w:gridSpan w:val="3"/>
            <w:vMerge w:val="restart"/>
          </w:tcPr>
          <w:p>
            <w:pPr>
              <w:jc w:val="center"/>
              <w:ind w:right="440"/>
              <w:spacing w:after="0"/>
              <w:rPr>
                <w:sz w:val="20"/>
                <w:szCs w:val="20"/>
                <w:color w:val="auto"/>
              </w:rPr>
            </w:pPr>
            <w:r>
              <w:rPr>
                <w:rFonts w:ascii="Arial" w:cs="Arial" w:eastAsia="Arial" w:hAnsi="Arial"/>
                <w:sz w:val="16"/>
                <w:szCs w:val="16"/>
                <w:b w:val="1"/>
                <w:bCs w:val="1"/>
                <w:i w:val="1"/>
                <w:iCs w:val="1"/>
                <w:color w:val="auto"/>
              </w:rPr>
              <w:t>since 2010</w:t>
            </w: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0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Borders>
              <w:right w:val="single" w:sz="8" w:color="auto"/>
            </w:tcBorders>
            <w:gridSpan w:val="3"/>
            <w:vMerge w:val="continue"/>
          </w:tcPr>
          <w:p>
            <w:pPr>
              <w:spacing w:after="0"/>
              <w:rPr>
                <w:sz w:val="12"/>
                <w:szCs w:val="12"/>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of Directors until his retirement in</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48"/>
        </w:trPr>
        <w:tc>
          <w:tcPr>
            <w:tcW w:w="40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3500" w:type="dxa"/>
            <w:vAlign w:val="bottom"/>
            <w:tcBorders>
              <w:right w:val="single" w:sz="8" w:color="auto"/>
            </w:tcBorders>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68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right w:val="single" w:sz="8" w:color="auto"/>
            </w:tcBorders>
            <w:gridSpan w:val="3"/>
            <w:vMerge w:val="restart"/>
          </w:tcPr>
          <w:p>
            <w:pPr>
              <w:jc w:val="center"/>
              <w:ind w:right="440"/>
              <w:spacing w:after="0"/>
              <w:rPr>
                <w:sz w:val="20"/>
                <w:szCs w:val="20"/>
                <w:color w:val="auto"/>
              </w:rPr>
            </w:pPr>
            <w:r>
              <w:rPr>
                <w:rFonts w:ascii="Arial" w:cs="Arial" w:eastAsia="Arial" w:hAnsi="Arial"/>
                <w:sz w:val="16"/>
                <w:szCs w:val="16"/>
                <w:b w:val="1"/>
                <w:bCs w:val="1"/>
                <w:color w:val="auto"/>
              </w:rPr>
              <w:t>Committees:</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May 2011. Prior thereto, Mr. Shackouls</w:t>
            </w:r>
          </w:p>
        </w:tc>
        <w:tc>
          <w:tcPr>
            <w:tcW w:w="180" w:type="dxa"/>
            <w:vAlign w:val="bottom"/>
            <w:gridSpan w:val="2"/>
            <w:vMerge w:val="continue"/>
          </w:tcPr>
          <w:p>
            <w:pPr>
              <w:spacing w:after="0"/>
              <w:rPr>
                <w:sz w:val="10"/>
                <w:szCs w:val="10"/>
                <w:color w:val="auto"/>
              </w:rPr>
            </w:pPr>
          </w:p>
        </w:tc>
        <w:tc>
          <w:tcPr>
            <w:tcW w:w="26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0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tcBorders>
              <w:right w:val="single" w:sz="8" w:color="auto"/>
            </w:tcBorders>
            <w:gridSpan w:val="3"/>
            <w:vMerge w:val="continue"/>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27"/>
        </w:trPr>
        <w:tc>
          <w:tcPr>
            <w:tcW w:w="4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500" w:type="dxa"/>
            <w:vAlign w:val="bottom"/>
            <w:tcBorders>
              <w:right w:val="single" w:sz="8" w:color="auto"/>
            </w:tcBorders>
            <w:vMerge w:val="restart"/>
          </w:tcPr>
          <w:p>
            <w:pPr>
              <w:ind w:left="80"/>
              <w:spacing w:after="0" w:line="178" w:lineRule="exact"/>
              <w:rPr>
                <w:sz w:val="20"/>
                <w:szCs w:val="20"/>
                <w:color w:val="auto"/>
              </w:rPr>
            </w:pPr>
            <w:r>
              <w:rPr>
                <w:rFonts w:ascii="Arial" w:cs="Arial" w:eastAsia="Arial" w:hAnsi="Arial"/>
                <w:sz w:val="16"/>
                <w:szCs w:val="16"/>
                <w:color w:val="auto"/>
              </w:rPr>
              <w:t>served as President and Chief Executive</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86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rPr>
              <w:t>Governance (chair)</w:t>
            </w:r>
          </w:p>
        </w:tc>
        <w:tc>
          <w:tcPr>
            <w:tcW w:w="350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860" w:type="dxa"/>
            <w:vAlign w:val="bottom"/>
            <w:tcBorders>
              <w:left w:val="single" w:sz="8" w:color="auto"/>
              <w:right w:val="single" w:sz="8" w:color="auto"/>
            </w:tcBorders>
            <w:gridSpan w:val="5"/>
            <w:vMerge w:val="continue"/>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5"/>
            <w:vMerge w:val="continue"/>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of Meridian Oil, Inc., a wholly owned</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47"/>
        </w:trPr>
        <w:tc>
          <w:tcPr>
            <w:tcW w:w="40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ind w:left="80"/>
              <w:spacing w:after="0" w:line="147" w:lineRule="exact"/>
              <w:rPr>
                <w:sz w:val="20"/>
                <w:szCs w:val="20"/>
                <w:color w:val="auto"/>
              </w:rPr>
            </w:pPr>
            <w:r>
              <w:rPr>
                <w:rFonts w:ascii="Arial" w:cs="Arial" w:eastAsia="Arial" w:hAnsi="Arial"/>
                <w:sz w:val="16"/>
                <w:szCs w:val="16"/>
                <w:color w:val="auto"/>
              </w:rPr>
              <w:t>subsidiary of Burlington Resources, from 1994</w:t>
            </w:r>
          </w:p>
        </w:tc>
        <w:tc>
          <w:tcPr>
            <w:tcW w:w="180" w:type="dxa"/>
            <w:vAlign w:val="bottom"/>
            <w:gridSpan w:val="2"/>
            <w:vMerge w:val="continue"/>
          </w:tcPr>
          <w:p>
            <w:pPr>
              <w:spacing w:after="0"/>
              <w:rPr>
                <w:sz w:val="12"/>
                <w:szCs w:val="12"/>
                <w:color w:val="auto"/>
              </w:rPr>
            </w:pPr>
          </w:p>
        </w:tc>
        <w:tc>
          <w:tcPr>
            <w:tcW w:w="2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to 1995, and as President and Chief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42"/>
        </w:trPr>
        <w:tc>
          <w:tcPr>
            <w:tcW w:w="40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350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Officer of Burlington Resources</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1995 until 2006. Mr. Shackouls served</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7"/>
        </w:trPr>
        <w:tc>
          <w:tcPr>
            <w:tcW w:w="40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director of The Kroger Co. from 1999</w:t>
            </w:r>
          </w:p>
        </w:tc>
        <w:tc>
          <w:tcPr>
            <w:tcW w:w="180" w:type="dxa"/>
            <w:vAlign w:val="bottom"/>
            <w:gridSpan w:val="2"/>
            <w:vMerge w:val="continue"/>
          </w:tcPr>
          <w:p>
            <w:pPr>
              <w:spacing w:after="0"/>
              <w:rPr>
                <w:sz w:val="11"/>
                <w:szCs w:val="11"/>
                <w:color w:val="auto"/>
              </w:rPr>
            </w:pPr>
          </w:p>
        </w:tc>
        <w:tc>
          <w:tcPr>
            <w:tcW w:w="268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January 2021, as a director of Oasis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from 2012 until November 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 a director of Quintana Energy Services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January 2019 until July 2020. He served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a director and member of the audit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of PNGS GP LLC, the general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of PAA Natural Gas Storage, L.P.,</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April 2010 through December 2013.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has determined that Mr. Shackouls is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 rules. We believe that Mr. Shackouls’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extensive experience within the energy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industry offers valuable perspective and, in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tandem with his long history of leadership as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CEO of a public company, make him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highly qualified to serve as a member of the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5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86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CHRISTOPHER M.</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Christopher M. Temple, age 54, </w:t>
            </w:r>
            <w:r>
              <w:rPr>
                <w:rFonts w:ascii="Arial" w:cs="Arial" w:eastAsia="Arial" w:hAnsi="Arial"/>
                <w:sz w:val="16"/>
                <w:szCs w:val="16"/>
                <w:color w:val="auto"/>
              </w:rPr>
              <w:t>has served</w:t>
            </w:r>
          </w:p>
        </w:tc>
        <w:tc>
          <w:tcPr>
            <w:tcW w:w="6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Board Qualifications:</w:t>
            </w: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6"/>
                <w:szCs w:val="16"/>
                <w:b w:val="1"/>
                <w:bCs w:val="1"/>
                <w:color w:val="auto"/>
              </w:rPr>
              <w:t>TEMPLE</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a director of PAGP GP since</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gridSpan w:val="3"/>
            <w:vMerge w:val="restart"/>
          </w:tcPr>
          <w:p>
            <w:pPr>
              <w:jc w:val="center"/>
              <w:ind w:right="420"/>
              <w:spacing w:after="0"/>
              <w:rPr>
                <w:sz w:val="20"/>
                <w:szCs w:val="20"/>
                <w:color w:val="auto"/>
              </w:rPr>
            </w:pPr>
            <w:r>
              <w:rPr>
                <w:rFonts w:ascii="Arial" w:cs="Arial" w:eastAsia="Arial" w:hAnsi="Arial"/>
                <w:sz w:val="16"/>
                <w:szCs w:val="16"/>
                <w:b w:val="1"/>
                <w:bCs w:val="1"/>
                <w:color w:val="auto"/>
              </w:rPr>
              <w:t>Independent</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He served as a director of</w:t>
            </w:r>
          </w:p>
        </w:tc>
        <w:tc>
          <w:tcPr>
            <w:tcW w:w="180" w:type="dxa"/>
            <w:vAlign w:val="bottom"/>
            <w:gridSpan w:val="2"/>
            <w:vMerge w:val="continue"/>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20" w:type="dxa"/>
            <w:vAlign w:val="bottom"/>
            <w:tcBorders>
              <w:right w:val="single" w:sz="8" w:color="auto"/>
            </w:tcBorders>
            <w:gridSpan w:val="3"/>
            <w:vMerge w:val="continue"/>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gridSpan w:val="3"/>
            <w:vMerge w:val="continue"/>
          </w:tcPr>
          <w:p>
            <w:pPr>
              <w:spacing w:after="0"/>
              <w:rPr>
                <w:sz w:val="9"/>
                <w:szCs w:val="9"/>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PAA’s general partner from May 2009 until</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75"/>
        </w:trPr>
        <w:tc>
          <w:tcPr>
            <w:tcW w:w="40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November 2016. He is President of DelTex</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4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Borders>
              <w:right w:val="single" w:sz="8" w:color="auto"/>
            </w:tcBorders>
            <w:gridSpan w:val="3"/>
          </w:tcPr>
          <w:p>
            <w:pPr>
              <w:jc w:val="center"/>
              <w:ind w:right="440"/>
              <w:spacing w:after="0" w:line="175" w:lineRule="exact"/>
              <w:rPr>
                <w:sz w:val="20"/>
                <w:szCs w:val="20"/>
                <w:color w:val="auto"/>
              </w:rPr>
            </w:pPr>
            <w:r>
              <w:rPr>
                <w:rFonts w:ascii="Arial" w:cs="Arial" w:eastAsia="Arial" w:hAnsi="Arial"/>
                <w:sz w:val="16"/>
                <w:szCs w:val="16"/>
                <w:b w:val="1"/>
                <w:bCs w:val="1"/>
                <w:i w:val="1"/>
                <w:iCs w:val="1"/>
                <w:color w:val="auto"/>
              </w:rPr>
              <w:t>since 2009</w:t>
            </w:r>
          </w:p>
        </w:tc>
        <w:tc>
          <w:tcPr>
            <w:tcW w:w="35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Capital LLC (a private investment firm) and</w:t>
            </w:r>
          </w:p>
        </w:tc>
        <w:tc>
          <w:tcPr>
            <w:tcW w:w="180" w:type="dxa"/>
            <w:vAlign w:val="bottom"/>
            <w:gridSpan w:val="2"/>
            <w:vMerge w:val="continue"/>
          </w:tcPr>
          <w:p>
            <w:pPr>
              <w:spacing w:after="0"/>
              <w:rPr>
                <w:sz w:val="15"/>
                <w:szCs w:val="15"/>
                <w:color w:val="auto"/>
              </w:rPr>
            </w:pPr>
          </w:p>
        </w:tc>
        <w:tc>
          <w:tcPr>
            <w:tcW w:w="268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right w:val="single" w:sz="8" w:color="auto"/>
            </w:tcBorders>
            <w:gridSpan w:val="3"/>
            <w:vMerge w:val="restart"/>
          </w:tcPr>
          <w:p>
            <w:pPr>
              <w:jc w:val="center"/>
              <w:ind w:right="440"/>
              <w:spacing w:after="0"/>
              <w:rPr>
                <w:sz w:val="20"/>
                <w:szCs w:val="20"/>
                <w:color w:val="auto"/>
              </w:rPr>
            </w:pPr>
            <w:r>
              <w:rPr>
                <w:rFonts w:ascii="Arial" w:cs="Arial" w:eastAsia="Arial" w:hAnsi="Arial"/>
                <w:sz w:val="16"/>
                <w:szCs w:val="16"/>
                <w:b w:val="1"/>
                <w:bCs w:val="1"/>
                <w:color w:val="auto"/>
              </w:rPr>
              <w:t>Committees:</w:t>
            </w: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as a Senior Advisor to Tailwind Capital.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6"/>
        </w:trPr>
        <w:tc>
          <w:tcPr>
            <w:tcW w:w="4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Borders>
              <w:right w:val="single" w:sz="8" w:color="auto"/>
            </w:tcBorders>
            <w:gridSpan w:val="3"/>
            <w:vMerge w:val="continue"/>
          </w:tcPr>
          <w:p>
            <w:pPr>
              <w:spacing w:after="0"/>
              <w:rPr>
                <w:sz w:val="9"/>
                <w:szCs w:val="9"/>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part of his role as a Senior Advisor with</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 Government</w:t>
            </w:r>
          </w:p>
        </w:tc>
        <w:tc>
          <w:tcPr>
            <w:tcW w:w="0" w:type="dxa"/>
            <w:vAlign w:val="bottom"/>
          </w:tcPr>
          <w:p>
            <w:pPr>
              <w:spacing w:after="0"/>
              <w:rPr>
                <w:sz w:val="1"/>
                <w:szCs w:val="1"/>
                <w:color w:val="auto"/>
              </w:rPr>
            </w:pPr>
          </w:p>
        </w:tc>
      </w:tr>
      <w:tr>
        <w:trPr>
          <w:trHeight w:val="63"/>
        </w:trPr>
        <w:tc>
          <w:tcPr>
            <w:tcW w:w="4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40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4"/>
            <w:vMerge w:val="restart"/>
          </w:tcPr>
          <w:p>
            <w:pPr>
              <w:jc w:val="center"/>
              <w:ind w:right="380"/>
              <w:spacing w:after="0"/>
              <w:rPr>
                <w:sz w:val="20"/>
                <w:szCs w:val="20"/>
                <w:color w:val="auto"/>
              </w:rPr>
            </w:pPr>
            <w:r>
              <w:rPr>
                <w:rFonts w:ascii="Arial" w:cs="Arial" w:eastAsia="Arial" w:hAnsi="Arial"/>
                <w:sz w:val="16"/>
                <w:szCs w:val="16"/>
                <w:color w:val="auto"/>
              </w:rPr>
              <w:t>Compensation</w:t>
            </w: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Tailwind Capital, Mr. Temple serves on the</w:t>
            </w:r>
          </w:p>
        </w:tc>
        <w:tc>
          <w:tcPr>
            <w:tcW w:w="180" w:type="dxa"/>
            <w:vAlign w:val="bottom"/>
            <w:gridSpan w:val="2"/>
            <w:vMerge w:val="continue"/>
          </w:tcPr>
          <w:p>
            <w:pPr>
              <w:spacing w:after="0"/>
              <w:rPr>
                <w:sz w:val="10"/>
                <w:szCs w:val="10"/>
                <w:color w:val="auto"/>
              </w:rPr>
            </w:pPr>
          </w:p>
        </w:tc>
        <w:tc>
          <w:tcPr>
            <w:tcW w:w="26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1460" w:type="dxa"/>
            <w:vAlign w:val="bottom"/>
            <w:tcBorders>
              <w:right w:val="single" w:sz="8" w:color="auto"/>
            </w:tcBorders>
            <w:gridSpan w:val="4"/>
            <w:vMerge w:val="continue"/>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60"/>
        </w:trPr>
        <w:tc>
          <w:tcPr>
            <w:tcW w:w="400" w:type="dxa"/>
            <w:vAlign w:val="bottom"/>
            <w:tcBorders>
              <w:left w:val="single" w:sz="8" w:color="auto"/>
            </w:tcBorders>
          </w:tcPr>
          <w:p>
            <w:pPr>
              <w:spacing w:after="0"/>
              <w:rPr>
                <w:sz w:val="5"/>
                <w:szCs w:val="5"/>
                <w:color w:val="auto"/>
              </w:rPr>
            </w:pPr>
          </w:p>
        </w:tc>
        <w:tc>
          <w:tcPr>
            <w:tcW w:w="1460" w:type="dxa"/>
            <w:vAlign w:val="bottom"/>
            <w:tcBorders>
              <w:right w:val="single" w:sz="8" w:color="auto"/>
            </w:tcBorders>
            <w:gridSpan w:val="4"/>
            <w:vMerge w:val="continue"/>
          </w:tcPr>
          <w:p>
            <w:pPr>
              <w:spacing w:after="0"/>
              <w:rPr>
                <w:sz w:val="5"/>
                <w:szCs w:val="5"/>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of HMT Tank, LLC and on the board of</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right w:val="single" w:sz="8" w:color="auto"/>
            </w:tcBorders>
            <w:gridSpan w:val="3"/>
            <w:vMerge w:val="restart"/>
          </w:tcPr>
          <w:p>
            <w:pPr>
              <w:jc w:val="center"/>
              <w:ind w:right="420"/>
              <w:spacing w:after="0"/>
              <w:rPr>
                <w:sz w:val="20"/>
                <w:szCs w:val="20"/>
                <w:color w:val="auto"/>
              </w:rPr>
            </w:pPr>
            <w:r>
              <w:rPr>
                <w:rFonts w:ascii="Arial" w:cs="Arial" w:eastAsia="Arial" w:hAnsi="Arial"/>
                <w:sz w:val="16"/>
                <w:szCs w:val="16"/>
                <w:color w:val="auto"/>
              </w:rPr>
              <w:t>HSES</w:t>
            </w:r>
          </w:p>
        </w:tc>
        <w:tc>
          <w:tcPr>
            <w:tcW w:w="35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Borders>
              <w:right w:val="single" w:sz="8" w:color="auto"/>
            </w:tcBorders>
            <w:gridSpan w:val="3"/>
            <w:vMerge w:val="continue"/>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Loenbro, Inc. He also serves on the board</w:t>
            </w: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26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73"/>
        </w:trPr>
        <w:tc>
          <w:tcPr>
            <w:tcW w:w="40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35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is chairman of the audit committee of Owl</w:t>
            </w:r>
          </w:p>
        </w:tc>
        <w:tc>
          <w:tcPr>
            <w:tcW w:w="180" w:type="dxa"/>
            <w:vAlign w:val="bottom"/>
            <w:gridSpan w:val="2"/>
            <w:vMerge w:val="continue"/>
          </w:tcPr>
          <w:p>
            <w:pPr>
              <w:spacing w:after="0"/>
              <w:rPr>
                <w:sz w:val="6"/>
                <w:szCs w:val="6"/>
                <w:color w:val="auto"/>
              </w:rPr>
            </w:pPr>
          </w:p>
        </w:tc>
        <w:tc>
          <w:tcPr>
            <w:tcW w:w="26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Rock Capital Corporation, Owl Rock Capital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Corporation II, Owl Rock Capital Corporation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III, Owl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00" w:type="dxa"/>
            <w:vAlign w:val="bottom"/>
            <w:tcBorders>
              <w:left w:val="single" w:sz="8" w:color="auto"/>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5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86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86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40633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406336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20" w:right="20"/>
        <w:spacing w:after="0" w:line="246" w:lineRule="auto"/>
        <w:rPr>
          <w:sz w:val="20"/>
          <w:szCs w:val="20"/>
          <w:color w:val="auto"/>
        </w:rPr>
      </w:pPr>
      <w:r>
        <w:rPr>
          <w:rFonts w:ascii="Arial" w:cs="Arial" w:eastAsia="Arial" w:hAnsi="Arial"/>
          <w:sz w:val="16"/>
          <w:szCs w:val="16"/>
          <w:color w:val="auto"/>
        </w:rPr>
        <w:t>Rock Core Income Corporation, Owl Rock Technology Finance Corporation, Owl Rock Technology Fund II and Owl Rock Technology Income Fund. Mr. Temple served as the President of Vulcan Capital, the private investment group of Vulcan Inc., from May 2009 until December 2009 and as Vice President of Vulcan Capital from September 2008 to May 2009.</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Mr. Temple served as Chairman of Brawler Industries,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LLC from September 2012 to July 2016, as a director</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of Clear Channel Outdoor Holdings from April 2011</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through May 2017, and as a director of Charter</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Communications, Inc. from November 2009 through</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January 2011. Prior to joining Vulcan in</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September 2008, Mr. Temple served as a managing</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director at Tailwind Capital LLC from May to</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August 2008. Prior to joining Tailwind, Mr. Temple was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 managing director at Friend Skoler &amp; Co., Inc. from</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May 2005 to May 2008. From April 1996 to</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December 2004, Mr. Temple was a managing director</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at Thayer Capital Partners. Additionally, Mr. Temple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was a licensed CPA serving clients in the energy</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sector with KPMG in Houston, Texas from 1989 to</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1993. Mr. Temple holds a BBA, magna cum laude,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from the University of Texas and an MBA from</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Harvard. The Board has determined that Mr. Temple is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“independent” under applicable Nasdaq and SEC</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rules. Mr. Temple has a broad investment</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management background across a variety of business</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sectors, as well as experience in the energy sector.</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We believe that this background, along with the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leadership attributes indicated by his executive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experience, provide an important source of insight and</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9" w:hanging="169"/>
        <w:spacing w:after="0"/>
        <w:tabs>
          <w:tab w:leader="none" w:pos="1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113" w:lineRule="exact"/>
        <w:rPr>
          <w:rFonts w:ascii="Arial" w:cs="Arial" w:eastAsia="Arial" w:hAnsi="Arial"/>
          <w:sz w:val="16"/>
          <w:szCs w:val="16"/>
          <w:color w:val="auto"/>
        </w:rPr>
      </w:pPr>
    </w:p>
    <w:p>
      <w:pPr>
        <w:ind w:left="169" w:hanging="169"/>
        <w:spacing w:after="0"/>
        <w:tabs>
          <w:tab w:leader="none" w:pos="169" w:val="left"/>
        </w:tabs>
        <w:numPr>
          <w:ilvl w:val="0"/>
          <w:numId w:val="32"/>
        </w:numPr>
        <w:rPr>
          <w:rFonts w:ascii="Arial" w:cs="Arial" w:eastAsia="Arial" w:hAnsi="Arial"/>
          <w:sz w:val="15"/>
          <w:szCs w:val="15"/>
          <w:color w:val="auto"/>
        </w:rPr>
      </w:pPr>
      <w:r>
        <w:rPr>
          <w:rFonts w:ascii="Arial" w:cs="Arial" w:eastAsia="Arial" w:hAnsi="Arial"/>
          <w:sz w:val="15"/>
          <w:szCs w:val="15"/>
          <w:color w:val="auto"/>
        </w:rPr>
        <w:t>Cybersecurity/IT</w:t>
      </w:r>
    </w:p>
    <w:p>
      <w:pPr>
        <w:spacing w:after="0" w:line="5976" w:lineRule="exact"/>
        <w:rPr>
          <w:sz w:val="20"/>
          <w:szCs w:val="20"/>
          <w:color w:val="auto"/>
        </w:rPr>
      </w:pPr>
    </w:p>
    <w:p>
      <w:pPr>
        <w:sectPr>
          <w:pgSz w:w="11900" w:h="16838" w:orient="portrait"/>
          <w:cols w:equalWidth="0" w:num="2">
            <w:col w:w="7300" w:space="211"/>
            <w:col w:w="2368"/>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99" w:lineRule="exact"/>
        <w:rPr>
          <w:sz w:val="20"/>
          <w:szCs w:val="20"/>
          <w:color w:val="auto"/>
        </w:rPr>
      </w:pPr>
    </w:p>
    <w:p>
      <w:pPr>
        <w:ind w:left="1260" w:right="559" w:firstLine="360"/>
        <w:spacing w:after="0" w:line="236" w:lineRule="auto"/>
        <w:rPr>
          <w:sz w:val="20"/>
          <w:szCs w:val="20"/>
          <w:color w:val="auto"/>
        </w:rPr>
      </w:pPr>
      <w:r>
        <w:rPr>
          <w:rFonts w:ascii="Arial" w:cs="Arial" w:eastAsia="Arial" w:hAnsi="Arial"/>
          <w:sz w:val="18"/>
          <w:szCs w:val="18"/>
          <w:color w:val="auto"/>
        </w:rPr>
        <w:t>We own a 100% managing member interest in GP LLC, which owns a non-economic general partner interest in AAP. As of March 28, 2022, we also owned, directly and through GP LLC, an 81% limited partner interest in AAP, which directly owns approximately 241.5 million of PAA’s outstanding common units (representing approximately 31% of PAA’s outstanding common units and Series A preferred units combined). AAP is the sole member of PAA GP LLC, which directly holds the non-economic general partner interest in PAA. PAGP GP holds a non-economic general partner interest in us and manages our operations and activities. We own an 83% membership interest in PAGP GP and the balance of the membership interests in PAGP GP are owned by various individuals and entities. The Board has responsibility for managing the business and affairs of PAGP, PAA and AAP.</w:t>
      </w:r>
    </w:p>
    <w:p>
      <w:pPr>
        <w:spacing w:after="0" w:line="58" w:lineRule="exact"/>
        <w:rPr>
          <w:sz w:val="20"/>
          <w:szCs w:val="20"/>
          <w:color w:val="auto"/>
        </w:rPr>
      </w:pPr>
    </w:p>
    <w:p>
      <w:pPr>
        <w:ind w:left="1260" w:right="539" w:firstLine="360"/>
        <w:spacing w:after="0" w:line="236" w:lineRule="auto"/>
        <w:rPr>
          <w:sz w:val="20"/>
          <w:szCs w:val="20"/>
          <w:color w:val="auto"/>
        </w:rPr>
      </w:pPr>
      <w:r>
        <w:rPr>
          <w:rFonts w:ascii="Arial" w:cs="Arial" w:eastAsia="Arial" w:hAnsi="Arial"/>
          <w:sz w:val="18"/>
          <w:szCs w:val="18"/>
          <w:color w:val="auto"/>
        </w:rPr>
        <w:t>We and our general partner have no employees.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73"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Our Class A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Transactions completed in November 2016, we expanded the voting rights of our shareholders to include the election of directors and, in 2018, we began holding annual meetings for this purpose. For a description of the steps we have taken to strengthen our governance structure and expand the voting rights of our shareholders, as well as a description of our Board structure and information regarding the election of Directors, see “Proposal 1 — Election of Class II Directors — Board and Governance Structure” above.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9"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Effective with the retirement of Mr. Armstrong as Chairman of the Board at the end of 2019, after carefully considering the issue over the course of several meetings, our Board determined that it was in the best interests of PAGP and PAA to re-combine the offices of CEO and Chairman of the Board, and Mr. Chiang assumed the role of Chairman of the Board while continuing to serve as CEO. The Board also approved an amendment to our governing documents that established a strong Lead Director role, requires that one of our independent directors serve as the Lead Director for so long as the CEO and Chairman roles are held by the same person, and clearly delineates the respective responsibilities of the Chairman and the Lead Director. The Board has no set policy with respect to the separation of the offices of Chairman and CEO; rather the Board believes it is in the best interests of PAA and PAGP for the Board to review ongoing conditions and circumstances and to make an appropriate determination to separate, or maintain as combined, the CEO and Chairman roles at the time a new CEO succeeds the current CEO, or upon a significant change in circumstances. In connection with the re-combination of the Chairman and CEO roles effective January 1, 2020, the Board appointed Mr. Shackouls to serve as Lead Director.</w:t>
      </w:r>
    </w:p>
    <w:p>
      <w:pPr>
        <w:spacing w:after="0" w:line="65"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With respect to the management of enterprise-level risk (ELR), which is the process of identifying, managing and monitoring events that present opportunities and risks with respect to the operation of our business and the creation of value for our shareholders, the Board has delegated primary responsibility to management and retained oversight responsibility. Management provides a formal ELR assessment to the Board at least once every year.</w:t>
      </w:r>
    </w:p>
    <w:p>
      <w:pPr>
        <w:spacing w:after="0" w:line="67"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7"/>
          <w:szCs w:val="17"/>
          <w:color w:val="auto"/>
        </w:rPr>
        <w:t>We believe that our Board leadership structure supports the Board’s risk oversight function by facilitating open and regular communication between management and the directors, which allows informed oversight of management’s processes for identifying and managing significant risks and their</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auto"/>
        </w:rPr>
        <w:t>impact on PAA’s business. For example, in connection with the COVID-19 pandemic, executive management communicated and met regularly with the Board and provided numerous updates and related information to the Board regarding the assessment and management of the significant risks facing PAA and the impacts to its business resulting from the pandemic. In addition, the CEO/Chairman regularly communicates with the Lead Director to make sure the Board is receiving the information it needs and has the opportunity to provide feedback and input to management, in each case as required for the Board to discharge its oversight role with respect to the risks facing PAA and its business in the current environment.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99" w:lineRule="exact"/>
        <w:rPr>
          <w:sz w:val="20"/>
          <w:szCs w:val="20"/>
          <w:color w:val="auto"/>
        </w:rPr>
      </w:pPr>
    </w:p>
    <w:p>
      <w:pPr>
        <w:jc w:val="both"/>
        <w:ind w:left="1260" w:right="939" w:firstLine="360"/>
        <w:spacing w:after="0" w:line="261" w:lineRule="auto"/>
        <w:rPr>
          <w:sz w:val="20"/>
          <w:szCs w:val="20"/>
          <w:color w:val="auto"/>
        </w:rPr>
      </w:pPr>
      <w:r>
        <w:rPr>
          <w:rFonts w:ascii="Arial" w:cs="Arial" w:eastAsia="Arial" w:hAnsi="Arial"/>
          <w:sz w:val="17"/>
          <w:szCs w:val="17"/>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37"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1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requires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judgement in carrying out his or her responsibilities as a director. The standards specify the criteria by which the independence of directors will be determined, including guidelines for directors and their immediate family members with respect to employment or affiliation with us or with our independent public accountants. The Board has assessed the independence of the eight directors who are not current or former members of management (Messrs. Burk, McCarthy, Petersen, Raymond, Shackouls, Temple, Ziemba and Ms. Pruner) and has concluded that all of such directors are independent under applicable Nasdaq and SEC standards.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Ziemba and Ms. Pruner) is (i) “independent” under applicable Nasdaq and SEC rules, and (ii) financially literate. The Board has also determined that each of Mr. Burk and Ms. Pruner qualifies as an “Audit Committee Financial Expert” as that term is defined in Item 407 of Regulation S-K.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99"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Temple.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such committee are independent under applicable</w:t>
      </w:r>
    </w:p>
    <w:p>
      <w:pPr>
        <w:sectPr>
          <w:pgSz w:w="11900" w:h="16838" w:orient="portrait"/>
          <w:cols w:equalWidth="0" w:num="1">
            <w:col w:w="9879"/>
          </w:cols>
          <w:pgMar w:left="580" w:top="131"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spacing w:after="0" w:line="238" w:lineRule="auto"/>
        <w:rPr>
          <w:sz w:val="20"/>
          <w:szCs w:val="20"/>
          <w:color w:val="auto"/>
        </w:rPr>
      </w:pPr>
      <w:r>
        <w:rPr>
          <w:rFonts w:ascii="Arial" w:cs="Arial" w:eastAsia="Arial" w:hAnsi="Arial"/>
          <w:sz w:val="18"/>
          <w:szCs w:val="18"/>
          <w:color w:val="auto"/>
        </w:rPr>
        <w:t>Nasdaq and SEC standards. The compensation committee has the sole authority to retain any compensation consultants to assist the committee. Since 2019, the compensation committee has engaged Meridian Compensation Partners, LLC to conduct independent annual reviews and benchmark studies of our executive compensation program and practices.</w:t>
      </w:r>
    </w:p>
    <w:p>
      <w:pPr>
        <w:spacing w:after="0" w:line="5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During 2021,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We have ordinary course business relationships with entities affiliated with EMG; however, the Board has determined that these relationships do not impact Mr. Raymond’s independence. See “Certain Relationships and Related Transactions.”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99"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Although not required by Nasdaq listing standards, we also have a governance committee that periodically reviews our governance structure, policies and principles, oversees the Board’s annual self-assessment and committee evaluation process, and assists with succession planning and related activities, including identifying and assessing director nominees among other governance related matters. See “Proposal 1 — Election of Class II Directors — Board and Governance Structure”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Petersen and Ms. Pruner.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such committee are independent under applicable Nasdaq and SEC standards.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12" w:lineRule="exact"/>
        <w:rPr>
          <w:sz w:val="20"/>
          <w:szCs w:val="20"/>
          <w:color w:val="auto"/>
        </w:rPr>
      </w:pPr>
    </w:p>
    <w:p>
      <w:pPr>
        <w:ind w:left="1260" w:right="819" w:firstLine="360"/>
        <w:spacing w:after="0" w:line="265" w:lineRule="auto"/>
        <w:rPr>
          <w:sz w:val="20"/>
          <w:szCs w:val="20"/>
          <w:color w:val="auto"/>
        </w:rPr>
      </w:pPr>
      <w:r>
        <w:rPr>
          <w:rFonts w:ascii="Arial" w:cs="Arial" w:eastAsia="Arial" w:hAnsi="Arial"/>
          <w:sz w:val="17"/>
          <w:szCs w:val="17"/>
          <w:color w:val="auto"/>
        </w:rPr>
        <w:t>In February 2021, the Board established the Health, Safety, Environmental and Sustainability (“HSES”) Committee. The HSES committee assists the Board in its evaluation and oversight of our</w:t>
      </w:r>
    </w:p>
    <w:p>
      <w:pPr>
        <w:ind w:left="1460" w:hanging="200"/>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of HSES matters, including compliance with applicable laws and regulations;</w:t>
      </w:r>
    </w:p>
    <w:p>
      <w:pPr>
        <w:spacing w:after="0" w:line="9" w:lineRule="exact"/>
        <w:rPr>
          <w:rFonts w:ascii="Arial" w:cs="Arial" w:eastAsia="Arial" w:hAnsi="Arial"/>
          <w:sz w:val="18"/>
          <w:szCs w:val="18"/>
          <w:color w:val="auto"/>
        </w:rPr>
      </w:pPr>
    </w:p>
    <w:p>
      <w:pPr>
        <w:ind w:left="1260" w:right="659"/>
        <w:spacing w:after="0" w:line="265" w:lineRule="auto"/>
        <w:tabs>
          <w:tab w:leader="none" w:pos="15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management of systems and plans to protect the health and safety of employees, contractors, customers, the environment, the communities where we operate, our assets, and our reputation; and</w:t>
      </w:r>
    </w:p>
    <w:p>
      <w:pPr>
        <w:ind w:left="1260" w:right="499"/>
        <w:spacing w:after="0" w:line="252" w:lineRule="auto"/>
        <w:tabs>
          <w:tab w:leader="none" w:pos="15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ESG matters. The charter of our HSES committee is available on our website. See “— Meetings and Other Information” for information on how to access or obtain copies of this charter. The HSES committee currently consists of Messrs. Ziemba (chair) and Temple, both of whom are independent under applicable Nasdaq and SEC standards.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9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During 2021, our Board had five meetings, our audit committee had ten meetings, our compensation committee had four meetings, our governance committee had two meetings and our HSES committee had three meetings. In addition, members of our compensation committee and governance committee held numerous conference calls and discussions throughout the year on various compensation and governance related matters. All directors have access to members of management, and a substantial amount of information transfer and informal communication occurs between meetings. In 2021, all of our directors attended all meetings of the Board and applicable committees of the Board on which the director served, other than one director who missed one committee meeting. Board members are encouraged, but not required, to attend our annual meetings; nine Board members attended our annual meeting in 2021.</w:t>
      </w:r>
    </w:p>
    <w:p>
      <w:pPr>
        <w:spacing w:after="0" w:line="63"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All of our standing committees have charters. Our committee charters and governance guidelines, as well as our Code of Business Conduct (which describes our Core Values) and our Code of Ethics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 xml:space="preserve">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99"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Party Transactions — Review, Approval or Ratification of Transactions with Related Persons.”</w:t>
      </w:r>
    </w:p>
    <w:p>
      <w:pPr>
        <w:spacing w:after="0" w:line="4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ind w:left="1260" w:right="520" w:firstLine="360"/>
        <w:spacing w:after="0" w:line="256"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2540" w:type="dxa"/>
            <w:vAlign w:val="bottom"/>
            <w:tcBorders>
              <w:left w:val="single" w:sz="8" w:color="434F69"/>
              <w:right w:val="single" w:sz="8" w:color="434F69"/>
            </w:tcBorders>
            <w:shd w:val="clear" w:color="auto" w:fill="434F69"/>
          </w:tcPr>
          <w:p>
            <w:pPr>
              <w:spacing w:after="0"/>
              <w:rPr>
                <w:sz w:val="17"/>
                <w:szCs w:val="17"/>
                <w:color w:val="auto"/>
              </w:rPr>
            </w:pP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Age</w:t>
            </w:r>
          </w:p>
        </w:tc>
        <w:tc>
          <w:tcPr>
            <w:tcW w:w="4980" w:type="dxa"/>
            <w:vAlign w:val="bottom"/>
            <w:tcBorders>
              <w:right w:val="single" w:sz="8" w:color="434F69"/>
            </w:tcBorders>
            <w:shd w:val="clear" w:color="auto" w:fill="434F69"/>
          </w:tcPr>
          <w:p>
            <w:pPr>
              <w:spacing w:after="0"/>
              <w:rPr>
                <w:sz w:val="17"/>
                <w:szCs w:val="17"/>
                <w:color w:val="auto"/>
              </w:rPr>
            </w:pPr>
          </w:p>
        </w:tc>
      </w:tr>
      <w:tr>
        <w:trPr>
          <w:trHeight w:val="202"/>
        </w:trPr>
        <w:tc>
          <w:tcPr>
            <w:tcW w:w="25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(as of 3/28/22)</w:t>
            </w:r>
          </w:p>
        </w:tc>
        <w:tc>
          <w:tcPr>
            <w:tcW w:w="4980" w:type="dxa"/>
            <w:vAlign w:val="bottom"/>
            <w:tcBorders>
              <w:right w:val="single" w:sz="8" w:color="434F69"/>
            </w:tcBorders>
            <w:shd w:val="clear" w:color="auto" w:fill="434F69"/>
          </w:tcPr>
          <w:p>
            <w:pPr>
              <w:ind w:left="2220"/>
              <w:spacing w:after="0"/>
              <w:rPr>
                <w:sz w:val="20"/>
                <w:szCs w:val="20"/>
                <w:color w:val="auto"/>
              </w:rPr>
            </w:pPr>
            <w:r>
              <w:rPr>
                <w:rFonts w:ascii="Arial" w:cs="Arial" w:eastAsia="Arial" w:hAnsi="Arial"/>
                <w:sz w:val="14"/>
                <w:szCs w:val="14"/>
                <w:b w:val="1"/>
                <w:bCs w:val="1"/>
                <w:color w:val="FFFFFF"/>
              </w:rPr>
              <w:t>Position</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2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61</w:t>
            </w:r>
          </w:p>
        </w:tc>
        <w:tc>
          <w:tcPr>
            <w:tcW w:w="4980" w:type="dxa"/>
            <w:vAlign w:val="bottom"/>
            <w:tcBorders>
              <w:bottom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2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64</w:t>
            </w:r>
          </w:p>
        </w:tc>
        <w:tc>
          <w:tcPr>
            <w:tcW w:w="498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President and Director</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2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58</w:t>
            </w:r>
          </w:p>
        </w:tc>
        <w:tc>
          <w:tcPr>
            <w:tcW w:w="4980" w:type="dxa"/>
            <w:vAlign w:val="bottom"/>
            <w:tcBorders>
              <w:bottom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K. McGee</w:t>
            </w:r>
          </w:p>
        </w:tc>
        <w:tc>
          <w:tcPr>
            <w:tcW w:w="12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61</w:t>
            </w:r>
          </w:p>
        </w:tc>
        <w:tc>
          <w:tcPr>
            <w:tcW w:w="498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12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50</w:t>
            </w:r>
          </w:p>
        </w:tc>
        <w:tc>
          <w:tcPr>
            <w:tcW w:w="4980" w:type="dxa"/>
            <w:vAlign w:val="bottom"/>
            <w:tcBorders>
              <w:bottom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L. Goebel</w:t>
            </w:r>
          </w:p>
        </w:tc>
        <w:tc>
          <w:tcPr>
            <w:tcW w:w="12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44</w:t>
            </w:r>
          </w:p>
        </w:tc>
        <w:tc>
          <w:tcPr>
            <w:tcW w:w="498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12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49</w:t>
            </w:r>
          </w:p>
        </w:tc>
        <w:tc>
          <w:tcPr>
            <w:tcW w:w="4980" w:type="dxa"/>
            <w:vAlign w:val="bottom"/>
            <w:tcBorders>
              <w:bottom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Senior Vice President, Finance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580" w:hanging="360"/>
        <w:spacing w:after="0" w:line="261"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II Directors.</w:t>
      </w:r>
    </w:p>
    <w:p>
      <w:pPr>
        <w:spacing w:after="0" w:line="99" w:lineRule="exact"/>
        <w:rPr>
          <w:sz w:val="20"/>
          <w:szCs w:val="20"/>
          <w:color w:val="auto"/>
        </w:rPr>
      </w:pPr>
    </w:p>
    <w:p>
      <w:pPr>
        <w:ind w:left="1260" w:right="520" w:firstLine="360"/>
        <w:spacing w:after="0" w:line="252" w:lineRule="auto"/>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GP LLC since</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2011. He previously served as Senior Vice President and Chief Financial Officer from November 2008 through February 2011, as Senior Vice President — Finance from August 2008 until November 2008 and as Senior Vice President — Finance and Treasurer from August 2007 until 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30" w:lineRule="exact"/>
        <w:rPr>
          <w:sz w:val="20"/>
          <w:szCs w:val="20"/>
          <w:color w:val="auto"/>
        </w:rPr>
      </w:pPr>
    </w:p>
    <w:p>
      <w:pPr>
        <w:ind w:left="1260" w:right="580" w:firstLine="360"/>
        <w:spacing w:after="0" w:line="260"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February 2013. He served as Vice President, General Counsel and Secretary from</w:t>
      </w:r>
    </w:p>
    <w:p>
      <w:pPr>
        <w:spacing w:after="0" w:line="2" w:lineRule="exact"/>
        <w:rPr>
          <w:sz w:val="20"/>
          <w:szCs w:val="20"/>
          <w:color w:val="auto"/>
        </w:rPr>
      </w:pPr>
    </w:p>
    <w:p>
      <w:pPr>
        <w:ind w:left="1260" w:right="560"/>
        <w:spacing w:after="0" w:line="251" w:lineRule="auto"/>
        <w:rPr>
          <w:sz w:val="20"/>
          <w:szCs w:val="20"/>
          <w:color w:val="auto"/>
        </w:rPr>
      </w:pPr>
      <w:r>
        <w:rPr>
          <w:rFonts w:ascii="Arial" w:cs="Arial" w:eastAsia="Arial" w:hAnsi="Arial"/>
          <w:sz w:val="18"/>
          <w:szCs w:val="18"/>
          <w:color w:val="auto"/>
        </w:rPr>
        <w:t>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26" w:lineRule="exact"/>
        <w:rPr>
          <w:sz w:val="20"/>
          <w:szCs w:val="20"/>
          <w:color w:val="auto"/>
        </w:rPr>
      </w:pPr>
    </w:p>
    <w:p>
      <w:pPr>
        <w:ind w:left="1260" w:right="540" w:firstLine="360"/>
        <w:spacing w:after="0" w:line="255"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131" w:right="1339"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i w:val="1"/>
          <w:iCs w:val="1"/>
          <w:color w:val="auto"/>
        </w:rPr>
        <w:t xml:space="preserve">Jeremy L. Goebel </w:t>
      </w:r>
      <w:r>
        <w:rPr>
          <w:rFonts w:ascii="Arial" w:cs="Arial" w:eastAsia="Arial" w:hAnsi="Arial"/>
          <w:sz w:val="18"/>
          <w:szCs w:val="18"/>
          <w:color w:val="auto"/>
        </w:rPr>
        <w:t>has served as Executive Vice President and Chief Commercial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and Chief Commercial Officer of PAGP GP.</w:t>
      </w:r>
    </w:p>
    <w:p>
      <w:pPr>
        <w:spacing w:after="0" w:line="104" w:lineRule="exact"/>
        <w:rPr>
          <w:sz w:val="20"/>
          <w:szCs w:val="20"/>
          <w:color w:val="auto"/>
        </w:rPr>
      </w:pPr>
    </w:p>
    <w:p>
      <w:pPr>
        <w:jc w:val="both"/>
        <w:ind w:left="1260" w:right="539" w:firstLine="360"/>
        <w:spacing w:after="0" w:line="270"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Finance and Chief Accounting Officer of GP</w:t>
      </w:r>
      <w:r>
        <w:rPr>
          <w:rFonts w:ascii="Arial" w:cs="Arial" w:eastAsia="Arial" w:hAnsi="Arial"/>
          <w:sz w:val="17"/>
          <w:szCs w:val="17"/>
          <w:i w:val="1"/>
          <w:iCs w:val="1"/>
          <w:color w:val="auto"/>
        </w:rPr>
        <w:t xml:space="preserve"> </w:t>
      </w:r>
      <w:r>
        <w:rPr>
          <w:rFonts w:ascii="Arial" w:cs="Arial" w:eastAsia="Arial" w:hAnsi="Arial"/>
          <w:sz w:val="17"/>
          <w:szCs w:val="17"/>
          <w:color w:val="auto"/>
        </w:rPr>
        <w:t>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w:t>
      </w:r>
    </w:p>
    <w:p>
      <w:pPr>
        <w:spacing w:after="0" w:line="2"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6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Chairman</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M. Temple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0"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For 2021, our Named Executive Officers (sometimes referred to as “NEOs”) include our CEO, our President, our CFO, and the three most highly compensated executive officers (other than our CEO and CFO). Our NEOs for 2021 include the following individuals:</w:t>
      </w:r>
    </w:p>
    <w:p>
      <w:pPr>
        <w:spacing w:after="0" w:line="162" w:lineRule="exact"/>
        <w:rPr>
          <w:sz w:val="20"/>
          <w:szCs w:val="20"/>
          <w:color w:val="auto"/>
        </w:rPr>
      </w:pPr>
    </w:p>
    <w:tbl>
      <w:tblPr>
        <w:tblLayout w:type="fixed"/>
        <w:tblInd w:w="1630" w:type="dxa"/>
        <w:tblCellMar>
          <w:top w:w="0" w:type="dxa"/>
          <w:left w:w="0" w:type="dxa"/>
          <w:bottom w:w="0" w:type="dxa"/>
          <w:right w:w="0" w:type="dxa"/>
        </w:tblCellMar>
      </w:tblPr>
      <w:tr>
        <w:trPr>
          <w:trHeight w:val="237"/>
        </w:trPr>
        <w:tc>
          <w:tcPr>
            <w:tcW w:w="412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3360" w:type="dxa"/>
            <w:vAlign w:val="bottom"/>
            <w:tcBorders>
              <w:bottom w:val="single" w:sz="8" w:color="434F69"/>
              <w:right w:val="single" w:sz="8" w:color="434F69"/>
            </w:tcBorders>
            <w:shd w:val="clear" w:color="auto" w:fill="434F69"/>
          </w:tcPr>
          <w:p>
            <w:pPr>
              <w:ind w:left="1460"/>
              <w:spacing w:after="0"/>
              <w:rPr>
                <w:sz w:val="20"/>
                <w:szCs w:val="20"/>
                <w:color w:val="auto"/>
              </w:rPr>
            </w:pPr>
            <w:r>
              <w:rPr>
                <w:rFonts w:ascii="Arial" w:cs="Arial" w:eastAsia="Arial" w:hAnsi="Arial"/>
                <w:sz w:val="14"/>
                <w:szCs w:val="14"/>
                <w:b w:val="1"/>
                <w:bCs w:val="1"/>
                <w:color w:val="FFFFFF"/>
              </w:rPr>
              <w:t>Title</w:t>
            </w:r>
          </w:p>
        </w:tc>
      </w:tr>
      <w:tr>
        <w:trPr>
          <w:trHeight w:val="250"/>
        </w:trPr>
        <w:tc>
          <w:tcPr>
            <w:tcW w:w="4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336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50"/>
        </w:trPr>
        <w:tc>
          <w:tcPr>
            <w:tcW w:w="4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33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President</w:t>
            </w:r>
          </w:p>
        </w:tc>
      </w:tr>
      <w:tr>
        <w:trPr>
          <w:trHeight w:val="250"/>
        </w:trPr>
        <w:tc>
          <w:tcPr>
            <w:tcW w:w="4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336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EVP and Chief Financial Officer</w:t>
            </w:r>
          </w:p>
        </w:tc>
      </w:tr>
      <w:tr>
        <w:trPr>
          <w:trHeight w:val="250"/>
        </w:trPr>
        <w:tc>
          <w:tcPr>
            <w:tcW w:w="4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33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EVP, General Counsel and Secretary</w:t>
            </w:r>
          </w:p>
        </w:tc>
      </w:tr>
      <w:tr>
        <w:trPr>
          <w:trHeight w:val="250"/>
        </w:trPr>
        <w:tc>
          <w:tcPr>
            <w:tcW w:w="4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336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EVP and Chief Operating Officer</w:t>
            </w:r>
          </w:p>
        </w:tc>
      </w:tr>
      <w:tr>
        <w:trPr>
          <w:trHeight w:val="250"/>
        </w:trPr>
        <w:tc>
          <w:tcPr>
            <w:tcW w:w="4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33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EVP and Chief Commercial Officer</w:t>
            </w:r>
          </w:p>
        </w:tc>
      </w:tr>
    </w:tbl>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Executive Compensation Highlights</w:t>
      </w:r>
    </w:p>
    <w:p>
      <w:pPr>
        <w:spacing w:after="0" w:line="166"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The discussion set forth below in this Compensation Discussion and Analysis describes our current approach to executive compensation and elaborates upon the various actions taken and adjustments made with respect to our executive compensation program. Highlights for 2021 include the following:</w:t>
      </w:r>
    </w:p>
    <w:p>
      <w:pPr>
        <w:spacing w:after="0" w:line="55" w:lineRule="exact"/>
        <w:rPr>
          <w:sz w:val="20"/>
          <w:szCs w:val="20"/>
          <w:color w:val="auto"/>
        </w:rPr>
      </w:pPr>
    </w:p>
    <w:p>
      <w:pPr>
        <w:ind w:left="1800" w:right="479" w:hanging="180"/>
        <w:spacing w:after="0" w:line="287" w:lineRule="auto"/>
        <w:tabs>
          <w:tab w:leader="none" w:pos="180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Base Salaries</w:t>
      </w:r>
      <w:r>
        <w:rPr>
          <w:rFonts w:ascii="Arial" w:cs="Arial" w:eastAsia="Arial" w:hAnsi="Arial"/>
          <w:sz w:val="18"/>
          <w:szCs w:val="18"/>
          <w:color w:val="auto"/>
        </w:rPr>
        <w:t>: NEO base salaries were unchanged from 2020; no increases were approved for</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44" w:lineRule="exact"/>
        <w:rPr>
          <w:rFonts w:ascii="Arial" w:cs="Arial" w:eastAsia="Arial" w:hAnsi="Arial"/>
          <w:sz w:val="18"/>
          <w:szCs w:val="18"/>
          <w:color w:val="auto"/>
        </w:rPr>
      </w:pPr>
    </w:p>
    <w:p>
      <w:pPr>
        <w:jc w:val="both"/>
        <w:ind w:left="1800" w:right="799" w:hanging="180"/>
        <w:spacing w:after="0" w:line="291" w:lineRule="auto"/>
        <w:tabs>
          <w:tab w:leader="none" w:pos="1800" w:val="left"/>
        </w:tabs>
        <w:numPr>
          <w:ilvl w:val="1"/>
          <w:numId w:val="35"/>
        </w:numPr>
        <w:rPr>
          <w:rFonts w:ascii="Arial" w:cs="Arial" w:eastAsia="Arial" w:hAnsi="Arial"/>
          <w:sz w:val="17"/>
          <w:szCs w:val="17"/>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Primarily due to above-target earnings (EBITDA) and cash flow (DCF/CUE)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in 2021, NEO bonuses paid out above target, with our CEO earning a bonus at 114% of target and our other NEOs earning bonuses at 128% of target on average.</w:t>
      </w:r>
    </w:p>
    <w:p>
      <w:pPr>
        <w:spacing w:after="0" w:line="44" w:lineRule="exact"/>
        <w:rPr>
          <w:rFonts w:ascii="Arial" w:cs="Arial" w:eastAsia="Arial" w:hAnsi="Arial"/>
          <w:sz w:val="17"/>
          <w:szCs w:val="17"/>
          <w:color w:val="auto"/>
        </w:rPr>
      </w:pPr>
    </w:p>
    <w:p>
      <w:pPr>
        <w:jc w:val="both"/>
        <w:ind w:left="1800" w:right="759" w:hanging="180"/>
        <w:spacing w:after="0" w:line="268" w:lineRule="auto"/>
        <w:tabs>
          <w:tab w:leader="none" w:pos="1800"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Long-Term Incentives</w:t>
      </w:r>
      <w:r>
        <w:rPr>
          <w:rFonts w:ascii="Arial" w:cs="Arial" w:eastAsia="Arial" w:hAnsi="Arial"/>
          <w:sz w:val="18"/>
          <w:szCs w:val="18"/>
          <w:color w:val="auto"/>
        </w:rPr>
        <w:t>: We granted equity incentives to our NEOs, 50% in the form of time-based units and 50% in the form of performance-based units that can be earned based upon TSR and DCF results over a cumulative three-year performance period.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620" w:right="419" w:hanging="360"/>
        <w:spacing w:after="0" w:line="252" w:lineRule="auto"/>
        <w:rPr>
          <w:rFonts w:ascii="Arial" w:cs="Arial" w:eastAsia="Arial" w:hAnsi="Arial"/>
          <w:sz w:val="18"/>
          <w:szCs w:val="18"/>
          <w:color w:val="auto"/>
        </w:rPr>
      </w:pPr>
      <w:r>
        <w:rPr>
          <w:rFonts w:ascii="Arial" w:cs="Arial" w:eastAsia="Arial" w:hAnsi="Arial"/>
          <w:sz w:val="18"/>
          <w:szCs w:val="18"/>
          <w:color w:val="auto"/>
        </w:rPr>
        <w:t>* Our Named Executive Officers are employed by GP LLC and spend the substantial majority of their time managing the business of PAA, which benefits us as PAA’s performance will determine our success. We do not have operations that are separate from PAA and we do not separately compensate our Named Executive Officers for any services provided to us. As a result, this CD&amp;A describes the compensation of our Named Executive Officers as it relates to their services performed on behalf of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-929640</wp:posOffset>
            </wp:positionV>
            <wp:extent cx="1234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66"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p>
    <w:p>
      <w:pPr>
        <w:spacing w:after="0" w:line="156" w:lineRule="exact"/>
        <w:rPr>
          <w:sz w:val="20"/>
          <w:szCs w:val="20"/>
          <w:color w:val="auto"/>
        </w:rPr>
      </w:pPr>
    </w:p>
    <w:tbl>
      <w:tblPr>
        <w:tblLayout w:type="fixed"/>
        <w:tblInd w:w="1270" w:type="dxa"/>
        <w:tblCellMar>
          <w:top w:w="0" w:type="dxa"/>
          <w:left w:w="0" w:type="dxa"/>
          <w:bottom w:w="0" w:type="dxa"/>
          <w:right w:w="0" w:type="dxa"/>
        </w:tblCellMar>
      </w:tblPr>
      <w:tr>
        <w:trPr>
          <w:trHeight w:val="210"/>
        </w:trPr>
        <w:tc>
          <w:tcPr>
            <w:tcW w:w="4120" w:type="dxa"/>
            <w:vAlign w:val="bottom"/>
            <w:tcBorders>
              <w:top w:val="single" w:sz="8" w:color="auto"/>
              <w:left w:val="single" w:sz="8" w:color="auto"/>
              <w:bottom w:val="single" w:sz="8" w:color="auto"/>
              <w:right w:val="single" w:sz="8" w:color="434F69"/>
            </w:tcBorders>
            <w:shd w:val="clear" w:color="auto" w:fill="434F69"/>
          </w:tcPr>
          <w:p>
            <w:pPr>
              <w:ind w:left="1600"/>
              <w:spacing w:after="0"/>
              <w:rPr>
                <w:sz w:val="20"/>
                <w:szCs w:val="20"/>
                <w:color w:val="auto"/>
              </w:rPr>
            </w:pPr>
            <w:r>
              <w:rPr>
                <w:rFonts w:ascii="Arial" w:cs="Arial" w:eastAsia="Arial" w:hAnsi="Arial"/>
                <w:sz w:val="14"/>
                <w:szCs w:val="14"/>
                <w:b w:val="1"/>
                <w:bCs w:val="1"/>
                <w:color w:val="FFFFFF"/>
              </w:rPr>
              <w:t>What We Do</w:t>
            </w:r>
          </w:p>
        </w:tc>
        <w:tc>
          <w:tcPr>
            <w:tcW w:w="4100" w:type="dxa"/>
            <w:vAlign w:val="bottom"/>
            <w:tcBorders>
              <w:top w:val="single" w:sz="8" w:color="auto"/>
              <w:bottom w:val="single" w:sz="8" w:color="auto"/>
              <w:right w:val="single" w:sz="8" w:color="auto"/>
            </w:tcBorders>
            <w:shd w:val="clear" w:color="auto" w:fill="434F69"/>
          </w:tcPr>
          <w:p>
            <w:pPr>
              <w:ind w:left="144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77"/>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emphasize pay for performance</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62"/>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Our compensation program is structured to</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emphasize variable, at-risk compensation</w:t>
            </w: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68"/>
        </w:trPr>
        <w:tc>
          <w:tcPr>
            <w:tcW w:w="412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color w:val="auto"/>
              </w:rPr>
              <w:t>(over 80% of target NEO compensation is at</w:t>
            </w:r>
          </w:p>
        </w:tc>
        <w:tc>
          <w:tcPr>
            <w:tcW w:w="4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120" w:type="dxa"/>
            <w:vAlign w:val="bottom"/>
            <w:tcBorders>
              <w:left w:val="single" w:sz="8" w:color="auto"/>
              <w:right w:val="single" w:sz="8" w:color="auto"/>
            </w:tcBorders>
            <w:vMerge w:val="continue"/>
          </w:tcPr>
          <w:p>
            <w:pPr>
              <w:spacing w:after="0"/>
              <w:rPr>
                <w:sz w:val="12"/>
                <w:szCs w:val="12"/>
                <w:color w:val="auto"/>
              </w:rPr>
            </w:pP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68"/>
        </w:trPr>
        <w:tc>
          <w:tcPr>
            <w:tcW w:w="412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color w:val="auto"/>
              </w:rPr>
              <w:t>risk)</w:t>
            </w:r>
          </w:p>
        </w:tc>
        <w:tc>
          <w:tcPr>
            <w:tcW w:w="4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120" w:type="dxa"/>
            <w:vAlign w:val="bottom"/>
            <w:tcBorders>
              <w:left w:val="single" w:sz="8" w:color="auto"/>
              <w:right w:val="single" w:sz="8" w:color="auto"/>
            </w:tcBorders>
            <w:vMerge w:val="continue"/>
          </w:tcPr>
          <w:p>
            <w:pPr>
              <w:spacing w:after="0"/>
              <w:rPr>
                <w:sz w:val="12"/>
                <w:szCs w:val="12"/>
                <w:color w:val="auto"/>
              </w:rPr>
            </w:pP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202"/>
        </w:trPr>
        <w:tc>
          <w:tcPr>
            <w:tcW w:w="4120" w:type="dxa"/>
            <w:vAlign w:val="bottom"/>
            <w:tcBorders>
              <w:left w:val="single" w:sz="8" w:color="auto"/>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Our annual bonus program is 100%</w:t>
            </w:r>
          </w:p>
        </w:tc>
        <w:tc>
          <w:tcPr>
            <w:tcW w:w="41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Borders>
              <w:left w:val="single" w:sz="8" w:color="auto"/>
              <w:right w:val="single" w:sz="8" w:color="auto"/>
            </w:tcBorders>
            <w:vMerge w:val="continue"/>
          </w:tcPr>
          <w:p>
            <w:pPr>
              <w:spacing w:after="0"/>
              <w:rPr>
                <w:sz w:val="14"/>
                <w:szCs w:val="14"/>
                <w:color w:val="auto"/>
              </w:rPr>
            </w:pPr>
          </w:p>
        </w:tc>
        <w:tc>
          <w:tcPr>
            <w:tcW w:w="4100" w:type="dxa"/>
            <w:vAlign w:val="bottom"/>
            <w:tcBorders>
              <w:right w:val="single" w:sz="8" w:color="auto"/>
            </w:tcBorders>
          </w:tcPr>
          <w:p>
            <w:pPr>
              <w:ind w:left="440"/>
              <w:spacing w:after="0" w:line="163" w:lineRule="exact"/>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215"/>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performance based with payout based on a</w:t>
            </w: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We did not grant any large, out of cycle</w:t>
            </w:r>
          </w:p>
        </w:tc>
        <w:tc>
          <w:tcPr>
            <w:tcW w:w="0" w:type="dxa"/>
            <w:vAlign w:val="bottom"/>
          </w:tcPr>
          <w:p>
            <w:pPr>
              <w:spacing w:after="0"/>
              <w:rPr>
                <w:sz w:val="1"/>
                <w:szCs w:val="1"/>
                <w:color w:val="auto"/>
              </w:rPr>
            </w:pPr>
          </w:p>
        </w:tc>
      </w:tr>
      <w:tr>
        <w:trPr>
          <w:trHeight w:val="175"/>
        </w:trPr>
        <w:tc>
          <w:tcPr>
            <w:tcW w:w="4120" w:type="dxa"/>
            <w:vAlign w:val="bottom"/>
            <w:tcBorders>
              <w:left w:val="single" w:sz="8" w:color="auto"/>
              <w:right w:val="single" w:sz="8" w:color="auto"/>
            </w:tcBorders>
          </w:tcPr>
          <w:p>
            <w:pPr>
              <w:ind w:left="420"/>
              <w:spacing w:after="0" w:line="176" w:lineRule="exact"/>
              <w:rPr>
                <w:sz w:val="20"/>
                <w:szCs w:val="20"/>
                <w:color w:val="auto"/>
              </w:rPr>
            </w:pPr>
            <w:r>
              <w:rPr>
                <w:rFonts w:ascii="Arial" w:cs="Arial" w:eastAsia="Arial" w:hAnsi="Arial"/>
                <w:sz w:val="18"/>
                <w:szCs w:val="18"/>
                <w:color w:val="auto"/>
              </w:rPr>
              <w:t>formulaic framework</w:t>
            </w:r>
          </w:p>
        </w:tc>
        <w:tc>
          <w:tcPr>
            <w:tcW w:w="4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 of NEO long-term equity incentives are</w:t>
            </w:r>
          </w:p>
        </w:tc>
        <w:tc>
          <w:tcPr>
            <w:tcW w:w="41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equity awards in 2021</w:t>
            </w:r>
          </w:p>
        </w:tc>
        <w:tc>
          <w:tcPr>
            <w:tcW w:w="0" w:type="dxa"/>
            <w:vAlign w:val="bottom"/>
          </w:tcPr>
          <w:p>
            <w:pPr>
              <w:spacing w:after="0"/>
              <w:rPr>
                <w:sz w:val="1"/>
                <w:szCs w:val="1"/>
                <w:color w:val="auto"/>
              </w:rPr>
            </w:pPr>
          </w:p>
        </w:tc>
      </w:tr>
      <w:tr>
        <w:trPr>
          <w:trHeight w:val="188"/>
        </w:trPr>
        <w:tc>
          <w:tcPr>
            <w:tcW w:w="4120" w:type="dxa"/>
            <w:vAlign w:val="bottom"/>
            <w:tcBorders>
              <w:left w:val="single" w:sz="8" w:color="auto"/>
              <w:right w:val="single" w:sz="8" w:color="auto"/>
            </w:tcBorders>
            <w:vMerge w:val="continue"/>
          </w:tcPr>
          <w:p>
            <w:pPr>
              <w:spacing w:after="0"/>
              <w:rPr>
                <w:sz w:val="16"/>
                <w:szCs w:val="16"/>
                <w:color w:val="auto"/>
              </w:rPr>
            </w:pP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149"/>
        </w:trPr>
        <w:tc>
          <w:tcPr>
            <w:tcW w:w="412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color w:val="auto"/>
              </w:rPr>
              <w:t>performance based, requiring performance</w:t>
            </w:r>
          </w:p>
        </w:tc>
        <w:tc>
          <w:tcPr>
            <w:tcW w:w="4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120" w:type="dxa"/>
            <w:vAlign w:val="bottom"/>
            <w:tcBorders>
              <w:left w:val="single" w:sz="8" w:color="auto"/>
              <w:right w:val="single" w:sz="8" w:color="auto"/>
            </w:tcBorders>
            <w:vMerge w:val="continue"/>
          </w:tcPr>
          <w:p>
            <w:pPr>
              <w:spacing w:after="0"/>
              <w:rPr>
                <w:sz w:val="5"/>
                <w:szCs w:val="5"/>
                <w:color w:val="auto"/>
              </w:rPr>
            </w:pPr>
          </w:p>
        </w:tc>
        <w:tc>
          <w:tcPr>
            <w:tcW w:w="41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149"/>
        </w:trPr>
        <w:tc>
          <w:tcPr>
            <w:tcW w:w="4120" w:type="dxa"/>
            <w:vAlign w:val="bottom"/>
            <w:tcBorders>
              <w:left w:val="single" w:sz="8" w:color="auto"/>
              <w:right w:val="single" w:sz="8" w:color="auto"/>
            </w:tcBorders>
            <w:vMerge w:val="restart"/>
          </w:tcPr>
          <w:p>
            <w:pPr>
              <w:ind w:left="420"/>
              <w:spacing w:after="0"/>
              <w:rPr>
                <w:sz w:val="20"/>
                <w:szCs w:val="20"/>
                <w:color w:val="auto"/>
              </w:rPr>
            </w:pPr>
            <w:r>
              <w:rPr>
                <w:rFonts w:ascii="Arial" w:cs="Arial" w:eastAsia="Arial" w:hAnsi="Arial"/>
                <w:sz w:val="18"/>
                <w:szCs w:val="18"/>
                <w:color w:val="auto"/>
              </w:rPr>
              <w:t>over a multi-year period</w:t>
            </w:r>
          </w:p>
        </w:tc>
        <w:tc>
          <w:tcPr>
            <w:tcW w:w="4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120" w:type="dxa"/>
            <w:vAlign w:val="bottom"/>
            <w:tcBorders>
              <w:left w:val="single" w:sz="8" w:color="auto"/>
              <w:right w:val="single" w:sz="8" w:color="auto"/>
            </w:tcBorders>
            <w:vMerge w:val="continue"/>
          </w:tcPr>
          <w:p>
            <w:pPr>
              <w:spacing w:after="0"/>
              <w:rPr>
                <w:sz w:val="5"/>
                <w:szCs w:val="5"/>
                <w:color w:val="auto"/>
              </w:rPr>
            </w:pPr>
          </w:p>
        </w:tc>
        <w:tc>
          <w:tcPr>
            <w:tcW w:w="4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single-trigger change in control</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protections in our long-term incentive plan</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grants</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Compensation program design mitigates</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against excessive risk taking</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Regular investor engagement on</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compensation and other matters</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Equity Ownership Guidelines for executive</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officers and directors</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120" w:type="dxa"/>
            <w:vAlign w:val="bottom"/>
            <w:tcBorders>
              <w:left w:val="single" w:sz="8" w:color="auto"/>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Clawback Policy that applies to performance</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based cash and equity compensation</w:t>
            </w:r>
          </w:p>
        </w:tc>
        <w:tc>
          <w:tcPr>
            <w:tcW w:w="4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120" w:type="dxa"/>
            <w:vAlign w:val="bottom"/>
            <w:tcBorders>
              <w:left w:val="single" w:sz="8" w:color="auto"/>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-3959860</wp:posOffset>
            </wp:positionV>
            <wp:extent cx="6032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-3745865</wp:posOffset>
            </wp:positionV>
            <wp:extent cx="6032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-3557270</wp:posOffset>
            </wp:positionV>
            <wp:extent cx="60325" cy="60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-3205480</wp:posOffset>
            </wp:positionV>
            <wp:extent cx="60325" cy="603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-2845435</wp:posOffset>
            </wp:positionV>
            <wp:extent cx="6032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-2494280</wp:posOffset>
            </wp:positionV>
            <wp:extent cx="6032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80"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At our last annual meeting, over 97% of our voting equity holders approved our executive compensation programs. Although this “say on pay” vote is advisory and non-binding, our compensation committee and Board value the opinions of our shareholders and carefully consider the results of “say on pay” votes and direct feedback received from investors, among a variety of other factors, when making future compensation decisions for our Named Executive Officers. Our investor relations team regularly meets with investors and other stakeholders to seek input and feedback on a wide range of topics, including executive compensation. On an annual basis, as part of our ongoing investor outreach and engagement process, we actively solicit feedback from our larger investors regarding our executive compensation programs and other important matters, including our evolving governance practices and sustainability efforts. In connection with this process during 2021, we reached out to 12 of our largest investors (representing approximately 40% of our outstanding voting equity), and members of our executive and investor relations teams ultimately held individual meetings with investors representing approximately 33% of our outstanding voting equity. The meetings led to a number of follow-up calls and discussions and were generally well received. The constructive feedback and input we received during these meetings and during prior years was shared and discussed with our compensation committee and Board. As we strive for continuous improvement, receiving and incorporating this investor feedback into our decision making process is critical.</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60" w:firstLine="360"/>
        <w:spacing w:after="0" w:line="251" w:lineRule="auto"/>
        <w:rPr>
          <w:sz w:val="20"/>
          <w:szCs w:val="20"/>
          <w:color w:val="auto"/>
        </w:rPr>
      </w:pPr>
      <w:r>
        <w:rPr>
          <w:rFonts w:ascii="Arial" w:cs="Arial" w:eastAsia="Arial" w:hAnsi="Arial"/>
          <w:sz w:val="18"/>
          <w:szCs w:val="18"/>
          <w:color w:val="auto"/>
        </w:rPr>
        <w:t>The design of our 2021 executive compensation program, and the actual compensation of our NEOs for 2021, did not materially change relative to 2020. Consistent with the level of equity support for our 2020 executive compensation program, investor feedback gathered during 2021 was generally supportive of our 2021 program and of the changes implemented in response to feedback gathered during extensive outreach during 2019 and 2020. The compensation committee and our management team are constantly reviewing the design of our programs to ensure that they remain aligned with investor interests and evolving best practices. We will continue to seek direct input from our investors as part of that process. The table below summarizes the key feedback we have received from our investors over the past several years and the changes we made to our executive compensation program during 2020 and 2021 in response to such feedback and related considerations: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Borders>
              <w:right w:val="single" w:sz="8" w:color="auto"/>
            </w:tcBorders>
          </w:tcPr>
          <w:p>
            <w:pPr>
              <w:spacing w:after="0"/>
              <w:rPr>
                <w:sz w:val="18"/>
                <w:szCs w:val="18"/>
                <w:color w:val="auto"/>
              </w:rPr>
            </w:pPr>
          </w:p>
        </w:tc>
        <w:tc>
          <w:tcPr>
            <w:tcW w:w="4160" w:type="dxa"/>
            <w:vAlign w:val="bottom"/>
            <w:tcBorders>
              <w:top w:val="single" w:sz="8" w:color="auto"/>
              <w:bottom w:val="single" w:sz="8" w:color="auto"/>
            </w:tcBorders>
            <w:gridSpan w:val="2"/>
            <w:shd w:val="clear" w:color="auto" w:fill="434F69"/>
          </w:tcPr>
          <w:p>
            <w:pPr>
              <w:ind w:left="1480"/>
              <w:spacing w:after="0"/>
              <w:rPr>
                <w:sz w:val="20"/>
                <w:szCs w:val="20"/>
                <w:color w:val="auto"/>
              </w:rPr>
            </w:pPr>
            <w:r>
              <w:rPr>
                <w:rFonts w:ascii="Arial" w:cs="Arial" w:eastAsia="Arial" w:hAnsi="Arial"/>
                <w:sz w:val="14"/>
                <w:szCs w:val="14"/>
                <w:b w:val="1"/>
                <w:bCs w:val="1"/>
                <w:color w:val="FFFFFF"/>
              </w:rPr>
              <w:t>What We Heard</w:t>
            </w:r>
          </w:p>
        </w:tc>
        <w:tc>
          <w:tcPr>
            <w:tcW w:w="4040" w:type="dxa"/>
            <w:vAlign w:val="bottom"/>
            <w:tcBorders>
              <w:top w:val="single" w:sz="8" w:color="auto"/>
              <w:bottom w:val="single" w:sz="8" w:color="auto"/>
              <w:right w:val="single" w:sz="8" w:color="auto"/>
            </w:tcBorders>
            <w:shd w:val="clear" w:color="auto" w:fill="434F69"/>
          </w:tcPr>
          <w:p>
            <w:pPr>
              <w:ind w:left="1560"/>
              <w:spacing w:after="0"/>
              <w:rPr>
                <w:sz w:val="20"/>
                <w:szCs w:val="20"/>
                <w:color w:val="auto"/>
              </w:rPr>
            </w:pPr>
            <w:r>
              <w:rPr>
                <w:rFonts w:ascii="Arial" w:cs="Arial" w:eastAsia="Arial" w:hAnsi="Arial"/>
                <w:sz w:val="14"/>
                <w:szCs w:val="14"/>
                <w:b w:val="1"/>
                <w:bCs w:val="1"/>
                <w:color w:val="FFFFFF"/>
              </w:rPr>
              <w:t>What We Did</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Concern that DCF/CUE performance metric in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 2020, we changed the DCF/CUE performance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equity incentives did not require performance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metric in our long-term equity incentive awards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throughout three year grant period and allowed</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require performance over a full 12-quarter period</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too long of a period (4 years) to achieve target</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vs. any trailing 4-quarter period, and we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shortened the performance period to three years,</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eliminating the extra one-year “tail” period. These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enhancements are also reflected in our 2021</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spacing w:after="0"/>
              <w:rPr>
                <w:sz w:val="18"/>
                <w:szCs w:val="18"/>
                <w:color w:val="auto"/>
              </w:rPr>
            </w:pP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long-term incentive awards.</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Concern that DCF/CUE performance metric in</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Our 2020 and 2021 long-term incentive awards</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long-term incentive awards could incentivize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include a leverage modifier to mitigate this</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management to inappropriately increase leverage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concern. Payout on cumulative three-year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to meet targets</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DCF/CUE metric is subject to increase or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decrease based on comparison of leverage ratio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 end of three year measurement period to the</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target leverage ratio established at time of grant.</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Investor desire for use of a relative, returns-</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 2020, we added a relative total shareholder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based performance metric in our equity incentive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return metric with an absolute TSR modifier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program</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our long-term equity incentive awards. These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performance metrics were also included in our</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spacing w:after="0"/>
              <w:rPr>
                <w:sz w:val="18"/>
                <w:szCs w:val="18"/>
                <w:color w:val="auto"/>
              </w:rPr>
            </w:pP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2021 long-term incentive awards.</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Investors would like to see more use of ESG</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 continue to use safety and environmental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metrics in our performance-based incentive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metrics in our annual bonus program and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programs</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consider further direct alignment between our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sustainability strategy and executive</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compensation.</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Concern regarding significant, out of cycle equity</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The Board and compensation committee have at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awards granted to CEO in 2018 (in connection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times used performance-based long term</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with his promotion to the CEO role) and certain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incentive and retention awards under special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NEOs in 2019 (long-term retention and incentive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circumstances to secure and incentivize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for two individuals regarded as key to future</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leadership talent and facilitate long-term</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leadership succession)</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succession efforts. We do not routinely grant out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of cycle equity awards and we did not grant any</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spacing w:after="0"/>
              <w:rPr>
                <w:sz w:val="18"/>
                <w:szCs w:val="18"/>
                <w:color w:val="auto"/>
              </w:rPr>
            </w:pP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special out of cycle equity awards in 2020 or</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spacing w:after="0"/>
              <w:rPr>
                <w:sz w:val="18"/>
                <w:szCs w:val="18"/>
                <w:color w:val="auto"/>
              </w:rPr>
            </w:pP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2021.</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Adoption of equity ownership guidelines would be</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November 2020, the Board adopted Equity</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seen as a beneficial mitigant</w:t>
            </w: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Ownership Guidelines.</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Adoption of clawback policy would be seen as a</w:t>
            </w:r>
          </w:p>
        </w:tc>
        <w:tc>
          <w:tcPr>
            <w:tcW w:w="60" w:type="dxa"/>
            <w:vAlign w:val="bottom"/>
            <w:shd w:val="clear" w:color="auto" w:fill="D9DCE1"/>
          </w:tcPr>
          <w:p>
            <w:pPr>
              <w:spacing w:after="0"/>
              <w:rPr>
                <w:sz w:val="18"/>
                <w:szCs w:val="18"/>
                <w:color w:val="auto"/>
              </w:rPr>
            </w:pPr>
          </w:p>
        </w:tc>
        <w:tc>
          <w:tcPr>
            <w:tcW w:w="4040" w:type="dxa"/>
            <w:vAlign w:val="bottom"/>
            <w:tcBorders>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In November 2020, the Board adopted a</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beneficial mitigant</w:t>
            </w:r>
          </w:p>
        </w:tc>
        <w:tc>
          <w:tcPr>
            <w:tcW w:w="60" w:type="dxa"/>
            <w:vAlign w:val="bottom"/>
            <w:tcBorders>
              <w:bottom w:val="single" w:sz="8" w:color="auto"/>
            </w:tcBorders>
            <w:shd w:val="clear" w:color="auto" w:fill="D9DCE1"/>
          </w:tcPr>
          <w:p>
            <w:pPr>
              <w:spacing w:after="0"/>
              <w:rPr>
                <w:sz w:val="18"/>
                <w:szCs w:val="18"/>
                <w:color w:val="auto"/>
              </w:rPr>
            </w:pPr>
          </w:p>
        </w:tc>
        <w:tc>
          <w:tcPr>
            <w:tcW w:w="4040" w:type="dxa"/>
            <w:vAlign w:val="bottom"/>
            <w:tcBorders>
              <w:bottom w:val="single" w:sz="8" w:color="auto"/>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Clawback Policy.</w:t>
            </w:r>
          </w:p>
        </w:tc>
        <w:tc>
          <w:tcPr>
            <w:tcW w:w="1240" w:type="dxa"/>
            <w:vAlign w:val="bottom"/>
          </w:tcPr>
          <w:p>
            <w:pPr>
              <w:spacing w:after="0"/>
              <w:rPr>
                <w:sz w:val="18"/>
                <w:szCs w:val="18"/>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Supportive of inclusion of S&amp;P and Alerian</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S&amp;P and AMZX indices included in TSR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indices in TSR comparator group, but viewed</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comparator group for 2020 long-term incentive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AMNA as more appropriate index vs. AMZX</w:t>
            </w:r>
          </w:p>
        </w:tc>
        <w:tc>
          <w:tcPr>
            <w:tcW w:w="60" w:type="dxa"/>
            <w:vAlign w:val="bottom"/>
          </w:tcPr>
          <w:p>
            <w:pPr>
              <w:spacing w:after="0"/>
              <w:rPr>
                <w:sz w:val="18"/>
                <w:szCs w:val="18"/>
                <w:color w:val="auto"/>
              </w:rPr>
            </w:pPr>
          </w:p>
        </w:tc>
        <w:tc>
          <w:tcPr>
            <w:tcW w:w="4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awards; the 2021 long-term incentive awards</w:t>
            </w:r>
          </w:p>
        </w:tc>
        <w:tc>
          <w:tcPr>
            <w:tcW w:w="1240" w:type="dxa"/>
            <w:vAlign w:val="bottom"/>
          </w:tcPr>
          <w:p>
            <w:pPr>
              <w:spacing w:after="0"/>
              <w:rPr>
                <w:sz w:val="18"/>
                <w:szCs w:val="18"/>
                <w:color w:val="auto"/>
              </w:rPr>
            </w:pPr>
          </w:p>
        </w:tc>
      </w:tr>
      <w:tr>
        <w:trPr>
          <w:trHeight w:val="217"/>
        </w:trPr>
        <w:tc>
          <w:tcPr>
            <w:tcW w:w="1280" w:type="dxa"/>
            <w:vAlign w:val="bottom"/>
            <w:tcBorders>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substitute AMNA for AMZX.</w:t>
            </w:r>
          </w:p>
        </w:tc>
        <w:tc>
          <w:tcPr>
            <w:tcW w:w="1240" w:type="dxa"/>
            <w:vAlign w:val="bottom"/>
          </w:tcPr>
          <w:p>
            <w:pPr>
              <w:spacing w:after="0"/>
              <w:rPr>
                <w:sz w:val="18"/>
                <w:szCs w:val="18"/>
                <w:color w:val="auto"/>
              </w:rPr>
            </w:pPr>
          </w:p>
        </w:tc>
      </w:tr>
      <w:tr>
        <w:trPr>
          <w:trHeight w:val="601"/>
        </w:trPr>
        <w:tc>
          <w:tcPr>
            <w:tcW w:w="1280" w:type="dxa"/>
            <w:vAlign w:val="bottom"/>
          </w:tcPr>
          <w:p>
            <w:pPr>
              <w:spacing w:after="0"/>
              <w:rPr>
                <w:sz w:val="24"/>
                <w:szCs w:val="24"/>
                <w:color w:val="auto"/>
              </w:rPr>
            </w:pPr>
          </w:p>
        </w:tc>
        <w:tc>
          <w:tcPr>
            <w:tcW w:w="4160" w:type="dxa"/>
            <w:vAlign w:val="bottom"/>
            <w:gridSpan w:val="2"/>
          </w:tcPr>
          <w:p>
            <w:pPr>
              <w:ind w:left="3960"/>
              <w:spacing w:after="0"/>
              <w:rPr>
                <w:sz w:val="20"/>
                <w:szCs w:val="20"/>
                <w:color w:val="auto"/>
              </w:rPr>
            </w:pPr>
            <w:r>
              <w:rPr>
                <w:rFonts w:ascii="Arial" w:cs="Arial" w:eastAsia="Arial" w:hAnsi="Arial"/>
                <w:sz w:val="18"/>
                <w:szCs w:val="18"/>
                <w:color w:val="auto"/>
                <w:w w:val="89"/>
              </w:rPr>
              <w:t>26</w:t>
            </w:r>
          </w:p>
        </w:tc>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66"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Our executive compensation philosophy is focused on a long-term pay for performance culture designed to attract and retain key management talent in a competitive industry and market. Our program combines relatively low base pay (as a percentage of total rewards) with higher variable, at-risk compensation opportunities based on objective and transparent performance requirements. As demonstrated in the graphic below, in 2021, at target, approximately 88% of our CEO’s compensation and approximately 83% of our other NEOs’ compensation consisted of at-risk compensation.</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3757930</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140335</wp:posOffset>
            </wp:positionV>
            <wp:extent cx="5143500" cy="32829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459" w:hanging="360"/>
        <w:spacing w:after="0" w:line="256"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NEOs” graphic excludes Mr. Pefanis. Mr. Pefanis is a co-founder and substantial equity owner and for the last several years has requested to not participate in the long-term incentive program, which results in an at-risk compensation percentage for Mr. Pefanis of 71%.</w:t>
      </w:r>
    </w:p>
    <w:p>
      <w:pPr>
        <w:spacing w:after="0" w:line="121"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and distributable cash flow (“DCF”) per common unit equivalent (“CUE”). The primary long-term performance measures included in our equity incentive grants are DCF per CUE over a 3 year period (with a leverage modifier) and relative total shareholder return (“TSR”) over a 3 year period. We believe our short- and long-term performance metrics are consistent with our overall financial strategy of reducing our leverage and generating attractive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78105</wp:posOffset>
            </wp:positionV>
            <wp:extent cx="1234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1" w:lineRule="exact"/>
        <w:rPr>
          <w:sz w:val="20"/>
          <w:szCs w:val="20"/>
          <w:color w:val="auto"/>
        </w:rPr>
      </w:pPr>
    </w:p>
    <w:p>
      <w:pPr>
        <w:ind w:left="1620" w:right="459" w:hanging="360"/>
        <w:spacing w:after="0" w:line="227" w:lineRule="auto"/>
        <w:tabs>
          <w:tab w:leader="none" w:pos="16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Earnings before interest, taxes, depreciation and amortization (including our proportionate share of depreciation of and amortization, including write-downs related to canceled projects, of unconsolidated entities), gains and losses on asset sales and asset impairments, goodwill impairment losses and gains on and impairments of investments in unconsolidated entities, adjusted for certain selected items impacting comparability.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00" w:firstLine="360"/>
        <w:spacing w:after="0"/>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73" w:lineRule="exact"/>
        <w:rPr>
          <w:sz w:val="20"/>
          <w:szCs w:val="20"/>
          <w:color w:val="auto"/>
        </w:rPr>
      </w:pPr>
    </w:p>
    <w:p>
      <w:pPr>
        <w:ind w:left="1800" w:right="1400" w:hanging="180"/>
        <w:spacing w:after="0" w:line="28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31" w:lineRule="exact"/>
        <w:rPr>
          <w:rFonts w:ascii="Arial" w:cs="Arial" w:eastAsia="Arial" w:hAnsi="Arial"/>
          <w:sz w:val="18"/>
          <w:szCs w:val="18"/>
          <w:color w:val="auto"/>
        </w:rPr>
      </w:pPr>
    </w:p>
    <w:p>
      <w:pPr>
        <w:ind w:left="1800" w:right="1280" w:hanging="180"/>
        <w:spacing w:after="0" w:line="28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a majority of NEO pay to achievement of near-term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long-term growth in unitholder value; and</w:t>
      </w:r>
    </w:p>
    <w:p>
      <w:pPr>
        <w:spacing w:after="0" w:line="44" w:lineRule="exact"/>
        <w:rPr>
          <w:rFonts w:ascii="Arial" w:cs="Arial" w:eastAsia="Arial" w:hAnsi="Arial"/>
          <w:sz w:val="18"/>
          <w:szCs w:val="18"/>
          <w:color w:val="auto"/>
        </w:rPr>
      </w:pPr>
    </w:p>
    <w:p>
      <w:pPr>
        <w:ind w:left="1800" w:right="1960" w:hanging="180"/>
        <w:spacing w:after="0" w:line="28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the use of equity incentives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encouragement of long-term unit ownership.</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CEO Realizable Pay Aligned with Performance</w:t>
      </w:r>
    </w:p>
    <w:p>
      <w:pPr>
        <w:spacing w:after="0" w:line="180" w:lineRule="exact"/>
        <w:rPr>
          <w:sz w:val="20"/>
          <w:szCs w:val="20"/>
          <w:color w:val="auto"/>
        </w:rPr>
      </w:pPr>
    </w:p>
    <w:p>
      <w:pPr>
        <w:ind w:left="1260" w:right="1260" w:firstLine="360"/>
        <w:spacing w:after="0" w:line="236" w:lineRule="auto"/>
        <w:rPr>
          <w:sz w:val="20"/>
          <w:szCs w:val="20"/>
          <w:color w:val="auto"/>
        </w:rPr>
      </w:pPr>
      <w:r>
        <w:rPr>
          <w:rFonts w:ascii="Arial" w:cs="Arial" w:eastAsia="Arial" w:hAnsi="Arial"/>
          <w:sz w:val="18"/>
          <w:szCs w:val="18"/>
          <w:color w:val="auto"/>
        </w:rPr>
        <w:t>In order to demonstrate how the design of our executive pay program is aligned with the interests of our unitholders, the table and chart below compare the potentially realizable market value of long term incentive plan awards granted to Mr. Chiang since he became CEO in 2018 to the realizable market value of such awards as of year-end 2021. The values utilized in the table and chart below are based on closing market prices of PAA’s common units to demonstrate how PAA’s unit price performance over time impacts the actual value realized and future realizable value of equity awards held by our NEOs. These values are different than the grant date fair values set forth in the summary compensation table, which are accounting-based values mandated by SEC requirements and which are calculated on the date of grant and not adjusted over time to reflect fluctuations in market price.</w:t>
      </w:r>
    </w:p>
    <w:p>
      <w:pPr>
        <w:spacing w:after="0" w:line="13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Since the date of Mr. Chiang’s first long term incentive plan award as CEO in August 2018,</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consistent with the performance of the AMZX and AMNA indices during such period, PAA’s common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 price has declined by approximately 65% through December 31, 2021 (from $26.85 per unit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$9.34 per unit). The table and chart below demonstrate that the realizable market value of Mr. Chiang’s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incentive plan awards over the same time period (i.e., from August 2018 through year-end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2021) has declined by approximately 44% (or 66% on an adjusted basis attributing no realizable value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Mr. Chiang’s August 16, 2018 promotion grant due to the current improbability of achieving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aggressive performance targets included in such grant that were based on pre-pandemic projections).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Chiang’s experience with respect to his long-term equity awards is similar to the experience of our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NEOs during the same time period and demonstrates that there is a significant correlation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alignment between our NEOs’ long-term equity incentive compensation and the interests of our equity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holders.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Realizable Market Value of CEO Long-Term Incentive Awards*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tcBorders>
              <w:right w:val="single" w:sz="8" w:color="434F69"/>
            </w:tcBorders>
          </w:tcPr>
          <w:p>
            <w:pPr>
              <w:spacing w:after="0"/>
              <w:rPr>
                <w:sz w:val="17"/>
                <w:szCs w:val="17"/>
                <w:color w:val="auto"/>
              </w:rPr>
            </w:pPr>
          </w:p>
        </w:tc>
        <w:tc>
          <w:tcPr>
            <w:tcW w:w="2160" w:type="dxa"/>
            <w:vAlign w:val="bottom"/>
            <w:shd w:val="clear" w:color="auto" w:fill="434F69"/>
          </w:tcPr>
          <w:p>
            <w:pPr>
              <w:spacing w:after="0"/>
              <w:rPr>
                <w:sz w:val="17"/>
                <w:szCs w:val="17"/>
                <w:color w:val="auto"/>
              </w:rPr>
            </w:pPr>
          </w:p>
        </w:tc>
        <w:tc>
          <w:tcPr>
            <w:tcW w:w="980" w:type="dxa"/>
            <w:vAlign w:val="bottom"/>
            <w:shd w:val="clear" w:color="auto" w:fill="434F69"/>
          </w:tcPr>
          <w:p>
            <w:pPr>
              <w:spacing w:after="0"/>
              <w:rPr>
                <w:sz w:val="17"/>
                <w:szCs w:val="17"/>
                <w:color w:val="auto"/>
              </w:rPr>
            </w:pPr>
          </w:p>
        </w:tc>
        <w:tc>
          <w:tcPr>
            <w:tcW w:w="140" w:type="dxa"/>
            <w:vAlign w:val="bottom"/>
            <w:shd w:val="clear" w:color="auto" w:fill="434F69"/>
          </w:tcPr>
          <w:p>
            <w:pPr>
              <w:spacing w:after="0"/>
              <w:rPr>
                <w:sz w:val="17"/>
                <w:szCs w:val="17"/>
                <w:color w:val="auto"/>
              </w:rPr>
            </w:pPr>
          </w:p>
        </w:tc>
        <w:tc>
          <w:tcPr>
            <w:tcW w:w="980" w:type="dxa"/>
            <w:vAlign w:val="bottom"/>
            <w:shd w:val="clear" w:color="auto" w:fill="434F69"/>
          </w:tcPr>
          <w:p>
            <w:pPr>
              <w:spacing w:after="0"/>
              <w:rPr>
                <w:sz w:val="17"/>
                <w:szCs w:val="17"/>
                <w:color w:val="auto"/>
              </w:rPr>
            </w:pPr>
          </w:p>
        </w:tc>
        <w:tc>
          <w:tcPr>
            <w:tcW w:w="900" w:type="dxa"/>
            <w:vAlign w:val="bottom"/>
            <w:shd w:val="clear" w:color="auto" w:fill="434F69"/>
          </w:tcPr>
          <w:p>
            <w:pPr>
              <w:spacing w:after="0"/>
              <w:rPr>
                <w:sz w:val="17"/>
                <w:szCs w:val="17"/>
                <w:color w:val="auto"/>
              </w:rPr>
            </w:pPr>
          </w:p>
        </w:tc>
        <w:tc>
          <w:tcPr>
            <w:tcW w:w="180" w:type="dxa"/>
            <w:vAlign w:val="bottom"/>
            <w:shd w:val="clear" w:color="auto" w:fill="434F69"/>
          </w:tcPr>
          <w:p>
            <w:pPr>
              <w:spacing w:after="0"/>
              <w:rPr>
                <w:sz w:val="17"/>
                <w:szCs w:val="17"/>
                <w:color w:val="auto"/>
              </w:rPr>
            </w:pPr>
          </w:p>
        </w:tc>
        <w:tc>
          <w:tcPr>
            <w:tcW w:w="980" w:type="dxa"/>
            <w:vAlign w:val="bottom"/>
            <w:shd w:val="clear" w:color="auto" w:fill="434F69"/>
          </w:tcPr>
          <w:p>
            <w:pPr>
              <w:spacing w:after="0"/>
              <w:rPr>
                <w:sz w:val="17"/>
                <w:szCs w:val="17"/>
                <w:color w:val="auto"/>
              </w:rPr>
            </w:pP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12/31/21</w:t>
            </w:r>
          </w:p>
        </w:tc>
        <w:tc>
          <w:tcPr>
            <w:tcW w:w="940" w:type="dxa"/>
            <w:vAlign w:val="bottom"/>
            <w:tcBorders>
              <w:right w:val="single" w:sz="8" w:color="434F69"/>
            </w:tcBorders>
            <w:shd w:val="clear" w:color="auto" w:fill="434F69"/>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216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14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900" w:type="dxa"/>
            <w:vAlign w:val="bottom"/>
            <w:shd w:val="clear" w:color="auto" w:fill="434F69"/>
          </w:tcPr>
          <w:p>
            <w:pPr>
              <w:spacing w:after="0"/>
              <w:rPr>
                <w:sz w:val="14"/>
                <w:szCs w:val="14"/>
                <w:color w:val="auto"/>
              </w:rPr>
            </w:pPr>
          </w:p>
        </w:tc>
        <w:tc>
          <w:tcPr>
            <w:tcW w:w="18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37"/>
              <w:spacing w:after="0"/>
              <w:rPr>
                <w:sz w:val="20"/>
                <w:szCs w:val="20"/>
                <w:color w:val="auto"/>
              </w:rPr>
            </w:pPr>
            <w:r>
              <w:rPr>
                <w:rFonts w:ascii="Arial" w:cs="Arial" w:eastAsia="Arial" w:hAnsi="Arial"/>
                <w:sz w:val="14"/>
                <w:szCs w:val="14"/>
                <w:b w:val="1"/>
                <w:bCs w:val="1"/>
                <w:color w:val="FFFFFF"/>
                <w:w w:val="95"/>
              </w:rPr>
              <w:t>Total</w:t>
            </w: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Realizable</w:t>
            </w:r>
          </w:p>
        </w:tc>
        <w:tc>
          <w:tcPr>
            <w:tcW w:w="940" w:type="dxa"/>
            <w:vAlign w:val="bottom"/>
            <w:tcBorders>
              <w:right w:val="single" w:sz="8" w:color="434F69"/>
            </w:tcBorders>
            <w:shd w:val="clear" w:color="auto" w:fill="434F69"/>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216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14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900" w:type="dxa"/>
            <w:vAlign w:val="bottom"/>
            <w:shd w:val="clear" w:color="auto" w:fill="434F69"/>
          </w:tcPr>
          <w:p>
            <w:pPr>
              <w:spacing w:after="0"/>
              <w:rPr>
                <w:sz w:val="14"/>
                <w:szCs w:val="14"/>
                <w:color w:val="auto"/>
              </w:rPr>
            </w:pPr>
          </w:p>
        </w:tc>
        <w:tc>
          <w:tcPr>
            <w:tcW w:w="18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57"/>
              <w:spacing w:after="0"/>
              <w:rPr>
                <w:sz w:val="20"/>
                <w:szCs w:val="20"/>
                <w:color w:val="auto"/>
              </w:rPr>
            </w:pPr>
            <w:r>
              <w:rPr>
                <w:rFonts w:ascii="Arial" w:cs="Arial" w:eastAsia="Arial" w:hAnsi="Arial"/>
                <w:sz w:val="14"/>
                <w:szCs w:val="14"/>
                <w:b w:val="1"/>
                <w:bCs w:val="1"/>
                <w:color w:val="FFFFFF"/>
              </w:rPr>
              <w:t>Realizable</w:t>
            </w: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Value as</w:t>
            </w:r>
          </w:p>
        </w:tc>
        <w:tc>
          <w:tcPr>
            <w:tcW w:w="940" w:type="dxa"/>
            <w:vAlign w:val="bottom"/>
            <w:tcBorders>
              <w:right w:val="single" w:sz="8" w:color="434F69"/>
            </w:tcBorders>
            <w:shd w:val="clear" w:color="auto" w:fill="434F69"/>
          </w:tcPr>
          <w:p>
            <w:pPr>
              <w:ind w:left="100"/>
              <w:spacing w:after="0"/>
              <w:rPr>
                <w:sz w:val="20"/>
                <w:szCs w:val="20"/>
                <w:color w:val="auto"/>
              </w:rPr>
            </w:pPr>
            <w:r>
              <w:rPr>
                <w:rFonts w:ascii="Arial" w:cs="Arial" w:eastAsia="Arial" w:hAnsi="Arial"/>
                <w:sz w:val="14"/>
                <w:szCs w:val="14"/>
                <w:b w:val="1"/>
                <w:bCs w:val="1"/>
                <w:color w:val="FFFFFF"/>
              </w:rPr>
              <w:t>Change in</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216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14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900" w:type="dxa"/>
            <w:vAlign w:val="bottom"/>
            <w:shd w:val="clear" w:color="auto" w:fill="434F69"/>
          </w:tcPr>
          <w:p>
            <w:pPr>
              <w:spacing w:after="0"/>
              <w:rPr>
                <w:sz w:val="14"/>
                <w:szCs w:val="14"/>
                <w:color w:val="auto"/>
              </w:rPr>
            </w:pPr>
          </w:p>
        </w:tc>
        <w:tc>
          <w:tcPr>
            <w:tcW w:w="18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37"/>
              <w:spacing w:after="0"/>
              <w:rPr>
                <w:sz w:val="20"/>
                <w:szCs w:val="20"/>
                <w:color w:val="auto"/>
              </w:rPr>
            </w:pPr>
            <w:r>
              <w:rPr>
                <w:rFonts w:ascii="Arial" w:cs="Arial" w:eastAsia="Arial" w:hAnsi="Arial"/>
                <w:sz w:val="14"/>
                <w:szCs w:val="14"/>
                <w:b w:val="1"/>
                <w:bCs w:val="1"/>
                <w:color w:val="FFFFFF"/>
              </w:rPr>
              <w:t>Value of</w:t>
            </w: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 of Grant</w:t>
            </w:r>
          </w:p>
        </w:tc>
        <w:tc>
          <w:tcPr>
            <w:tcW w:w="940" w:type="dxa"/>
            <w:vAlign w:val="bottom"/>
            <w:tcBorders>
              <w:right w:val="single" w:sz="8" w:color="434F69"/>
            </w:tcBorders>
            <w:shd w:val="clear" w:color="auto" w:fill="434F69"/>
          </w:tcPr>
          <w:p>
            <w:pPr>
              <w:ind w:left="80"/>
              <w:spacing w:after="0"/>
              <w:rPr>
                <w:sz w:val="20"/>
                <w:szCs w:val="20"/>
                <w:color w:val="auto"/>
              </w:rPr>
            </w:pPr>
            <w:r>
              <w:rPr>
                <w:rFonts w:ascii="Arial" w:cs="Arial" w:eastAsia="Arial" w:hAnsi="Arial"/>
                <w:sz w:val="14"/>
                <w:szCs w:val="14"/>
                <w:b w:val="1"/>
                <w:bCs w:val="1"/>
                <w:color w:val="FFFFFF"/>
              </w:rPr>
              <w:t>Value from</w:t>
            </w:r>
          </w:p>
        </w:tc>
        <w:tc>
          <w:tcPr>
            <w:tcW w:w="1240" w:type="dxa"/>
            <w:vAlign w:val="bottom"/>
          </w:tcPr>
          <w:p>
            <w:pPr>
              <w:spacing w:after="0"/>
              <w:rPr>
                <w:sz w:val="14"/>
                <w:szCs w:val="14"/>
                <w:color w:val="auto"/>
              </w:rPr>
            </w:pPr>
          </w:p>
        </w:tc>
      </w:tr>
      <w:tr>
        <w:trPr>
          <w:trHeight w:val="162"/>
        </w:trPr>
        <w:tc>
          <w:tcPr>
            <w:tcW w:w="1280" w:type="dxa"/>
            <w:vAlign w:val="bottom"/>
            <w:tcBorders>
              <w:right w:val="single" w:sz="8" w:color="434F69"/>
            </w:tcBorders>
          </w:tcPr>
          <w:p>
            <w:pPr>
              <w:spacing w:after="0"/>
              <w:rPr>
                <w:sz w:val="14"/>
                <w:szCs w:val="14"/>
                <w:color w:val="auto"/>
              </w:rPr>
            </w:pPr>
          </w:p>
        </w:tc>
        <w:tc>
          <w:tcPr>
            <w:tcW w:w="2160" w:type="dxa"/>
            <w:vAlign w:val="bottom"/>
            <w:shd w:val="clear" w:color="auto" w:fill="434F69"/>
          </w:tcPr>
          <w:p>
            <w:pPr>
              <w:spacing w:after="0"/>
              <w:rPr>
                <w:sz w:val="14"/>
                <w:szCs w:val="14"/>
                <w:color w:val="auto"/>
              </w:rPr>
            </w:pPr>
          </w:p>
        </w:tc>
        <w:tc>
          <w:tcPr>
            <w:tcW w:w="980" w:type="dxa"/>
            <w:vAlign w:val="bottom"/>
            <w:shd w:val="clear" w:color="auto" w:fill="434F69"/>
          </w:tcPr>
          <w:p>
            <w:pPr>
              <w:jc w:val="right"/>
              <w:ind w:right="215"/>
              <w:spacing w:after="0"/>
              <w:rPr>
                <w:sz w:val="20"/>
                <w:szCs w:val="20"/>
                <w:color w:val="auto"/>
              </w:rPr>
            </w:pPr>
            <w:r>
              <w:rPr>
                <w:rFonts w:ascii="Arial" w:cs="Arial" w:eastAsia="Arial" w:hAnsi="Arial"/>
                <w:sz w:val="14"/>
                <w:szCs w:val="14"/>
                <w:b w:val="1"/>
                <w:bCs w:val="1"/>
                <w:color w:val="FFFFFF"/>
              </w:rPr>
              <w:t>Units</w:t>
            </w:r>
          </w:p>
        </w:tc>
        <w:tc>
          <w:tcPr>
            <w:tcW w:w="140" w:type="dxa"/>
            <w:vAlign w:val="bottom"/>
            <w:shd w:val="clear" w:color="auto" w:fill="434F69"/>
          </w:tcPr>
          <w:p>
            <w:pPr>
              <w:spacing w:after="0"/>
              <w:rPr>
                <w:sz w:val="14"/>
                <w:szCs w:val="14"/>
                <w:color w:val="auto"/>
              </w:rPr>
            </w:pPr>
          </w:p>
        </w:tc>
        <w:tc>
          <w:tcPr>
            <w:tcW w:w="980" w:type="dxa"/>
            <w:vAlign w:val="bottom"/>
            <w:shd w:val="clear" w:color="auto" w:fill="434F69"/>
          </w:tcPr>
          <w:p>
            <w:pPr>
              <w:jc w:val="right"/>
              <w:ind w:right="133"/>
              <w:spacing w:after="0"/>
              <w:rPr>
                <w:sz w:val="20"/>
                <w:szCs w:val="20"/>
                <w:color w:val="auto"/>
              </w:rPr>
            </w:pPr>
            <w:r>
              <w:rPr>
                <w:rFonts w:ascii="Arial" w:cs="Arial" w:eastAsia="Arial" w:hAnsi="Arial"/>
                <w:sz w:val="14"/>
                <w:szCs w:val="14"/>
                <w:b w:val="1"/>
                <w:bCs w:val="1"/>
                <w:color w:val="FFFFFF"/>
              </w:rPr>
              <w:t>Grant Date</w:t>
            </w:r>
          </w:p>
        </w:tc>
        <w:tc>
          <w:tcPr>
            <w:tcW w:w="900" w:type="dxa"/>
            <w:vAlign w:val="bottom"/>
            <w:shd w:val="clear" w:color="auto" w:fill="434F69"/>
          </w:tcPr>
          <w:p>
            <w:pPr>
              <w:spacing w:after="0"/>
              <w:rPr>
                <w:sz w:val="14"/>
                <w:szCs w:val="14"/>
                <w:color w:val="auto"/>
              </w:rPr>
            </w:pPr>
          </w:p>
        </w:tc>
        <w:tc>
          <w:tcPr>
            <w:tcW w:w="18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37"/>
              <w:spacing w:after="0"/>
              <w:rPr>
                <w:sz w:val="20"/>
                <w:szCs w:val="20"/>
                <w:color w:val="auto"/>
              </w:rPr>
            </w:pPr>
            <w:r>
              <w:rPr>
                <w:rFonts w:ascii="Arial" w:cs="Arial" w:eastAsia="Arial" w:hAnsi="Arial"/>
                <w:sz w:val="14"/>
                <w:szCs w:val="14"/>
                <w:b w:val="1"/>
                <w:bCs w:val="1"/>
                <w:color w:val="FFFFFF"/>
              </w:rPr>
              <w:t>O/S Units</w:t>
            </w: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Date Market</w:t>
            </w:r>
          </w:p>
        </w:tc>
        <w:tc>
          <w:tcPr>
            <w:tcW w:w="940" w:type="dxa"/>
            <w:vAlign w:val="bottom"/>
            <w:tcBorders>
              <w:right w:val="single" w:sz="8" w:color="434F69"/>
            </w:tcBorders>
            <w:shd w:val="clear" w:color="auto" w:fill="434F69"/>
          </w:tcPr>
          <w:p>
            <w:pPr>
              <w:ind w:left="80"/>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Pr>
          <w:p>
            <w:pPr>
              <w:spacing w:after="0"/>
              <w:rPr>
                <w:sz w:val="14"/>
                <w:szCs w:val="14"/>
                <w:color w:val="auto"/>
              </w:rPr>
            </w:pPr>
          </w:p>
        </w:tc>
      </w:tr>
      <w:tr>
        <w:trPr>
          <w:trHeight w:val="202"/>
        </w:trPr>
        <w:tc>
          <w:tcPr>
            <w:tcW w:w="1280" w:type="dxa"/>
            <w:vAlign w:val="bottom"/>
            <w:tcBorders>
              <w:right w:val="single" w:sz="8" w:color="434F69"/>
            </w:tcBorders>
          </w:tcPr>
          <w:p>
            <w:pPr>
              <w:spacing w:after="0"/>
              <w:rPr>
                <w:sz w:val="17"/>
                <w:szCs w:val="17"/>
                <w:color w:val="auto"/>
              </w:rPr>
            </w:pPr>
          </w:p>
        </w:tc>
        <w:tc>
          <w:tcPr>
            <w:tcW w:w="2160" w:type="dxa"/>
            <w:vAlign w:val="bottom"/>
            <w:shd w:val="clear" w:color="auto" w:fill="434F69"/>
          </w:tcPr>
          <w:p>
            <w:pPr>
              <w:ind w:left="40"/>
              <w:spacing w:after="0"/>
              <w:rPr>
                <w:sz w:val="20"/>
                <w:szCs w:val="20"/>
                <w:color w:val="auto"/>
              </w:rPr>
            </w:pPr>
            <w:r>
              <w:rPr>
                <w:rFonts w:ascii="Arial" w:cs="Arial" w:eastAsia="Arial" w:hAnsi="Arial"/>
                <w:sz w:val="14"/>
                <w:szCs w:val="14"/>
                <w:b w:val="1"/>
                <w:bCs w:val="1"/>
                <w:color w:val="FFFFFF"/>
              </w:rPr>
              <w:t>Grant Date</w:t>
            </w:r>
          </w:p>
        </w:tc>
        <w:tc>
          <w:tcPr>
            <w:tcW w:w="980" w:type="dxa"/>
            <w:vAlign w:val="bottom"/>
            <w:shd w:val="clear" w:color="auto" w:fill="434F69"/>
          </w:tcPr>
          <w:p>
            <w:pPr>
              <w:jc w:val="right"/>
              <w:ind w:right="115"/>
              <w:spacing w:after="0"/>
              <w:rPr>
                <w:sz w:val="20"/>
                <w:szCs w:val="20"/>
                <w:color w:val="auto"/>
              </w:rPr>
            </w:pPr>
            <w:r>
              <w:rPr>
                <w:rFonts w:ascii="Arial" w:cs="Arial" w:eastAsia="Arial" w:hAnsi="Arial"/>
                <w:sz w:val="14"/>
                <w:szCs w:val="14"/>
                <w:b w:val="1"/>
                <w:bCs w:val="1"/>
                <w:color w:val="FFFFFF"/>
              </w:rPr>
              <w:t>Granted</w:t>
            </w:r>
          </w:p>
        </w:tc>
        <w:tc>
          <w:tcPr>
            <w:tcW w:w="1120" w:type="dxa"/>
            <w:vAlign w:val="bottom"/>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Market Value</w:t>
            </w:r>
            <w:r>
              <w:rPr>
                <w:rFonts w:ascii="Arial" w:cs="Arial" w:eastAsia="Arial" w:hAnsi="Arial"/>
                <w:sz w:val="17"/>
                <w:szCs w:val="17"/>
                <w:b w:val="1"/>
                <w:bCs w:val="1"/>
                <w:color w:val="FFFFFF"/>
                <w:vertAlign w:val="superscript"/>
              </w:rPr>
              <w:t>(1)</w:t>
            </w:r>
          </w:p>
        </w:tc>
        <w:tc>
          <w:tcPr>
            <w:tcW w:w="900" w:type="dxa"/>
            <w:vAlign w:val="bottom"/>
            <w:shd w:val="clear" w:color="auto" w:fill="434F69"/>
          </w:tcPr>
          <w:p>
            <w:pPr>
              <w:jc w:val="right"/>
              <w:ind w:right="53"/>
              <w:spacing w:after="0"/>
              <w:rPr>
                <w:sz w:val="20"/>
                <w:szCs w:val="20"/>
                <w:color w:val="auto"/>
              </w:rPr>
            </w:pPr>
            <w:r>
              <w:rPr>
                <w:rFonts w:ascii="Arial" w:cs="Arial" w:eastAsia="Arial" w:hAnsi="Arial"/>
                <w:sz w:val="14"/>
                <w:szCs w:val="14"/>
                <w:b w:val="1"/>
                <w:bCs w:val="1"/>
                <w:color w:val="FFFFFF"/>
              </w:rPr>
              <w:t>Units O/S</w:t>
            </w:r>
          </w:p>
        </w:tc>
        <w:tc>
          <w:tcPr>
            <w:tcW w:w="1160" w:type="dxa"/>
            <w:vAlign w:val="bottom"/>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as of 12/31/21</w:t>
            </w:r>
            <w:r>
              <w:rPr>
                <w:rFonts w:ascii="Arial" w:cs="Arial" w:eastAsia="Arial" w:hAnsi="Arial"/>
                <w:sz w:val="17"/>
                <w:szCs w:val="17"/>
                <w:b w:val="1"/>
                <w:bCs w:val="1"/>
                <w:color w:val="FFFFFF"/>
                <w:vertAlign w:val="superscript"/>
              </w:rPr>
              <w:t>(2)</w:t>
            </w: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Value</w:t>
            </w:r>
          </w:p>
        </w:tc>
        <w:tc>
          <w:tcPr>
            <w:tcW w:w="940" w:type="dxa"/>
            <w:vAlign w:val="bottom"/>
            <w:tcBorders>
              <w:right w:val="single" w:sz="8" w:color="434F69"/>
            </w:tcBorders>
            <w:shd w:val="clear" w:color="auto" w:fill="434F69"/>
          </w:tcPr>
          <w:p>
            <w:pPr>
              <w:ind w:left="100"/>
              <w:spacing w:after="0"/>
              <w:rPr>
                <w:sz w:val="20"/>
                <w:szCs w:val="20"/>
                <w:color w:val="auto"/>
              </w:rPr>
            </w:pPr>
            <w:r>
              <w:rPr>
                <w:rFonts w:ascii="Arial" w:cs="Arial" w:eastAsia="Arial" w:hAnsi="Arial"/>
                <w:sz w:val="14"/>
                <w:szCs w:val="14"/>
                <w:b w:val="1"/>
                <w:bCs w:val="1"/>
                <w:color w:val="FFFFFF"/>
              </w:rPr>
              <w:t>to 12/31/21</w:t>
            </w:r>
          </w:p>
        </w:tc>
        <w:tc>
          <w:tcPr>
            <w:tcW w:w="1240" w:type="dxa"/>
            <w:vAlign w:val="bottom"/>
          </w:tcPr>
          <w:p>
            <w:pPr>
              <w:spacing w:after="0"/>
              <w:rPr>
                <w:sz w:val="17"/>
                <w:szCs w:val="17"/>
                <w:color w:val="auto"/>
              </w:rPr>
            </w:pPr>
          </w:p>
        </w:tc>
      </w:tr>
      <w:tr>
        <w:trPr>
          <w:trHeight w:val="250"/>
        </w:trPr>
        <w:tc>
          <w:tcPr>
            <w:tcW w:w="1280" w:type="dxa"/>
            <w:vAlign w:val="bottom"/>
            <w:tcBorders>
              <w:right w:val="single" w:sz="8" w:color="434F69"/>
            </w:tcBorders>
          </w:tcPr>
          <w:p>
            <w:pPr>
              <w:spacing w:after="0"/>
              <w:rPr>
                <w:sz w:val="21"/>
                <w:szCs w:val="21"/>
                <w:color w:val="auto"/>
              </w:rPr>
            </w:pPr>
          </w:p>
        </w:tc>
        <w:tc>
          <w:tcPr>
            <w:tcW w:w="2160" w:type="dxa"/>
            <w:vAlign w:val="bottom"/>
            <w:tcBorders>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8/16/18 (promotion grant)</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Borders>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9"/>
              </w:rPr>
              <w:t>13,425,000</w:t>
            </w:r>
          </w:p>
        </w:tc>
        <w:tc>
          <w:tcPr>
            <w:tcW w:w="9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Borders>
              <w:bottom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4,670,000</w:t>
            </w:r>
          </w:p>
        </w:tc>
        <w:tc>
          <w:tcPr>
            <w:tcW w:w="9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34.8%</w:t>
            </w:r>
          </w:p>
        </w:tc>
        <w:tc>
          <w:tcPr>
            <w:tcW w:w="9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FC0014"/>
              </w:rPr>
              <w:t>-65.2%</w:t>
            </w:r>
          </w:p>
        </w:tc>
        <w:tc>
          <w:tcPr>
            <w:tcW w:w="1240" w:type="dxa"/>
            <w:vAlign w:val="bottom"/>
          </w:tcPr>
          <w:p>
            <w:pPr>
              <w:spacing w:after="0"/>
              <w:rPr>
                <w:sz w:val="21"/>
                <w:szCs w:val="21"/>
                <w:color w:val="auto"/>
              </w:rPr>
            </w:pPr>
          </w:p>
        </w:tc>
      </w:tr>
      <w:tr>
        <w:trPr>
          <w:trHeight w:val="250"/>
        </w:trPr>
        <w:tc>
          <w:tcPr>
            <w:tcW w:w="1280" w:type="dxa"/>
            <w:vAlign w:val="bottom"/>
            <w:tcBorders>
              <w:right w:val="single" w:sz="8" w:color="434F69"/>
            </w:tcBorders>
          </w:tcPr>
          <w:p>
            <w:pPr>
              <w:spacing w:after="0"/>
              <w:rPr>
                <w:sz w:val="21"/>
                <w:szCs w:val="21"/>
                <w:color w:val="auto"/>
              </w:rPr>
            </w:pPr>
          </w:p>
        </w:tc>
        <w:tc>
          <w:tcPr>
            <w:tcW w:w="2160" w:type="dxa"/>
            <w:vAlign w:val="bottom"/>
            <w:tcBorders>
              <w:bottom w:val="single" w:sz="8" w:color="434F69"/>
            </w:tcBorders>
          </w:tcPr>
          <w:p>
            <w:pPr>
              <w:ind w:left="40"/>
              <w:spacing w:after="0"/>
              <w:rPr>
                <w:sz w:val="20"/>
                <w:szCs w:val="20"/>
                <w:color w:val="auto"/>
              </w:rPr>
            </w:pPr>
            <w:r>
              <w:rPr>
                <w:rFonts w:ascii="Arial" w:cs="Arial" w:eastAsia="Arial" w:hAnsi="Arial"/>
                <w:sz w:val="18"/>
                <w:szCs w:val="18"/>
                <w:color w:val="auto"/>
              </w:rPr>
              <w:t>8/15/19 (annual grant)</w:t>
            </w:r>
          </w:p>
        </w:tc>
        <w:tc>
          <w:tcPr>
            <w:tcW w:w="9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125,740</w:t>
            </w:r>
          </w:p>
        </w:tc>
        <w:tc>
          <w:tcPr>
            <w:tcW w:w="140" w:type="dxa"/>
            <w:vAlign w:val="bottom"/>
            <w:tcBorders>
              <w:bottom w:val="single" w:sz="8" w:color="434F69"/>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2,683,292</w:t>
            </w:r>
          </w:p>
        </w:tc>
        <w:tc>
          <w:tcPr>
            <w:tcW w:w="9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125,740</w:t>
            </w:r>
          </w:p>
        </w:tc>
        <w:tc>
          <w:tcPr>
            <w:tcW w:w="180" w:type="dxa"/>
            <w:vAlign w:val="bottom"/>
            <w:tcBorders>
              <w:bottom w:val="single" w:sz="8" w:color="434F69"/>
            </w:tcBorders>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1,174,412</w:t>
            </w:r>
          </w:p>
        </w:tc>
        <w:tc>
          <w:tcPr>
            <w:tcW w:w="9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43.8%</w:t>
            </w:r>
          </w:p>
        </w:tc>
        <w:tc>
          <w:tcPr>
            <w:tcW w:w="9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FC0014"/>
              </w:rPr>
              <w:t>-56.2%</w:t>
            </w:r>
          </w:p>
        </w:tc>
        <w:tc>
          <w:tcPr>
            <w:tcW w:w="1240" w:type="dxa"/>
            <w:vAlign w:val="bottom"/>
          </w:tcPr>
          <w:p>
            <w:pPr>
              <w:spacing w:after="0"/>
              <w:rPr>
                <w:sz w:val="21"/>
                <w:szCs w:val="21"/>
                <w:color w:val="auto"/>
              </w:rPr>
            </w:pPr>
          </w:p>
        </w:tc>
      </w:tr>
      <w:tr>
        <w:trPr>
          <w:trHeight w:val="250"/>
        </w:trPr>
        <w:tc>
          <w:tcPr>
            <w:tcW w:w="1280" w:type="dxa"/>
            <w:vAlign w:val="bottom"/>
            <w:tcBorders>
              <w:right w:val="single" w:sz="8" w:color="434F69"/>
            </w:tcBorders>
          </w:tcPr>
          <w:p>
            <w:pPr>
              <w:spacing w:after="0"/>
              <w:rPr>
                <w:sz w:val="21"/>
                <w:szCs w:val="21"/>
                <w:color w:val="auto"/>
              </w:rPr>
            </w:pPr>
          </w:p>
        </w:tc>
        <w:tc>
          <w:tcPr>
            <w:tcW w:w="2160" w:type="dxa"/>
            <w:vAlign w:val="bottom"/>
            <w:tcBorders>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rPr>
              <w:t>8/13/20 (annual grant)</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375,940</w:t>
            </w:r>
          </w:p>
        </w:tc>
        <w:tc>
          <w:tcPr>
            <w:tcW w:w="140" w:type="dxa"/>
            <w:vAlign w:val="bottom"/>
            <w:tcBorders>
              <w:bottom w:val="single" w:sz="8" w:color="434F69"/>
            </w:tcBorders>
            <w:shd w:val="clear" w:color="auto" w:fill="D9DCE1"/>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2,996,242</w:t>
            </w:r>
          </w:p>
        </w:tc>
        <w:tc>
          <w:tcPr>
            <w:tcW w:w="9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375,940</w:t>
            </w:r>
          </w:p>
        </w:tc>
        <w:tc>
          <w:tcPr>
            <w:tcW w:w="180" w:type="dxa"/>
            <w:vAlign w:val="bottom"/>
            <w:tcBorders>
              <w:bottom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3,511,280</w:t>
            </w:r>
          </w:p>
        </w:tc>
        <w:tc>
          <w:tcPr>
            <w:tcW w:w="9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117.2%</w:t>
            </w:r>
          </w:p>
        </w:tc>
        <w:tc>
          <w:tcPr>
            <w:tcW w:w="9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+17.2%</w:t>
            </w:r>
          </w:p>
        </w:tc>
        <w:tc>
          <w:tcPr>
            <w:tcW w:w="1240" w:type="dxa"/>
            <w:vAlign w:val="bottom"/>
          </w:tcPr>
          <w:p>
            <w:pPr>
              <w:spacing w:after="0"/>
              <w:rPr>
                <w:sz w:val="21"/>
                <w:szCs w:val="21"/>
                <w:color w:val="auto"/>
              </w:rPr>
            </w:pPr>
          </w:p>
        </w:tc>
      </w:tr>
      <w:tr>
        <w:trPr>
          <w:trHeight w:val="250"/>
        </w:trPr>
        <w:tc>
          <w:tcPr>
            <w:tcW w:w="1280" w:type="dxa"/>
            <w:vAlign w:val="bottom"/>
            <w:tcBorders>
              <w:right w:val="single" w:sz="8" w:color="434F69"/>
            </w:tcBorders>
          </w:tcPr>
          <w:p>
            <w:pPr>
              <w:spacing w:after="0"/>
              <w:rPr>
                <w:sz w:val="21"/>
                <w:szCs w:val="21"/>
                <w:color w:val="auto"/>
              </w:rPr>
            </w:pPr>
          </w:p>
        </w:tc>
        <w:tc>
          <w:tcPr>
            <w:tcW w:w="2160" w:type="dxa"/>
            <w:vAlign w:val="bottom"/>
            <w:tcBorders>
              <w:bottom w:val="single" w:sz="8" w:color="434F69"/>
            </w:tcBorders>
          </w:tcPr>
          <w:p>
            <w:pPr>
              <w:ind w:left="40"/>
              <w:spacing w:after="0"/>
              <w:rPr>
                <w:sz w:val="20"/>
                <w:szCs w:val="20"/>
                <w:color w:val="auto"/>
              </w:rPr>
            </w:pPr>
            <w:r>
              <w:rPr>
                <w:rFonts w:ascii="Arial" w:cs="Arial" w:eastAsia="Arial" w:hAnsi="Arial"/>
                <w:sz w:val="18"/>
                <w:szCs w:val="18"/>
                <w:color w:val="auto"/>
              </w:rPr>
              <w:t>8/19/21 (annual grant)</w:t>
            </w:r>
          </w:p>
        </w:tc>
        <w:tc>
          <w:tcPr>
            <w:tcW w:w="9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300,600</w:t>
            </w:r>
          </w:p>
        </w:tc>
        <w:tc>
          <w:tcPr>
            <w:tcW w:w="140" w:type="dxa"/>
            <w:vAlign w:val="bottom"/>
            <w:tcBorders>
              <w:bottom w:val="single" w:sz="8" w:color="434F69"/>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2,738,466</w:t>
            </w:r>
          </w:p>
        </w:tc>
        <w:tc>
          <w:tcPr>
            <w:tcW w:w="9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300,600</w:t>
            </w:r>
          </w:p>
        </w:tc>
        <w:tc>
          <w:tcPr>
            <w:tcW w:w="180" w:type="dxa"/>
            <w:vAlign w:val="bottom"/>
            <w:tcBorders>
              <w:bottom w:val="single" w:sz="8" w:color="434F69"/>
            </w:tcBorders>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2,807,604</w:t>
            </w:r>
          </w:p>
        </w:tc>
        <w:tc>
          <w:tcPr>
            <w:tcW w:w="9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102.5%</w:t>
            </w:r>
          </w:p>
        </w:tc>
        <w:tc>
          <w:tcPr>
            <w:tcW w:w="9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+2.5%</w:t>
            </w:r>
          </w:p>
        </w:tc>
        <w:tc>
          <w:tcPr>
            <w:tcW w:w="1240" w:type="dxa"/>
            <w:vAlign w:val="bottom"/>
          </w:tcPr>
          <w:p>
            <w:pPr>
              <w:spacing w:after="0"/>
              <w:rPr>
                <w:sz w:val="21"/>
                <w:szCs w:val="21"/>
                <w:color w:val="auto"/>
              </w:rPr>
            </w:pPr>
          </w:p>
        </w:tc>
      </w:tr>
      <w:tr>
        <w:trPr>
          <w:trHeight w:val="193"/>
        </w:trPr>
        <w:tc>
          <w:tcPr>
            <w:tcW w:w="1280" w:type="dxa"/>
            <w:vAlign w:val="bottom"/>
            <w:tcBorders>
              <w:right w:val="single" w:sz="8" w:color="434F69"/>
            </w:tcBorders>
          </w:tcPr>
          <w:p>
            <w:pPr>
              <w:spacing w:after="0"/>
              <w:rPr>
                <w:sz w:val="16"/>
                <w:szCs w:val="16"/>
                <w:color w:val="auto"/>
              </w:rPr>
            </w:pPr>
          </w:p>
        </w:tc>
        <w:tc>
          <w:tcPr>
            <w:tcW w:w="2160" w:type="dxa"/>
            <w:vAlign w:val="bottom"/>
            <w:shd w:val="clear" w:color="auto" w:fill="D9DCE1"/>
          </w:tcPr>
          <w:p>
            <w:pPr>
              <w:ind w:left="220"/>
              <w:spacing w:after="0" w:line="193" w:lineRule="exact"/>
              <w:rPr>
                <w:sz w:val="20"/>
                <w:szCs w:val="20"/>
                <w:color w:val="auto"/>
              </w:rPr>
            </w:pPr>
            <w:r>
              <w:rPr>
                <w:rFonts w:ascii="Arial" w:cs="Arial" w:eastAsia="Arial" w:hAnsi="Arial"/>
                <w:sz w:val="18"/>
                <w:szCs w:val="18"/>
                <w:b w:val="1"/>
                <w:bCs w:val="1"/>
                <w:color w:val="auto"/>
              </w:rPr>
              <w:t>Unadjusted Total</w:t>
            </w:r>
          </w:p>
        </w:tc>
        <w:tc>
          <w:tcPr>
            <w:tcW w:w="980" w:type="dxa"/>
            <w:vAlign w:val="bottom"/>
            <w:shd w:val="clear" w:color="auto" w:fill="D9DCE1"/>
          </w:tcPr>
          <w:p>
            <w:pPr>
              <w:spacing w:after="0"/>
              <w:rPr>
                <w:sz w:val="16"/>
                <w:szCs w:val="16"/>
                <w:color w:val="auto"/>
              </w:rPr>
            </w:pPr>
          </w:p>
        </w:tc>
        <w:tc>
          <w:tcPr>
            <w:tcW w:w="140" w:type="dxa"/>
            <w:vAlign w:val="bottom"/>
            <w:shd w:val="clear" w:color="auto" w:fill="D9DCE1"/>
          </w:tcPr>
          <w:p>
            <w:pPr>
              <w:spacing w:after="0"/>
              <w:rPr>
                <w:sz w:val="16"/>
                <w:szCs w:val="16"/>
                <w:color w:val="auto"/>
              </w:rPr>
            </w:pPr>
          </w:p>
        </w:tc>
        <w:tc>
          <w:tcPr>
            <w:tcW w:w="980" w:type="dxa"/>
            <w:vAlign w:val="bottom"/>
            <w:shd w:val="clear" w:color="auto" w:fill="D9DCE1"/>
          </w:tcPr>
          <w:p>
            <w:pPr>
              <w:spacing w:after="0"/>
              <w:rPr>
                <w:sz w:val="16"/>
                <w:szCs w:val="16"/>
                <w:color w:val="auto"/>
              </w:rPr>
            </w:pPr>
          </w:p>
        </w:tc>
        <w:tc>
          <w:tcPr>
            <w:tcW w:w="900" w:type="dxa"/>
            <w:vAlign w:val="bottom"/>
            <w:shd w:val="clear" w:color="auto" w:fill="D9DCE1"/>
          </w:tcPr>
          <w:p>
            <w:pPr>
              <w:spacing w:after="0"/>
              <w:rPr>
                <w:sz w:val="16"/>
                <w:szCs w:val="16"/>
                <w:color w:val="auto"/>
              </w:rPr>
            </w:pPr>
          </w:p>
        </w:tc>
        <w:tc>
          <w:tcPr>
            <w:tcW w:w="180" w:type="dxa"/>
            <w:vAlign w:val="bottom"/>
            <w:shd w:val="clear" w:color="auto" w:fill="D9DCE1"/>
          </w:tcPr>
          <w:p>
            <w:pPr>
              <w:spacing w:after="0"/>
              <w:rPr>
                <w:sz w:val="16"/>
                <w:szCs w:val="16"/>
                <w:color w:val="auto"/>
              </w:rPr>
            </w:pPr>
          </w:p>
        </w:tc>
        <w:tc>
          <w:tcPr>
            <w:tcW w:w="980" w:type="dxa"/>
            <w:vAlign w:val="bottom"/>
            <w:shd w:val="clear" w:color="auto" w:fill="D9DCE1"/>
          </w:tcPr>
          <w:p>
            <w:pPr>
              <w:spacing w:after="0"/>
              <w:rPr>
                <w:sz w:val="16"/>
                <w:szCs w:val="16"/>
                <w:color w:val="auto"/>
              </w:rPr>
            </w:pPr>
          </w:p>
        </w:tc>
        <w:tc>
          <w:tcPr>
            <w:tcW w:w="940" w:type="dxa"/>
            <w:vAlign w:val="bottom"/>
            <w:shd w:val="clear" w:color="auto" w:fill="D9DCE1"/>
          </w:tcPr>
          <w:p>
            <w:pPr>
              <w:spacing w:after="0"/>
              <w:rPr>
                <w:sz w:val="16"/>
                <w:szCs w:val="16"/>
                <w:color w:val="auto"/>
              </w:rPr>
            </w:pPr>
          </w:p>
        </w:tc>
        <w:tc>
          <w:tcPr>
            <w:tcW w:w="940" w:type="dxa"/>
            <w:vAlign w:val="bottom"/>
            <w:tcBorders>
              <w:right w:val="single" w:sz="8" w:color="434F69"/>
            </w:tcBorders>
            <w:shd w:val="clear" w:color="auto" w:fill="D9DCE1"/>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1280" w:type="dxa"/>
            <w:vAlign w:val="bottom"/>
            <w:tcBorders>
              <w:right w:val="single" w:sz="8" w:color="434F69"/>
            </w:tcBorders>
          </w:tcPr>
          <w:p>
            <w:pPr>
              <w:spacing w:after="0"/>
              <w:rPr>
                <w:sz w:val="18"/>
                <w:szCs w:val="18"/>
                <w:color w:val="auto"/>
              </w:rPr>
            </w:pPr>
          </w:p>
        </w:tc>
        <w:tc>
          <w:tcPr>
            <w:tcW w:w="2160" w:type="dxa"/>
            <w:vAlign w:val="bottom"/>
            <w:shd w:val="clear" w:color="auto" w:fill="D9DCE1"/>
          </w:tcPr>
          <w:p>
            <w:pPr>
              <w:ind w:left="400"/>
              <w:spacing w:after="0"/>
              <w:rPr>
                <w:sz w:val="20"/>
                <w:szCs w:val="20"/>
                <w:color w:val="auto"/>
              </w:rPr>
            </w:pPr>
            <w:r>
              <w:rPr>
                <w:rFonts w:ascii="Arial" w:cs="Arial" w:eastAsia="Arial" w:hAnsi="Arial"/>
                <w:sz w:val="18"/>
                <w:szCs w:val="18"/>
                <w:b w:val="1"/>
                <w:bCs w:val="1"/>
                <w:color w:val="auto"/>
              </w:rPr>
              <w:t>(includes 2018</w:t>
            </w:r>
          </w:p>
        </w:tc>
        <w:tc>
          <w:tcPr>
            <w:tcW w:w="980" w:type="dxa"/>
            <w:vAlign w:val="bottom"/>
            <w:shd w:val="clear" w:color="auto" w:fill="D9DCE1"/>
          </w:tcPr>
          <w:p>
            <w:pPr>
              <w:spacing w:after="0"/>
              <w:rPr>
                <w:sz w:val="18"/>
                <w:szCs w:val="18"/>
                <w:color w:val="auto"/>
              </w:rPr>
            </w:pPr>
          </w:p>
        </w:tc>
        <w:tc>
          <w:tcPr>
            <w:tcW w:w="140" w:type="dxa"/>
            <w:vAlign w:val="bottom"/>
            <w:shd w:val="clear" w:color="auto" w:fill="D9DCE1"/>
          </w:tcPr>
          <w:p>
            <w:pPr>
              <w:spacing w:after="0"/>
              <w:rPr>
                <w:sz w:val="18"/>
                <w:szCs w:val="18"/>
                <w:color w:val="auto"/>
              </w:rPr>
            </w:pPr>
          </w:p>
        </w:tc>
        <w:tc>
          <w:tcPr>
            <w:tcW w:w="980" w:type="dxa"/>
            <w:vAlign w:val="bottom"/>
            <w:shd w:val="clear" w:color="auto" w:fill="D9DCE1"/>
          </w:tcPr>
          <w:p>
            <w:pPr>
              <w:spacing w:after="0"/>
              <w:rPr>
                <w:sz w:val="18"/>
                <w:szCs w:val="18"/>
                <w:color w:val="auto"/>
              </w:rPr>
            </w:pPr>
          </w:p>
        </w:tc>
        <w:tc>
          <w:tcPr>
            <w:tcW w:w="900" w:type="dxa"/>
            <w:vAlign w:val="bottom"/>
            <w:shd w:val="clear" w:color="auto" w:fill="D9DCE1"/>
          </w:tcPr>
          <w:p>
            <w:pPr>
              <w:spacing w:after="0"/>
              <w:rPr>
                <w:sz w:val="18"/>
                <w:szCs w:val="18"/>
                <w:color w:val="auto"/>
              </w:rPr>
            </w:pPr>
          </w:p>
        </w:tc>
        <w:tc>
          <w:tcPr>
            <w:tcW w:w="180" w:type="dxa"/>
            <w:vAlign w:val="bottom"/>
            <w:shd w:val="clear" w:color="auto" w:fill="D9DCE1"/>
          </w:tcPr>
          <w:p>
            <w:pPr>
              <w:spacing w:after="0"/>
              <w:rPr>
                <w:sz w:val="18"/>
                <w:szCs w:val="18"/>
                <w:color w:val="auto"/>
              </w:rPr>
            </w:pPr>
          </w:p>
        </w:tc>
        <w:tc>
          <w:tcPr>
            <w:tcW w:w="980" w:type="dxa"/>
            <w:vAlign w:val="bottom"/>
            <w:shd w:val="clear" w:color="auto" w:fill="D9DCE1"/>
          </w:tcPr>
          <w:p>
            <w:pPr>
              <w:spacing w:after="0"/>
              <w:rPr>
                <w:sz w:val="18"/>
                <w:szCs w:val="18"/>
                <w:color w:val="auto"/>
              </w:rPr>
            </w:pPr>
          </w:p>
        </w:tc>
        <w:tc>
          <w:tcPr>
            <w:tcW w:w="940" w:type="dxa"/>
            <w:vAlign w:val="bottom"/>
            <w:shd w:val="clear" w:color="auto" w:fill="D9DCE1"/>
          </w:tcPr>
          <w:p>
            <w:pPr>
              <w:spacing w:after="0"/>
              <w:rPr>
                <w:sz w:val="18"/>
                <w:szCs w:val="18"/>
                <w:color w:val="auto"/>
              </w:rPr>
            </w:pPr>
          </w:p>
        </w:tc>
        <w:tc>
          <w:tcPr>
            <w:tcW w:w="940" w:type="dxa"/>
            <w:vAlign w:val="bottom"/>
            <w:tcBorders>
              <w:right w:val="single" w:sz="8" w:color="434F69"/>
            </w:tcBorders>
            <w:shd w:val="clear" w:color="auto" w:fill="D9DCE1"/>
          </w:tcPr>
          <w:p>
            <w:pPr>
              <w:spacing w:after="0"/>
              <w:rPr>
                <w:sz w:val="18"/>
                <w:szCs w:val="18"/>
                <w:color w:val="auto"/>
              </w:rPr>
            </w:pPr>
          </w:p>
        </w:tc>
        <w:tc>
          <w:tcPr>
            <w:tcW w:w="1240" w:type="dxa"/>
            <w:vAlign w:val="bottom"/>
          </w:tcPr>
          <w:p>
            <w:pPr>
              <w:spacing w:after="0"/>
              <w:rPr>
                <w:sz w:val="18"/>
                <w:szCs w:val="18"/>
                <w:color w:val="auto"/>
              </w:rPr>
            </w:pPr>
          </w:p>
        </w:tc>
      </w:tr>
      <w:tr>
        <w:trPr>
          <w:trHeight w:val="271"/>
        </w:trPr>
        <w:tc>
          <w:tcPr>
            <w:tcW w:w="1280" w:type="dxa"/>
            <w:vAlign w:val="bottom"/>
            <w:tcBorders>
              <w:right w:val="single" w:sz="8" w:color="434F69"/>
            </w:tcBorders>
          </w:tcPr>
          <w:p>
            <w:pPr>
              <w:spacing w:after="0"/>
              <w:rPr>
                <w:sz w:val="23"/>
                <w:szCs w:val="23"/>
                <w:color w:val="auto"/>
              </w:rPr>
            </w:pPr>
          </w:p>
        </w:tc>
        <w:tc>
          <w:tcPr>
            <w:tcW w:w="2160" w:type="dxa"/>
            <w:vAlign w:val="bottom"/>
            <w:tcBorders>
              <w:bottom w:val="single" w:sz="8" w:color="D9DCE1"/>
            </w:tcBorders>
            <w:shd w:val="clear" w:color="auto" w:fill="D9DCE1"/>
          </w:tcPr>
          <w:p>
            <w:pPr>
              <w:ind w:left="400"/>
              <w:spacing w:after="0"/>
              <w:rPr>
                <w:sz w:val="20"/>
                <w:szCs w:val="20"/>
                <w:color w:val="auto"/>
              </w:rPr>
            </w:pPr>
            <w:r>
              <w:rPr>
                <w:rFonts w:ascii="Arial" w:cs="Arial" w:eastAsia="Arial" w:hAnsi="Arial"/>
                <w:sz w:val="18"/>
                <w:szCs w:val="18"/>
                <w:b w:val="1"/>
                <w:bCs w:val="1"/>
                <w:color w:val="auto"/>
              </w:rPr>
              <w:t>promotion grant)</w:t>
            </w:r>
          </w:p>
        </w:tc>
        <w:tc>
          <w:tcPr>
            <w:tcW w:w="9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1,302,280</w:t>
            </w:r>
          </w:p>
        </w:tc>
        <w:tc>
          <w:tcPr>
            <w:tcW w:w="14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8"/>
                <w:szCs w:val="18"/>
                <w:b w:val="1"/>
                <w:bCs w:val="1"/>
                <w:color w:val="auto"/>
                <w:w w:val="99"/>
              </w:rPr>
              <w:t>21,843,000</w:t>
            </w:r>
          </w:p>
        </w:tc>
        <w:tc>
          <w:tcPr>
            <w:tcW w:w="9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1,302,280</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8"/>
                <w:szCs w:val="18"/>
                <w:b w:val="1"/>
                <w:bCs w:val="1"/>
                <w:color w:val="auto"/>
                <w:w w:val="97"/>
              </w:rPr>
              <w:t>12,163,296</w:t>
            </w:r>
          </w:p>
        </w:tc>
        <w:tc>
          <w:tcPr>
            <w:tcW w:w="94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55.7%</w:t>
            </w:r>
          </w:p>
        </w:tc>
        <w:tc>
          <w:tcPr>
            <w:tcW w:w="940" w:type="dxa"/>
            <w:vAlign w:val="bottom"/>
            <w:tcBorders>
              <w:bottom w:val="single" w:sz="8" w:color="D9DCE1"/>
              <w:right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FC0014"/>
              </w:rPr>
              <w:t>-44.3%</w:t>
            </w:r>
          </w:p>
        </w:tc>
        <w:tc>
          <w:tcPr>
            <w:tcW w:w="1240" w:type="dxa"/>
            <w:vAlign w:val="bottom"/>
          </w:tcPr>
          <w:p>
            <w:pPr>
              <w:spacing w:after="0"/>
              <w:rPr>
                <w:sz w:val="23"/>
                <w:szCs w:val="23"/>
                <w:color w:val="auto"/>
              </w:rPr>
            </w:pPr>
          </w:p>
        </w:tc>
      </w:tr>
      <w:tr>
        <w:trPr>
          <w:trHeight w:val="187"/>
        </w:trPr>
        <w:tc>
          <w:tcPr>
            <w:tcW w:w="1280" w:type="dxa"/>
            <w:vAlign w:val="bottom"/>
            <w:tcBorders>
              <w:right w:val="single" w:sz="8" w:color="434F69"/>
            </w:tcBorders>
          </w:tcPr>
          <w:p>
            <w:pPr>
              <w:spacing w:after="0"/>
              <w:rPr>
                <w:sz w:val="16"/>
                <w:szCs w:val="16"/>
                <w:color w:val="auto"/>
              </w:rPr>
            </w:pPr>
          </w:p>
        </w:tc>
        <w:tc>
          <w:tcPr>
            <w:tcW w:w="2160" w:type="dxa"/>
            <w:vAlign w:val="bottom"/>
            <w:tcBorders>
              <w:top w:val="single" w:sz="8" w:color="434F69"/>
            </w:tcBorders>
          </w:tcPr>
          <w:p>
            <w:pPr>
              <w:ind w:left="220"/>
              <w:spacing w:after="0" w:line="187" w:lineRule="exact"/>
              <w:rPr>
                <w:sz w:val="20"/>
                <w:szCs w:val="20"/>
                <w:color w:val="auto"/>
              </w:rPr>
            </w:pPr>
            <w:r>
              <w:rPr>
                <w:rFonts w:ascii="Arial" w:cs="Arial" w:eastAsia="Arial" w:hAnsi="Arial"/>
                <w:sz w:val="18"/>
                <w:szCs w:val="18"/>
                <w:b w:val="1"/>
                <w:bCs w:val="1"/>
                <w:color w:val="auto"/>
              </w:rPr>
              <w:t>Adjusted Total</w:t>
            </w:r>
          </w:p>
        </w:tc>
        <w:tc>
          <w:tcPr>
            <w:tcW w:w="980" w:type="dxa"/>
            <w:vAlign w:val="bottom"/>
            <w:tcBorders>
              <w:top w:val="single" w:sz="8" w:color="434F69"/>
            </w:tcBorders>
          </w:tcPr>
          <w:p>
            <w:pPr>
              <w:spacing w:after="0"/>
              <w:rPr>
                <w:sz w:val="16"/>
                <w:szCs w:val="16"/>
                <w:color w:val="auto"/>
              </w:rPr>
            </w:pPr>
          </w:p>
        </w:tc>
        <w:tc>
          <w:tcPr>
            <w:tcW w:w="140" w:type="dxa"/>
            <w:vAlign w:val="bottom"/>
            <w:tcBorders>
              <w:top w:val="single" w:sz="8" w:color="434F69"/>
            </w:tcBorders>
          </w:tcPr>
          <w:p>
            <w:pPr>
              <w:spacing w:after="0"/>
              <w:rPr>
                <w:sz w:val="16"/>
                <w:szCs w:val="16"/>
                <w:color w:val="auto"/>
              </w:rPr>
            </w:pPr>
          </w:p>
        </w:tc>
        <w:tc>
          <w:tcPr>
            <w:tcW w:w="980" w:type="dxa"/>
            <w:vAlign w:val="bottom"/>
            <w:tcBorders>
              <w:top w:val="single" w:sz="8" w:color="434F69"/>
            </w:tcBorders>
          </w:tcPr>
          <w:p>
            <w:pPr>
              <w:spacing w:after="0"/>
              <w:rPr>
                <w:sz w:val="16"/>
                <w:szCs w:val="16"/>
                <w:color w:val="auto"/>
              </w:rPr>
            </w:pPr>
          </w:p>
        </w:tc>
        <w:tc>
          <w:tcPr>
            <w:tcW w:w="900" w:type="dxa"/>
            <w:vAlign w:val="bottom"/>
            <w:tcBorders>
              <w:top w:val="single" w:sz="8" w:color="434F69"/>
            </w:tcBorders>
          </w:tcPr>
          <w:p>
            <w:pPr>
              <w:spacing w:after="0"/>
              <w:rPr>
                <w:sz w:val="16"/>
                <w:szCs w:val="16"/>
                <w:color w:val="auto"/>
              </w:rPr>
            </w:pPr>
          </w:p>
        </w:tc>
        <w:tc>
          <w:tcPr>
            <w:tcW w:w="180" w:type="dxa"/>
            <w:vAlign w:val="bottom"/>
            <w:tcBorders>
              <w:top w:val="single" w:sz="8" w:color="434F69"/>
            </w:tcBorders>
          </w:tcPr>
          <w:p>
            <w:pPr>
              <w:spacing w:after="0"/>
              <w:rPr>
                <w:sz w:val="16"/>
                <w:szCs w:val="16"/>
                <w:color w:val="auto"/>
              </w:rPr>
            </w:pPr>
          </w:p>
        </w:tc>
        <w:tc>
          <w:tcPr>
            <w:tcW w:w="980" w:type="dxa"/>
            <w:vAlign w:val="bottom"/>
            <w:tcBorders>
              <w:top w:val="single" w:sz="8" w:color="434F69"/>
            </w:tcBorders>
          </w:tcPr>
          <w:p>
            <w:pPr>
              <w:spacing w:after="0"/>
              <w:rPr>
                <w:sz w:val="16"/>
                <w:szCs w:val="16"/>
                <w:color w:val="auto"/>
              </w:rPr>
            </w:pPr>
          </w:p>
        </w:tc>
        <w:tc>
          <w:tcPr>
            <w:tcW w:w="940" w:type="dxa"/>
            <w:vAlign w:val="bottom"/>
            <w:tcBorders>
              <w:top w:val="single" w:sz="8" w:color="434F69"/>
            </w:tcBorders>
          </w:tcPr>
          <w:p>
            <w:pPr>
              <w:spacing w:after="0"/>
              <w:rPr>
                <w:sz w:val="16"/>
                <w:szCs w:val="16"/>
                <w:color w:val="auto"/>
              </w:rPr>
            </w:pPr>
          </w:p>
        </w:tc>
        <w:tc>
          <w:tcPr>
            <w:tcW w:w="940" w:type="dxa"/>
            <w:vAlign w:val="bottom"/>
            <w:tcBorders>
              <w:top w:val="single" w:sz="8" w:color="434F69"/>
              <w:right w:val="single" w:sz="8" w:color="434F69"/>
            </w:tcBorders>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1280" w:type="dxa"/>
            <w:vAlign w:val="bottom"/>
            <w:tcBorders>
              <w:right w:val="single" w:sz="8" w:color="434F69"/>
            </w:tcBorders>
          </w:tcPr>
          <w:p>
            <w:pPr>
              <w:spacing w:after="0"/>
              <w:rPr>
                <w:sz w:val="18"/>
                <w:szCs w:val="18"/>
                <w:color w:val="auto"/>
              </w:rPr>
            </w:pPr>
          </w:p>
        </w:tc>
        <w:tc>
          <w:tcPr>
            <w:tcW w:w="2160" w:type="dxa"/>
            <w:vAlign w:val="bottom"/>
          </w:tcPr>
          <w:p>
            <w:pPr>
              <w:ind w:left="400"/>
              <w:spacing w:after="0"/>
              <w:rPr>
                <w:sz w:val="20"/>
                <w:szCs w:val="20"/>
                <w:color w:val="auto"/>
              </w:rPr>
            </w:pPr>
            <w:r>
              <w:rPr>
                <w:rFonts w:ascii="Arial" w:cs="Arial" w:eastAsia="Arial" w:hAnsi="Arial"/>
                <w:sz w:val="18"/>
                <w:szCs w:val="18"/>
                <w:b w:val="1"/>
                <w:bCs w:val="1"/>
                <w:color w:val="auto"/>
              </w:rPr>
              <w:t>(attributes no value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Borders>
              <w:right w:val="single" w:sz="8" w:color="434F69"/>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434F69"/>
            </w:tcBorders>
          </w:tcPr>
          <w:p>
            <w:pPr>
              <w:spacing w:after="0"/>
              <w:rPr>
                <w:sz w:val="18"/>
                <w:szCs w:val="18"/>
                <w:color w:val="auto"/>
              </w:rPr>
            </w:pPr>
          </w:p>
        </w:tc>
        <w:tc>
          <w:tcPr>
            <w:tcW w:w="2160" w:type="dxa"/>
            <w:vAlign w:val="bottom"/>
          </w:tcPr>
          <w:p>
            <w:pPr>
              <w:ind w:left="400"/>
              <w:spacing w:after="0"/>
              <w:rPr>
                <w:sz w:val="20"/>
                <w:szCs w:val="20"/>
                <w:color w:val="auto"/>
              </w:rPr>
            </w:pPr>
            <w:r>
              <w:rPr>
                <w:rFonts w:ascii="Arial" w:cs="Arial" w:eastAsia="Arial" w:hAnsi="Arial"/>
                <w:sz w:val="18"/>
                <w:szCs w:val="18"/>
                <w:b w:val="1"/>
                <w:bCs w:val="1"/>
                <w:color w:val="auto"/>
              </w:rPr>
              <w:t>to 2018 promotion</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Borders>
              <w:right w:val="single" w:sz="8" w:color="434F69"/>
            </w:tcBorders>
          </w:tcPr>
          <w:p>
            <w:pPr>
              <w:spacing w:after="0"/>
              <w:rPr>
                <w:sz w:val="18"/>
                <w:szCs w:val="18"/>
                <w:color w:val="auto"/>
              </w:rPr>
            </w:pPr>
          </w:p>
        </w:tc>
        <w:tc>
          <w:tcPr>
            <w:tcW w:w="1240" w:type="dxa"/>
            <w:vAlign w:val="bottom"/>
          </w:tcPr>
          <w:p>
            <w:pPr>
              <w:spacing w:after="0"/>
              <w:rPr>
                <w:sz w:val="18"/>
                <w:szCs w:val="18"/>
                <w:color w:val="auto"/>
              </w:rPr>
            </w:pPr>
          </w:p>
        </w:tc>
      </w:tr>
      <w:tr>
        <w:trPr>
          <w:trHeight w:val="239"/>
        </w:trPr>
        <w:tc>
          <w:tcPr>
            <w:tcW w:w="1280" w:type="dxa"/>
            <w:vAlign w:val="bottom"/>
            <w:tcBorders>
              <w:right w:val="single" w:sz="8" w:color="434F69"/>
            </w:tcBorders>
          </w:tcPr>
          <w:p>
            <w:pPr>
              <w:spacing w:after="0"/>
              <w:rPr>
                <w:sz w:val="20"/>
                <w:szCs w:val="20"/>
                <w:color w:val="auto"/>
              </w:rPr>
            </w:pPr>
          </w:p>
        </w:tc>
        <w:tc>
          <w:tcPr>
            <w:tcW w:w="2160" w:type="dxa"/>
            <w:vAlign w:val="bottom"/>
          </w:tcPr>
          <w:p>
            <w:pPr>
              <w:ind w:left="400"/>
              <w:spacing w:after="0"/>
              <w:rPr>
                <w:sz w:val="20"/>
                <w:szCs w:val="20"/>
                <w:color w:val="auto"/>
              </w:rPr>
            </w:pPr>
            <w:r>
              <w:rPr>
                <w:rFonts w:ascii="Arial" w:cs="Arial" w:eastAsia="Arial" w:hAnsi="Arial"/>
                <w:sz w:val="18"/>
                <w:szCs w:val="18"/>
                <w:b w:val="1"/>
                <w:bCs w:val="1"/>
                <w:color w:val="auto"/>
              </w:rPr>
              <w:t>grant)</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7,493,296</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940" w:type="dxa"/>
            <w:vAlign w:val="bottom"/>
            <w:tcBorders>
              <w:right w:val="single" w:sz="8" w:color="434F69"/>
            </w:tcBorders>
          </w:tcPr>
          <w:p>
            <w:pPr>
              <w:jc w:val="right"/>
              <w:spacing w:after="0"/>
              <w:rPr>
                <w:sz w:val="20"/>
                <w:szCs w:val="20"/>
                <w:color w:val="auto"/>
              </w:rPr>
            </w:pPr>
            <w:r>
              <w:rPr>
                <w:rFonts w:ascii="Arial" w:cs="Arial" w:eastAsia="Arial" w:hAnsi="Arial"/>
                <w:sz w:val="18"/>
                <w:szCs w:val="18"/>
                <w:b w:val="1"/>
                <w:bCs w:val="1"/>
                <w:color w:val="FC0014"/>
              </w:rPr>
              <w:t>-65.7%</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434F69"/>
            </w:tcBorders>
          </w:tcPr>
          <w:p>
            <w:pPr>
              <w:spacing w:after="0"/>
              <w:rPr>
                <w:sz w:val="2"/>
                <w:szCs w:val="2"/>
                <w:color w:val="auto"/>
              </w:rPr>
            </w:pPr>
          </w:p>
        </w:tc>
        <w:tc>
          <w:tcPr>
            <w:tcW w:w="2160" w:type="dxa"/>
            <w:vAlign w:val="bottom"/>
            <w:tcBorders>
              <w:bottom w:val="single" w:sz="8" w:color="434F69"/>
            </w:tcBorders>
          </w:tcPr>
          <w:p>
            <w:pPr>
              <w:spacing w:after="0"/>
              <w:rPr>
                <w:sz w:val="2"/>
                <w:szCs w:val="2"/>
                <w:color w:val="auto"/>
              </w:rPr>
            </w:pPr>
          </w:p>
        </w:tc>
        <w:tc>
          <w:tcPr>
            <w:tcW w:w="980" w:type="dxa"/>
            <w:vAlign w:val="bottom"/>
            <w:tcBorders>
              <w:bottom w:val="single" w:sz="8" w:color="434F69"/>
            </w:tcBorders>
          </w:tcPr>
          <w:p>
            <w:pPr>
              <w:spacing w:after="0"/>
              <w:rPr>
                <w:sz w:val="2"/>
                <w:szCs w:val="2"/>
                <w:color w:val="auto"/>
              </w:rPr>
            </w:pPr>
          </w:p>
        </w:tc>
        <w:tc>
          <w:tcPr>
            <w:tcW w:w="140" w:type="dxa"/>
            <w:vAlign w:val="bottom"/>
            <w:tcBorders>
              <w:bottom w:val="single" w:sz="8" w:color="434F69"/>
            </w:tcBorders>
          </w:tcPr>
          <w:p>
            <w:pPr>
              <w:spacing w:after="0"/>
              <w:rPr>
                <w:sz w:val="2"/>
                <w:szCs w:val="2"/>
                <w:color w:val="auto"/>
              </w:rPr>
            </w:pPr>
          </w:p>
        </w:tc>
        <w:tc>
          <w:tcPr>
            <w:tcW w:w="980" w:type="dxa"/>
            <w:vAlign w:val="bottom"/>
            <w:tcBorders>
              <w:bottom w:val="single" w:sz="8" w:color="434F69"/>
            </w:tcBorders>
          </w:tcPr>
          <w:p>
            <w:pPr>
              <w:spacing w:after="0"/>
              <w:rPr>
                <w:sz w:val="2"/>
                <w:szCs w:val="2"/>
                <w:color w:val="auto"/>
              </w:rPr>
            </w:pPr>
          </w:p>
        </w:tc>
        <w:tc>
          <w:tcPr>
            <w:tcW w:w="900" w:type="dxa"/>
            <w:vAlign w:val="bottom"/>
            <w:tcBorders>
              <w:bottom w:val="single" w:sz="8" w:color="434F69"/>
            </w:tcBorders>
          </w:tcPr>
          <w:p>
            <w:pPr>
              <w:spacing w:after="0"/>
              <w:rPr>
                <w:sz w:val="2"/>
                <w:szCs w:val="2"/>
                <w:color w:val="auto"/>
              </w:rPr>
            </w:pPr>
          </w:p>
        </w:tc>
        <w:tc>
          <w:tcPr>
            <w:tcW w:w="180" w:type="dxa"/>
            <w:vAlign w:val="bottom"/>
            <w:tcBorders>
              <w:bottom w:val="single" w:sz="8" w:color="434F69"/>
            </w:tcBorders>
          </w:tcPr>
          <w:p>
            <w:pPr>
              <w:spacing w:after="0"/>
              <w:rPr>
                <w:sz w:val="2"/>
                <w:szCs w:val="2"/>
                <w:color w:val="auto"/>
              </w:rPr>
            </w:pPr>
          </w:p>
        </w:tc>
        <w:tc>
          <w:tcPr>
            <w:tcW w:w="980" w:type="dxa"/>
            <w:vAlign w:val="bottom"/>
            <w:tcBorders>
              <w:bottom w:val="single" w:sz="8" w:color="434F69"/>
            </w:tcBorders>
          </w:tcPr>
          <w:p>
            <w:pPr>
              <w:spacing w:after="0"/>
              <w:rPr>
                <w:sz w:val="2"/>
                <w:szCs w:val="2"/>
                <w:color w:val="auto"/>
              </w:rPr>
            </w:pPr>
          </w:p>
        </w:tc>
        <w:tc>
          <w:tcPr>
            <w:tcW w:w="940" w:type="dxa"/>
            <w:vAlign w:val="bottom"/>
            <w:tcBorders>
              <w:bottom w:val="single" w:sz="8" w:color="434F69"/>
            </w:tcBorders>
          </w:tcPr>
          <w:p>
            <w:pPr>
              <w:spacing w:after="0"/>
              <w:rPr>
                <w:sz w:val="2"/>
                <w:szCs w:val="2"/>
                <w:color w:val="auto"/>
              </w:rPr>
            </w:pPr>
          </w:p>
        </w:tc>
        <w:tc>
          <w:tcPr>
            <w:tcW w:w="940" w:type="dxa"/>
            <w:vAlign w:val="bottom"/>
            <w:tcBorders>
              <w:bottom w:val="single" w:sz="8" w:color="434F69"/>
              <w:right w:val="single" w:sz="8" w:color="434F69"/>
            </w:tcBorders>
          </w:tcPr>
          <w:p>
            <w:pPr>
              <w:spacing w:after="0"/>
              <w:rPr>
                <w:sz w:val="2"/>
                <w:szCs w:val="2"/>
                <w:color w:val="auto"/>
              </w:rPr>
            </w:pPr>
          </w:p>
        </w:tc>
        <w:tc>
          <w:tcPr>
            <w:tcW w:w="1240" w:type="dxa"/>
            <w:vAlign w:val="bottom"/>
          </w:tcPr>
          <w:p>
            <w:pPr>
              <w:spacing w:after="0"/>
              <w:rPr>
                <w:sz w:val="2"/>
                <w:szCs w:val="2"/>
                <w:color w:val="auto"/>
              </w:rPr>
            </w:pPr>
          </w:p>
        </w:tc>
      </w:tr>
      <w:tr>
        <w:trPr>
          <w:trHeight w:val="601"/>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8"/>
        </w:trPr>
        <w:tc>
          <w:tcPr>
            <w:tcW w:w="1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20" w:right="1299" w:hanging="360"/>
        <w:spacing w:after="0" w:line="261"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Values in table exclude value of distributions received or payments made with respect to distribution equivalent rights (“DERs”).</w:t>
      </w:r>
    </w:p>
    <w:p>
      <w:pPr>
        <w:spacing w:after="0" w:line="49" w:lineRule="exact"/>
        <w:rPr>
          <w:sz w:val="20"/>
          <w:szCs w:val="20"/>
          <w:color w:val="auto"/>
        </w:rPr>
      </w:pPr>
    </w:p>
    <w:p>
      <w:pPr>
        <w:jc w:val="both"/>
        <w:ind w:left="1620" w:right="659" w:hanging="360"/>
        <w:spacing w:after="0" w:line="214"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Grant Date Market Value calculated by multiplying the closing price of PAA common units on the applicable grant date by number of units granted with no discount for performance thresholds or service requirements.</w:t>
      </w:r>
    </w:p>
    <w:p>
      <w:pPr>
        <w:spacing w:after="0" w:line="83" w:lineRule="exact"/>
        <w:rPr>
          <w:rFonts w:ascii="Arial" w:cs="Arial" w:eastAsia="Arial" w:hAnsi="Arial"/>
          <w:sz w:val="27"/>
          <w:szCs w:val="27"/>
          <w:color w:val="auto"/>
          <w:vertAlign w:val="superscript"/>
        </w:rPr>
      </w:pPr>
    </w:p>
    <w:p>
      <w:pPr>
        <w:ind w:left="1620" w:right="719" w:hanging="360"/>
        <w:spacing w:after="0" w:line="200"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Equals realizable market value of outstanding unvested units based on the closing market price ($9.34) of PAA common units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112395</wp:posOffset>
            </wp:positionV>
            <wp:extent cx="5151755" cy="3625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5175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80"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We use three primary elements of compensation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2021 executive compensation program, which are relatively unchanged compared to 2020:</w:t>
      </w:r>
    </w:p>
    <w:p>
      <w:pPr>
        <w:spacing w:after="0" w:line="80" w:lineRule="exact"/>
        <w:rPr>
          <w:sz w:val="20"/>
          <w:szCs w:val="20"/>
          <w:color w:val="auto"/>
        </w:rPr>
      </w:pPr>
    </w:p>
    <w:tbl>
      <w:tblPr>
        <w:tblLayout w:type="fixed"/>
        <w:tblInd w:w="1270" w:type="dxa"/>
        <w:tblCellMar>
          <w:top w:w="0" w:type="dxa"/>
          <w:left w:w="0" w:type="dxa"/>
          <w:bottom w:w="0" w:type="dxa"/>
          <w:right w:w="0" w:type="dxa"/>
        </w:tblCellMar>
      </w:tblPr>
      <w:tr>
        <w:trPr>
          <w:trHeight w:val="162"/>
        </w:trPr>
        <w:tc>
          <w:tcPr>
            <w:tcW w:w="1920" w:type="dxa"/>
            <w:vAlign w:val="bottom"/>
            <w:tcBorders>
              <w:top w:val="single" w:sz="8" w:color="auto"/>
              <w:left w:val="single" w:sz="8" w:color="auto"/>
              <w:bottom w:val="single" w:sz="8" w:color="auto"/>
              <w:right w:val="single" w:sz="8" w:color="434F69"/>
            </w:tcBorders>
            <w:shd w:val="clear" w:color="auto" w:fill="434F69"/>
          </w:tcPr>
          <w:p>
            <w:pPr>
              <w:ind w:left="500"/>
              <w:spacing w:after="0"/>
              <w:rPr>
                <w:sz w:val="20"/>
                <w:szCs w:val="20"/>
                <w:color w:val="auto"/>
              </w:rPr>
            </w:pPr>
            <w:r>
              <w:rPr>
                <w:rFonts w:ascii="Arial" w:cs="Arial" w:eastAsia="Arial" w:hAnsi="Arial"/>
                <w:sz w:val="14"/>
                <w:szCs w:val="14"/>
                <w:b w:val="1"/>
                <w:bCs w:val="1"/>
                <w:color w:val="FFFFFF"/>
              </w:rPr>
              <w:t>What We Pay</w:t>
            </w:r>
          </w:p>
        </w:tc>
        <w:tc>
          <w:tcPr>
            <w:tcW w:w="2580" w:type="dxa"/>
            <w:vAlign w:val="bottom"/>
            <w:tcBorders>
              <w:top w:val="single" w:sz="8" w:color="auto"/>
              <w:bottom w:val="single" w:sz="8" w:color="auto"/>
              <w:right w:val="single" w:sz="8" w:color="434F69"/>
            </w:tcBorders>
            <w:shd w:val="clear" w:color="auto" w:fill="434F69"/>
          </w:tcPr>
          <w:p>
            <w:pPr>
              <w:ind w:left="800"/>
              <w:spacing w:after="0"/>
              <w:rPr>
                <w:sz w:val="20"/>
                <w:szCs w:val="20"/>
                <w:color w:val="auto"/>
              </w:rPr>
            </w:pPr>
            <w:r>
              <w:rPr>
                <w:rFonts w:ascii="Arial" w:cs="Arial" w:eastAsia="Arial" w:hAnsi="Arial"/>
                <w:sz w:val="14"/>
                <w:szCs w:val="14"/>
                <w:b w:val="1"/>
                <w:bCs w:val="1"/>
                <w:color w:val="FFFFFF"/>
              </w:rPr>
              <w:t>Why We Pay It</w:t>
            </w:r>
          </w:p>
        </w:tc>
        <w:tc>
          <w:tcPr>
            <w:tcW w:w="3720" w:type="dxa"/>
            <w:vAlign w:val="bottom"/>
            <w:tcBorders>
              <w:top w:val="single" w:sz="8" w:color="auto"/>
              <w:bottom w:val="single" w:sz="8" w:color="auto"/>
              <w:right w:val="single" w:sz="8" w:color="auto"/>
            </w:tcBorders>
            <w:shd w:val="clear" w:color="auto" w:fill="434F69"/>
          </w:tcPr>
          <w:p>
            <w:pPr>
              <w:ind w:left="1420"/>
              <w:spacing w:after="0"/>
              <w:rPr>
                <w:sz w:val="20"/>
                <w:szCs w:val="20"/>
                <w:color w:val="auto"/>
              </w:rPr>
            </w:pPr>
            <w:r>
              <w:rPr>
                <w:rFonts w:ascii="Arial" w:cs="Arial" w:eastAsia="Arial" w:hAnsi="Arial"/>
                <w:sz w:val="14"/>
                <w:szCs w:val="14"/>
                <w:b w:val="1"/>
                <w:bCs w:val="1"/>
                <w:color w:val="FFFFFF"/>
              </w:rPr>
              <w:t>Key Features</w:t>
            </w:r>
          </w:p>
        </w:tc>
      </w:tr>
      <w:tr>
        <w:trPr>
          <w:trHeight w:val="23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Base Salary</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Attract and retain high-</w:t>
            </w: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Foundational element of our</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performing executives by</w:t>
            </w:r>
          </w:p>
        </w:tc>
        <w:tc>
          <w:tcPr>
            <w:tcW w:w="37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compensation program; short-term and</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providing a secure and</w:t>
            </w:r>
          </w:p>
        </w:tc>
        <w:tc>
          <w:tcPr>
            <w:tcW w:w="37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long-term incentive 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appropriate level of base pay</w:t>
            </w:r>
          </w:p>
        </w:tc>
        <w:tc>
          <w:tcPr>
            <w:tcW w:w="37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components are based on a percentage of</w:t>
            </w: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base salary</w:t>
            </w:r>
          </w:p>
        </w:tc>
      </w:tr>
      <w:tr>
        <w:trPr>
          <w:trHeight w:val="350"/>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Subject to adjustment periodically;</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smallest component of NEO</w:t>
            </w: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compensation</w:t>
            </w:r>
          </w:p>
        </w:tc>
      </w:tr>
      <w:tr>
        <w:trPr>
          <w:trHeight w:val="27"/>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70" w:type="dxa"/>
        <w:tblCellMar>
          <w:top w:w="0" w:type="dxa"/>
          <w:left w:w="0" w:type="dxa"/>
          <w:bottom w:w="0" w:type="dxa"/>
          <w:right w:w="0" w:type="dxa"/>
        </w:tblCellMar>
      </w:tblPr>
      <w:tr>
        <w:trPr>
          <w:trHeight w:val="189"/>
        </w:trPr>
        <w:tc>
          <w:tcPr>
            <w:tcW w:w="1920" w:type="dxa"/>
            <w:vAlign w:val="bottom"/>
            <w:tcBorders>
              <w:top w:val="single" w:sz="8" w:color="auto"/>
              <w:left w:val="single" w:sz="8" w:color="auto"/>
              <w:bottom w:val="single" w:sz="8" w:color="auto"/>
              <w:right w:val="single" w:sz="8" w:color="434F69"/>
            </w:tcBorders>
            <w:shd w:val="clear" w:color="auto" w:fill="434F69"/>
          </w:tcPr>
          <w:p>
            <w:pPr>
              <w:ind w:left="500"/>
              <w:spacing w:after="0"/>
              <w:rPr>
                <w:sz w:val="20"/>
                <w:szCs w:val="20"/>
                <w:color w:val="auto"/>
              </w:rPr>
            </w:pPr>
            <w:r>
              <w:rPr>
                <w:rFonts w:ascii="Arial" w:cs="Arial" w:eastAsia="Arial" w:hAnsi="Arial"/>
                <w:sz w:val="14"/>
                <w:szCs w:val="14"/>
                <w:b w:val="1"/>
                <w:bCs w:val="1"/>
                <w:color w:val="FFFFFF"/>
              </w:rPr>
              <w:t>What We Pay</w:t>
            </w:r>
          </w:p>
        </w:tc>
        <w:tc>
          <w:tcPr>
            <w:tcW w:w="2580" w:type="dxa"/>
            <w:vAlign w:val="bottom"/>
            <w:tcBorders>
              <w:top w:val="single" w:sz="8" w:color="auto"/>
              <w:bottom w:val="single" w:sz="8" w:color="auto"/>
              <w:right w:val="single" w:sz="8" w:color="434F69"/>
            </w:tcBorders>
            <w:shd w:val="clear" w:color="auto" w:fill="434F69"/>
          </w:tcPr>
          <w:p>
            <w:pPr>
              <w:ind w:left="800"/>
              <w:spacing w:after="0"/>
              <w:rPr>
                <w:sz w:val="20"/>
                <w:szCs w:val="20"/>
                <w:color w:val="auto"/>
              </w:rPr>
            </w:pPr>
            <w:r>
              <w:rPr>
                <w:rFonts w:ascii="Arial" w:cs="Arial" w:eastAsia="Arial" w:hAnsi="Arial"/>
                <w:sz w:val="14"/>
                <w:szCs w:val="14"/>
                <w:b w:val="1"/>
                <w:bCs w:val="1"/>
                <w:color w:val="FFFFFF"/>
              </w:rPr>
              <w:t>Why We Pay It</w:t>
            </w:r>
          </w:p>
        </w:tc>
        <w:tc>
          <w:tcPr>
            <w:tcW w:w="220" w:type="dxa"/>
            <w:vAlign w:val="bottom"/>
            <w:tcBorders>
              <w:top w:val="single" w:sz="8" w:color="auto"/>
              <w:bottom w:val="single" w:sz="8" w:color="auto"/>
            </w:tcBorders>
            <w:shd w:val="clear" w:color="auto" w:fill="434F69"/>
          </w:tcPr>
          <w:p>
            <w:pPr>
              <w:spacing w:after="0"/>
              <w:rPr>
                <w:sz w:val="16"/>
                <w:szCs w:val="16"/>
                <w:color w:val="auto"/>
              </w:rPr>
            </w:pPr>
          </w:p>
        </w:tc>
        <w:tc>
          <w:tcPr>
            <w:tcW w:w="3500" w:type="dxa"/>
            <w:vAlign w:val="bottom"/>
            <w:tcBorders>
              <w:top w:val="single" w:sz="8" w:color="auto"/>
              <w:bottom w:val="single" w:sz="8" w:color="auto"/>
              <w:right w:val="single" w:sz="8" w:color="auto"/>
            </w:tcBorders>
            <w:shd w:val="clear" w:color="auto" w:fill="434F69"/>
          </w:tcPr>
          <w:p>
            <w:pPr>
              <w:ind w:left="12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3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Annual Cash</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Motivate and reward near-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 performance and</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Encourages achievement of objective and</w:t>
            </w:r>
          </w:p>
        </w:tc>
        <w:tc>
          <w:tcPr>
            <w:tcW w:w="0" w:type="dxa"/>
            <w:vAlign w:val="bottom"/>
          </w:tcPr>
          <w:p>
            <w:pPr>
              <w:spacing w:after="0"/>
              <w:rPr>
                <w:sz w:val="1"/>
                <w:szCs w:val="1"/>
                <w:color w:val="auto"/>
              </w:rPr>
            </w:pPr>
          </w:p>
        </w:tc>
      </w:tr>
      <w:tr>
        <w:trPr>
          <w:trHeight w:val="94"/>
        </w:trPr>
        <w:tc>
          <w:tcPr>
            <w:tcW w:w="19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retention</w:t>
            </w:r>
          </w:p>
        </w:tc>
        <w:tc>
          <w:tcPr>
            <w:tcW w:w="220" w:type="dxa"/>
            <w:vAlign w:val="bottom"/>
            <w:vMerge w:val="continue"/>
          </w:tcPr>
          <w:p>
            <w:pPr>
              <w:spacing w:after="0"/>
              <w:rPr>
                <w:sz w:val="8"/>
                <w:szCs w:val="8"/>
                <w:color w:val="auto"/>
              </w:rPr>
            </w:pPr>
          </w:p>
        </w:tc>
        <w:tc>
          <w:tcPr>
            <w:tcW w:w="3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20" w:type="dxa"/>
            <w:vAlign w:val="bottom"/>
            <w:tcBorders>
              <w:left w:val="single" w:sz="8" w:color="auto"/>
              <w:right w:val="single" w:sz="8" w:color="auto"/>
            </w:tcBorders>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transparent annual business, ESG and</w:t>
            </w:r>
          </w:p>
        </w:tc>
        <w:tc>
          <w:tcPr>
            <w:tcW w:w="0" w:type="dxa"/>
            <w:vAlign w:val="bottom"/>
          </w:tcPr>
          <w:p>
            <w:pPr>
              <w:spacing w:after="0"/>
              <w:rPr>
                <w:sz w:val="1"/>
                <w:szCs w:val="1"/>
                <w:color w:val="auto"/>
              </w:rPr>
            </w:pPr>
          </w:p>
        </w:tc>
      </w:tr>
      <w:tr>
        <w:trPr>
          <w:trHeight w:val="94"/>
        </w:trPr>
        <w:tc>
          <w:tcPr>
            <w:tcW w:w="192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individual goals established at beginning</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year</w:t>
            </w:r>
          </w:p>
        </w:tc>
        <w:tc>
          <w:tcPr>
            <w:tcW w:w="0" w:type="dxa"/>
            <w:vAlign w:val="bottom"/>
          </w:tcPr>
          <w:p>
            <w:pPr>
              <w:spacing w:after="0"/>
              <w:rPr>
                <w:sz w:val="1"/>
                <w:szCs w:val="1"/>
                <w:color w:val="auto"/>
              </w:rPr>
            </w:pPr>
          </w:p>
        </w:tc>
      </w:tr>
      <w:tr>
        <w:trPr>
          <w:trHeight w:val="337"/>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based on formulaic framework</w:t>
            </w:r>
          </w:p>
        </w:tc>
        <w:tc>
          <w:tcPr>
            <w:tcW w:w="0" w:type="dxa"/>
            <w:vAlign w:val="bottom"/>
          </w:tcPr>
          <w:p>
            <w:pPr>
              <w:spacing w:after="0"/>
              <w:rPr>
                <w:sz w:val="1"/>
                <w:szCs w:val="1"/>
                <w:color w:val="auto"/>
              </w:rPr>
            </w:pPr>
          </w:p>
        </w:tc>
      </w:tr>
      <w:tr>
        <w:trPr>
          <w:trHeight w:val="23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Long-Term Equity</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Motivate and reward long-</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 performance and</w:t>
            </w: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performance based and 50% time based</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retention and create</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Performance-based awards earned based</w:t>
            </w: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tcPr>
          <w:p>
            <w:pPr>
              <w:spacing w:after="0"/>
              <w:rPr>
                <w:sz w:val="11"/>
                <w:szCs w:val="11"/>
                <w:color w:val="auto"/>
              </w:rPr>
            </w:pPr>
          </w:p>
        </w:tc>
        <w:tc>
          <w:tcPr>
            <w:tcW w:w="25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additional alignment with</w:t>
            </w:r>
          </w:p>
        </w:tc>
        <w:tc>
          <w:tcPr>
            <w:tcW w:w="220" w:type="dxa"/>
            <w:vAlign w:val="bottom"/>
            <w:vMerge w:val="continue"/>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upon performance over cumulative three-</w:t>
            </w: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tcPr>
          <w:p>
            <w:pPr>
              <w:spacing w:after="0"/>
              <w:rPr>
                <w:sz w:val="11"/>
                <w:szCs w:val="11"/>
                <w:color w:val="auto"/>
              </w:rPr>
            </w:pPr>
          </w:p>
        </w:tc>
        <w:tc>
          <w:tcPr>
            <w:tcW w:w="25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investors</w:t>
            </w:r>
          </w:p>
        </w:tc>
        <w:tc>
          <w:tcPr>
            <w:tcW w:w="220" w:type="dxa"/>
            <w:vAlign w:val="bottom"/>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92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year period</w:t>
            </w: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tcPr>
          <w:p>
            <w:pPr>
              <w:spacing w:after="0"/>
              <w:rPr>
                <w:sz w:val="11"/>
                <w:szCs w:val="11"/>
                <w:color w:val="auto"/>
              </w:rPr>
            </w:pPr>
          </w:p>
        </w:tc>
        <w:tc>
          <w:tcPr>
            <w:tcW w:w="25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Performance metrics include relative TSR</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negative TSR modifier, and</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DCF/CUE with leverage modifier</w:t>
            </w:r>
          </w:p>
        </w:tc>
        <w:tc>
          <w:tcPr>
            <w:tcW w:w="0" w:type="dxa"/>
            <w:vAlign w:val="bottom"/>
          </w:tcPr>
          <w:p>
            <w:pPr>
              <w:spacing w:after="0"/>
              <w:rPr>
                <w:sz w:val="1"/>
                <w:szCs w:val="1"/>
                <w:color w:val="auto"/>
              </w:rPr>
            </w:pPr>
          </w:p>
        </w:tc>
      </w:tr>
      <w:tr>
        <w:trPr>
          <w:trHeight w:val="364"/>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DERs associated with long-term equity</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awards provide additional potential</w:t>
            </w:r>
          </w:p>
        </w:tc>
        <w:tc>
          <w:tcPr>
            <w:tcW w:w="0" w:type="dxa"/>
            <w:vAlign w:val="bottom"/>
          </w:tcPr>
          <w:p>
            <w:pPr>
              <w:spacing w:after="0"/>
              <w:rPr>
                <w:sz w:val="1"/>
                <w:szCs w:val="1"/>
                <w:color w:val="auto"/>
              </w:rPr>
            </w:pPr>
          </w:p>
        </w:tc>
      </w:tr>
      <w:tr>
        <w:trPr>
          <w:trHeight w:val="224"/>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motivation and alignment</w:t>
            </w:r>
          </w:p>
        </w:tc>
        <w:tc>
          <w:tcPr>
            <w:tcW w:w="0" w:type="dxa"/>
            <w:vAlign w:val="bottom"/>
          </w:tcPr>
          <w:p>
            <w:pPr>
              <w:spacing w:after="0"/>
              <w:rPr>
                <w:sz w:val="1"/>
                <w:szCs w:val="1"/>
                <w:color w:val="auto"/>
              </w:rPr>
            </w:pPr>
          </w:p>
        </w:tc>
      </w:tr>
      <w:tr>
        <w:trPr>
          <w:trHeight w:val="242"/>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Attract and retain talent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w:t>
            </w: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all U.S. employees, including 401(k) Plan</w:t>
            </w:r>
          </w:p>
        </w:tc>
        <w:tc>
          <w:tcPr>
            <w:tcW w:w="0" w:type="dxa"/>
            <w:vAlign w:val="bottom"/>
          </w:tcPr>
          <w:p>
            <w:pPr>
              <w:spacing w:after="0"/>
              <w:rPr>
                <w:sz w:val="1"/>
                <w:szCs w:val="1"/>
                <w:color w:val="auto"/>
              </w:rPr>
            </w:pPr>
          </w:p>
        </w:tc>
      </w:tr>
      <w:tr>
        <w:trPr>
          <w:trHeight w:val="338"/>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No defined benefit or pension plans</w:t>
            </w:r>
          </w:p>
        </w:tc>
        <w:tc>
          <w:tcPr>
            <w:tcW w:w="0" w:type="dxa"/>
            <w:vAlign w:val="bottom"/>
          </w:tcPr>
          <w:p>
            <w:pPr>
              <w:spacing w:after="0"/>
              <w:rPr>
                <w:sz w:val="1"/>
                <w:szCs w:val="1"/>
                <w:color w:val="auto"/>
              </w:rPr>
            </w:pPr>
          </w:p>
        </w:tc>
      </w:tr>
      <w:tr>
        <w:trPr>
          <w:trHeight w:val="310"/>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Independent Benchmark Study of Executive Compensation</w:t>
      </w:r>
    </w:p>
    <w:p>
      <w:pPr>
        <w:spacing w:after="0" w:line="180"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During 2021, our compensation committee engaged Meridian Compensation Partners, LLC (“Meridian”) to provide independent counsel, including a benchmarking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compensation benchmarking peer group for 2021 included 11 companies across a wide range of revenues, asset values and enterprise values that are primarily engaged in the midstream business in the United States (the entities in the benchmarking peer group for 2021 are listed in the table below).</w:t>
      </w:r>
    </w:p>
    <w:p>
      <w:pPr>
        <w:spacing w:after="0" w:line="13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benchmarking peer group, including how pay is divided among long-term incentives, annual incentives, base pay and other forms of compensation. Meridian also compared the total compensation and components thereof for our executive officers to the total compensation and components thereof for the benchmarking peer group. Meridian’s benchmark study was completed in July and presented to the compensation committee in August 2021.</w:t>
      </w:r>
    </w:p>
    <w:p>
      <w:pPr>
        <w:spacing w:after="0" w:line="140" w:lineRule="exact"/>
        <w:rPr>
          <w:sz w:val="20"/>
          <w:szCs w:val="20"/>
          <w:color w:val="auto"/>
        </w:rPr>
      </w:pPr>
    </w:p>
    <w:p>
      <w:pPr>
        <w:ind w:left="1260" w:right="1039" w:firstLine="360"/>
        <w:spacing w:after="0" w:line="254"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the energy sector, including upstream, refining and regulated utilities, although the benchmarking peer group listed in the table below served as the primary source of external comparative information.</w:t>
      </w:r>
    </w:p>
    <w:p>
      <w:pPr>
        <w:spacing w:after="0" w:line="123"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The results of Meridian’s study validate our view that our 2021 NEO base salary and long-term incentive target levels are significantly lower than the median of our peer group, our aggregate cash</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5" w:lineRule="auto"/>
        <w:rPr>
          <w:sz w:val="20"/>
          <w:szCs w:val="20"/>
          <w:color w:val="auto"/>
        </w:rPr>
      </w:pPr>
      <w:r>
        <w:rPr>
          <w:rFonts w:ascii="Arial" w:cs="Arial" w:eastAsia="Arial" w:hAnsi="Arial"/>
          <w:sz w:val="17"/>
          <w:szCs w:val="17"/>
          <w:color w:val="auto"/>
        </w:rPr>
        <w:t>compensation levels (salary and bonus) are generally at or above the median of our peer group, and our total compensation levels (cash plus equity) are either at or below the median of our peer group for top executive roles (but are moderate relative to the larger and broader spectrum of energy industry competitors that compete for similar talent). Each component of our CEO’s 2021 compensation was at or significantly below median, with total CEO compensation falling well below median.</w:t>
      </w:r>
    </w:p>
    <w:p>
      <w:pPr>
        <w:spacing w:after="0" w:line="109"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For a portion (25%) of our long-term incentive awards granted in 2021, we included relative TSR as a performance metric for the three-year performance period ending June 30, 2024. The entities in our 2021 benchmarking peer group and the entities and indices in our TSR Comparator Peer Group for the 2021 long-term incentive awards include the following:</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311"/>
        </w:trPr>
        <w:tc>
          <w:tcPr>
            <w:tcW w:w="4900" w:type="dxa"/>
            <w:vAlign w:val="bottom"/>
            <w:tcBorders>
              <w:top w:val="single" w:sz="8" w:color="auto"/>
              <w:left w:val="single" w:sz="8" w:color="auto"/>
              <w:right w:val="single" w:sz="8" w:color="auto"/>
            </w:tcBorders>
            <w:shd w:val="clear" w:color="auto" w:fill="434F69"/>
          </w:tcPr>
          <w:p>
            <w:pPr>
              <w:spacing w:after="0"/>
              <w:rPr>
                <w:sz w:val="24"/>
                <w:szCs w:val="24"/>
                <w:color w:val="auto"/>
              </w:rPr>
            </w:pPr>
          </w:p>
        </w:tc>
        <w:tc>
          <w:tcPr>
            <w:tcW w:w="1620" w:type="dxa"/>
            <w:vAlign w:val="bottom"/>
            <w:tcBorders>
              <w:top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2021 Benchmarking</w:t>
            </w:r>
          </w:p>
        </w:tc>
        <w:tc>
          <w:tcPr>
            <w:tcW w:w="1700" w:type="dxa"/>
            <w:vAlign w:val="bottom"/>
            <w:tcBorders>
              <w:top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2021 TSR Comparator</w:t>
            </w:r>
          </w:p>
        </w:tc>
      </w:tr>
      <w:tr>
        <w:trPr>
          <w:trHeight w:val="196"/>
        </w:trPr>
        <w:tc>
          <w:tcPr>
            <w:tcW w:w="4900" w:type="dxa"/>
            <w:vAlign w:val="bottom"/>
            <w:tcBorders>
              <w:left w:val="single" w:sz="8" w:color="auto"/>
              <w:bottom w:val="single" w:sz="8" w:color="auto"/>
              <w:right w:val="single" w:sz="8" w:color="auto"/>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Entity/Index Name (Ticker)</w:t>
            </w:r>
          </w:p>
        </w:tc>
        <w:tc>
          <w:tcPr>
            <w:tcW w:w="1620" w:type="dxa"/>
            <w:vAlign w:val="bottom"/>
            <w:tcBorders>
              <w:bottom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Peer Group</w:t>
            </w:r>
          </w:p>
        </w:tc>
        <w:tc>
          <w:tcPr>
            <w:tcW w:w="1700" w:type="dxa"/>
            <w:vAlign w:val="bottom"/>
            <w:tcBorders>
              <w:bottom w:val="single" w:sz="8" w:color="auto"/>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Peer Group</w:t>
            </w:r>
          </w:p>
        </w:tc>
      </w:tr>
      <w:tr>
        <w:trPr>
          <w:trHeight w:val="315"/>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Energy Transfer LP (ET)</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Enterprise Products Partners LP (EPD)</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Kinder Morgan Inc. (KMI)</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Williams Companies Inc. (WMB)</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MPLX LP (MPLX)</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3"/>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ONEOK Inc. (OKE)</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Targa Resources Corp. (TRGP)</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Magellan Midstream Partners LP (MMP)</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Western Midstream Partners LP (WES)</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3"/>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EnLink Midstream LLC (ENLC)</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Equitrans Midstream Corporation (ETRN)</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3"/>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Phillips 66 Partners LP (PSXP)</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DCP Midstream LP (DCP)</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Holly Energy Partners LP (HEP)</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09"/>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NuStar Energy LP (NS)</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64"/>
        </w:trPr>
        <w:tc>
          <w:tcPr>
            <w:tcW w:w="4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S&amp;P 500 Index (SPX)</w:t>
            </w:r>
          </w:p>
        </w:tc>
        <w:tc>
          <w:tcPr>
            <w:tcW w:w="162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r>
      <w:tr>
        <w:trPr>
          <w:trHeight w:val="40"/>
        </w:trPr>
        <w:tc>
          <w:tcPr>
            <w:tcW w:w="490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284"/>
        </w:trPr>
        <w:tc>
          <w:tcPr>
            <w:tcW w:w="4900" w:type="dxa"/>
            <w:vAlign w:val="bottom"/>
            <w:tcBorders>
              <w:left w:val="single" w:sz="8" w:color="auto"/>
              <w:bottom w:val="single" w:sz="8" w:color="D9DCE1"/>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Alerian Midstream Energy Index (AMNA)</w:t>
            </w:r>
          </w:p>
        </w:tc>
        <w:tc>
          <w:tcPr>
            <w:tcW w:w="1620" w:type="dxa"/>
            <w:vAlign w:val="bottom"/>
            <w:tcBorders>
              <w:bottom w:val="single" w:sz="8" w:color="D9DCE1"/>
              <w:right w:val="single" w:sz="8" w:color="auto"/>
            </w:tcBorders>
            <w:shd w:val="clear" w:color="auto" w:fill="D9DCE1"/>
          </w:tcPr>
          <w:p>
            <w:pPr>
              <w:spacing w:after="0"/>
              <w:rPr>
                <w:sz w:val="24"/>
                <w:szCs w:val="24"/>
                <w:color w:val="auto"/>
              </w:rPr>
            </w:pPr>
          </w:p>
        </w:tc>
        <w:tc>
          <w:tcPr>
            <w:tcW w:w="1700" w:type="dxa"/>
            <w:vAlign w:val="bottom"/>
            <w:tcBorders>
              <w:bottom w:val="single" w:sz="8" w:color="D9DCE1"/>
              <w:right w:val="single" w:sz="8" w:color="auto"/>
            </w:tcBorders>
            <w:shd w:val="clear" w:color="auto" w:fill="D9DCE1"/>
          </w:tcPr>
          <w:p>
            <w:pPr>
              <w:spacing w:after="0"/>
              <w:rPr>
                <w:sz w:val="24"/>
                <w:szCs w:val="24"/>
                <w:color w:val="auto"/>
              </w:rPr>
            </w:pPr>
          </w:p>
        </w:tc>
      </w:tr>
      <w:tr>
        <w:trPr>
          <w:trHeight w:val="20"/>
        </w:trPr>
        <w:tc>
          <w:tcPr>
            <w:tcW w:w="4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-3402330</wp:posOffset>
            </wp:positionV>
            <wp:extent cx="4318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-3402330</wp:posOffset>
            </wp:positionV>
            <wp:extent cx="4318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-3196590</wp:posOffset>
            </wp:positionV>
            <wp:extent cx="4318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-3196590</wp:posOffset>
            </wp:positionV>
            <wp:extent cx="4318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-2990850</wp:posOffset>
            </wp:positionV>
            <wp:extent cx="4318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-2990850</wp:posOffset>
            </wp:positionV>
            <wp:extent cx="4318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-2785110</wp:posOffset>
            </wp:positionV>
            <wp:extent cx="43180" cy="603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-2785110</wp:posOffset>
            </wp:positionV>
            <wp:extent cx="43180" cy="603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-2579370</wp:posOffset>
            </wp:positionV>
            <wp:extent cx="43180" cy="603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-2579370</wp:posOffset>
            </wp:positionV>
            <wp:extent cx="43180" cy="603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-2373630</wp:posOffset>
            </wp:positionV>
            <wp:extent cx="4318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-2373630</wp:posOffset>
            </wp:positionV>
            <wp:extent cx="4318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-2167890</wp:posOffset>
            </wp:positionV>
            <wp:extent cx="4318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-2167890</wp:posOffset>
            </wp:positionV>
            <wp:extent cx="4318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-1962150</wp:posOffset>
            </wp:positionV>
            <wp:extent cx="43180"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-1962150</wp:posOffset>
            </wp:positionV>
            <wp:extent cx="4318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-1756410</wp:posOffset>
            </wp:positionV>
            <wp:extent cx="43180" cy="603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-1756410</wp:posOffset>
            </wp:positionV>
            <wp:extent cx="43180" cy="603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-1550670</wp:posOffset>
            </wp:positionV>
            <wp:extent cx="43180" cy="60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-1550670</wp:posOffset>
            </wp:positionV>
            <wp:extent cx="43180" cy="603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-1344930</wp:posOffset>
            </wp:positionV>
            <wp:extent cx="43180" cy="603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-1139190</wp:posOffset>
            </wp:positionV>
            <wp:extent cx="43180" cy="603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-933450</wp:posOffset>
            </wp:positionV>
            <wp:extent cx="43180" cy="603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-727710</wp:posOffset>
            </wp:positionV>
            <wp:extent cx="43180" cy="603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-521970</wp:posOffset>
            </wp:positionV>
            <wp:extent cx="4318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596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-316230</wp:posOffset>
            </wp:positionV>
            <wp:extent cx="43180" cy="603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6032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-110490</wp:posOffset>
            </wp:positionV>
            <wp:extent cx="4318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59690"/>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Compensation Committee Process</w:t>
      </w:r>
    </w:p>
    <w:p>
      <w:pPr>
        <w:spacing w:after="0" w:line="180"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Set forth below is additional information regarding our compensation practices as they relate to the elements of our compensation program:</w:t>
      </w:r>
    </w:p>
    <w:p>
      <w:pPr>
        <w:spacing w:after="0" w:line="98"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Historically, we have not made regular annual adjustments to the base salaries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most recent across the board adjustments were made in 2017), but we have made salary adjustments in connection with promotions or taking on increased responsibilities. No salary adjustments were approved for 2021.</w:t>
      </w:r>
    </w:p>
    <w:p>
      <w:pPr>
        <w:spacing w:after="0" w:line="11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i w:val="1"/>
          <w:iCs w:val="1"/>
          <w:color w:val="auto"/>
        </w:rPr>
        <w:t xml:space="preserve">Annual Cash Incentive Awards. </w:t>
      </w:r>
      <w:r>
        <w:rPr>
          <w:rFonts w:ascii="Arial" w:cs="Arial" w:eastAsia="Arial" w:hAnsi="Arial"/>
          <w:sz w:val="17"/>
          <w:szCs w:val="17"/>
          <w:color w:val="auto"/>
        </w:rPr>
        <w:t>Annual cash incentive awards for the Named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are determined within 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adjustments may be positive or negative depending on the circumstances. For example, in each of 2019 and 2020, based on recommendations made by our CEO, the compensation committee and Board exercised negative discretion to reduce the overall payout relative to what the bonus formula generated (see “— 2021 Performance Overview and Specific Application of Compensation Elements in 2021” for more information regarding 2021).</w:t>
      </w:r>
    </w:p>
    <w:p>
      <w:pPr>
        <w:spacing w:after="0" w:line="18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2021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131445</wp:posOffset>
            </wp:positionV>
            <wp:extent cx="3874770" cy="2117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the results of the formulaic bonus calculations along with any recommendations for adjustments to the compensation committee for all Named Executive Officers other than himself. In connection with his assessment of Company and individual performance, the CEO also considers various factors, including:</w:t>
      </w:r>
    </w:p>
    <w:p>
      <w:pPr>
        <w:spacing w:after="0" w:line="90" w:lineRule="exact"/>
        <w:rPr>
          <w:sz w:val="20"/>
          <w:szCs w:val="20"/>
          <w:color w:val="auto"/>
        </w:rPr>
      </w:pPr>
    </w:p>
    <w:p>
      <w:pPr>
        <w:ind w:left="1800" w:right="499" w:hanging="180"/>
        <w:spacing w:after="0" w:line="261"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89" w:lineRule="exact"/>
        <w:rPr>
          <w:rFonts w:ascii="Arial" w:cs="Arial" w:eastAsia="Arial" w:hAnsi="Arial"/>
          <w:sz w:val="18"/>
          <w:szCs w:val="18"/>
          <w:color w:val="auto"/>
        </w:rPr>
      </w:pPr>
    </w:p>
    <w:p>
      <w:pPr>
        <w:ind w:left="1800" w:right="659" w:hanging="180"/>
        <w:spacing w:after="0" w:line="261"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89" w:lineRule="exact"/>
        <w:rPr>
          <w:rFonts w:ascii="Arial" w:cs="Arial" w:eastAsia="Arial" w:hAnsi="Arial"/>
          <w:sz w:val="18"/>
          <w:szCs w:val="18"/>
          <w:color w:val="auto"/>
        </w:rPr>
      </w:pPr>
    </w:p>
    <w:p>
      <w:pPr>
        <w:ind w:left="1800" w:right="419" w:hanging="180"/>
        <w:spacing w:after="0" w:line="261"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17" w:lineRule="exact"/>
        <w:rPr>
          <w:rFonts w:ascii="Arial" w:cs="Arial" w:eastAsia="Arial" w:hAnsi="Arial"/>
          <w:sz w:val="18"/>
          <w:szCs w:val="18"/>
          <w:color w:val="auto"/>
        </w:rPr>
      </w:pPr>
    </w:p>
    <w:p>
      <w:pPr>
        <w:ind w:left="1800" w:right="699" w:hanging="180"/>
        <w:spacing w:after="0" w:line="261"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pacing w:after="0" w:line="130"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121"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As noted above, the CEO does not make a recommendation with respect to his own bonus. The compensation committee assesses the CEO’s performance and contributions toward meeting the</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56" w:lineRule="auto"/>
        <w:rPr>
          <w:sz w:val="20"/>
          <w:szCs w:val="20"/>
          <w:color w:val="auto"/>
        </w:rPr>
      </w:pPr>
      <w:r>
        <w:rPr>
          <w:rFonts w:ascii="Arial" w:cs="Arial" w:eastAsia="Arial" w:hAnsi="Arial"/>
          <w:sz w:val="18"/>
          <w:szCs w:val="18"/>
          <w:color w:val="auto"/>
        </w:rPr>
        <w:t>goals and objectives established at the beginning of the year, and recommends to the Board a total bonus payout for the CEO that it believes to be commensurate with such performance and contributions.</w:t>
      </w:r>
    </w:p>
    <w:p>
      <w:pPr>
        <w:spacing w:after="0" w:line="103"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17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2021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148590</wp:posOffset>
            </wp:positionV>
            <wp:extent cx="4183380" cy="13290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260" w:right="639" w:firstLine="360"/>
        <w:spacing w:after="0" w:line="254" w:lineRule="auto"/>
        <w:rPr>
          <w:sz w:val="20"/>
          <w:szCs w:val="20"/>
          <w:color w:val="auto"/>
        </w:rPr>
      </w:pPr>
      <w:r>
        <w:rPr>
          <w:rFonts w:ascii="Arial" w:cs="Arial" w:eastAsia="Arial" w:hAnsi="Arial"/>
          <w:sz w:val="18"/>
          <w:szCs w:val="18"/>
          <w:color w:val="auto"/>
        </w:rPr>
        <w:t>NEOs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p>
    <w:p>
      <w:pPr>
        <w:spacing w:after="0" w:line="12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 year period. Phantom unit grants for the Named Executive Officers typically include DERs, and for awards granted in 2021, DERs on the performance-based portion of such awards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w:t>
      </w:r>
    </w:p>
    <w:p>
      <w:pPr>
        <w:spacing w:after="0" w:line="143"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An additional equity incentive tool that has been used in the past involved the issuance to executives of Class B units of AAP (“AAP Management Units”). While no AAP Management Unit awards were granted in 2021, two of our Named Executive Officers (Messrs. Chiang and Goebel) held such awards during 2021. See “Outstanding Equity Awards at Fiscal Year-End” and “Certain Relationships and Related Transactions — AAP Management Units” below for more information regarding the AAP Management Units.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2021 Performance Overview and Specific Application of Compensation Elements in 2021</w:t>
      </w:r>
    </w:p>
    <w:p>
      <w:pPr>
        <w:spacing w:after="0" w:line="176"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At the beginning of 2021, we established key qualitative goals and quantitative financial, safety and environmental objectives. We also set important commercial, operational and organizational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4911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491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FFFFFF"/>
        </w:rPr>
        <w:t>2021 Performance Objectives and Results (all figures rounded)</w:t>
      </w:r>
    </w:p>
    <w:p>
      <w:pPr>
        <w:spacing w:after="0" w:line="6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Quantitative Goals</w:t>
      </w:r>
    </w:p>
    <w:p>
      <w:pPr>
        <w:spacing w:after="0" w:line="29" w:lineRule="exact"/>
        <w:rPr>
          <w:sz w:val="20"/>
          <w:szCs w:val="20"/>
          <w:color w:val="auto"/>
        </w:rPr>
      </w:pPr>
    </w:p>
    <w:tbl>
      <w:tblPr>
        <w:tblLayout w:type="fixed"/>
        <w:tblInd w:w="1280" w:type="dxa"/>
        <w:tblCellMar>
          <w:top w:w="0" w:type="dxa"/>
          <w:left w:w="0" w:type="dxa"/>
          <w:bottom w:w="0" w:type="dxa"/>
          <w:right w:w="0" w:type="dxa"/>
        </w:tblCellMar>
      </w:tblPr>
      <w:tr>
        <w:trPr>
          <w:trHeight w:val="215"/>
        </w:trPr>
        <w:tc>
          <w:tcPr>
            <w:tcW w:w="2720" w:type="dxa"/>
            <w:vAlign w:val="bottom"/>
            <w:tcBorders>
              <w:top w:val="single" w:sz="8" w:color="434F69"/>
              <w:bottom w:val="single" w:sz="8" w:color="434F69"/>
              <w:right w:val="single" w:sz="8" w:color="434F69"/>
            </w:tcBorders>
          </w:tcPr>
          <w:p>
            <w:pPr>
              <w:ind w:left="1080"/>
              <w:spacing w:after="0"/>
              <w:rPr>
                <w:sz w:val="20"/>
                <w:szCs w:val="20"/>
                <w:color w:val="auto"/>
              </w:rPr>
            </w:pPr>
            <w:r>
              <w:rPr>
                <w:rFonts w:ascii="Arial" w:cs="Arial" w:eastAsia="Arial" w:hAnsi="Arial"/>
                <w:sz w:val="14"/>
                <w:szCs w:val="14"/>
                <w:b w:val="1"/>
                <w:bCs w:val="1"/>
                <w:color w:val="auto"/>
              </w:rPr>
              <w:t>Metrics</w:t>
            </w:r>
          </w:p>
        </w:tc>
        <w:tc>
          <w:tcPr>
            <w:tcW w:w="2760" w:type="dxa"/>
            <w:vAlign w:val="bottom"/>
            <w:tcBorders>
              <w:top w:val="single" w:sz="8" w:color="434F69"/>
              <w:bottom w:val="single" w:sz="8" w:color="434F69"/>
              <w:right w:val="single" w:sz="8" w:color="434F69"/>
            </w:tcBorders>
          </w:tcPr>
          <w:p>
            <w:pPr>
              <w:ind w:left="1000"/>
              <w:spacing w:after="0"/>
              <w:rPr>
                <w:sz w:val="20"/>
                <w:szCs w:val="20"/>
                <w:color w:val="auto"/>
              </w:rPr>
            </w:pPr>
            <w:r>
              <w:rPr>
                <w:rFonts w:ascii="Arial" w:cs="Arial" w:eastAsia="Arial" w:hAnsi="Arial"/>
                <w:sz w:val="14"/>
                <w:szCs w:val="14"/>
                <w:b w:val="1"/>
                <w:bCs w:val="1"/>
                <w:color w:val="auto"/>
              </w:rPr>
              <w:t>2021 Goals</w:t>
            </w:r>
          </w:p>
        </w:tc>
        <w:tc>
          <w:tcPr>
            <w:tcW w:w="2700" w:type="dxa"/>
            <w:vAlign w:val="bottom"/>
            <w:tcBorders>
              <w:top w:val="single" w:sz="8" w:color="434F69"/>
              <w:bottom w:val="single" w:sz="8" w:color="434F69"/>
            </w:tcBorders>
          </w:tcPr>
          <w:p>
            <w:pPr>
              <w:ind w:left="920"/>
              <w:spacing w:after="0"/>
              <w:rPr>
                <w:sz w:val="20"/>
                <w:szCs w:val="20"/>
                <w:color w:val="auto"/>
              </w:rPr>
            </w:pPr>
            <w:r>
              <w:rPr>
                <w:rFonts w:ascii="Arial" w:cs="Arial" w:eastAsia="Arial" w:hAnsi="Arial"/>
                <w:sz w:val="14"/>
                <w:szCs w:val="14"/>
                <w:b w:val="1"/>
                <w:bCs w:val="1"/>
                <w:color w:val="auto"/>
              </w:rPr>
              <w:t>2021 Results</w:t>
            </w:r>
          </w:p>
        </w:tc>
        <w:tc>
          <w:tcPr>
            <w:tcW w:w="0" w:type="dxa"/>
            <w:vAlign w:val="bottom"/>
          </w:tcPr>
          <w:p>
            <w:pPr>
              <w:spacing w:after="0"/>
              <w:rPr>
                <w:sz w:val="1"/>
                <w:szCs w:val="1"/>
                <w:color w:val="auto"/>
              </w:rPr>
            </w:pPr>
          </w:p>
        </w:tc>
      </w:tr>
      <w:tr>
        <w:trPr>
          <w:trHeight w:val="283"/>
        </w:trPr>
        <w:tc>
          <w:tcPr>
            <w:tcW w:w="2720" w:type="dxa"/>
            <w:vAlign w:val="bottom"/>
            <w:tcBorders>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7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$2.15 billion</w:t>
            </w:r>
          </w:p>
        </w:tc>
        <w:tc>
          <w:tcPr>
            <w:tcW w:w="2700" w:type="dxa"/>
            <w:vAlign w:val="bottom"/>
            <w:tcBorders>
              <w:bottom w:val="single" w:sz="8" w:color="434F69"/>
            </w:tcBorders>
          </w:tcPr>
          <w:p>
            <w:pPr>
              <w:ind w:left="80"/>
              <w:spacing w:after="0"/>
              <w:rPr>
                <w:sz w:val="20"/>
                <w:szCs w:val="20"/>
                <w:color w:val="auto"/>
              </w:rPr>
            </w:pPr>
            <w:r>
              <w:rPr>
                <w:rFonts w:ascii="Arial" w:cs="Arial" w:eastAsia="Arial" w:hAnsi="Arial"/>
                <w:sz w:val="18"/>
                <w:szCs w:val="18"/>
                <w:color w:val="auto"/>
              </w:rPr>
              <w:t>$2.213 billion</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98"/>
        </w:trPr>
        <w:tc>
          <w:tcPr>
            <w:tcW w:w="2720" w:type="dxa"/>
            <w:vAlign w:val="bottom"/>
            <w:tcBorders>
              <w:right w:val="single" w:sz="8" w:color="434F69"/>
            </w:tcBorders>
          </w:tcPr>
          <w:p>
            <w:pPr>
              <w:ind w:left="60"/>
              <w:spacing w:after="0" w:line="198" w:lineRule="exact"/>
              <w:rPr>
                <w:sz w:val="20"/>
                <w:szCs w:val="20"/>
                <w:color w:val="auto"/>
              </w:rPr>
            </w:pPr>
            <w:r>
              <w:rPr>
                <w:rFonts w:ascii="Arial" w:cs="Arial" w:eastAsia="Arial" w:hAnsi="Arial"/>
                <w:sz w:val="18"/>
                <w:szCs w:val="18"/>
                <w:color w:val="auto"/>
              </w:rPr>
              <w:t>Implied DCF per common unit</w:t>
            </w:r>
          </w:p>
        </w:tc>
        <w:tc>
          <w:tcPr>
            <w:tcW w:w="2760" w:type="dxa"/>
            <w:vAlign w:val="bottom"/>
            <w:tcBorders>
              <w:right w:val="single" w:sz="8" w:color="434F69"/>
            </w:tcBorders>
          </w:tcPr>
          <w:p>
            <w:pPr>
              <w:ind w:left="100"/>
              <w:spacing w:after="0" w:line="198" w:lineRule="exact"/>
              <w:rPr>
                <w:sz w:val="20"/>
                <w:szCs w:val="20"/>
                <w:color w:val="auto"/>
              </w:rPr>
            </w:pPr>
            <w:r>
              <w:rPr>
                <w:rFonts w:ascii="Arial" w:cs="Arial" w:eastAsia="Arial" w:hAnsi="Arial"/>
                <w:sz w:val="18"/>
                <w:szCs w:val="18"/>
                <w:color w:val="auto"/>
              </w:rPr>
              <w:t>$1.83</w:t>
            </w:r>
          </w:p>
        </w:tc>
        <w:tc>
          <w:tcPr>
            <w:tcW w:w="2700" w:type="dxa"/>
            <w:vAlign w:val="bottom"/>
          </w:tcPr>
          <w:p>
            <w:pPr>
              <w:ind w:left="80"/>
              <w:spacing w:after="0" w:line="199" w:lineRule="exact"/>
              <w:rPr>
                <w:sz w:val="20"/>
                <w:szCs w:val="20"/>
                <w:color w:val="auto"/>
              </w:rPr>
            </w:pPr>
            <w:r>
              <w:rPr>
                <w:rFonts w:ascii="Arial" w:cs="Arial" w:eastAsia="Arial" w:hAnsi="Arial"/>
                <w:sz w:val="17"/>
                <w:szCs w:val="17"/>
                <w:color w:val="auto"/>
              </w:rPr>
              <w:t>$1.97</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81"/>
        </w:trPr>
        <w:tc>
          <w:tcPr>
            <w:tcW w:w="2720" w:type="dxa"/>
            <w:vAlign w:val="bottom"/>
            <w:tcBorders>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and CUE</w:t>
            </w:r>
            <w:r>
              <w:rPr>
                <w:rFonts w:ascii="Arial" w:cs="Arial" w:eastAsia="Arial" w:hAnsi="Arial"/>
                <w:sz w:val="23"/>
                <w:szCs w:val="23"/>
                <w:color w:val="auto"/>
                <w:vertAlign w:val="superscript"/>
              </w:rPr>
              <w:t>1</w:t>
            </w:r>
          </w:p>
        </w:tc>
        <w:tc>
          <w:tcPr>
            <w:tcW w:w="2760" w:type="dxa"/>
            <w:vAlign w:val="bottom"/>
            <w:tcBorders>
              <w:bottom w:val="single" w:sz="8" w:color="434F69"/>
              <w:right w:val="single" w:sz="8" w:color="434F69"/>
            </w:tcBorders>
          </w:tcPr>
          <w:p>
            <w:pPr>
              <w:spacing w:after="0"/>
              <w:rPr>
                <w:sz w:val="24"/>
                <w:szCs w:val="24"/>
                <w:color w:val="auto"/>
              </w:rPr>
            </w:pPr>
          </w:p>
        </w:tc>
        <w:tc>
          <w:tcPr>
            <w:tcW w:w="2700" w:type="dxa"/>
            <w:vAlign w:val="bottom"/>
            <w:tcBorders>
              <w:bottom w:val="single" w:sz="8" w:color="434F69"/>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720" w:type="dxa"/>
            <w:vAlign w:val="bottom"/>
            <w:tcBorders>
              <w:right w:val="single" w:sz="8" w:color="434F69"/>
            </w:tcBorders>
          </w:tcPr>
          <w:p>
            <w:pPr>
              <w:ind w:left="60"/>
              <w:spacing w:after="0"/>
              <w:rPr>
                <w:sz w:val="20"/>
                <w:szCs w:val="20"/>
                <w:color w:val="auto"/>
              </w:rPr>
            </w:pPr>
            <w:r>
              <w:rPr>
                <w:rFonts w:ascii="Arial" w:cs="Arial" w:eastAsia="Arial" w:hAnsi="Arial"/>
                <w:sz w:val="18"/>
                <w:szCs w:val="18"/>
                <w:color w:val="auto"/>
              </w:rPr>
              <w:t>Safety and Environmental</w:t>
            </w:r>
          </w:p>
        </w:tc>
        <w:tc>
          <w:tcPr>
            <w:tcW w:w="2760" w:type="dxa"/>
            <w:vAlign w:val="bottom"/>
            <w:tcBorders>
              <w:right w:val="single" w:sz="8" w:color="434F69"/>
            </w:tcBorders>
          </w:tcPr>
          <w:p>
            <w:pPr>
              <w:ind w:left="100"/>
              <w:spacing w:after="0"/>
              <w:rPr>
                <w:sz w:val="20"/>
                <w:szCs w:val="20"/>
                <w:color w:val="auto"/>
              </w:rPr>
            </w:pPr>
            <w:r>
              <w:rPr>
                <w:rFonts w:ascii="Arial" w:cs="Arial" w:eastAsia="Arial" w:hAnsi="Arial"/>
                <w:sz w:val="18"/>
                <w:szCs w:val="18"/>
                <w:color w:val="auto"/>
              </w:rPr>
              <w:t>20% year over year</w:t>
            </w:r>
          </w:p>
        </w:tc>
        <w:tc>
          <w:tcPr>
            <w:tcW w:w="2700" w:type="dxa"/>
            <w:vAlign w:val="bottom"/>
          </w:tcPr>
          <w:p>
            <w:pPr>
              <w:ind w:left="80"/>
              <w:spacing w:after="0"/>
              <w:rPr>
                <w:sz w:val="20"/>
                <w:szCs w:val="20"/>
                <w:color w:val="auto"/>
              </w:rPr>
            </w:pPr>
            <w:r>
              <w:rPr>
                <w:rFonts w:ascii="Arial" w:cs="Arial" w:eastAsia="Arial" w:hAnsi="Arial"/>
                <w:sz w:val="18"/>
                <w:szCs w:val="18"/>
                <w:color w:val="auto"/>
              </w:rPr>
              <w:t>• ~10% reduction in recordable</w:t>
            </w:r>
          </w:p>
        </w:tc>
        <w:tc>
          <w:tcPr>
            <w:tcW w:w="0" w:type="dxa"/>
            <w:vAlign w:val="bottom"/>
          </w:tcPr>
          <w:p>
            <w:pPr>
              <w:spacing w:after="0"/>
              <w:rPr>
                <w:sz w:val="1"/>
                <w:szCs w:val="1"/>
                <w:color w:val="auto"/>
              </w:rPr>
            </w:pPr>
          </w:p>
        </w:tc>
      </w:tr>
      <w:tr>
        <w:trPr>
          <w:trHeight w:val="216"/>
        </w:trPr>
        <w:tc>
          <w:tcPr>
            <w:tcW w:w="2720" w:type="dxa"/>
            <w:vAlign w:val="bottom"/>
            <w:tcBorders>
              <w:right w:val="single" w:sz="8" w:color="434F69"/>
            </w:tcBorders>
          </w:tcPr>
          <w:p>
            <w:pPr>
              <w:spacing w:after="0"/>
              <w:rPr>
                <w:sz w:val="18"/>
                <w:szCs w:val="18"/>
                <w:color w:val="auto"/>
              </w:rPr>
            </w:pPr>
          </w:p>
        </w:tc>
        <w:tc>
          <w:tcPr>
            <w:tcW w:w="2760" w:type="dxa"/>
            <w:vAlign w:val="bottom"/>
            <w:tcBorders>
              <w:right w:val="single" w:sz="8" w:color="434F69"/>
            </w:tcBorders>
          </w:tcPr>
          <w:p>
            <w:pPr>
              <w:ind w:left="100"/>
              <w:spacing w:after="0"/>
              <w:rPr>
                <w:sz w:val="20"/>
                <w:szCs w:val="20"/>
                <w:color w:val="auto"/>
              </w:rPr>
            </w:pPr>
            <w:r>
              <w:rPr>
                <w:rFonts w:ascii="Arial" w:cs="Arial" w:eastAsia="Arial" w:hAnsi="Arial"/>
                <w:sz w:val="18"/>
                <w:szCs w:val="18"/>
                <w:color w:val="auto"/>
              </w:rPr>
              <w:t>improvement in certain safety</w:t>
            </w:r>
          </w:p>
        </w:tc>
        <w:tc>
          <w:tcPr>
            <w:tcW w:w="2700" w:type="dxa"/>
            <w:vAlign w:val="bottom"/>
          </w:tcPr>
          <w:p>
            <w:pPr>
              <w:ind w:left="260"/>
              <w:spacing w:after="0"/>
              <w:rPr>
                <w:sz w:val="20"/>
                <w:szCs w:val="20"/>
                <w:color w:val="auto"/>
              </w:rPr>
            </w:pPr>
            <w:r>
              <w:rPr>
                <w:rFonts w:ascii="Arial" w:cs="Arial" w:eastAsia="Arial" w:hAnsi="Arial"/>
                <w:sz w:val="18"/>
                <w:szCs w:val="18"/>
                <w:color w:val="auto"/>
              </w:rPr>
              <w:t>injuries</w:t>
            </w:r>
          </w:p>
        </w:tc>
        <w:tc>
          <w:tcPr>
            <w:tcW w:w="0" w:type="dxa"/>
            <w:vAlign w:val="bottom"/>
          </w:tcPr>
          <w:p>
            <w:pPr>
              <w:spacing w:after="0"/>
              <w:rPr>
                <w:sz w:val="1"/>
                <w:szCs w:val="1"/>
                <w:color w:val="auto"/>
              </w:rPr>
            </w:pPr>
          </w:p>
        </w:tc>
      </w:tr>
      <w:tr>
        <w:trPr>
          <w:trHeight w:val="217"/>
        </w:trPr>
        <w:tc>
          <w:tcPr>
            <w:tcW w:w="2720" w:type="dxa"/>
            <w:vAlign w:val="bottom"/>
            <w:tcBorders>
              <w:right w:val="single" w:sz="8" w:color="434F69"/>
            </w:tcBorders>
          </w:tcPr>
          <w:p>
            <w:pPr>
              <w:spacing w:after="0"/>
              <w:rPr>
                <w:sz w:val="18"/>
                <w:szCs w:val="18"/>
                <w:color w:val="auto"/>
              </w:rPr>
            </w:pPr>
          </w:p>
        </w:tc>
        <w:tc>
          <w:tcPr>
            <w:tcW w:w="2760" w:type="dxa"/>
            <w:vAlign w:val="bottom"/>
            <w:tcBorders>
              <w:right w:val="single" w:sz="8" w:color="434F69"/>
            </w:tcBorders>
          </w:tcPr>
          <w:p>
            <w:pPr>
              <w:ind w:left="100"/>
              <w:spacing w:after="0"/>
              <w:rPr>
                <w:sz w:val="20"/>
                <w:szCs w:val="20"/>
                <w:color w:val="auto"/>
              </w:rPr>
            </w:pPr>
            <w:r>
              <w:rPr>
                <w:rFonts w:ascii="Arial" w:cs="Arial" w:eastAsia="Arial" w:hAnsi="Arial"/>
                <w:sz w:val="18"/>
                <w:szCs w:val="18"/>
                <w:color w:val="auto"/>
              </w:rPr>
              <w:t>and environmental metrics</w:t>
            </w:r>
          </w:p>
        </w:tc>
        <w:tc>
          <w:tcPr>
            <w:tcW w:w="2700" w:type="dxa"/>
            <w:vAlign w:val="bottom"/>
            <w:vMerge w:val="restart"/>
          </w:tcPr>
          <w:p>
            <w:pPr>
              <w:ind w:left="80"/>
              <w:spacing w:after="0"/>
              <w:rPr>
                <w:sz w:val="20"/>
                <w:szCs w:val="20"/>
                <w:color w:val="auto"/>
              </w:rPr>
            </w:pPr>
            <w:r>
              <w:rPr>
                <w:rFonts w:ascii="Arial" w:cs="Arial" w:eastAsia="Arial" w:hAnsi="Arial"/>
                <w:sz w:val="18"/>
                <w:szCs w:val="18"/>
                <w:color w:val="auto"/>
              </w:rPr>
              <w:t>• ~33% increase in number of</w:t>
            </w:r>
          </w:p>
        </w:tc>
        <w:tc>
          <w:tcPr>
            <w:tcW w:w="0" w:type="dxa"/>
            <w:vAlign w:val="bottom"/>
          </w:tcPr>
          <w:p>
            <w:pPr>
              <w:spacing w:after="0"/>
              <w:rPr>
                <w:sz w:val="1"/>
                <w:szCs w:val="1"/>
                <w:color w:val="auto"/>
              </w:rPr>
            </w:pPr>
          </w:p>
        </w:tc>
      </w:tr>
      <w:tr>
        <w:trPr>
          <w:trHeight w:val="80"/>
        </w:trPr>
        <w:tc>
          <w:tcPr>
            <w:tcW w:w="2720" w:type="dxa"/>
            <w:vAlign w:val="bottom"/>
            <w:tcBorders>
              <w:right w:val="single" w:sz="8" w:color="434F69"/>
            </w:tcBorders>
          </w:tcPr>
          <w:p>
            <w:pPr>
              <w:spacing w:after="0"/>
              <w:rPr>
                <w:sz w:val="6"/>
                <w:szCs w:val="6"/>
                <w:color w:val="auto"/>
              </w:rPr>
            </w:pPr>
          </w:p>
        </w:tc>
        <w:tc>
          <w:tcPr>
            <w:tcW w:w="2760" w:type="dxa"/>
            <w:vAlign w:val="bottom"/>
            <w:tcBorders>
              <w:right w:val="single" w:sz="8" w:color="434F69"/>
            </w:tcBorders>
          </w:tcPr>
          <w:p>
            <w:pPr>
              <w:spacing w:after="0"/>
              <w:rPr>
                <w:sz w:val="6"/>
                <w:szCs w:val="6"/>
                <w:color w:val="auto"/>
              </w:rPr>
            </w:pPr>
          </w:p>
        </w:tc>
        <w:tc>
          <w:tcPr>
            <w:tcW w:w="2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720" w:type="dxa"/>
            <w:vAlign w:val="bottom"/>
            <w:tcBorders>
              <w:right w:val="single" w:sz="8" w:color="434F69"/>
            </w:tcBorders>
          </w:tcPr>
          <w:p>
            <w:pPr>
              <w:spacing w:after="0"/>
              <w:rPr>
                <w:sz w:val="18"/>
                <w:szCs w:val="18"/>
                <w:color w:val="auto"/>
              </w:rPr>
            </w:pPr>
          </w:p>
        </w:tc>
        <w:tc>
          <w:tcPr>
            <w:tcW w:w="2760" w:type="dxa"/>
            <w:vAlign w:val="bottom"/>
            <w:tcBorders>
              <w:right w:val="single" w:sz="8" w:color="434F69"/>
            </w:tcBorders>
          </w:tcPr>
          <w:p>
            <w:pPr>
              <w:spacing w:after="0"/>
              <w:rPr>
                <w:sz w:val="18"/>
                <w:szCs w:val="18"/>
                <w:color w:val="auto"/>
              </w:rPr>
            </w:pPr>
          </w:p>
        </w:tc>
        <w:tc>
          <w:tcPr>
            <w:tcW w:w="2700" w:type="dxa"/>
            <w:vAlign w:val="bottom"/>
          </w:tcPr>
          <w:p>
            <w:pPr>
              <w:ind w:left="260"/>
              <w:spacing w:after="0"/>
              <w:rPr>
                <w:sz w:val="20"/>
                <w:szCs w:val="20"/>
                <w:color w:val="auto"/>
              </w:rPr>
            </w:pPr>
            <w:r>
              <w:rPr>
                <w:rFonts w:ascii="Arial" w:cs="Arial" w:eastAsia="Arial" w:hAnsi="Arial"/>
                <w:sz w:val="18"/>
                <w:szCs w:val="18"/>
                <w:color w:val="auto"/>
              </w:rPr>
              <w:t>federally reportable releases</w:t>
            </w:r>
          </w:p>
        </w:tc>
        <w:tc>
          <w:tcPr>
            <w:tcW w:w="0" w:type="dxa"/>
            <w:vAlign w:val="bottom"/>
          </w:tcPr>
          <w:p>
            <w:pPr>
              <w:spacing w:after="0"/>
              <w:rPr>
                <w:sz w:val="1"/>
                <w:szCs w:val="1"/>
                <w:color w:val="auto"/>
              </w:rPr>
            </w:pPr>
          </w:p>
        </w:tc>
      </w:tr>
      <w:tr>
        <w:trPr>
          <w:trHeight w:val="81"/>
        </w:trPr>
        <w:tc>
          <w:tcPr>
            <w:tcW w:w="2720" w:type="dxa"/>
            <w:vAlign w:val="bottom"/>
            <w:tcBorders>
              <w:bottom w:val="single" w:sz="8" w:color="434F69"/>
              <w:right w:val="single" w:sz="8" w:color="434F69"/>
            </w:tcBorders>
          </w:tcPr>
          <w:p>
            <w:pPr>
              <w:spacing w:after="0"/>
              <w:rPr>
                <w:sz w:val="7"/>
                <w:szCs w:val="7"/>
                <w:color w:val="auto"/>
              </w:rPr>
            </w:pPr>
          </w:p>
        </w:tc>
        <w:tc>
          <w:tcPr>
            <w:tcW w:w="2760" w:type="dxa"/>
            <w:vAlign w:val="bottom"/>
            <w:tcBorders>
              <w:bottom w:val="single" w:sz="8" w:color="434F69"/>
              <w:right w:val="single" w:sz="8" w:color="434F69"/>
            </w:tcBorders>
          </w:tcPr>
          <w:p>
            <w:pPr>
              <w:spacing w:after="0"/>
              <w:rPr>
                <w:sz w:val="7"/>
                <w:szCs w:val="7"/>
                <w:color w:val="auto"/>
              </w:rPr>
            </w:pPr>
          </w:p>
        </w:tc>
        <w:tc>
          <w:tcPr>
            <w:tcW w:w="2700" w:type="dxa"/>
            <w:vAlign w:val="bottom"/>
            <w:tcBorders>
              <w:bottom w:val="single" w:sz="8" w:color="434F69"/>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720" w:type="dxa"/>
            <w:vAlign w:val="bottom"/>
            <w:tcBorders>
              <w:right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auto"/>
              </w:rPr>
              <w:t>Qualitative Goals</w:t>
            </w:r>
          </w:p>
        </w:tc>
        <w:tc>
          <w:tcPr>
            <w:tcW w:w="2760" w:type="dxa"/>
            <w:vAlign w:val="bottom"/>
            <w:tcBorders>
              <w:right w:val="single" w:sz="8" w:color="D9DCE1"/>
            </w:tcBorders>
            <w:shd w:val="clear" w:color="auto" w:fill="D9DCE1"/>
          </w:tcPr>
          <w:p>
            <w:pPr>
              <w:spacing w:after="0"/>
              <w:rPr>
                <w:sz w:val="17"/>
                <w:szCs w:val="17"/>
                <w:color w:val="auto"/>
              </w:rPr>
            </w:pPr>
          </w:p>
        </w:tc>
        <w:tc>
          <w:tcPr>
            <w:tcW w:w="2700" w:type="dxa"/>
            <w:vAlign w:val="bottom"/>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720" w:type="dxa"/>
            <w:vAlign w:val="bottom"/>
            <w:tcBorders>
              <w:right w:val="single" w:sz="8" w:color="D9DCE1"/>
            </w:tcBorders>
            <w:shd w:val="clear" w:color="auto" w:fill="D9DCE1"/>
          </w:tcPr>
          <w:p>
            <w:pPr>
              <w:spacing w:after="0"/>
              <w:rPr>
                <w:sz w:val="3"/>
                <w:szCs w:val="3"/>
                <w:color w:val="auto"/>
              </w:rPr>
            </w:pPr>
          </w:p>
        </w:tc>
        <w:tc>
          <w:tcPr>
            <w:tcW w:w="2760" w:type="dxa"/>
            <w:vAlign w:val="bottom"/>
            <w:tcBorders>
              <w:right w:val="single" w:sz="8" w:color="D9DCE1"/>
            </w:tcBorders>
            <w:shd w:val="clear" w:color="auto" w:fill="D9DCE1"/>
          </w:tcPr>
          <w:p>
            <w:pPr>
              <w:spacing w:after="0"/>
              <w:rPr>
                <w:sz w:val="3"/>
                <w:szCs w:val="3"/>
                <w:color w:val="auto"/>
              </w:rPr>
            </w:pPr>
          </w:p>
        </w:tc>
        <w:tc>
          <w:tcPr>
            <w:tcW w:w="2700" w:type="dxa"/>
            <w:vAlign w:val="bottom"/>
            <w:shd w:val="clear" w:color="auto" w:fill="D9DCE1"/>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520" w:right="999" w:hanging="179"/>
        <w:spacing w:after="0" w:line="278" w:lineRule="auto"/>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Financial</w:t>
      </w:r>
      <w:r>
        <w:rPr>
          <w:rFonts w:ascii="Arial" w:cs="Arial" w:eastAsia="Arial" w:hAnsi="Arial"/>
          <w:sz w:val="17"/>
          <w:szCs w:val="17"/>
          <w:color w:val="auto"/>
        </w:rPr>
        <w:t>: strengthen financial positioning and flexibility; complete asset sales of $750 million; achieve a total debt to Adjusted EBITDA ratio of 4.75x or lower by year end; and deliver $300 million of free cash flow after distributions (excluding proceeds from asset sales)</w:t>
      </w:r>
    </w:p>
    <w:p>
      <w:pPr>
        <w:spacing w:after="0" w:line="49" w:lineRule="exact"/>
        <w:rPr>
          <w:rFonts w:ascii="Arial" w:cs="Arial" w:eastAsia="Arial" w:hAnsi="Arial"/>
          <w:sz w:val="17"/>
          <w:szCs w:val="17"/>
          <w:color w:val="auto"/>
        </w:rPr>
      </w:pPr>
    </w:p>
    <w:p>
      <w:pPr>
        <w:ind w:left="1520" w:right="519" w:hanging="179"/>
        <w:spacing w:after="0" w:line="291" w:lineRule="auto"/>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Investment</w:t>
      </w:r>
      <w:r>
        <w:rPr>
          <w:rFonts w:ascii="Arial" w:cs="Arial" w:eastAsia="Arial" w:hAnsi="Arial"/>
          <w:sz w:val="17"/>
          <w:szCs w:val="17"/>
          <w:color w:val="auto"/>
        </w:rPr>
        <w:t>: maintain capital discipline by limiting capital expenditures to no more than $425 million; and advance key projects that will support future growth and returns and optimize existing assets</w:t>
      </w:r>
    </w:p>
    <w:p>
      <w:pPr>
        <w:spacing w:after="0" w:line="52" w:lineRule="exact"/>
        <w:rPr>
          <w:rFonts w:ascii="Arial" w:cs="Arial" w:eastAsia="Arial" w:hAnsi="Arial"/>
          <w:sz w:val="17"/>
          <w:szCs w:val="17"/>
          <w:color w:val="auto"/>
        </w:rPr>
      </w:pPr>
    </w:p>
    <w:p>
      <w:pPr>
        <w:ind w:left="1520" w:right="679" w:hanging="179"/>
        <w:spacing w:after="0" w:line="273" w:lineRule="auto"/>
        <w:tabs>
          <w:tab w:leader="none" w:pos="15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Operations and Management</w:t>
      </w:r>
      <w:r>
        <w:rPr>
          <w:rFonts w:ascii="Arial" w:cs="Arial" w:eastAsia="Arial" w:hAnsi="Arial"/>
          <w:sz w:val="17"/>
          <w:szCs w:val="17"/>
          <w:color w:val="auto"/>
        </w:rPr>
        <w:t>: advance and complete key programs and initiatives, including convergence efforts,designed to improve the efficiency and scalability of our business processes and information systems; and advance key initiatives related to talent development/management, succession planning, employee wellness and performance management</w:t>
      </w:r>
    </w:p>
    <w:p>
      <w:pPr>
        <w:spacing w:after="0" w:line="123" w:lineRule="exact"/>
        <w:rPr>
          <w:rFonts w:ascii="Arial" w:cs="Arial" w:eastAsia="Arial" w:hAnsi="Arial"/>
          <w:sz w:val="17"/>
          <w:szCs w:val="17"/>
          <w:color w:val="auto"/>
        </w:rPr>
      </w:pPr>
    </w:p>
    <w:p>
      <w:pPr>
        <w:ind w:left="1880" w:right="519" w:hanging="179"/>
        <w:spacing w:after="0" w:line="253" w:lineRule="auto"/>
        <w:tabs>
          <w:tab w:leader="none" w:pos="1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Adjusted EBITDA and Implied DCF are non-GAAP financial measures. Information regarding these non-GAAP financial measures, including a reconciliation to the most directly comparable GAAP measures, is included under the caption “Non-GAAP Financial Measures” beginning on page 79 of PAA’s Annual Report on Form 10-K for the year ended December 31, 2021 as filed with the SEC.</w:t>
      </w:r>
    </w:p>
    <w:p>
      <w:pPr>
        <w:spacing w:after="0" w:line="70" w:lineRule="exact"/>
        <w:rPr>
          <w:rFonts w:ascii="Arial" w:cs="Arial" w:eastAsia="Arial" w:hAnsi="Arial"/>
          <w:sz w:val="18"/>
          <w:szCs w:val="18"/>
          <w:color w:val="auto"/>
        </w:rPr>
      </w:pPr>
    </w:p>
    <w:p>
      <w:pPr>
        <w:ind w:left="1880" w:right="639" w:hanging="179"/>
        <w:spacing w:after="0" w:line="252" w:lineRule="auto"/>
        <w:tabs>
          <w:tab w:leader="none" w:pos="18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comparison to our 2021 goals, the 2021 results reflected in the table above for Adjusted EBITDA and Implied DCF per common unit and CUE include adjustments to actual amounts reported to exclude approximately $77 million of Adjusted EBITDA attributable to noncontrolling interests in the Plains Oryx Permian Basin LLC joint venture (“Permian JV”) as the financial impact associated with the formation of the Permian JV was not included in the quantitative amounts established for our 2021 goals.</w:t>
      </w:r>
    </w:p>
    <w:p>
      <w:pPr>
        <w:spacing w:after="0" w:line="208"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With respect to the Adjusted EBITDA results included in the table above, we exceeded our goal by 3% driven primarily by volume growth and lower operating expenses.</w:t>
      </w:r>
    </w:p>
    <w:p>
      <w:pPr>
        <w:spacing w:after="0" w:line="116"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addition to the results set forth in the table above, we also reported Free Cash Flow after Distributions of approximately $1.65 billion, or $780 million excluding proceeds from asset sales (vs. our goal for the year of $300 million).</w:t>
      </w:r>
    </w:p>
    <w:p>
      <w:pPr>
        <w:spacing w:after="0" w:line="13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reduced our debt by more than $1 billion (and had $400 million of cash on our balance sheet as of December 31, 2021 reserved for the repayment of senior notes in March 2022); and returned approximately $695 million to common equity holders via distributions and unit repurchases. We exited the year with a total debt to Adjusted EBITDA attributable to PAA multiple of 4.5x and approximately $3.0 billion of committed liquidity. In addition, in November 2021, our credit rating with Moody’s was upgraded to investment grade with a stable outlook.</w:t>
      </w:r>
    </w:p>
    <w:p>
      <w:pPr>
        <w:spacing w:after="0" w:line="137"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7"/>
          <w:szCs w:val="17"/>
          <w:color w:val="auto"/>
        </w:rPr>
        <w:t>With respect to our stated goals regarding safety and environmental metrics, we did not achieve our 20% reduction targets for federally reportable releases and safety-related total recordable injury rate, experiencing a 33% increase in federally reportable releases and a 10% reduction in recordable injuries. While our 2021 results were less than desired, since 2017, we have improved our safety (TRIR) and environmental (FRR) performance by more than 50% and nearly 40%, respectively.</w:t>
      </w:r>
    </w:p>
    <w:p>
      <w:pPr>
        <w:spacing w:after="0" w:line="109"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In developing his annual bonus compensation recommendations, our CEO primarily considered the quantitative factors and context described above. Other factors noted by our CEO as being relevant to his assessment of our 2021 performance included the following:</w:t>
      </w:r>
    </w:p>
    <w:p>
      <w:pPr>
        <w:sectPr>
          <w:pgSz w:w="11900" w:h="16838" w:orient="portrait"/>
          <w:cols w:equalWidth="0" w:num="1">
            <w:col w:w="9879"/>
          </w:cols>
          <w:pgMar w:left="580" w:top="132"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79" w:hanging="180"/>
        <w:spacing w:after="0" w:line="261"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completed the formation of the Permian JV via a cashless, debt-free and free cash flow accretive transaction;</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completed asset sales of $875 million, which exceeded our target by $125 million;</w:t>
      </w:r>
    </w:p>
    <w:p>
      <w:pPr>
        <w:spacing w:after="0" w:line="117" w:lineRule="exact"/>
        <w:rPr>
          <w:rFonts w:ascii="Arial" w:cs="Arial" w:eastAsia="Arial" w:hAnsi="Arial"/>
          <w:sz w:val="18"/>
          <w:szCs w:val="18"/>
          <w:color w:val="auto"/>
        </w:rPr>
      </w:pPr>
    </w:p>
    <w:p>
      <w:pPr>
        <w:ind w:left="1800" w:right="819" w:hanging="180"/>
        <w:spacing w:after="0" w:line="261"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reduced capital expenditures by approximately $230 million, or 40% relative to our initial plan;</w:t>
      </w:r>
    </w:p>
    <w:p>
      <w:pPr>
        <w:spacing w:after="0" w:line="89" w:lineRule="exact"/>
        <w:rPr>
          <w:rFonts w:ascii="Arial" w:cs="Arial" w:eastAsia="Arial" w:hAnsi="Arial"/>
          <w:sz w:val="18"/>
          <w:szCs w:val="18"/>
          <w:color w:val="auto"/>
        </w:rPr>
      </w:pPr>
    </w:p>
    <w:p>
      <w:pPr>
        <w:ind w:left="1800" w:right="439" w:hanging="180"/>
        <w:spacing w:after="0" w:line="261"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Both our Wink-to-Webster and Capline projects commenced partial service and are positioned to commence full service and ramp up volumes in 2022;</w:t>
      </w:r>
    </w:p>
    <w:p>
      <w:pPr>
        <w:spacing w:after="0" w:line="76" w:lineRule="exact"/>
        <w:rPr>
          <w:rFonts w:ascii="Arial" w:cs="Arial" w:eastAsia="Arial" w:hAnsi="Arial"/>
          <w:sz w:val="18"/>
          <w:szCs w:val="18"/>
          <w:color w:val="auto"/>
        </w:rPr>
      </w:pPr>
    </w:p>
    <w:p>
      <w:pPr>
        <w:ind w:left="1800" w:right="519" w:hanging="180"/>
        <w:spacing w:after="0" w:line="261"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published our first comprehensive Sustainability Report, which included disclosure of Scope 1 and 2 emissions;</w:t>
      </w:r>
    </w:p>
    <w:p>
      <w:pPr>
        <w:spacing w:after="0" w:line="89" w:lineRule="exact"/>
        <w:rPr>
          <w:rFonts w:ascii="Arial" w:cs="Arial" w:eastAsia="Arial" w:hAnsi="Arial"/>
          <w:sz w:val="18"/>
          <w:szCs w:val="18"/>
          <w:color w:val="auto"/>
        </w:rPr>
      </w:pPr>
    </w:p>
    <w:p>
      <w:pPr>
        <w:ind w:left="1800" w:right="459" w:hanging="180"/>
        <w:spacing w:after="0" w:line="256"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formed a cross-functional Emerging Energy Team, led by a newly appointed VP of Emerging Energy and Process Optimization, focused on positioning PAA to evaluate and participate in emerging energy opportunities;</w:t>
      </w:r>
    </w:p>
    <w:p>
      <w:pPr>
        <w:spacing w:after="0" w:line="93" w:lineRule="exact"/>
        <w:rPr>
          <w:rFonts w:ascii="Arial" w:cs="Arial" w:eastAsia="Arial" w:hAnsi="Arial"/>
          <w:sz w:val="18"/>
          <w:szCs w:val="18"/>
          <w:color w:val="auto"/>
        </w:rPr>
      </w:pPr>
    </w:p>
    <w:p>
      <w:pPr>
        <w:ind w:left="1800" w:right="919" w:hanging="180"/>
        <w:spacing w:after="0" w:line="256"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formed a Health, Safety, Environmental and Sustainability Board Committee to provide enhanced oversight of our health, safety, environmental and sustainability activities and reporting; and</w:t>
      </w:r>
    </w:p>
    <w:p>
      <w:pPr>
        <w:spacing w:after="0" w:line="93" w:lineRule="exact"/>
        <w:rPr>
          <w:rFonts w:ascii="Arial" w:cs="Arial" w:eastAsia="Arial" w:hAnsi="Arial"/>
          <w:sz w:val="18"/>
          <w:szCs w:val="18"/>
          <w:color w:val="auto"/>
        </w:rPr>
      </w:pPr>
    </w:p>
    <w:p>
      <w:pPr>
        <w:jc w:val="both"/>
        <w:ind w:left="1800" w:right="499" w:hanging="180"/>
        <w:spacing w:after="0" w:line="254"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enhanced our governance arrangements by amending our underlying governing documents to eliminate the lone remaining previously negotiated “director designation” right, which resulted in all directors being subject to public election and all non-management directors serving on the same basis in terms of their rights, duties and obligations.</w:t>
      </w:r>
    </w:p>
    <w:p>
      <w:pPr>
        <w:spacing w:after="0" w:line="12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We also continued to plan for the future within our organizational structure and made a number of changes to improve effectiveness and efficiency, including ongoing development and succession planning efforts, advancement of plans to improve internal systems and processes, and continuation of improvements in the areas of safety, integrity, environmental compliance and sustainability.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2021 Compensation Elements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2021, the elements of compensation were applied as described below.</w:t>
      </w:r>
    </w:p>
    <w:p>
      <w:pPr>
        <w:spacing w:after="0" w:line="140" w:lineRule="exact"/>
        <w:rPr>
          <w:sz w:val="20"/>
          <w:szCs w:val="20"/>
          <w:color w:val="auto"/>
        </w:rPr>
      </w:pPr>
    </w:p>
    <w:p>
      <w:pPr>
        <w:ind w:left="1260" w:right="839" w:firstLine="360"/>
        <w:spacing w:after="0" w:line="26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No salary adjustments for NEOs were recommended or made during 2021. For</w:t>
      </w:r>
      <w:r>
        <w:rPr>
          <w:rFonts w:ascii="Arial" w:cs="Arial" w:eastAsia="Arial" w:hAnsi="Arial"/>
          <w:sz w:val="18"/>
          <w:szCs w:val="18"/>
          <w:i w:val="1"/>
          <w:iCs w:val="1"/>
          <w:color w:val="auto"/>
        </w:rPr>
        <w:t xml:space="preserve"> </w:t>
      </w:r>
      <w:r>
        <w:rPr>
          <w:rFonts w:ascii="Arial" w:cs="Arial" w:eastAsia="Arial" w:hAnsi="Arial"/>
          <w:sz w:val="18"/>
          <w:szCs w:val="18"/>
          <w:color w:val="auto"/>
        </w:rPr>
        <w:t>2021, annual base salaries for the NEOs were as follows:</w:t>
      </w:r>
    </w:p>
    <w:p>
      <w:pPr>
        <w:spacing w:after="0" w:line="139" w:lineRule="exact"/>
        <w:rPr>
          <w:sz w:val="20"/>
          <w:szCs w:val="20"/>
          <w:color w:val="auto"/>
        </w:rPr>
      </w:pPr>
    </w:p>
    <w:tbl>
      <w:tblPr>
        <w:tblLayout w:type="fixed"/>
        <w:tblInd w:w="1630" w:type="dxa"/>
        <w:tblCellMar>
          <w:top w:w="0" w:type="dxa"/>
          <w:left w:w="0" w:type="dxa"/>
          <w:bottom w:w="0" w:type="dxa"/>
          <w:right w:w="0" w:type="dxa"/>
        </w:tblCellMar>
      </w:tblPr>
      <w:tr>
        <w:trPr>
          <w:trHeight w:val="236"/>
        </w:trPr>
        <w:tc>
          <w:tcPr>
            <w:tcW w:w="594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5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Annual Base Salary</w:t>
            </w:r>
          </w:p>
        </w:tc>
      </w:tr>
      <w:tr>
        <w:trPr>
          <w:trHeight w:val="250"/>
        </w:trPr>
        <w:tc>
          <w:tcPr>
            <w:tcW w:w="5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5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$600,000</w:t>
            </w:r>
          </w:p>
        </w:tc>
      </w:tr>
      <w:tr>
        <w:trPr>
          <w:trHeight w:val="250"/>
        </w:trPr>
        <w:tc>
          <w:tcPr>
            <w:tcW w:w="59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$400,000</w:t>
            </w:r>
          </w:p>
        </w:tc>
      </w:tr>
      <w:tr>
        <w:trPr>
          <w:trHeight w:val="250"/>
        </w:trPr>
        <w:tc>
          <w:tcPr>
            <w:tcW w:w="5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5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$400,000</w:t>
            </w:r>
          </w:p>
        </w:tc>
      </w:tr>
      <w:tr>
        <w:trPr>
          <w:trHeight w:val="250"/>
        </w:trPr>
        <w:tc>
          <w:tcPr>
            <w:tcW w:w="59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$400,000</w:t>
            </w:r>
          </w:p>
        </w:tc>
      </w:tr>
      <w:tr>
        <w:trPr>
          <w:trHeight w:val="250"/>
        </w:trPr>
        <w:tc>
          <w:tcPr>
            <w:tcW w:w="5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5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$400,000</w:t>
            </w:r>
          </w:p>
        </w:tc>
      </w:tr>
      <w:tr>
        <w:trPr>
          <w:trHeight w:val="250"/>
        </w:trPr>
        <w:tc>
          <w:tcPr>
            <w:tcW w:w="59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$400,000</w:t>
            </w:r>
          </w:p>
        </w:tc>
      </w:tr>
    </w:tbl>
    <w:p>
      <w:pPr>
        <w:spacing w:after="0" w:line="116" w:lineRule="exact"/>
        <w:rPr>
          <w:sz w:val="20"/>
          <w:szCs w:val="20"/>
          <w:color w:val="auto"/>
        </w:rPr>
      </w:pPr>
    </w:p>
    <w:p>
      <w:pPr>
        <w:ind w:left="1260" w:right="1119" w:firstLine="360"/>
        <w:spacing w:after="0" w:line="267"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For 2021, annual bonus targets for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expressed as a percentage of base salary, were as follows:</w:t>
      </w:r>
    </w:p>
    <w:p>
      <w:pPr>
        <w:spacing w:after="0" w:line="139" w:lineRule="exact"/>
        <w:rPr>
          <w:sz w:val="20"/>
          <w:szCs w:val="20"/>
          <w:color w:val="auto"/>
        </w:rPr>
      </w:pPr>
    </w:p>
    <w:tbl>
      <w:tblPr>
        <w:tblLayout w:type="fixed"/>
        <w:tblInd w:w="1630" w:type="dxa"/>
        <w:tblCellMar>
          <w:top w:w="0" w:type="dxa"/>
          <w:left w:w="0" w:type="dxa"/>
          <w:bottom w:w="0" w:type="dxa"/>
          <w:right w:w="0" w:type="dxa"/>
        </w:tblCellMar>
      </w:tblPr>
      <w:tr>
        <w:trPr>
          <w:trHeight w:val="203"/>
        </w:trPr>
        <w:tc>
          <w:tcPr>
            <w:tcW w:w="5080" w:type="dxa"/>
            <w:vAlign w:val="bottom"/>
            <w:tcBorders>
              <w:left w:val="single" w:sz="8" w:color="434F69"/>
              <w:right w:val="single" w:sz="8" w:color="434F69"/>
            </w:tcBorders>
            <w:shd w:val="clear" w:color="auto" w:fill="434F69"/>
          </w:tcPr>
          <w:p>
            <w:pPr>
              <w:spacing w:after="0"/>
              <w:rPr>
                <w:sz w:val="17"/>
                <w:szCs w:val="17"/>
                <w:color w:val="auto"/>
              </w:rPr>
            </w:pPr>
          </w:p>
        </w:tc>
        <w:tc>
          <w:tcPr>
            <w:tcW w:w="2400" w:type="dxa"/>
            <w:vAlign w:val="bottom"/>
            <w:tcBorders>
              <w:right w:val="single" w:sz="8" w:color="434F69"/>
            </w:tcBorders>
            <w:shd w:val="clear" w:color="auto" w:fill="434F69"/>
          </w:tcPr>
          <w:p>
            <w:pPr>
              <w:jc w:val="right"/>
              <w:ind w:right="415"/>
              <w:spacing w:after="0"/>
              <w:rPr>
                <w:sz w:val="20"/>
                <w:szCs w:val="20"/>
                <w:color w:val="auto"/>
              </w:rPr>
            </w:pPr>
            <w:r>
              <w:rPr>
                <w:rFonts w:ascii="Arial" w:cs="Arial" w:eastAsia="Arial" w:hAnsi="Arial"/>
                <w:sz w:val="14"/>
                <w:szCs w:val="14"/>
                <w:b w:val="1"/>
                <w:bCs w:val="1"/>
                <w:color w:val="FFFFFF"/>
              </w:rPr>
              <w:t>Annual Bonus Target</w:t>
            </w:r>
          </w:p>
        </w:tc>
      </w:tr>
      <w:tr>
        <w:trPr>
          <w:trHeight w:val="196"/>
        </w:trPr>
        <w:tc>
          <w:tcPr>
            <w:tcW w:w="508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400" w:type="dxa"/>
            <w:vAlign w:val="bottom"/>
            <w:tcBorders>
              <w:bottom w:val="single" w:sz="8" w:color="434F69"/>
              <w:right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(as a Percentage of Base Salary)</w:t>
            </w:r>
          </w:p>
        </w:tc>
      </w:tr>
      <w:tr>
        <w:trPr>
          <w:trHeight w:val="250"/>
        </w:trPr>
        <w:tc>
          <w:tcPr>
            <w:tcW w:w="5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2400" w:type="dxa"/>
            <w:vAlign w:val="bottom"/>
            <w:tcBorders>
              <w:bottom w:val="single" w:sz="8" w:color="434F69"/>
              <w:right w:val="single" w:sz="8" w:color="434F69"/>
            </w:tcBorders>
            <w:shd w:val="clear" w:color="auto" w:fill="D9DCE1"/>
          </w:tcPr>
          <w:p>
            <w:pPr>
              <w:jc w:val="right"/>
              <w:ind w:right="795"/>
              <w:spacing w:after="0"/>
              <w:rPr>
                <w:sz w:val="20"/>
                <w:szCs w:val="20"/>
                <w:color w:val="auto"/>
              </w:rPr>
            </w:pPr>
            <w:r>
              <w:rPr>
                <w:rFonts w:ascii="Arial" w:cs="Arial" w:eastAsia="Arial" w:hAnsi="Arial"/>
                <w:sz w:val="18"/>
                <w:szCs w:val="18"/>
                <w:color w:val="auto"/>
              </w:rPr>
              <w:t>250%</w:t>
            </w:r>
          </w:p>
        </w:tc>
      </w:tr>
      <w:tr>
        <w:trPr>
          <w:trHeight w:val="250"/>
        </w:trPr>
        <w:tc>
          <w:tcPr>
            <w:tcW w:w="5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2400" w:type="dxa"/>
            <w:vAlign w:val="bottom"/>
            <w:tcBorders>
              <w:bottom w:val="single" w:sz="8" w:color="434F69"/>
              <w:right w:val="single" w:sz="8" w:color="434F69"/>
            </w:tcBorders>
          </w:tcPr>
          <w:p>
            <w:pPr>
              <w:jc w:val="right"/>
              <w:ind w:right="795"/>
              <w:spacing w:after="0"/>
              <w:rPr>
                <w:sz w:val="20"/>
                <w:szCs w:val="20"/>
                <w:color w:val="auto"/>
              </w:rPr>
            </w:pPr>
            <w:r>
              <w:rPr>
                <w:rFonts w:ascii="Arial" w:cs="Arial" w:eastAsia="Arial" w:hAnsi="Arial"/>
                <w:sz w:val="18"/>
                <w:szCs w:val="18"/>
                <w:color w:val="auto"/>
              </w:rPr>
              <w:t>250%</w:t>
            </w:r>
          </w:p>
        </w:tc>
      </w:tr>
      <w:tr>
        <w:trPr>
          <w:trHeight w:val="250"/>
        </w:trPr>
        <w:tc>
          <w:tcPr>
            <w:tcW w:w="5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2400" w:type="dxa"/>
            <w:vAlign w:val="bottom"/>
            <w:tcBorders>
              <w:bottom w:val="single" w:sz="8" w:color="434F69"/>
              <w:right w:val="single" w:sz="8" w:color="434F69"/>
            </w:tcBorders>
            <w:shd w:val="clear" w:color="auto" w:fill="D9DCE1"/>
          </w:tcPr>
          <w:p>
            <w:pPr>
              <w:jc w:val="right"/>
              <w:ind w:right="795"/>
              <w:spacing w:after="0"/>
              <w:rPr>
                <w:sz w:val="20"/>
                <w:szCs w:val="20"/>
                <w:color w:val="auto"/>
              </w:rPr>
            </w:pPr>
            <w:r>
              <w:rPr>
                <w:rFonts w:ascii="Arial" w:cs="Arial" w:eastAsia="Arial" w:hAnsi="Arial"/>
                <w:sz w:val="18"/>
                <w:szCs w:val="18"/>
                <w:color w:val="auto"/>
              </w:rPr>
              <w:t>200%</w:t>
            </w:r>
          </w:p>
        </w:tc>
      </w:tr>
      <w:tr>
        <w:trPr>
          <w:trHeight w:val="250"/>
        </w:trPr>
        <w:tc>
          <w:tcPr>
            <w:tcW w:w="5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2400" w:type="dxa"/>
            <w:vAlign w:val="bottom"/>
            <w:tcBorders>
              <w:bottom w:val="single" w:sz="8" w:color="434F69"/>
              <w:right w:val="single" w:sz="8" w:color="434F69"/>
            </w:tcBorders>
          </w:tcPr>
          <w:p>
            <w:pPr>
              <w:jc w:val="right"/>
              <w:ind w:right="795"/>
              <w:spacing w:after="0"/>
              <w:rPr>
                <w:sz w:val="20"/>
                <w:szCs w:val="20"/>
                <w:color w:val="auto"/>
              </w:rPr>
            </w:pPr>
            <w:r>
              <w:rPr>
                <w:rFonts w:ascii="Arial" w:cs="Arial" w:eastAsia="Arial" w:hAnsi="Arial"/>
                <w:sz w:val="18"/>
                <w:szCs w:val="18"/>
                <w:color w:val="auto"/>
              </w:rPr>
              <w:t>200%</w:t>
            </w:r>
          </w:p>
        </w:tc>
      </w:tr>
      <w:tr>
        <w:trPr>
          <w:trHeight w:val="253"/>
        </w:trPr>
        <w:tc>
          <w:tcPr>
            <w:tcW w:w="50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2400" w:type="dxa"/>
            <w:vAlign w:val="bottom"/>
            <w:tcBorders>
              <w:bottom w:val="single" w:sz="8" w:color="434F69"/>
              <w:right w:val="single" w:sz="8" w:color="434F69"/>
            </w:tcBorders>
            <w:shd w:val="clear" w:color="auto" w:fill="D9DCE1"/>
          </w:tcPr>
          <w:p>
            <w:pPr>
              <w:jc w:val="right"/>
              <w:ind w:right="795"/>
              <w:spacing w:after="0"/>
              <w:rPr>
                <w:sz w:val="20"/>
                <w:szCs w:val="20"/>
                <w:color w:val="auto"/>
              </w:rPr>
            </w:pPr>
            <w:r>
              <w:rPr>
                <w:rFonts w:ascii="Arial" w:cs="Arial" w:eastAsia="Arial" w:hAnsi="Arial"/>
                <w:sz w:val="18"/>
                <w:szCs w:val="18"/>
                <w:color w:val="auto"/>
              </w:rPr>
              <w:t>200%</w:t>
            </w:r>
          </w:p>
        </w:tc>
      </w:tr>
      <w:tr>
        <w:trPr>
          <w:trHeight w:val="247"/>
        </w:trPr>
        <w:tc>
          <w:tcPr>
            <w:tcW w:w="5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2400" w:type="dxa"/>
            <w:vAlign w:val="bottom"/>
            <w:tcBorders>
              <w:bottom w:val="single" w:sz="8" w:color="434F69"/>
              <w:right w:val="single" w:sz="8" w:color="434F69"/>
            </w:tcBorders>
          </w:tcPr>
          <w:p>
            <w:pPr>
              <w:jc w:val="right"/>
              <w:ind w:right="795"/>
              <w:spacing w:after="0"/>
              <w:rPr>
                <w:sz w:val="20"/>
                <w:szCs w:val="20"/>
                <w:color w:val="auto"/>
              </w:rPr>
            </w:pPr>
            <w:r>
              <w:rPr>
                <w:rFonts w:ascii="Arial" w:cs="Arial" w:eastAsia="Arial" w:hAnsi="Arial"/>
                <w:sz w:val="18"/>
                <w:szCs w:val="18"/>
                <w:color w:val="auto"/>
              </w:rPr>
              <w:t>200%</w:t>
            </w: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goals (and weightings) for 2021 cash incentive awards established at the beginning of the year were company performance (67% overall weighting allocated among Adjusted EBITDA (40%), DCF per common unit and CUE (40%) and safety/environmental (20%)) and individual performance (33% weighting). The minimum and maximum payout levels of 0% and 200%, respectively, for Adjusted EBITDA and DCF per common unit and CUE were set at 92.5% and 110%, respectively, of the applicable target with linear interpolation between those points, while the minimum and maximum payout levels of 0% and 200%, respectively, for safety and environmental metrics were set at 10% improvement and 30% improvement, respectively, with linear interpolation between those points. Individual performance metric payouts were determined by the compensation committee based on its assessment of individual contributions towards our 2021 goals and objectives.</w:t>
      </w:r>
    </w:p>
    <w:p>
      <w:pPr>
        <w:spacing w:after="0" w:line="130" w:lineRule="exact"/>
        <w:rPr>
          <w:sz w:val="20"/>
          <w:szCs w:val="20"/>
          <w:color w:val="auto"/>
        </w:rPr>
      </w:pPr>
    </w:p>
    <w:p>
      <w:pPr>
        <w:ind w:left="1260" w:right="639" w:firstLine="360"/>
        <w:spacing w:after="0" w:line="256"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207" w:lineRule="exact"/>
        <w:rPr>
          <w:sz w:val="20"/>
          <w:szCs w:val="20"/>
          <w:color w:val="auto"/>
        </w:rPr>
      </w:pPr>
    </w:p>
    <w:tbl>
      <w:tblPr>
        <w:tblLayout w:type="fixed"/>
        <w:tblInd w:w="1270" w:type="dxa"/>
        <w:tblCellMar>
          <w:top w:w="0" w:type="dxa"/>
          <w:left w:w="0" w:type="dxa"/>
          <w:bottom w:w="0" w:type="dxa"/>
          <w:right w:w="0" w:type="dxa"/>
        </w:tblCellMar>
      </w:tblPr>
      <w:tr>
        <w:trPr>
          <w:trHeight w:val="223"/>
        </w:trPr>
        <w:tc>
          <w:tcPr>
            <w:tcW w:w="280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(67% weighting)</w:t>
            </w:r>
          </w:p>
        </w:tc>
        <w:tc>
          <w:tcPr>
            <w:tcW w:w="760" w:type="dxa"/>
            <w:vAlign w:val="bottom"/>
            <w:tcBorders>
              <w:bottom w:val="single" w:sz="8" w:color="434F69"/>
            </w:tcBorders>
            <w:shd w:val="clear" w:color="auto" w:fill="434F69"/>
          </w:tcPr>
          <w:p>
            <w:pPr>
              <w:spacing w:after="0"/>
              <w:rPr>
                <w:sz w:val="19"/>
                <w:szCs w:val="19"/>
                <w:color w:val="auto"/>
              </w:rPr>
            </w:pPr>
          </w:p>
        </w:tc>
        <w:tc>
          <w:tcPr>
            <w:tcW w:w="260" w:type="dxa"/>
            <w:vAlign w:val="bottom"/>
            <w:tcBorders>
              <w:bottom w:val="single" w:sz="8" w:color="434F69"/>
            </w:tcBorders>
            <w:shd w:val="clear" w:color="auto" w:fill="434F69"/>
          </w:tcPr>
          <w:p>
            <w:pPr>
              <w:spacing w:after="0"/>
              <w:rPr>
                <w:sz w:val="19"/>
                <w:szCs w:val="19"/>
                <w:color w:val="auto"/>
              </w:rPr>
            </w:pPr>
          </w:p>
        </w:tc>
        <w:tc>
          <w:tcPr>
            <w:tcW w:w="860" w:type="dxa"/>
            <w:vAlign w:val="bottom"/>
            <w:tcBorders>
              <w:bottom w:val="single" w:sz="8" w:color="434F69"/>
            </w:tcBorders>
            <w:gridSpan w:val="2"/>
            <w:shd w:val="clear" w:color="auto" w:fill="434F69"/>
          </w:tcPr>
          <w:p>
            <w:pPr>
              <w:jc w:val="right"/>
              <w:spacing w:after="0"/>
              <w:rPr>
                <w:sz w:val="20"/>
                <w:szCs w:val="20"/>
                <w:color w:val="auto"/>
              </w:rPr>
            </w:pPr>
            <w:r>
              <w:rPr>
                <w:rFonts w:ascii="Arial" w:cs="Arial" w:eastAsia="Arial" w:hAnsi="Arial"/>
                <w:sz w:val="14"/>
                <w:szCs w:val="14"/>
                <w:b w:val="1"/>
                <w:bCs w:val="1"/>
                <w:color w:val="FFFFFF"/>
              </w:rPr>
              <w:t>Threshold</w:t>
            </w:r>
          </w:p>
        </w:tc>
        <w:tc>
          <w:tcPr>
            <w:tcW w:w="1140" w:type="dxa"/>
            <w:vAlign w:val="bottom"/>
            <w:tcBorders>
              <w:bottom w:val="single" w:sz="8" w:color="434F69"/>
            </w:tcBorders>
            <w:gridSpan w:val="3"/>
            <w:shd w:val="clear" w:color="auto" w:fill="434F69"/>
          </w:tcPr>
          <w:p>
            <w:pPr>
              <w:jc w:val="right"/>
              <w:ind w:right="374"/>
              <w:spacing w:after="0"/>
              <w:rPr>
                <w:sz w:val="20"/>
                <w:szCs w:val="20"/>
                <w:color w:val="auto"/>
              </w:rPr>
            </w:pPr>
            <w:r>
              <w:rPr>
                <w:rFonts w:ascii="Arial" w:cs="Arial" w:eastAsia="Arial" w:hAnsi="Arial"/>
                <w:sz w:val="14"/>
                <w:szCs w:val="14"/>
                <w:b w:val="1"/>
                <w:bCs w:val="1"/>
                <w:color w:val="FFFFFF"/>
              </w:rPr>
              <w:t>Target</w:t>
            </w:r>
          </w:p>
        </w:tc>
        <w:tc>
          <w:tcPr>
            <w:tcW w:w="620" w:type="dxa"/>
            <w:vAlign w:val="bottom"/>
            <w:tcBorders>
              <w:bottom w:val="single" w:sz="8" w:color="434F69"/>
              <w:right w:val="single" w:sz="8" w:color="auto"/>
            </w:tcBorders>
            <w:gridSpan w:val="2"/>
            <w:shd w:val="clear" w:color="auto" w:fill="434F69"/>
          </w:tcPr>
          <w:p>
            <w:pPr>
              <w:jc w:val="center"/>
              <w:ind w:right="210"/>
              <w:spacing w:after="0"/>
              <w:rPr>
                <w:sz w:val="20"/>
                <w:szCs w:val="20"/>
                <w:color w:val="auto"/>
              </w:rPr>
            </w:pPr>
            <w:r>
              <w:rPr>
                <w:rFonts w:ascii="Arial" w:cs="Arial" w:eastAsia="Arial" w:hAnsi="Arial"/>
                <w:sz w:val="14"/>
                <w:szCs w:val="14"/>
                <w:b w:val="1"/>
                <w:bCs w:val="1"/>
                <w:color w:val="FFFFFF"/>
              </w:rPr>
              <w:t>Max</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20" w:type="dxa"/>
            <w:vAlign w:val="bottom"/>
            <w:tcBorders>
              <w:left w:val="single" w:sz="8" w:color="434F69"/>
              <w:bottom w:val="single" w:sz="8" w:color="434F69"/>
            </w:tcBorders>
            <w:gridSpan w:val="3"/>
            <w:shd w:val="clear" w:color="auto" w:fill="D9DCE1"/>
          </w:tcPr>
          <w:p>
            <w:pPr>
              <w:jc w:val="right"/>
              <w:ind w:right="16"/>
              <w:spacing w:after="0"/>
              <w:rPr>
                <w:sz w:val="20"/>
                <w:szCs w:val="20"/>
                <w:color w:val="auto"/>
              </w:rPr>
            </w:pPr>
            <w:r>
              <w:rPr>
                <w:rFonts w:ascii="Arial" w:cs="Arial" w:eastAsia="Arial" w:hAnsi="Arial"/>
                <w:sz w:val="18"/>
                <w:szCs w:val="18"/>
                <w:color w:val="auto"/>
              </w:rPr>
              <w:t>Adjusted EBITDA/DCF (% Target)</w:t>
            </w:r>
          </w:p>
        </w:tc>
        <w:tc>
          <w:tcPr>
            <w:tcW w:w="860" w:type="dxa"/>
            <w:vAlign w:val="bottom"/>
            <w:tcBorders>
              <w:bottom w:val="single" w:sz="8" w:color="434F69"/>
            </w:tcBorders>
            <w:gridSpan w:val="2"/>
            <w:shd w:val="clear" w:color="auto" w:fill="D9DCE1"/>
          </w:tcPr>
          <w:p>
            <w:pPr>
              <w:jc w:val="right"/>
              <w:spacing w:after="0"/>
              <w:rPr>
                <w:sz w:val="20"/>
                <w:szCs w:val="20"/>
                <w:color w:val="auto"/>
              </w:rPr>
            </w:pPr>
            <w:r>
              <w:rPr>
                <w:rFonts w:ascii="Arial" w:cs="Arial" w:eastAsia="Arial" w:hAnsi="Arial"/>
                <w:sz w:val="18"/>
                <w:szCs w:val="18"/>
                <w:color w:val="auto"/>
              </w:rPr>
              <w:t>92.50%</w:t>
            </w:r>
          </w:p>
        </w:tc>
        <w:tc>
          <w:tcPr>
            <w:tcW w:w="1140" w:type="dxa"/>
            <w:vAlign w:val="bottom"/>
            <w:tcBorders>
              <w:bottom w:val="single" w:sz="8" w:color="434F69"/>
            </w:tcBorders>
            <w:gridSpan w:val="3"/>
            <w:shd w:val="clear" w:color="auto" w:fill="D9DCE1"/>
          </w:tcPr>
          <w:p>
            <w:pPr>
              <w:jc w:val="right"/>
              <w:ind w:right="274"/>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434F69"/>
              <w:right w:val="single" w:sz="8" w:color="auto"/>
            </w:tcBorders>
            <w:gridSpan w:val="2"/>
            <w:shd w:val="clear" w:color="auto" w:fill="D9DCE1"/>
          </w:tcPr>
          <w:p>
            <w:pPr>
              <w:jc w:val="right"/>
              <w:ind w:right="50"/>
              <w:spacing w:after="0"/>
              <w:rPr>
                <w:sz w:val="20"/>
                <w:szCs w:val="20"/>
                <w:color w:val="auto"/>
              </w:rPr>
            </w:pPr>
            <w:r>
              <w:rPr>
                <w:rFonts w:ascii="Arial" w:cs="Arial" w:eastAsia="Arial" w:hAnsi="Arial"/>
                <w:sz w:val="18"/>
                <w:szCs w:val="18"/>
                <w:color w:val="auto"/>
                <w:w w:val="99"/>
              </w:rPr>
              <w:t>110%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Borders>
              <w:left w:val="single" w:sz="8" w:color="434F69"/>
              <w:bottom w:val="single" w:sz="8" w:color="434F69"/>
            </w:tcBorders>
            <w:gridSpan w:val="3"/>
          </w:tcPr>
          <w:p>
            <w:pPr>
              <w:jc w:val="right"/>
              <w:ind w:right="16"/>
              <w:spacing w:after="0"/>
              <w:rPr>
                <w:sz w:val="20"/>
                <w:szCs w:val="20"/>
                <w:color w:val="auto"/>
              </w:rPr>
            </w:pPr>
            <w:r>
              <w:rPr>
                <w:rFonts w:ascii="Arial" w:cs="Arial" w:eastAsia="Arial" w:hAnsi="Arial"/>
                <w:sz w:val="18"/>
                <w:szCs w:val="18"/>
                <w:color w:val="auto"/>
              </w:rPr>
              <w:t>Safety/Env Reduction vs. ‘20 (% Target)</w:t>
            </w:r>
          </w:p>
        </w:tc>
        <w:tc>
          <w:tcPr>
            <w:tcW w:w="860" w:type="dxa"/>
            <w:vAlign w:val="bottom"/>
            <w:tcBorders>
              <w:bottom w:val="single" w:sz="8" w:color="434F69"/>
            </w:tcBorders>
            <w:gridSpan w:val="2"/>
          </w:tcPr>
          <w:p>
            <w:pPr>
              <w:jc w:val="right"/>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434F69"/>
            </w:tcBorders>
            <w:gridSpan w:val="3"/>
          </w:tcPr>
          <w:p>
            <w:pPr>
              <w:jc w:val="right"/>
              <w:ind w:right="274"/>
              <w:spacing w:after="0"/>
              <w:rPr>
                <w:sz w:val="20"/>
                <w:szCs w:val="20"/>
                <w:color w:val="auto"/>
              </w:rPr>
            </w:pPr>
            <w:r>
              <w:rPr>
                <w:rFonts w:ascii="Arial" w:cs="Arial" w:eastAsia="Arial" w:hAnsi="Arial"/>
                <w:sz w:val="18"/>
                <w:szCs w:val="18"/>
                <w:color w:val="auto"/>
              </w:rPr>
              <w:t>-20%</w:t>
            </w:r>
          </w:p>
        </w:tc>
        <w:tc>
          <w:tcPr>
            <w:tcW w:w="620" w:type="dxa"/>
            <w:vAlign w:val="bottom"/>
            <w:tcBorders>
              <w:bottom w:val="single" w:sz="8" w:color="434F69"/>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2"/>
                <w:szCs w:val="22"/>
                <w:color w:val="auto"/>
              </w:rPr>
            </w:pPr>
          </w:p>
        </w:tc>
        <w:tc>
          <w:tcPr>
            <w:tcW w:w="1720" w:type="dxa"/>
            <w:vAlign w:val="bottom"/>
            <w:gridSpan w:val="3"/>
            <w:vMerge w:val="restart"/>
          </w:tcPr>
          <w:p>
            <w:pPr>
              <w:jc w:val="right"/>
              <w:ind w:right="53"/>
              <w:spacing w:after="0"/>
              <w:rPr>
                <w:sz w:val="20"/>
                <w:szCs w:val="20"/>
                <w:color w:val="auto"/>
              </w:rPr>
            </w:pPr>
            <w:r>
              <w:rPr>
                <w:rFonts w:ascii="Arial" w:cs="Arial" w:eastAsia="Arial" w:hAnsi="Arial"/>
                <w:sz w:val="14"/>
                <w:szCs w:val="14"/>
                <w:b w:val="1"/>
                <w:bCs w:val="1"/>
                <w:color w:val="auto"/>
              </w:rPr>
              <w:t>2021 Formulaic Payout</w:t>
            </w:r>
          </w:p>
        </w:tc>
        <w:tc>
          <w:tcPr>
            <w:tcW w:w="0" w:type="dxa"/>
            <w:vAlign w:val="bottom"/>
          </w:tcPr>
          <w:p>
            <w:pPr>
              <w:spacing w:after="0"/>
              <w:rPr>
                <w:sz w:val="1"/>
                <w:szCs w:val="1"/>
                <w:color w:val="auto"/>
              </w:rPr>
            </w:pPr>
          </w:p>
        </w:tc>
      </w:tr>
      <w:tr>
        <w:trPr>
          <w:trHeight w:val="94"/>
        </w:trPr>
        <w:tc>
          <w:tcPr>
            <w:tcW w:w="2800" w:type="dxa"/>
            <w:vAlign w:val="bottom"/>
            <w:tcBorders>
              <w:left w:val="single" w:sz="8" w:color="434F69"/>
            </w:tcBorders>
            <w:shd w:val="clear" w:color="auto" w:fill="D9DCE1"/>
          </w:tcPr>
          <w:p>
            <w:pPr>
              <w:spacing w:after="0"/>
              <w:rPr>
                <w:sz w:val="8"/>
                <w:szCs w:val="8"/>
                <w:color w:val="auto"/>
              </w:rPr>
            </w:pPr>
          </w:p>
        </w:tc>
        <w:tc>
          <w:tcPr>
            <w:tcW w:w="1020" w:type="dxa"/>
            <w:vAlign w:val="bottom"/>
            <w:gridSpan w:val="2"/>
            <w:vMerge w:val="restart"/>
            <w:shd w:val="clear" w:color="auto" w:fill="D9DCE1"/>
          </w:tcPr>
          <w:p>
            <w:pPr>
              <w:ind w:left="360"/>
              <w:spacing w:after="0"/>
              <w:rPr>
                <w:sz w:val="20"/>
                <w:szCs w:val="20"/>
                <w:color w:val="auto"/>
              </w:rPr>
            </w:pPr>
            <w:r>
              <w:rPr>
                <w:rFonts w:ascii="Arial" w:cs="Arial" w:eastAsia="Arial" w:hAnsi="Arial"/>
                <w:sz w:val="18"/>
                <w:szCs w:val="18"/>
                <w:color w:val="auto"/>
              </w:rPr>
              <w:t>Payout</w:t>
            </w:r>
          </w:p>
        </w:tc>
        <w:tc>
          <w:tcPr>
            <w:tcW w:w="540" w:type="dxa"/>
            <w:vAlign w:val="bottom"/>
            <w:shd w:val="clear" w:color="auto" w:fill="D9DCE1"/>
          </w:tcPr>
          <w:p>
            <w:pPr>
              <w:spacing w:after="0"/>
              <w:rPr>
                <w:sz w:val="8"/>
                <w:szCs w:val="8"/>
                <w:color w:val="auto"/>
              </w:rPr>
            </w:pPr>
          </w:p>
        </w:tc>
        <w:tc>
          <w:tcPr>
            <w:tcW w:w="32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3"/>
            <w:vMerge w:val="restart"/>
            <w:shd w:val="clear" w:color="auto" w:fill="D9DCE1"/>
          </w:tcPr>
          <w:p>
            <w:pPr>
              <w:jc w:val="right"/>
              <w:ind w:right="274"/>
              <w:spacing w:after="0"/>
              <w:rPr>
                <w:sz w:val="20"/>
                <w:szCs w:val="20"/>
                <w:color w:val="auto"/>
              </w:rPr>
            </w:pPr>
            <w:r>
              <w:rPr>
                <w:rFonts w:ascii="Arial" w:cs="Arial" w:eastAsia="Arial" w:hAnsi="Arial"/>
                <w:sz w:val="18"/>
                <w:szCs w:val="18"/>
                <w:color w:val="auto"/>
              </w:rPr>
              <w:t>100%</w:t>
            </w:r>
          </w:p>
        </w:tc>
        <w:tc>
          <w:tcPr>
            <w:tcW w:w="620" w:type="dxa"/>
            <w:vAlign w:val="bottom"/>
            <w:tcBorders>
              <w:right w:val="single" w:sz="8" w:color="auto"/>
            </w:tcBorders>
            <w:gridSpan w:val="2"/>
            <w:vMerge w:val="restart"/>
            <w:shd w:val="clear" w:color="auto" w:fill="D9DCE1"/>
          </w:tcPr>
          <w:p>
            <w:pPr>
              <w:jc w:val="right"/>
              <w:ind w:right="50"/>
              <w:spacing w:after="0"/>
              <w:rPr>
                <w:sz w:val="20"/>
                <w:szCs w:val="20"/>
                <w:color w:val="auto"/>
              </w:rPr>
            </w:pPr>
            <w:r>
              <w:rPr>
                <w:rFonts w:ascii="Arial" w:cs="Arial" w:eastAsia="Arial" w:hAnsi="Arial"/>
                <w:sz w:val="18"/>
                <w:szCs w:val="18"/>
                <w:color w:val="auto"/>
                <w:w w:val="99"/>
              </w:rPr>
              <w:t>200%</w:t>
            </w:r>
          </w:p>
        </w:tc>
        <w:tc>
          <w:tcPr>
            <w:tcW w:w="60" w:type="dxa"/>
            <w:vAlign w:val="bottom"/>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800" w:type="dxa"/>
            <w:vAlign w:val="bottom"/>
            <w:tcBorders>
              <w:left w:val="single" w:sz="8" w:color="434F69"/>
              <w:bottom w:val="single" w:sz="8" w:color="434F69"/>
            </w:tcBorders>
            <w:shd w:val="clear" w:color="auto" w:fill="D9DCE1"/>
          </w:tcPr>
          <w:p>
            <w:pPr>
              <w:spacing w:after="0"/>
              <w:rPr>
                <w:sz w:val="15"/>
                <w:szCs w:val="15"/>
                <w:color w:val="auto"/>
              </w:rPr>
            </w:pPr>
          </w:p>
        </w:tc>
        <w:tc>
          <w:tcPr>
            <w:tcW w:w="1020" w:type="dxa"/>
            <w:vAlign w:val="bottom"/>
            <w:tcBorders>
              <w:bottom w:val="single" w:sz="8" w:color="434F69"/>
            </w:tcBorders>
            <w:gridSpan w:val="2"/>
            <w:vMerge w:val="continue"/>
            <w:shd w:val="clear" w:color="auto" w:fill="D9DCE1"/>
          </w:tcPr>
          <w:p>
            <w:pPr>
              <w:spacing w:after="0"/>
              <w:rPr>
                <w:sz w:val="15"/>
                <w:szCs w:val="15"/>
                <w:color w:val="auto"/>
              </w:rPr>
            </w:pPr>
          </w:p>
        </w:tc>
        <w:tc>
          <w:tcPr>
            <w:tcW w:w="540" w:type="dxa"/>
            <w:vAlign w:val="bottom"/>
            <w:tcBorders>
              <w:bottom w:val="single" w:sz="8" w:color="434F69"/>
            </w:tcBorders>
            <w:shd w:val="clear" w:color="auto" w:fill="D9DCE1"/>
          </w:tcPr>
          <w:p>
            <w:pPr>
              <w:spacing w:after="0"/>
              <w:rPr>
                <w:sz w:val="15"/>
                <w:szCs w:val="15"/>
                <w:color w:val="auto"/>
              </w:rPr>
            </w:pPr>
          </w:p>
        </w:tc>
        <w:tc>
          <w:tcPr>
            <w:tcW w:w="320" w:type="dxa"/>
            <w:vAlign w:val="bottom"/>
            <w:tcBorders>
              <w:bottom w:val="single" w:sz="8" w:color="434F69"/>
            </w:tcBorders>
            <w:vMerge w:val="continue"/>
            <w:shd w:val="clear" w:color="auto" w:fill="D9DCE1"/>
          </w:tcPr>
          <w:p>
            <w:pPr>
              <w:spacing w:after="0"/>
              <w:rPr>
                <w:sz w:val="15"/>
                <w:szCs w:val="15"/>
                <w:color w:val="auto"/>
              </w:rPr>
            </w:pPr>
          </w:p>
        </w:tc>
        <w:tc>
          <w:tcPr>
            <w:tcW w:w="1140" w:type="dxa"/>
            <w:vAlign w:val="bottom"/>
            <w:tcBorders>
              <w:bottom w:val="single" w:sz="8" w:color="434F69"/>
            </w:tcBorders>
            <w:gridSpan w:val="3"/>
            <w:vMerge w:val="continue"/>
            <w:shd w:val="clear" w:color="auto" w:fill="D9DCE1"/>
          </w:tcPr>
          <w:p>
            <w:pPr>
              <w:spacing w:after="0"/>
              <w:rPr>
                <w:sz w:val="15"/>
                <w:szCs w:val="15"/>
                <w:color w:val="auto"/>
              </w:rPr>
            </w:pPr>
          </w:p>
        </w:tc>
        <w:tc>
          <w:tcPr>
            <w:tcW w:w="620" w:type="dxa"/>
            <w:vAlign w:val="bottom"/>
            <w:tcBorders>
              <w:bottom w:val="single" w:sz="8" w:color="434F69"/>
              <w:right w:val="single" w:sz="8" w:color="auto"/>
            </w:tcBorders>
            <w:gridSpan w:val="2"/>
            <w:vMerge w:val="continue"/>
            <w:shd w:val="clear" w:color="auto" w:fill="D9DCE1"/>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Calculation</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7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80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Company Performance Metrics</w:t>
            </w:r>
          </w:p>
        </w:tc>
        <w:tc>
          <w:tcPr>
            <w:tcW w:w="760" w:type="dxa"/>
            <w:vAlign w:val="bottom"/>
            <w:tcBorders>
              <w:bottom w:val="single" w:sz="8" w:color="434F69"/>
            </w:tcBorders>
            <w:shd w:val="clear" w:color="auto" w:fill="434F69"/>
          </w:tcPr>
          <w:p>
            <w:pPr>
              <w:ind w:left="200"/>
              <w:spacing w:after="0"/>
              <w:rPr>
                <w:sz w:val="20"/>
                <w:szCs w:val="20"/>
                <w:color w:val="auto"/>
              </w:rPr>
            </w:pPr>
            <w:r>
              <w:rPr>
                <w:rFonts w:ascii="Arial" w:cs="Arial" w:eastAsia="Arial" w:hAnsi="Arial"/>
                <w:sz w:val="14"/>
                <w:szCs w:val="14"/>
                <w:b w:val="1"/>
                <w:bCs w:val="1"/>
                <w:color w:val="FFFFFF"/>
              </w:rPr>
              <w:t>Weight</w:t>
            </w:r>
          </w:p>
        </w:tc>
        <w:tc>
          <w:tcPr>
            <w:tcW w:w="800" w:type="dxa"/>
            <w:vAlign w:val="bottom"/>
            <w:tcBorders>
              <w:bottom w:val="single" w:sz="8" w:color="434F69"/>
            </w:tcBorders>
            <w:gridSpan w:val="2"/>
            <w:shd w:val="clear" w:color="auto" w:fill="434F69"/>
          </w:tcPr>
          <w:p>
            <w:pPr>
              <w:jc w:val="right"/>
              <w:spacing w:after="0"/>
              <w:rPr>
                <w:sz w:val="20"/>
                <w:szCs w:val="20"/>
                <w:color w:val="auto"/>
              </w:rPr>
            </w:pPr>
            <w:r>
              <w:rPr>
                <w:rFonts w:ascii="Arial" w:cs="Arial" w:eastAsia="Arial" w:hAnsi="Arial"/>
                <w:sz w:val="14"/>
                <w:szCs w:val="14"/>
                <w:b w:val="1"/>
                <w:bCs w:val="1"/>
                <w:color w:val="FFFFFF"/>
              </w:rPr>
              <w:t>Threshold</w:t>
            </w:r>
          </w:p>
        </w:tc>
        <w:tc>
          <w:tcPr>
            <w:tcW w:w="780" w:type="dxa"/>
            <w:vAlign w:val="bottom"/>
            <w:tcBorders>
              <w:bottom w:val="single" w:sz="8" w:color="434F69"/>
            </w:tcBorders>
            <w:gridSpan w:val="2"/>
            <w:shd w:val="clear" w:color="auto" w:fill="434F69"/>
          </w:tcPr>
          <w:p>
            <w:pPr>
              <w:jc w:val="right"/>
              <w:ind w:right="73"/>
              <w:spacing w:after="0"/>
              <w:rPr>
                <w:sz w:val="20"/>
                <w:szCs w:val="20"/>
                <w:color w:val="auto"/>
              </w:rPr>
            </w:pPr>
            <w:r>
              <w:rPr>
                <w:rFonts w:ascii="Arial" w:cs="Arial" w:eastAsia="Arial" w:hAnsi="Arial"/>
                <w:sz w:val="14"/>
                <w:szCs w:val="14"/>
                <w:b w:val="1"/>
                <w:bCs w:val="1"/>
                <w:color w:val="FFFFFF"/>
              </w:rPr>
              <w:t>Target</w:t>
            </w:r>
          </w:p>
        </w:tc>
        <w:tc>
          <w:tcPr>
            <w:tcW w:w="180" w:type="dxa"/>
            <w:vAlign w:val="bottom"/>
            <w:tcBorders>
              <w:bottom w:val="single" w:sz="8" w:color="434F69"/>
            </w:tcBorders>
            <w:shd w:val="clear" w:color="auto" w:fill="434F69"/>
          </w:tcPr>
          <w:p>
            <w:pPr>
              <w:spacing w:after="0"/>
              <w:rPr>
                <w:sz w:val="20"/>
                <w:szCs w:val="20"/>
                <w:color w:val="auto"/>
              </w:rPr>
            </w:pPr>
          </w:p>
        </w:tc>
        <w:tc>
          <w:tcPr>
            <w:tcW w:w="500" w:type="dxa"/>
            <w:vAlign w:val="bottom"/>
            <w:tcBorders>
              <w:bottom w:val="single" w:sz="8" w:color="434F69"/>
            </w:tcBorders>
            <w:shd w:val="clear" w:color="auto" w:fill="434F69"/>
          </w:tcPr>
          <w:p>
            <w:pPr>
              <w:jc w:val="right"/>
              <w:ind w:right="114"/>
              <w:spacing w:after="0"/>
              <w:rPr>
                <w:sz w:val="20"/>
                <w:szCs w:val="20"/>
                <w:color w:val="auto"/>
              </w:rPr>
            </w:pPr>
            <w:r>
              <w:rPr>
                <w:rFonts w:ascii="Arial" w:cs="Arial" w:eastAsia="Arial" w:hAnsi="Arial"/>
                <w:sz w:val="14"/>
                <w:szCs w:val="14"/>
                <w:b w:val="1"/>
                <w:bCs w:val="1"/>
                <w:color w:val="FFFFFF"/>
              </w:rPr>
              <w:t>Max</w:t>
            </w:r>
          </w:p>
        </w:tc>
        <w:tc>
          <w:tcPr>
            <w:tcW w:w="680" w:type="dxa"/>
            <w:vAlign w:val="bottom"/>
            <w:tcBorders>
              <w:bottom w:val="single" w:sz="8" w:color="434F69"/>
            </w:tcBorders>
            <w:gridSpan w:val="3"/>
            <w:shd w:val="clear" w:color="auto" w:fill="434F69"/>
          </w:tcPr>
          <w:p>
            <w:pPr>
              <w:jc w:val="right"/>
              <w:ind w:right="80"/>
              <w:spacing w:after="0"/>
              <w:rPr>
                <w:sz w:val="20"/>
                <w:szCs w:val="20"/>
                <w:color w:val="auto"/>
              </w:rPr>
            </w:pPr>
            <w:r>
              <w:rPr>
                <w:rFonts w:ascii="Arial" w:cs="Arial" w:eastAsia="Arial" w:hAnsi="Arial"/>
                <w:sz w:val="14"/>
                <w:szCs w:val="14"/>
                <w:b w:val="1"/>
                <w:bCs w:val="1"/>
                <w:color w:val="FFFFFF"/>
              </w:rPr>
              <w:t>Result</w:t>
            </w:r>
          </w:p>
        </w:tc>
        <w:tc>
          <w:tcPr>
            <w:tcW w:w="160" w:type="dxa"/>
            <w:vAlign w:val="bottom"/>
            <w:tcBorders>
              <w:bottom w:val="single" w:sz="8" w:color="434F69"/>
            </w:tcBorders>
            <w:shd w:val="clear" w:color="auto" w:fill="434F69"/>
          </w:tcPr>
          <w:p>
            <w:pPr>
              <w:spacing w:after="0"/>
              <w:rPr>
                <w:sz w:val="20"/>
                <w:szCs w:val="20"/>
                <w:color w:val="auto"/>
              </w:rPr>
            </w:pPr>
          </w:p>
        </w:tc>
        <w:tc>
          <w:tcPr>
            <w:tcW w:w="760" w:type="dxa"/>
            <w:vAlign w:val="bottom"/>
            <w:tcBorders>
              <w:bottom w:val="single" w:sz="8" w:color="434F69"/>
            </w:tcBorders>
            <w:shd w:val="clear" w:color="auto" w:fill="434F69"/>
          </w:tcPr>
          <w:p>
            <w:pPr>
              <w:jc w:val="right"/>
              <w:ind w:right="36"/>
              <w:spacing w:after="0"/>
              <w:rPr>
                <w:sz w:val="20"/>
                <w:szCs w:val="20"/>
                <w:color w:val="auto"/>
              </w:rPr>
            </w:pPr>
            <w:r>
              <w:rPr>
                <w:rFonts w:ascii="Arial" w:cs="Arial" w:eastAsia="Arial" w:hAnsi="Arial"/>
                <w:sz w:val="14"/>
                <w:szCs w:val="14"/>
                <w:b w:val="1"/>
                <w:bCs w:val="1"/>
                <w:color w:val="FFFFFF"/>
                <w:w w:val="98"/>
              </w:rPr>
              <w:t>Payout %</w:t>
            </w:r>
          </w:p>
        </w:tc>
        <w:tc>
          <w:tcPr>
            <w:tcW w:w="800" w:type="dxa"/>
            <w:vAlign w:val="bottom"/>
            <w:tcBorders>
              <w:bottom w:val="single" w:sz="8" w:color="434F69"/>
              <w:right w:val="single" w:sz="8" w:color="434F69"/>
            </w:tcBorders>
            <w:shd w:val="clear" w:color="auto" w:fill="434F69"/>
          </w:tcPr>
          <w:p>
            <w:pPr>
              <w:jc w:val="right"/>
              <w:ind w:right="53"/>
              <w:spacing w:after="0"/>
              <w:rPr>
                <w:sz w:val="20"/>
                <w:szCs w:val="20"/>
                <w:color w:val="auto"/>
              </w:rPr>
            </w:pPr>
            <w:r>
              <w:rPr>
                <w:rFonts w:ascii="Arial" w:cs="Arial" w:eastAsia="Arial" w:hAnsi="Arial"/>
                <w:sz w:val="14"/>
                <w:szCs w:val="14"/>
                <w:b w:val="1"/>
                <w:bCs w:val="1"/>
                <w:color w:val="FFFFFF"/>
              </w:rPr>
              <w:t>Wgtd %</w:t>
            </w:r>
          </w:p>
        </w:tc>
        <w:tc>
          <w:tcPr>
            <w:tcW w:w="0" w:type="dxa"/>
            <w:vAlign w:val="bottom"/>
          </w:tcPr>
          <w:p>
            <w:pPr>
              <w:spacing w:after="0"/>
              <w:rPr>
                <w:sz w:val="1"/>
                <w:szCs w:val="1"/>
                <w:color w:val="auto"/>
              </w:rPr>
            </w:pPr>
          </w:p>
        </w:tc>
      </w:tr>
      <w:tr>
        <w:trPr>
          <w:trHeight w:val="257"/>
        </w:trPr>
        <w:tc>
          <w:tcPr>
            <w:tcW w:w="280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Adjusted EBITDA</w:t>
            </w:r>
          </w:p>
        </w:tc>
        <w:tc>
          <w:tcPr>
            <w:tcW w:w="760" w:type="dxa"/>
            <w:vAlign w:val="bottom"/>
            <w:tcBorders>
              <w:bottom w:val="single" w:sz="8" w:color="434F69"/>
            </w:tcBorders>
            <w:shd w:val="clear" w:color="auto" w:fill="D9DCE1"/>
          </w:tcPr>
          <w:p>
            <w:pPr>
              <w:ind w:left="340"/>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w w:val="93"/>
              </w:rPr>
              <w:t>1,989</w:t>
            </w:r>
          </w:p>
        </w:tc>
        <w:tc>
          <w:tcPr>
            <w:tcW w:w="780" w:type="dxa"/>
            <w:vAlign w:val="bottom"/>
            <w:tcBorders>
              <w:bottom w:val="single" w:sz="8" w:color="434F69"/>
            </w:tcBorders>
            <w:gridSpan w:val="2"/>
            <w:shd w:val="clear" w:color="auto" w:fill="D9DCE1"/>
          </w:tcPr>
          <w:p>
            <w:pPr>
              <w:jc w:val="right"/>
              <w:spacing w:after="0"/>
              <w:rPr>
                <w:sz w:val="20"/>
                <w:szCs w:val="20"/>
                <w:color w:val="auto"/>
              </w:rPr>
            </w:pPr>
            <w:r>
              <w:rPr>
                <w:rFonts w:ascii="Arial" w:cs="Arial" w:eastAsia="Arial" w:hAnsi="Arial"/>
                <w:sz w:val="18"/>
                <w:szCs w:val="18"/>
                <w:color w:val="auto"/>
              </w:rPr>
              <w:t>$2,150</w:t>
            </w:r>
          </w:p>
        </w:tc>
        <w:tc>
          <w:tcPr>
            <w:tcW w:w="1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7"/>
              </w:rPr>
              <w:t>2,365</w:t>
            </w:r>
          </w:p>
        </w:tc>
        <w:tc>
          <w:tcPr>
            <w:tcW w:w="220" w:type="dxa"/>
            <w:vAlign w:val="bottom"/>
            <w:tcBorders>
              <w:bottom w:val="single" w:sz="8" w:color="434F69"/>
            </w:tcBorders>
            <w:shd w:val="clear" w:color="auto" w:fill="D9DCE1"/>
          </w:tcPr>
          <w:p>
            <w:pPr>
              <w:jc w:val="center"/>
              <w:ind w:left="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434F69"/>
            </w:tcBorders>
            <w:gridSpan w:val="3"/>
            <w:shd w:val="clear" w:color="auto" w:fill="D9DCE1"/>
          </w:tcPr>
          <w:p>
            <w:pPr>
              <w:jc w:val="right"/>
              <w:spacing w:after="0" w:line="256" w:lineRule="exact"/>
              <w:rPr>
                <w:sz w:val="20"/>
                <w:szCs w:val="20"/>
                <w:color w:val="auto"/>
              </w:rPr>
            </w:pPr>
            <w:r>
              <w:rPr>
                <w:rFonts w:ascii="Arial" w:cs="Arial" w:eastAsia="Arial" w:hAnsi="Arial"/>
                <w:sz w:val="18"/>
                <w:szCs w:val="18"/>
                <w:color w:val="auto"/>
                <w:w w:val="90"/>
              </w:rPr>
              <w:t>2,213</w:t>
            </w:r>
            <w:r>
              <w:rPr>
                <w:rFonts w:ascii="Arial" w:cs="Arial" w:eastAsia="Arial" w:hAnsi="Arial"/>
                <w:sz w:val="23"/>
                <w:szCs w:val="23"/>
                <w:color w:val="auto"/>
                <w:w w:val="90"/>
                <w:vertAlign w:val="superscript"/>
              </w:rPr>
              <w:t>(1)</w:t>
            </w:r>
          </w:p>
        </w:tc>
        <w:tc>
          <w:tcPr>
            <w:tcW w:w="760" w:type="dxa"/>
            <w:vAlign w:val="bottom"/>
            <w:tcBorders>
              <w:bottom w:val="single" w:sz="8" w:color="434F69"/>
            </w:tcBorders>
            <w:shd w:val="clear" w:color="auto" w:fill="D9DCE1"/>
          </w:tcPr>
          <w:p>
            <w:pPr>
              <w:jc w:val="right"/>
              <w:ind w:right="36"/>
              <w:spacing w:after="0"/>
              <w:rPr>
                <w:sz w:val="20"/>
                <w:szCs w:val="20"/>
                <w:color w:val="auto"/>
              </w:rPr>
            </w:pPr>
            <w:r>
              <w:rPr>
                <w:rFonts w:ascii="Arial" w:cs="Arial" w:eastAsia="Arial" w:hAnsi="Arial"/>
                <w:sz w:val="18"/>
                <w:szCs w:val="18"/>
                <w:color w:val="auto"/>
              </w:rPr>
              <w:t>129%</w:t>
            </w:r>
          </w:p>
        </w:tc>
        <w:tc>
          <w:tcPr>
            <w:tcW w:w="800" w:type="dxa"/>
            <w:vAlign w:val="bottom"/>
            <w:tcBorders>
              <w:bottom w:val="single" w:sz="8" w:color="434F69"/>
              <w:right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2800" w:type="dxa"/>
            <w:vAlign w:val="bottom"/>
            <w:tcBorders>
              <w:left w:val="single" w:sz="8" w:color="434F69"/>
            </w:tcBorders>
          </w:tcPr>
          <w:p>
            <w:pPr>
              <w:ind w:left="60"/>
              <w:spacing w:after="0"/>
              <w:rPr>
                <w:sz w:val="20"/>
                <w:szCs w:val="20"/>
                <w:color w:val="auto"/>
              </w:rPr>
            </w:pPr>
            <w:r>
              <w:rPr>
                <w:rFonts w:ascii="Arial" w:cs="Arial" w:eastAsia="Arial" w:hAnsi="Arial"/>
                <w:sz w:val="18"/>
                <w:szCs w:val="18"/>
                <w:color w:val="auto"/>
              </w:rPr>
              <w:t>Implied DCF/Common Unit and</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1.97</w:t>
            </w:r>
            <w:r>
              <w:rPr>
                <w:rFonts w:ascii="Arial" w:cs="Arial" w:eastAsia="Arial" w:hAnsi="Arial"/>
                <w:sz w:val="23"/>
                <w:szCs w:val="23"/>
                <w:color w:val="auto"/>
                <w:vertAlign w:val="superscript"/>
              </w:rPr>
              <w:t>(1)</w:t>
            </w:r>
          </w:p>
        </w:tc>
        <w:tc>
          <w:tcPr>
            <w:tcW w:w="760" w:type="dxa"/>
            <w:vAlign w:val="bottom"/>
          </w:tcPr>
          <w:p>
            <w:pPr>
              <w:spacing w:after="0"/>
              <w:rPr>
                <w:sz w:val="19"/>
                <w:szCs w:val="19"/>
                <w:color w:val="auto"/>
              </w:rPr>
            </w:pPr>
          </w:p>
        </w:tc>
        <w:tc>
          <w:tcPr>
            <w:tcW w:w="800" w:type="dxa"/>
            <w:vAlign w:val="bottom"/>
            <w:tcBorders>
              <w:right w:val="single" w:sz="8" w:color="434F69"/>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00" w:type="dxa"/>
            <w:vAlign w:val="bottom"/>
            <w:tcBorders>
              <w:left w:val="single" w:sz="8" w:color="434F69"/>
              <w:bottom w:val="single" w:sz="8" w:color="434F69"/>
            </w:tcBorders>
          </w:tcPr>
          <w:p>
            <w:pPr>
              <w:ind w:left="240"/>
              <w:spacing w:after="0"/>
              <w:rPr>
                <w:sz w:val="20"/>
                <w:szCs w:val="20"/>
                <w:color w:val="auto"/>
              </w:rPr>
            </w:pPr>
            <w:r>
              <w:rPr>
                <w:rFonts w:ascii="Arial" w:cs="Arial" w:eastAsia="Arial" w:hAnsi="Arial"/>
                <w:sz w:val="18"/>
                <w:szCs w:val="18"/>
                <w:color w:val="auto"/>
              </w:rPr>
              <w:t>CUE</w:t>
            </w:r>
          </w:p>
        </w:tc>
        <w:tc>
          <w:tcPr>
            <w:tcW w:w="760" w:type="dxa"/>
            <w:vAlign w:val="bottom"/>
            <w:tcBorders>
              <w:bottom w:val="single" w:sz="8" w:color="434F69"/>
            </w:tcBorders>
          </w:tcPr>
          <w:p>
            <w:pPr>
              <w:ind w:left="340"/>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34F69"/>
            </w:tcBorders>
          </w:tcPr>
          <w:p>
            <w:pPr>
              <w:jc w:val="right"/>
              <w:ind w:right="13"/>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434F69"/>
            </w:tcBorders>
          </w:tcPr>
          <w:p>
            <w:pPr>
              <w:jc w:val="center"/>
              <w:ind w:left="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434F69"/>
            </w:tcBorders>
            <w:gridSpan w:val="3"/>
            <w:vMerge w:val="continue"/>
          </w:tcPr>
          <w:p>
            <w:pPr>
              <w:spacing w:after="0"/>
              <w:rPr>
                <w:sz w:val="21"/>
                <w:szCs w:val="21"/>
                <w:color w:val="auto"/>
              </w:rPr>
            </w:pPr>
          </w:p>
        </w:tc>
        <w:tc>
          <w:tcPr>
            <w:tcW w:w="760" w:type="dxa"/>
            <w:vAlign w:val="bottom"/>
            <w:tcBorders>
              <w:bottom w:val="single" w:sz="8" w:color="434F69"/>
            </w:tcBorders>
          </w:tcPr>
          <w:p>
            <w:pPr>
              <w:jc w:val="right"/>
              <w:ind w:right="36"/>
              <w:spacing w:after="0"/>
              <w:rPr>
                <w:sz w:val="20"/>
                <w:szCs w:val="20"/>
                <w:color w:val="auto"/>
              </w:rPr>
            </w:pPr>
            <w:r>
              <w:rPr>
                <w:rFonts w:ascii="Arial" w:cs="Arial" w:eastAsia="Arial" w:hAnsi="Arial"/>
                <w:sz w:val="18"/>
                <w:szCs w:val="18"/>
                <w:color w:val="auto"/>
              </w:rPr>
              <w:t>174%</w:t>
            </w:r>
          </w:p>
        </w:tc>
        <w:tc>
          <w:tcPr>
            <w:tcW w:w="800" w:type="dxa"/>
            <w:vAlign w:val="bottom"/>
            <w:tcBorders>
              <w:bottom w:val="single" w:sz="8" w:color="434F69"/>
              <w:right w:val="single" w:sz="8" w:color="434F69"/>
            </w:tcBorders>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7"/>
        </w:trPr>
        <w:tc>
          <w:tcPr>
            <w:tcW w:w="280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Safety (TRIR)</w:t>
            </w:r>
          </w:p>
        </w:tc>
        <w:tc>
          <w:tcPr>
            <w:tcW w:w="760" w:type="dxa"/>
            <w:vAlign w:val="bottom"/>
            <w:tcBorders>
              <w:bottom w:val="single" w:sz="8" w:color="434F69"/>
            </w:tcBorders>
            <w:shd w:val="clear" w:color="auto" w:fill="D9DCE1"/>
          </w:tcPr>
          <w:p>
            <w:pPr>
              <w:ind w:left="34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434F69"/>
            </w:tcBorders>
            <w:shd w:val="clear" w:color="auto" w:fill="D9DCE1"/>
          </w:tcPr>
          <w:p>
            <w:pPr>
              <w:spacing w:after="0"/>
              <w:rPr>
                <w:sz w:val="22"/>
                <w:szCs w:val="22"/>
                <w:color w:val="auto"/>
              </w:rPr>
            </w:pPr>
          </w:p>
        </w:tc>
        <w:tc>
          <w:tcPr>
            <w:tcW w:w="540" w:type="dxa"/>
            <w:vAlign w:val="bottom"/>
            <w:tcBorders>
              <w:bottom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rPr>
              <w:t>0.34</w:t>
            </w:r>
          </w:p>
        </w:tc>
        <w:tc>
          <w:tcPr>
            <w:tcW w:w="320" w:type="dxa"/>
            <w:vAlign w:val="bottom"/>
            <w:tcBorders>
              <w:bottom w:val="single" w:sz="8" w:color="434F69"/>
            </w:tcBorders>
            <w:shd w:val="clear" w:color="auto" w:fill="D9DCE1"/>
          </w:tcPr>
          <w:p>
            <w:pPr>
              <w:spacing w:after="0"/>
              <w:rPr>
                <w:sz w:val="22"/>
                <w:szCs w:val="22"/>
                <w:color w:val="auto"/>
              </w:rPr>
            </w:pPr>
          </w:p>
        </w:tc>
        <w:tc>
          <w:tcPr>
            <w:tcW w:w="46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Borders>
              <w:bottom w:val="single" w:sz="8" w:color="434F69"/>
            </w:tcBorders>
            <w:shd w:val="clear" w:color="auto" w:fill="D9DCE1"/>
          </w:tcPr>
          <w:p>
            <w:pPr>
              <w:spacing w:after="0"/>
              <w:rPr>
                <w:sz w:val="22"/>
                <w:szCs w:val="22"/>
                <w:color w:val="auto"/>
              </w:rPr>
            </w:pPr>
          </w:p>
        </w:tc>
        <w:tc>
          <w:tcPr>
            <w:tcW w:w="5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434F69"/>
            </w:tcBorders>
            <w:shd w:val="clear" w:color="auto" w:fill="D9DCE1"/>
          </w:tcPr>
          <w:p>
            <w:pPr>
              <w:spacing w:after="0"/>
              <w:rPr>
                <w:sz w:val="22"/>
                <w:szCs w:val="22"/>
                <w:color w:val="auto"/>
              </w:rPr>
            </w:pPr>
          </w:p>
        </w:tc>
        <w:tc>
          <w:tcPr>
            <w:tcW w:w="460" w:type="dxa"/>
            <w:vAlign w:val="bottom"/>
            <w:tcBorders>
              <w:bottom w:val="single" w:sz="8" w:color="434F69"/>
            </w:tcBorders>
            <w:gridSpan w:val="2"/>
            <w:shd w:val="clear" w:color="auto" w:fill="D9DCE1"/>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Borders>
              <w:bottom w:val="single" w:sz="8" w:color="434F69"/>
            </w:tcBorders>
            <w:shd w:val="clear" w:color="auto" w:fill="D9DCE1"/>
          </w:tcPr>
          <w:p>
            <w:pPr>
              <w:spacing w:after="0"/>
              <w:rPr>
                <w:sz w:val="22"/>
                <w:szCs w:val="22"/>
                <w:color w:val="auto"/>
              </w:rPr>
            </w:pPr>
          </w:p>
        </w:tc>
        <w:tc>
          <w:tcPr>
            <w:tcW w:w="760" w:type="dxa"/>
            <w:vAlign w:val="bottom"/>
            <w:tcBorders>
              <w:bottom w:val="single" w:sz="8" w:color="434F69"/>
            </w:tcBorders>
            <w:shd w:val="clear" w:color="auto" w:fill="D9DCE1"/>
          </w:tcPr>
          <w:p>
            <w:pPr>
              <w:jc w:val="right"/>
              <w:ind w:right="36"/>
              <w:spacing w:after="0"/>
              <w:rPr>
                <w:sz w:val="20"/>
                <w:szCs w:val="20"/>
                <w:color w:val="auto"/>
              </w:rPr>
            </w:pPr>
            <w:r>
              <w:rPr>
                <w:rFonts w:ascii="Arial" w:cs="Arial" w:eastAsia="Arial" w:hAnsi="Arial"/>
                <w:sz w:val="18"/>
                <w:szCs w:val="18"/>
                <w:color w:val="auto"/>
              </w:rPr>
              <w:t>0%</w:t>
            </w:r>
          </w:p>
        </w:tc>
        <w:tc>
          <w:tcPr>
            <w:tcW w:w="800" w:type="dxa"/>
            <w:vAlign w:val="bottom"/>
            <w:tcBorders>
              <w:bottom w:val="single" w:sz="8" w:color="434F69"/>
              <w:right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280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Environmental (DOT releases)</w:t>
            </w:r>
          </w:p>
        </w:tc>
        <w:tc>
          <w:tcPr>
            <w:tcW w:w="760" w:type="dxa"/>
            <w:vAlign w:val="bottom"/>
            <w:tcBorders>
              <w:bottom w:val="single" w:sz="8" w:color="434F69"/>
            </w:tcBorders>
          </w:tcPr>
          <w:p>
            <w:pPr>
              <w:ind w:left="34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434F69"/>
            </w:tcBorders>
          </w:tcPr>
          <w:p>
            <w:pPr>
              <w:spacing w:after="0"/>
              <w:rPr>
                <w:sz w:val="22"/>
                <w:szCs w:val="22"/>
                <w:color w:val="auto"/>
              </w:rPr>
            </w:pPr>
          </w:p>
        </w:tc>
        <w:tc>
          <w:tcPr>
            <w:tcW w:w="540" w:type="dxa"/>
            <w:vAlign w:val="bottom"/>
            <w:tcBorders>
              <w:bottom w:val="single" w:sz="8" w:color="434F69"/>
            </w:tcBorders>
          </w:tcPr>
          <w:p>
            <w:pPr>
              <w:jc w:val="right"/>
              <w:ind w:right="13"/>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434F69"/>
            </w:tcBorders>
          </w:tcPr>
          <w:p>
            <w:pPr>
              <w:spacing w:after="0"/>
              <w:rPr>
                <w:sz w:val="22"/>
                <w:szCs w:val="22"/>
                <w:color w:val="auto"/>
              </w:rPr>
            </w:pPr>
          </w:p>
        </w:tc>
        <w:tc>
          <w:tcPr>
            <w:tcW w:w="46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434F69"/>
            </w:tcBorders>
          </w:tcPr>
          <w:p>
            <w:pPr>
              <w:spacing w:after="0"/>
              <w:rPr>
                <w:sz w:val="22"/>
                <w:szCs w:val="22"/>
                <w:color w:val="auto"/>
              </w:rPr>
            </w:pPr>
          </w:p>
        </w:tc>
        <w:tc>
          <w:tcPr>
            <w:tcW w:w="5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434F69"/>
            </w:tcBorders>
          </w:tcPr>
          <w:p>
            <w:pPr>
              <w:spacing w:after="0"/>
              <w:rPr>
                <w:sz w:val="22"/>
                <w:szCs w:val="22"/>
                <w:color w:val="auto"/>
              </w:rPr>
            </w:pPr>
          </w:p>
        </w:tc>
        <w:tc>
          <w:tcPr>
            <w:tcW w:w="460" w:type="dxa"/>
            <w:vAlign w:val="bottom"/>
            <w:tcBorders>
              <w:bottom w:val="single" w:sz="8" w:color="434F69"/>
            </w:tcBorders>
            <w:gridSpan w:val="2"/>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434F69"/>
            </w:tcBorders>
          </w:tcPr>
          <w:p>
            <w:pPr>
              <w:spacing w:after="0"/>
              <w:rPr>
                <w:sz w:val="22"/>
                <w:szCs w:val="22"/>
                <w:color w:val="auto"/>
              </w:rPr>
            </w:pPr>
          </w:p>
        </w:tc>
        <w:tc>
          <w:tcPr>
            <w:tcW w:w="760" w:type="dxa"/>
            <w:vAlign w:val="bottom"/>
            <w:tcBorders>
              <w:bottom w:val="single" w:sz="8" w:color="434F69"/>
            </w:tcBorders>
          </w:tcPr>
          <w:p>
            <w:pPr>
              <w:jc w:val="right"/>
              <w:ind w:right="36"/>
              <w:spacing w:after="0"/>
              <w:rPr>
                <w:sz w:val="20"/>
                <w:szCs w:val="20"/>
                <w:color w:val="auto"/>
              </w:rPr>
            </w:pPr>
            <w:r>
              <w:rPr>
                <w:rFonts w:ascii="Arial" w:cs="Arial" w:eastAsia="Arial" w:hAnsi="Arial"/>
                <w:sz w:val="18"/>
                <w:szCs w:val="18"/>
                <w:color w:val="auto"/>
              </w:rPr>
              <w:t>0%</w:t>
            </w:r>
          </w:p>
        </w:tc>
        <w:tc>
          <w:tcPr>
            <w:tcW w:w="800" w:type="dxa"/>
            <w:vAlign w:val="bottom"/>
            <w:tcBorders>
              <w:bottom w:val="single" w:sz="8" w:color="434F69"/>
              <w:right w:val="single" w:sz="8" w:color="434F69"/>
            </w:tcBorders>
          </w:tcPr>
          <w:p>
            <w:pPr>
              <w:jc w:val="right"/>
              <w:ind w:right="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280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Company Performance Subtotal</w:t>
            </w:r>
          </w:p>
        </w:tc>
        <w:tc>
          <w:tcPr>
            <w:tcW w:w="760" w:type="dxa"/>
            <w:vAlign w:val="bottom"/>
            <w:tcBorders>
              <w:bottom w:val="single" w:sz="8" w:color="434F69"/>
            </w:tcBorders>
            <w:shd w:val="clear" w:color="auto" w:fill="D9DCE1"/>
          </w:tcPr>
          <w:p>
            <w:pPr>
              <w:spacing w:after="0"/>
              <w:rPr>
                <w:sz w:val="22"/>
                <w:szCs w:val="22"/>
                <w:color w:val="auto"/>
              </w:rPr>
            </w:pPr>
          </w:p>
        </w:tc>
        <w:tc>
          <w:tcPr>
            <w:tcW w:w="260" w:type="dxa"/>
            <w:vAlign w:val="bottom"/>
            <w:tcBorders>
              <w:bottom w:val="single" w:sz="8" w:color="434F69"/>
            </w:tcBorders>
            <w:shd w:val="clear" w:color="auto" w:fill="D9DCE1"/>
          </w:tcPr>
          <w:p>
            <w:pPr>
              <w:spacing w:after="0"/>
              <w:rPr>
                <w:sz w:val="22"/>
                <w:szCs w:val="22"/>
                <w:color w:val="auto"/>
              </w:rPr>
            </w:pPr>
          </w:p>
        </w:tc>
        <w:tc>
          <w:tcPr>
            <w:tcW w:w="540" w:type="dxa"/>
            <w:vAlign w:val="bottom"/>
            <w:tcBorders>
              <w:bottom w:val="single" w:sz="8" w:color="434F69"/>
            </w:tcBorders>
            <w:shd w:val="clear" w:color="auto" w:fill="D9DCE1"/>
          </w:tcPr>
          <w:p>
            <w:pPr>
              <w:spacing w:after="0"/>
              <w:rPr>
                <w:sz w:val="22"/>
                <w:szCs w:val="22"/>
                <w:color w:val="auto"/>
              </w:rPr>
            </w:pPr>
          </w:p>
        </w:tc>
        <w:tc>
          <w:tcPr>
            <w:tcW w:w="320" w:type="dxa"/>
            <w:vAlign w:val="bottom"/>
            <w:tcBorders>
              <w:bottom w:val="single" w:sz="8" w:color="434F69"/>
            </w:tcBorders>
            <w:shd w:val="clear" w:color="auto" w:fill="D9DCE1"/>
          </w:tcPr>
          <w:p>
            <w:pPr>
              <w:spacing w:after="0"/>
              <w:rPr>
                <w:sz w:val="22"/>
                <w:szCs w:val="22"/>
                <w:color w:val="auto"/>
              </w:rPr>
            </w:pPr>
          </w:p>
        </w:tc>
        <w:tc>
          <w:tcPr>
            <w:tcW w:w="460" w:type="dxa"/>
            <w:vAlign w:val="bottom"/>
            <w:tcBorders>
              <w:bottom w:val="single" w:sz="8" w:color="434F69"/>
            </w:tcBorders>
            <w:shd w:val="clear" w:color="auto" w:fill="D9DCE1"/>
          </w:tcPr>
          <w:p>
            <w:pPr>
              <w:spacing w:after="0"/>
              <w:rPr>
                <w:sz w:val="22"/>
                <w:szCs w:val="22"/>
                <w:color w:val="auto"/>
              </w:rPr>
            </w:pPr>
          </w:p>
        </w:tc>
        <w:tc>
          <w:tcPr>
            <w:tcW w:w="180" w:type="dxa"/>
            <w:vAlign w:val="bottom"/>
            <w:tcBorders>
              <w:bottom w:val="single" w:sz="8" w:color="434F69"/>
            </w:tcBorders>
            <w:shd w:val="clear" w:color="auto" w:fill="D9DCE1"/>
          </w:tcPr>
          <w:p>
            <w:pPr>
              <w:spacing w:after="0"/>
              <w:rPr>
                <w:sz w:val="22"/>
                <w:szCs w:val="22"/>
                <w:color w:val="auto"/>
              </w:rPr>
            </w:pPr>
          </w:p>
        </w:tc>
        <w:tc>
          <w:tcPr>
            <w:tcW w:w="500" w:type="dxa"/>
            <w:vAlign w:val="bottom"/>
            <w:tcBorders>
              <w:bottom w:val="single" w:sz="8" w:color="434F69"/>
            </w:tcBorders>
            <w:shd w:val="clear" w:color="auto" w:fill="D9DCE1"/>
          </w:tcPr>
          <w:p>
            <w:pPr>
              <w:spacing w:after="0"/>
              <w:rPr>
                <w:sz w:val="22"/>
                <w:szCs w:val="22"/>
                <w:color w:val="auto"/>
              </w:rPr>
            </w:pPr>
          </w:p>
        </w:tc>
        <w:tc>
          <w:tcPr>
            <w:tcW w:w="220" w:type="dxa"/>
            <w:vAlign w:val="bottom"/>
            <w:tcBorders>
              <w:bottom w:val="single" w:sz="8" w:color="434F69"/>
            </w:tcBorders>
            <w:shd w:val="clear" w:color="auto" w:fill="D9DCE1"/>
          </w:tcPr>
          <w:p>
            <w:pPr>
              <w:spacing w:after="0"/>
              <w:rPr>
                <w:sz w:val="22"/>
                <w:szCs w:val="22"/>
                <w:color w:val="auto"/>
              </w:rPr>
            </w:pPr>
          </w:p>
        </w:tc>
        <w:tc>
          <w:tcPr>
            <w:tcW w:w="400" w:type="dxa"/>
            <w:vAlign w:val="bottom"/>
            <w:tcBorders>
              <w:bottom w:val="single" w:sz="8" w:color="434F69"/>
              <w:right w:val="single" w:sz="8" w:color="D9DCE1"/>
            </w:tcBorders>
            <w:shd w:val="clear" w:color="auto" w:fill="D9DCE1"/>
          </w:tcPr>
          <w:p>
            <w:pPr>
              <w:spacing w:after="0"/>
              <w:rPr>
                <w:sz w:val="22"/>
                <w:szCs w:val="22"/>
                <w:color w:val="auto"/>
              </w:rPr>
            </w:pPr>
          </w:p>
        </w:tc>
        <w:tc>
          <w:tcPr>
            <w:tcW w:w="60" w:type="dxa"/>
            <w:vAlign w:val="bottom"/>
            <w:tcBorders>
              <w:bottom w:val="single" w:sz="8" w:color="434F69"/>
            </w:tcBorders>
            <w:shd w:val="clear" w:color="auto" w:fill="D9DCE1"/>
          </w:tcPr>
          <w:p>
            <w:pPr>
              <w:spacing w:after="0"/>
              <w:rPr>
                <w:sz w:val="22"/>
                <w:szCs w:val="22"/>
                <w:color w:val="auto"/>
              </w:rPr>
            </w:pPr>
          </w:p>
        </w:tc>
        <w:tc>
          <w:tcPr>
            <w:tcW w:w="160" w:type="dxa"/>
            <w:vAlign w:val="bottom"/>
            <w:tcBorders>
              <w:bottom w:val="single" w:sz="8" w:color="434F69"/>
            </w:tcBorders>
            <w:shd w:val="clear" w:color="auto" w:fill="D9DCE1"/>
          </w:tcPr>
          <w:p>
            <w:pPr>
              <w:spacing w:after="0"/>
              <w:rPr>
                <w:sz w:val="22"/>
                <w:szCs w:val="22"/>
                <w:color w:val="auto"/>
              </w:rPr>
            </w:pPr>
          </w:p>
        </w:tc>
        <w:tc>
          <w:tcPr>
            <w:tcW w:w="760" w:type="dxa"/>
            <w:vAlign w:val="bottom"/>
            <w:tcBorders>
              <w:bottom w:val="single" w:sz="8" w:color="434F69"/>
            </w:tcBorders>
            <w:shd w:val="clear" w:color="auto" w:fill="D9DCE1"/>
          </w:tcPr>
          <w:p>
            <w:pPr>
              <w:spacing w:after="0"/>
              <w:rPr>
                <w:sz w:val="22"/>
                <w:szCs w:val="22"/>
                <w:color w:val="auto"/>
              </w:rPr>
            </w:pPr>
          </w:p>
        </w:tc>
        <w:tc>
          <w:tcPr>
            <w:tcW w:w="800" w:type="dxa"/>
            <w:vAlign w:val="bottom"/>
            <w:tcBorders>
              <w:bottom w:val="single" w:sz="8" w:color="434F69"/>
              <w:right w:val="single" w:sz="8" w:color="434F69"/>
            </w:tcBorders>
            <w:shd w:val="clear" w:color="auto" w:fill="D9DCE1"/>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-1028065</wp:posOffset>
            </wp:positionV>
            <wp:extent cx="260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01" w:lineRule="exact"/>
        <w:rPr>
          <w:sz w:val="20"/>
          <w:szCs w:val="20"/>
          <w:color w:val="auto"/>
        </w:rPr>
      </w:pPr>
    </w:p>
    <w:p>
      <w:pPr>
        <w:ind w:left="1620" w:right="479" w:hanging="360"/>
        <w:spacing w:after="0" w:line="227" w:lineRule="auto"/>
        <w:tabs>
          <w:tab w:leader="none" w:pos="162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For comparison to our 2021 goals, the 2021 results reflected in the table above for Adjusted EBITDA and Implied DCF/Common Unit and CUE include adjustments to actual amounts reported to exclude approximately $77 million of Adjusted EBITDA attributable to noncontrolling interests in the Permian JV as the financial impact associated with the formation of the Permian JV was not included in the quantitative amounts established for our 2021 goals.</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As noted above, individual performance accounts for 33% of the annual bonus opportunity for our Named Executive Officers. Each officer’s individual contributions toward satisfaction of company goals and objectives is evaluated and payouts may range from 0-200% of target. During 2021, the executive leadership team successfully led the organization through a very challenging year and worked closely to achieve the vast majority of the goals set at the beginning of the year, including the sale of our gas storage assets and completion of the complex Permian JV and integration of the Oryx assets and teams into Plains. Offsetting this strong operating and financial performance was our failure to achieve our environmental and safety improvement targets. The individual payout scores for our NEOs for 2021 are set forth in the table below and take these factors into account, together with the specific items described for each NEO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174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top w:val="single" w:sz="8" w:color="auto"/>
            </w:tcBorders>
          </w:tcPr>
          <w:p>
            <w:pPr>
              <w:spacing w:after="0"/>
              <w:rPr>
                <w:sz w:val="22"/>
                <w:szCs w:val="22"/>
                <w:color w:val="auto"/>
              </w:rPr>
            </w:pPr>
          </w:p>
        </w:tc>
        <w:tc>
          <w:tcPr>
            <w:tcW w:w="5160" w:type="dxa"/>
            <w:vAlign w:val="bottom"/>
            <w:tcBorders>
              <w:top w:val="single" w:sz="8" w:color="auto"/>
              <w:right w:val="single" w:sz="8" w:color="auto"/>
            </w:tcBorders>
            <w:vMerge w:val="restart"/>
          </w:tcPr>
          <w:p>
            <w:pPr>
              <w:ind w:left="1000"/>
              <w:spacing w:after="0"/>
              <w:rPr>
                <w:sz w:val="20"/>
                <w:szCs w:val="20"/>
                <w:color w:val="auto"/>
              </w:rPr>
            </w:pPr>
            <w:r>
              <w:rPr>
                <w:rFonts w:ascii="Arial" w:cs="Arial" w:eastAsia="Arial" w:hAnsi="Arial"/>
                <w:sz w:val="18"/>
                <w:szCs w:val="18"/>
                <w:b w:val="1"/>
                <w:bCs w:val="1"/>
                <w:color w:val="auto"/>
              </w:rPr>
              <w:t>Individual Performance Highlights</w:t>
            </w:r>
          </w:p>
        </w:tc>
        <w:tc>
          <w:tcPr>
            <w:tcW w:w="11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Payout</w:t>
            </w: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vMerge w:val="continue"/>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Score</w:t>
            </w:r>
          </w:p>
        </w:tc>
        <w:tc>
          <w:tcPr>
            <w:tcW w:w="0" w:type="dxa"/>
            <w:vAlign w:val="bottom"/>
          </w:tcPr>
          <w:p>
            <w:pPr>
              <w:spacing w:after="0"/>
              <w:rPr>
                <w:sz w:val="1"/>
                <w:szCs w:val="1"/>
                <w:color w:val="auto"/>
              </w:rPr>
            </w:pPr>
          </w:p>
        </w:tc>
      </w:tr>
      <w:tr>
        <w:trPr>
          <w:trHeight w:val="238"/>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Willie Chiang</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Overall leadership and tone setting</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Investor engagement, capital allocation, ESG/sustainability</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tcPr>
          <w:p>
            <w:pPr>
              <w:spacing w:after="0"/>
              <w:rPr>
                <w:sz w:val="16"/>
                <w:szCs w:val="16"/>
                <w:color w:val="auto"/>
              </w:rPr>
            </w:pPr>
          </w:p>
        </w:tc>
        <w:tc>
          <w:tcPr>
            <w:tcW w:w="5380" w:type="dxa"/>
            <w:vAlign w:val="bottom"/>
            <w:tcBorders>
              <w:right w:val="single" w:sz="8" w:color="auto"/>
            </w:tcBorders>
            <w:gridSpan w:val="2"/>
          </w:tcPr>
          <w:p>
            <w:pPr>
              <w:ind w:left="100"/>
              <w:spacing w:after="0" w:line="189" w:lineRule="exact"/>
              <w:rPr>
                <w:sz w:val="20"/>
                <w:szCs w:val="20"/>
                <w:color w:val="auto"/>
              </w:rPr>
            </w:pPr>
            <w:r>
              <w:rPr>
                <w:rFonts w:ascii="Arial" w:cs="Arial" w:eastAsia="Arial" w:hAnsi="Arial"/>
                <w:sz w:val="18"/>
                <w:szCs w:val="18"/>
                <w:color w:val="auto"/>
              </w:rPr>
              <w:t>• Led strategic positioning for 2021+</w:t>
            </w: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Ongoing Board initiatives (new HSES committee), Leadership</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development/succession</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Harry Pefanis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Significant role in structuring &amp; negotiating JVs &amp; divestitures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Mentor/develop key individuals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Strategic positioning for 2021+</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Oversee/guide S&amp;L execution/performance</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538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Develop/maintain/enhance major commercial relationships</w:t>
            </w:r>
          </w:p>
        </w:tc>
        <w:tc>
          <w:tcPr>
            <w:tcW w:w="11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 Swanson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Finance group leadership</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Drive focus on maximizing free cash flow</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Financial Strategy for 2021+</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538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 Capital allocation/equity repurchase plan</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 flexibility/committed liquidity</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538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Maintain/improve credit ratings: Moody’s upgrade</w:t>
            </w: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Richard McGee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Legal group leadership</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Proactive/critical role for Permian JV &amp; PNG divestiture, other</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transactions and key commercial arrangements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538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 Manage/mitigate Line 901 litigation exposure</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Facilitated investor engagement effort, COVID matters and</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governance/compensation initiatives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Chris Chandler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Permian JV operational integration</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89"/>
        </w:trPr>
        <w:tc>
          <w:tcPr>
            <w:tcW w:w="1740" w:type="dxa"/>
            <w:vAlign w:val="bottom"/>
            <w:tcBorders>
              <w:left w:val="single" w:sz="8" w:color="auto"/>
              <w:right w:val="single" w:sz="8" w:color="auto"/>
            </w:tcBorders>
          </w:tcPr>
          <w:p>
            <w:pPr>
              <w:spacing w:after="0"/>
              <w:rPr>
                <w:sz w:val="16"/>
                <w:szCs w:val="16"/>
                <w:color w:val="auto"/>
              </w:rPr>
            </w:pPr>
          </w:p>
        </w:tc>
        <w:tc>
          <w:tcPr>
            <w:tcW w:w="220" w:type="dxa"/>
            <w:vAlign w:val="bottom"/>
          </w:tcPr>
          <w:p>
            <w:pPr>
              <w:ind w:left="100"/>
              <w:spacing w:after="0" w:line="189" w:lineRule="exact"/>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COVID company and operational leadership</w:t>
            </w: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ESG leadership with expanded disclosure, emissions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inventory, and new Emerging Energy group</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Cost leadership via convergence, capital discipline, energy</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efficiency, and utility optimization</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Co-led business segment reviews (with CCO) and</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development of enhanced financial planning process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Improved injury severity and continued HSE process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improvements; but did not achieve HSE improvement goals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experienced two process safety incidents in Canada</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Jeremy Goebel</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Assumed CCO role with responsibility for all commercial</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activities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Originated, structured and led Permian JV formation and</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commercial integration</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Borders>
              <w:left w:val="single" w:sz="8" w:color="auto"/>
              <w:right w:val="single" w:sz="8" w:color="auto"/>
            </w:tcBorders>
          </w:tcPr>
          <w:p>
            <w:pPr>
              <w:spacing w:after="0"/>
              <w:rPr>
                <w:sz w:val="17"/>
                <w:szCs w:val="17"/>
                <w:color w:val="auto"/>
              </w:rPr>
            </w:pPr>
          </w:p>
        </w:tc>
        <w:tc>
          <w:tcPr>
            <w:tcW w:w="538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 Led $875MM divestiture program (+$125MM proceeds)</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Co-led business segment reviews (with COO) and</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development of enhanced financial planning process</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Led optimization efforts capturing additional value throughout</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asset base in challenging market</w:t>
            </w: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538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 Develop/maintain/enhance major commercial relationships</w:t>
            </w:r>
          </w:p>
        </w:tc>
        <w:tc>
          <w:tcPr>
            <w:tcW w:w="11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After applying the individual performance scores set forth in the table above ranging from 100% to 195%, the total formulaic bonus payout calculation for our NEOs ranged from 114% to 146%, as set forth in the table below.</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830" w:type="dxa"/>
        <w:tblCellMar>
          <w:top w:w="0" w:type="dxa"/>
          <w:left w:w="0" w:type="dxa"/>
          <w:bottom w:w="0" w:type="dxa"/>
          <w:right w:w="0" w:type="dxa"/>
        </w:tblCellMar>
      </w:tblPr>
      <w:tr>
        <w:trPr>
          <w:trHeight w:val="288"/>
        </w:trPr>
        <w:tc>
          <w:tcPr>
            <w:tcW w:w="1480" w:type="dxa"/>
            <w:vAlign w:val="bottom"/>
            <w:tcBorders>
              <w:left w:val="single" w:sz="8" w:color="434F69"/>
              <w:bottom w:val="single" w:sz="8" w:color="434F69"/>
            </w:tcBorders>
            <w:shd w:val="clear" w:color="auto" w:fill="434F69"/>
          </w:tcPr>
          <w:p>
            <w:pPr>
              <w:spacing w:after="0"/>
              <w:rPr>
                <w:sz w:val="24"/>
                <w:szCs w:val="24"/>
                <w:color w:val="auto"/>
              </w:rPr>
            </w:pPr>
          </w:p>
        </w:tc>
        <w:tc>
          <w:tcPr>
            <w:tcW w:w="280" w:type="dxa"/>
            <w:vAlign w:val="bottom"/>
            <w:tcBorders>
              <w:bottom w:val="single" w:sz="8" w:color="434F69"/>
            </w:tcBorders>
            <w:shd w:val="clear" w:color="auto" w:fill="434F69"/>
          </w:tcPr>
          <w:p>
            <w:pPr>
              <w:spacing w:after="0"/>
              <w:rPr>
                <w:sz w:val="24"/>
                <w:szCs w:val="24"/>
                <w:color w:val="auto"/>
              </w:rPr>
            </w:pPr>
          </w:p>
        </w:tc>
        <w:tc>
          <w:tcPr>
            <w:tcW w:w="900" w:type="dxa"/>
            <w:vAlign w:val="bottom"/>
            <w:tcBorders>
              <w:bottom w:val="single" w:sz="8" w:color="434F69"/>
            </w:tcBorders>
            <w:shd w:val="clear" w:color="auto" w:fill="434F69"/>
          </w:tcPr>
          <w:p>
            <w:pPr>
              <w:spacing w:after="0"/>
              <w:rPr>
                <w:sz w:val="24"/>
                <w:szCs w:val="24"/>
                <w:color w:val="auto"/>
              </w:rPr>
            </w:pPr>
          </w:p>
        </w:tc>
        <w:tc>
          <w:tcPr>
            <w:tcW w:w="100" w:type="dxa"/>
            <w:vAlign w:val="bottom"/>
            <w:tcBorders>
              <w:bottom w:val="single" w:sz="8" w:color="434F69"/>
            </w:tcBorders>
            <w:shd w:val="clear" w:color="auto" w:fill="434F69"/>
          </w:tcPr>
          <w:p>
            <w:pPr>
              <w:spacing w:after="0"/>
              <w:rPr>
                <w:sz w:val="24"/>
                <w:szCs w:val="24"/>
                <w:color w:val="auto"/>
              </w:rPr>
            </w:pPr>
          </w:p>
        </w:tc>
        <w:tc>
          <w:tcPr>
            <w:tcW w:w="1780" w:type="dxa"/>
            <w:vAlign w:val="bottom"/>
            <w:tcBorders>
              <w:bottom w:val="single" w:sz="8" w:color="434F69"/>
            </w:tcBorders>
            <w:gridSpan w:val="4"/>
            <w:shd w:val="clear" w:color="auto" w:fill="434F69"/>
          </w:tcPr>
          <w:p>
            <w:pPr>
              <w:jc w:val="right"/>
              <w:ind w:right="340"/>
              <w:spacing w:after="0"/>
              <w:rPr>
                <w:sz w:val="20"/>
                <w:szCs w:val="20"/>
                <w:color w:val="auto"/>
              </w:rPr>
            </w:pPr>
            <w:r>
              <w:rPr>
                <w:rFonts w:ascii="Arial" w:cs="Arial" w:eastAsia="Arial" w:hAnsi="Arial"/>
                <w:sz w:val="14"/>
                <w:szCs w:val="14"/>
                <w:b w:val="1"/>
                <w:bCs w:val="1"/>
                <w:color w:val="FFFFFF"/>
              </w:rPr>
              <w:t>Company Results</w:t>
            </w:r>
          </w:p>
        </w:tc>
        <w:tc>
          <w:tcPr>
            <w:tcW w:w="380" w:type="dxa"/>
            <w:vAlign w:val="bottom"/>
            <w:tcBorders>
              <w:bottom w:val="single" w:sz="8" w:color="434F69"/>
            </w:tcBorders>
            <w:shd w:val="clear" w:color="auto" w:fill="434F69"/>
          </w:tcPr>
          <w:p>
            <w:pPr>
              <w:spacing w:after="0"/>
              <w:rPr>
                <w:sz w:val="24"/>
                <w:szCs w:val="24"/>
                <w:color w:val="auto"/>
              </w:rPr>
            </w:pPr>
          </w:p>
        </w:tc>
        <w:tc>
          <w:tcPr>
            <w:tcW w:w="1800" w:type="dxa"/>
            <w:vAlign w:val="bottom"/>
            <w:tcBorders>
              <w:bottom w:val="single" w:sz="8" w:color="434F69"/>
            </w:tcBorders>
            <w:gridSpan w:val="4"/>
            <w:shd w:val="clear" w:color="auto" w:fill="434F69"/>
          </w:tcPr>
          <w:p>
            <w:pPr>
              <w:jc w:val="right"/>
              <w:ind w:right="340"/>
              <w:spacing w:after="0"/>
              <w:rPr>
                <w:sz w:val="20"/>
                <w:szCs w:val="20"/>
                <w:color w:val="auto"/>
              </w:rPr>
            </w:pPr>
            <w:r>
              <w:rPr>
                <w:rFonts w:ascii="Arial" w:cs="Arial" w:eastAsia="Arial" w:hAnsi="Arial"/>
                <w:sz w:val="14"/>
                <w:szCs w:val="14"/>
                <w:b w:val="1"/>
                <w:bCs w:val="1"/>
                <w:color w:val="FFFFFF"/>
              </w:rPr>
              <w:t>Individual Results</w:t>
            </w:r>
          </w:p>
        </w:tc>
        <w:tc>
          <w:tcPr>
            <w:tcW w:w="300" w:type="dxa"/>
            <w:vAlign w:val="bottom"/>
            <w:tcBorders>
              <w:bottom w:val="single" w:sz="8" w:color="434F69"/>
            </w:tcBorders>
            <w:shd w:val="clear" w:color="auto" w:fill="434F69"/>
          </w:tcPr>
          <w:p>
            <w:pPr>
              <w:spacing w:after="0"/>
              <w:rPr>
                <w:sz w:val="24"/>
                <w:szCs w:val="24"/>
                <w:color w:val="auto"/>
              </w:rPr>
            </w:pPr>
          </w:p>
        </w:tc>
        <w:tc>
          <w:tcPr>
            <w:tcW w:w="100" w:type="dxa"/>
            <w:vAlign w:val="bottom"/>
            <w:tcBorders>
              <w:bottom w:val="single" w:sz="8" w:color="434F69"/>
            </w:tcBorders>
            <w:shd w:val="clear" w:color="auto" w:fill="434F69"/>
          </w:tcPr>
          <w:p>
            <w:pPr>
              <w:spacing w:after="0"/>
              <w:rPr>
                <w:sz w:val="24"/>
                <w:szCs w:val="24"/>
                <w:color w:val="auto"/>
              </w:rPr>
            </w:pPr>
          </w:p>
        </w:tc>
        <w:tc>
          <w:tcPr>
            <w:tcW w:w="840" w:type="dxa"/>
            <w:vAlign w:val="bottom"/>
            <w:tcBorders>
              <w:bottom w:val="single" w:sz="8" w:color="434F69"/>
            </w:tcBorders>
            <w:shd w:val="clear" w:color="auto" w:fill="434F69"/>
          </w:tcPr>
          <w:p>
            <w:pPr>
              <w:jc w:val="center"/>
              <w:ind w:right="76"/>
              <w:spacing w:after="0"/>
              <w:rPr>
                <w:sz w:val="20"/>
                <w:szCs w:val="20"/>
                <w:color w:val="auto"/>
              </w:rPr>
            </w:pPr>
            <w:r>
              <w:rPr>
                <w:rFonts w:ascii="Arial" w:cs="Arial" w:eastAsia="Arial" w:hAnsi="Arial"/>
                <w:sz w:val="14"/>
                <w:szCs w:val="14"/>
                <w:b w:val="1"/>
                <w:bCs w:val="1"/>
                <w:color w:val="FFFFFF"/>
              </w:rPr>
              <w:t>Percent of</w:t>
            </w:r>
          </w:p>
        </w:tc>
        <w:tc>
          <w:tcPr>
            <w:tcW w:w="240" w:type="dxa"/>
            <w:vAlign w:val="bottom"/>
            <w:tcBorders>
              <w:bottom w:val="single" w:sz="8" w:color="434F69"/>
            </w:tcBorders>
            <w:shd w:val="clear" w:color="auto" w:fill="434F69"/>
          </w:tcPr>
          <w:p>
            <w:pPr>
              <w:spacing w:after="0"/>
              <w:rPr>
                <w:sz w:val="24"/>
                <w:szCs w:val="24"/>
                <w:color w:val="auto"/>
              </w:rPr>
            </w:pPr>
          </w:p>
        </w:tc>
        <w:tc>
          <w:tcPr>
            <w:tcW w:w="880" w:type="dxa"/>
            <w:vAlign w:val="bottom"/>
            <w:tcBorders>
              <w:bottom w:val="single" w:sz="8" w:color="434F69"/>
              <w:right w:val="single" w:sz="8" w:color="434F69"/>
            </w:tcBorders>
            <w:shd w:val="clear" w:color="auto" w:fill="434F69"/>
          </w:tcPr>
          <w:p>
            <w:pPr>
              <w:spacing w:after="0"/>
              <w:rPr>
                <w:sz w:val="24"/>
                <w:szCs w:val="24"/>
                <w:color w:val="auto"/>
              </w:rPr>
            </w:pPr>
          </w:p>
        </w:tc>
      </w:tr>
      <w:tr>
        <w:trPr>
          <w:trHeight w:val="75"/>
        </w:trPr>
        <w:tc>
          <w:tcPr>
            <w:tcW w:w="1480" w:type="dxa"/>
            <w:vAlign w:val="bottom"/>
            <w:tcBorders>
              <w:top w:val="single" w:sz="8" w:color="434F69"/>
              <w:left w:val="single" w:sz="8" w:color="434F69"/>
            </w:tcBorders>
            <w:shd w:val="clear" w:color="auto" w:fill="434F69"/>
          </w:tcPr>
          <w:p>
            <w:pPr>
              <w:spacing w:after="0"/>
              <w:rPr>
                <w:sz w:val="6"/>
                <w:szCs w:val="6"/>
                <w:color w:val="auto"/>
              </w:rPr>
            </w:pPr>
          </w:p>
        </w:tc>
        <w:tc>
          <w:tcPr>
            <w:tcW w:w="1180" w:type="dxa"/>
            <w:vAlign w:val="bottom"/>
            <w:tcBorders>
              <w:top w:val="single" w:sz="8" w:color="434F69"/>
            </w:tcBorders>
            <w:gridSpan w:val="2"/>
            <w:shd w:val="clear" w:color="auto" w:fill="434F69"/>
          </w:tcPr>
          <w:p>
            <w:pPr>
              <w:jc w:val="center"/>
              <w:spacing w:after="0" w:line="75" w:lineRule="exact"/>
              <w:rPr>
                <w:sz w:val="20"/>
                <w:szCs w:val="20"/>
                <w:color w:val="auto"/>
              </w:rPr>
            </w:pPr>
            <w:r>
              <w:rPr>
                <w:rFonts w:ascii="Arial" w:cs="Arial" w:eastAsia="Arial" w:hAnsi="Arial"/>
                <w:sz w:val="8"/>
                <w:szCs w:val="8"/>
                <w:b w:val="1"/>
                <w:bCs w:val="1"/>
                <w:color w:val="FFFFFF"/>
              </w:rPr>
              <w:t>2021 Target</w:t>
            </w:r>
          </w:p>
        </w:tc>
        <w:tc>
          <w:tcPr>
            <w:tcW w:w="100" w:type="dxa"/>
            <w:vAlign w:val="bottom"/>
            <w:tcBorders>
              <w:top w:val="single" w:sz="8" w:color="434F69"/>
            </w:tcBorders>
            <w:shd w:val="clear" w:color="auto" w:fill="434F69"/>
          </w:tcPr>
          <w:p>
            <w:pPr>
              <w:spacing w:after="0"/>
              <w:rPr>
                <w:sz w:val="6"/>
                <w:szCs w:val="6"/>
                <w:color w:val="auto"/>
              </w:rPr>
            </w:pPr>
          </w:p>
        </w:tc>
        <w:tc>
          <w:tcPr>
            <w:tcW w:w="780" w:type="dxa"/>
            <w:vAlign w:val="bottom"/>
            <w:tcBorders>
              <w:top w:val="single" w:sz="8" w:color="auto"/>
            </w:tcBorders>
            <w:shd w:val="clear" w:color="auto" w:fill="434F69"/>
          </w:tcPr>
          <w:p>
            <w:pPr>
              <w:spacing w:after="0"/>
              <w:rPr>
                <w:sz w:val="6"/>
                <w:szCs w:val="6"/>
                <w:color w:val="auto"/>
              </w:rPr>
            </w:pPr>
          </w:p>
        </w:tc>
        <w:tc>
          <w:tcPr>
            <w:tcW w:w="300" w:type="dxa"/>
            <w:vAlign w:val="bottom"/>
            <w:tcBorders>
              <w:top w:val="single" w:sz="8" w:color="auto"/>
            </w:tcBorders>
            <w:shd w:val="clear" w:color="auto" w:fill="434F69"/>
          </w:tcPr>
          <w:p>
            <w:pPr>
              <w:spacing w:after="0"/>
              <w:rPr>
                <w:sz w:val="6"/>
                <w:szCs w:val="6"/>
                <w:color w:val="auto"/>
              </w:rPr>
            </w:pPr>
          </w:p>
        </w:tc>
        <w:tc>
          <w:tcPr>
            <w:tcW w:w="600" w:type="dxa"/>
            <w:vAlign w:val="bottom"/>
            <w:tcBorders>
              <w:top w:val="single" w:sz="8" w:color="auto"/>
            </w:tcBorders>
            <w:shd w:val="clear" w:color="auto" w:fill="434F69"/>
          </w:tcPr>
          <w:p>
            <w:pPr>
              <w:spacing w:after="0"/>
              <w:rPr>
                <w:sz w:val="6"/>
                <w:szCs w:val="6"/>
                <w:color w:val="auto"/>
              </w:rPr>
            </w:pPr>
          </w:p>
        </w:tc>
        <w:tc>
          <w:tcPr>
            <w:tcW w:w="100" w:type="dxa"/>
            <w:vAlign w:val="bottom"/>
            <w:tcBorders>
              <w:top w:val="single" w:sz="8" w:color="434F69"/>
            </w:tcBorders>
            <w:shd w:val="clear" w:color="auto" w:fill="434F69"/>
          </w:tcPr>
          <w:p>
            <w:pPr>
              <w:spacing w:after="0"/>
              <w:rPr>
                <w:sz w:val="6"/>
                <w:szCs w:val="6"/>
                <w:color w:val="auto"/>
              </w:rPr>
            </w:pPr>
          </w:p>
        </w:tc>
        <w:tc>
          <w:tcPr>
            <w:tcW w:w="380" w:type="dxa"/>
            <w:vAlign w:val="bottom"/>
            <w:tcBorders>
              <w:top w:val="single" w:sz="8" w:color="434F69"/>
            </w:tcBorders>
            <w:shd w:val="clear" w:color="auto" w:fill="434F69"/>
          </w:tcPr>
          <w:p>
            <w:pPr>
              <w:spacing w:after="0"/>
              <w:rPr>
                <w:sz w:val="6"/>
                <w:szCs w:val="6"/>
                <w:color w:val="auto"/>
              </w:rPr>
            </w:pPr>
          </w:p>
        </w:tc>
        <w:tc>
          <w:tcPr>
            <w:tcW w:w="800" w:type="dxa"/>
            <w:vAlign w:val="bottom"/>
            <w:tcBorders>
              <w:top w:val="single" w:sz="8" w:color="auto"/>
            </w:tcBorders>
            <w:shd w:val="clear" w:color="auto" w:fill="434F69"/>
          </w:tcPr>
          <w:p>
            <w:pPr>
              <w:spacing w:after="0"/>
              <w:rPr>
                <w:sz w:val="6"/>
                <w:szCs w:val="6"/>
                <w:color w:val="auto"/>
              </w:rPr>
            </w:pPr>
          </w:p>
        </w:tc>
        <w:tc>
          <w:tcPr>
            <w:tcW w:w="300" w:type="dxa"/>
            <w:vAlign w:val="bottom"/>
            <w:tcBorders>
              <w:top w:val="single" w:sz="8" w:color="auto"/>
            </w:tcBorders>
            <w:shd w:val="clear" w:color="auto" w:fill="434F69"/>
          </w:tcPr>
          <w:p>
            <w:pPr>
              <w:spacing w:after="0"/>
              <w:rPr>
                <w:sz w:val="6"/>
                <w:szCs w:val="6"/>
                <w:color w:val="auto"/>
              </w:rPr>
            </w:pPr>
          </w:p>
        </w:tc>
        <w:tc>
          <w:tcPr>
            <w:tcW w:w="580" w:type="dxa"/>
            <w:vAlign w:val="bottom"/>
            <w:tcBorders>
              <w:top w:val="single" w:sz="8" w:color="auto"/>
            </w:tcBorders>
            <w:shd w:val="clear" w:color="auto" w:fill="434F69"/>
          </w:tcPr>
          <w:p>
            <w:pPr>
              <w:spacing w:after="0"/>
              <w:rPr>
                <w:sz w:val="6"/>
                <w:szCs w:val="6"/>
                <w:color w:val="auto"/>
              </w:rPr>
            </w:pPr>
          </w:p>
        </w:tc>
        <w:tc>
          <w:tcPr>
            <w:tcW w:w="120" w:type="dxa"/>
            <w:vAlign w:val="bottom"/>
            <w:tcBorders>
              <w:top w:val="single" w:sz="8" w:color="434F69"/>
            </w:tcBorders>
            <w:shd w:val="clear" w:color="auto" w:fill="434F69"/>
          </w:tcPr>
          <w:p>
            <w:pPr>
              <w:spacing w:after="0"/>
              <w:rPr>
                <w:sz w:val="6"/>
                <w:szCs w:val="6"/>
                <w:color w:val="auto"/>
              </w:rPr>
            </w:pPr>
          </w:p>
        </w:tc>
        <w:tc>
          <w:tcPr>
            <w:tcW w:w="300" w:type="dxa"/>
            <w:vAlign w:val="bottom"/>
            <w:tcBorders>
              <w:top w:val="single" w:sz="8" w:color="434F69"/>
            </w:tcBorders>
            <w:shd w:val="clear" w:color="auto" w:fill="434F69"/>
          </w:tcPr>
          <w:p>
            <w:pPr>
              <w:spacing w:after="0"/>
              <w:rPr>
                <w:sz w:val="6"/>
                <w:szCs w:val="6"/>
                <w:color w:val="auto"/>
              </w:rPr>
            </w:pPr>
          </w:p>
        </w:tc>
        <w:tc>
          <w:tcPr>
            <w:tcW w:w="100" w:type="dxa"/>
            <w:vAlign w:val="bottom"/>
            <w:tcBorders>
              <w:top w:val="single" w:sz="8" w:color="434F69"/>
            </w:tcBorders>
            <w:shd w:val="clear" w:color="auto" w:fill="434F69"/>
          </w:tcPr>
          <w:p>
            <w:pPr>
              <w:spacing w:after="0"/>
              <w:rPr>
                <w:sz w:val="6"/>
                <w:szCs w:val="6"/>
                <w:color w:val="auto"/>
              </w:rPr>
            </w:pPr>
          </w:p>
        </w:tc>
        <w:tc>
          <w:tcPr>
            <w:tcW w:w="840" w:type="dxa"/>
            <w:vAlign w:val="bottom"/>
            <w:tcBorders>
              <w:top w:val="single" w:sz="8" w:color="434F69"/>
            </w:tcBorders>
            <w:shd w:val="clear" w:color="auto" w:fill="434F69"/>
          </w:tcPr>
          <w:p>
            <w:pPr>
              <w:jc w:val="center"/>
              <w:ind w:right="76"/>
              <w:spacing w:after="0" w:line="75" w:lineRule="exact"/>
              <w:rPr>
                <w:sz w:val="20"/>
                <w:szCs w:val="20"/>
                <w:color w:val="auto"/>
              </w:rPr>
            </w:pPr>
            <w:r>
              <w:rPr>
                <w:rFonts w:ascii="Arial" w:cs="Arial" w:eastAsia="Arial" w:hAnsi="Arial"/>
                <w:sz w:val="8"/>
                <w:szCs w:val="8"/>
                <w:b w:val="1"/>
                <w:bCs w:val="1"/>
                <w:color w:val="FFFFFF"/>
              </w:rPr>
              <w:t>Target</w:t>
            </w:r>
          </w:p>
        </w:tc>
        <w:tc>
          <w:tcPr>
            <w:tcW w:w="1120" w:type="dxa"/>
            <w:vAlign w:val="bottom"/>
            <w:tcBorders>
              <w:top w:val="single" w:sz="8" w:color="434F69"/>
              <w:right w:val="single" w:sz="8" w:color="434F69"/>
            </w:tcBorders>
            <w:gridSpan w:val="2"/>
            <w:shd w:val="clear" w:color="auto" w:fill="434F69"/>
          </w:tcPr>
          <w:p>
            <w:pPr>
              <w:ind w:left="160"/>
              <w:spacing w:after="0" w:line="75" w:lineRule="exact"/>
              <w:rPr>
                <w:sz w:val="20"/>
                <w:szCs w:val="20"/>
                <w:color w:val="auto"/>
              </w:rPr>
            </w:pPr>
            <w:r>
              <w:rPr>
                <w:rFonts w:ascii="Arial" w:cs="Arial" w:eastAsia="Arial" w:hAnsi="Arial"/>
                <w:sz w:val="8"/>
                <w:szCs w:val="8"/>
                <w:b w:val="1"/>
                <w:bCs w:val="1"/>
                <w:color w:val="FFFFFF"/>
              </w:rPr>
              <w:t>2021 Actual</w:t>
            </w:r>
          </w:p>
        </w:tc>
      </w:tr>
      <w:tr>
        <w:trPr>
          <w:trHeight w:val="151"/>
        </w:trPr>
        <w:tc>
          <w:tcPr>
            <w:tcW w:w="1480" w:type="dxa"/>
            <w:vAlign w:val="bottom"/>
            <w:tcBorders>
              <w:left w:val="single" w:sz="8" w:color="434F69"/>
            </w:tcBorders>
            <w:shd w:val="clear" w:color="auto" w:fill="434F69"/>
          </w:tcPr>
          <w:p>
            <w:pPr>
              <w:ind w:left="60"/>
              <w:spacing w:after="0" w:line="151" w:lineRule="exact"/>
              <w:rPr>
                <w:sz w:val="20"/>
                <w:szCs w:val="20"/>
                <w:color w:val="auto"/>
              </w:rPr>
            </w:pPr>
            <w:r>
              <w:rPr>
                <w:rFonts w:ascii="Arial" w:cs="Arial" w:eastAsia="Arial" w:hAnsi="Arial"/>
                <w:sz w:val="14"/>
                <w:szCs w:val="14"/>
                <w:b w:val="1"/>
                <w:bCs w:val="1"/>
                <w:color w:val="FFFFFF"/>
              </w:rPr>
              <w:t>Named Executive</w:t>
            </w:r>
          </w:p>
        </w:tc>
        <w:tc>
          <w:tcPr>
            <w:tcW w:w="280" w:type="dxa"/>
            <w:vAlign w:val="bottom"/>
            <w:shd w:val="clear" w:color="auto" w:fill="434F69"/>
          </w:tcPr>
          <w:p>
            <w:pPr>
              <w:spacing w:after="0"/>
              <w:rPr>
                <w:sz w:val="13"/>
                <w:szCs w:val="13"/>
                <w:color w:val="auto"/>
              </w:rPr>
            </w:pPr>
          </w:p>
        </w:tc>
        <w:tc>
          <w:tcPr>
            <w:tcW w:w="900" w:type="dxa"/>
            <w:vAlign w:val="bottom"/>
            <w:shd w:val="clear" w:color="auto" w:fill="434F69"/>
          </w:tcPr>
          <w:p>
            <w:pPr>
              <w:jc w:val="center"/>
              <w:ind w:right="155"/>
              <w:spacing w:after="0" w:line="151" w:lineRule="exact"/>
              <w:rPr>
                <w:sz w:val="20"/>
                <w:szCs w:val="20"/>
                <w:color w:val="auto"/>
              </w:rPr>
            </w:pPr>
            <w:r>
              <w:rPr>
                <w:rFonts w:ascii="Arial" w:cs="Arial" w:eastAsia="Arial" w:hAnsi="Arial"/>
                <w:sz w:val="14"/>
                <w:szCs w:val="14"/>
                <w:b w:val="1"/>
                <w:bCs w:val="1"/>
                <w:color w:val="FFFFFF"/>
              </w:rPr>
              <w:t>Bonus</w:t>
            </w:r>
          </w:p>
        </w:tc>
        <w:tc>
          <w:tcPr>
            <w:tcW w:w="100" w:type="dxa"/>
            <w:vAlign w:val="bottom"/>
            <w:shd w:val="clear" w:color="auto" w:fill="434F69"/>
          </w:tcPr>
          <w:p>
            <w:pPr>
              <w:spacing w:after="0"/>
              <w:rPr>
                <w:sz w:val="13"/>
                <w:szCs w:val="13"/>
                <w:color w:val="auto"/>
              </w:rPr>
            </w:pPr>
          </w:p>
        </w:tc>
        <w:tc>
          <w:tcPr>
            <w:tcW w:w="780" w:type="dxa"/>
            <w:vAlign w:val="bottom"/>
            <w:shd w:val="clear" w:color="auto" w:fill="434F69"/>
          </w:tcPr>
          <w:p>
            <w:pPr>
              <w:jc w:val="right"/>
              <w:ind w:right="48"/>
              <w:spacing w:after="0" w:line="151" w:lineRule="exact"/>
              <w:rPr>
                <w:sz w:val="20"/>
                <w:szCs w:val="20"/>
                <w:color w:val="auto"/>
              </w:rPr>
            </w:pPr>
            <w:r>
              <w:rPr>
                <w:rFonts w:ascii="Arial" w:cs="Arial" w:eastAsia="Arial" w:hAnsi="Arial"/>
                <w:sz w:val="14"/>
                <w:szCs w:val="14"/>
                <w:b w:val="1"/>
                <w:bCs w:val="1"/>
                <w:color w:val="FFFFFF"/>
              </w:rPr>
              <w:t>Company</w:t>
            </w:r>
          </w:p>
        </w:tc>
        <w:tc>
          <w:tcPr>
            <w:tcW w:w="300" w:type="dxa"/>
            <w:vAlign w:val="bottom"/>
            <w:shd w:val="clear" w:color="auto" w:fill="434F69"/>
          </w:tcPr>
          <w:p>
            <w:pPr>
              <w:spacing w:after="0"/>
              <w:rPr>
                <w:sz w:val="13"/>
                <w:szCs w:val="13"/>
                <w:color w:val="auto"/>
              </w:rPr>
            </w:pPr>
          </w:p>
        </w:tc>
        <w:tc>
          <w:tcPr>
            <w:tcW w:w="600" w:type="dxa"/>
            <w:vAlign w:val="bottom"/>
            <w:shd w:val="clear" w:color="auto" w:fill="434F69"/>
          </w:tcPr>
          <w:p>
            <w:pPr>
              <w:spacing w:after="0"/>
              <w:rPr>
                <w:sz w:val="13"/>
                <w:szCs w:val="13"/>
                <w:color w:val="auto"/>
              </w:rPr>
            </w:pPr>
          </w:p>
        </w:tc>
        <w:tc>
          <w:tcPr>
            <w:tcW w:w="100" w:type="dxa"/>
            <w:vAlign w:val="bottom"/>
            <w:shd w:val="clear" w:color="auto" w:fill="434F69"/>
          </w:tcPr>
          <w:p>
            <w:pPr>
              <w:spacing w:after="0"/>
              <w:rPr>
                <w:sz w:val="13"/>
                <w:szCs w:val="13"/>
                <w:color w:val="auto"/>
              </w:rPr>
            </w:pPr>
          </w:p>
        </w:tc>
        <w:tc>
          <w:tcPr>
            <w:tcW w:w="380" w:type="dxa"/>
            <w:vAlign w:val="bottom"/>
            <w:shd w:val="clear" w:color="auto" w:fill="434F69"/>
          </w:tcPr>
          <w:p>
            <w:pPr>
              <w:spacing w:after="0"/>
              <w:rPr>
                <w:sz w:val="13"/>
                <w:szCs w:val="13"/>
                <w:color w:val="auto"/>
              </w:rPr>
            </w:pPr>
          </w:p>
        </w:tc>
        <w:tc>
          <w:tcPr>
            <w:tcW w:w="800" w:type="dxa"/>
            <w:vAlign w:val="bottom"/>
            <w:shd w:val="clear" w:color="auto" w:fill="434F69"/>
          </w:tcPr>
          <w:p>
            <w:pPr>
              <w:jc w:val="right"/>
              <w:ind w:right="36"/>
              <w:spacing w:after="0" w:line="151" w:lineRule="exact"/>
              <w:rPr>
                <w:sz w:val="20"/>
                <w:szCs w:val="20"/>
                <w:color w:val="auto"/>
              </w:rPr>
            </w:pPr>
            <w:r>
              <w:rPr>
                <w:rFonts w:ascii="Arial" w:cs="Arial" w:eastAsia="Arial" w:hAnsi="Arial"/>
                <w:sz w:val="14"/>
                <w:szCs w:val="14"/>
                <w:b w:val="1"/>
                <w:bCs w:val="1"/>
                <w:color w:val="FFFFFF"/>
              </w:rPr>
              <w:t>Individual</w:t>
            </w:r>
          </w:p>
        </w:tc>
        <w:tc>
          <w:tcPr>
            <w:tcW w:w="300" w:type="dxa"/>
            <w:vAlign w:val="bottom"/>
            <w:shd w:val="clear" w:color="auto" w:fill="434F69"/>
          </w:tcPr>
          <w:p>
            <w:pPr>
              <w:spacing w:after="0"/>
              <w:rPr>
                <w:sz w:val="13"/>
                <w:szCs w:val="13"/>
                <w:color w:val="auto"/>
              </w:rPr>
            </w:pPr>
          </w:p>
        </w:tc>
        <w:tc>
          <w:tcPr>
            <w:tcW w:w="580" w:type="dxa"/>
            <w:vAlign w:val="bottom"/>
            <w:shd w:val="clear" w:color="auto" w:fill="434F69"/>
          </w:tcPr>
          <w:p>
            <w:pPr>
              <w:spacing w:after="0"/>
              <w:rPr>
                <w:sz w:val="13"/>
                <w:szCs w:val="13"/>
                <w:color w:val="auto"/>
              </w:rPr>
            </w:pPr>
          </w:p>
        </w:tc>
        <w:tc>
          <w:tcPr>
            <w:tcW w:w="120" w:type="dxa"/>
            <w:vAlign w:val="bottom"/>
            <w:shd w:val="clear" w:color="auto" w:fill="434F69"/>
          </w:tcPr>
          <w:p>
            <w:pPr>
              <w:spacing w:after="0"/>
              <w:rPr>
                <w:sz w:val="13"/>
                <w:szCs w:val="13"/>
                <w:color w:val="auto"/>
              </w:rPr>
            </w:pPr>
          </w:p>
        </w:tc>
        <w:tc>
          <w:tcPr>
            <w:tcW w:w="300" w:type="dxa"/>
            <w:vAlign w:val="bottom"/>
            <w:shd w:val="clear" w:color="auto" w:fill="434F69"/>
          </w:tcPr>
          <w:p>
            <w:pPr>
              <w:spacing w:after="0"/>
              <w:rPr>
                <w:sz w:val="13"/>
                <w:szCs w:val="13"/>
                <w:color w:val="auto"/>
              </w:rPr>
            </w:pPr>
          </w:p>
        </w:tc>
        <w:tc>
          <w:tcPr>
            <w:tcW w:w="100" w:type="dxa"/>
            <w:vAlign w:val="bottom"/>
            <w:shd w:val="clear" w:color="auto" w:fill="434F69"/>
          </w:tcPr>
          <w:p>
            <w:pPr>
              <w:spacing w:after="0"/>
              <w:rPr>
                <w:sz w:val="13"/>
                <w:szCs w:val="13"/>
                <w:color w:val="auto"/>
              </w:rPr>
            </w:pPr>
          </w:p>
        </w:tc>
        <w:tc>
          <w:tcPr>
            <w:tcW w:w="840" w:type="dxa"/>
            <w:vAlign w:val="bottom"/>
            <w:shd w:val="clear" w:color="auto" w:fill="434F69"/>
          </w:tcPr>
          <w:p>
            <w:pPr>
              <w:jc w:val="center"/>
              <w:ind w:right="56"/>
              <w:spacing w:after="0" w:line="151" w:lineRule="exact"/>
              <w:rPr>
                <w:sz w:val="20"/>
                <w:szCs w:val="20"/>
                <w:color w:val="auto"/>
              </w:rPr>
            </w:pPr>
            <w:r>
              <w:rPr>
                <w:rFonts w:ascii="Arial" w:cs="Arial" w:eastAsia="Arial" w:hAnsi="Arial"/>
                <w:sz w:val="14"/>
                <w:szCs w:val="14"/>
                <w:b w:val="1"/>
                <w:bCs w:val="1"/>
                <w:color w:val="FFFFFF"/>
              </w:rPr>
              <w:t>Bonus</w:t>
            </w:r>
          </w:p>
        </w:tc>
        <w:tc>
          <w:tcPr>
            <w:tcW w:w="240" w:type="dxa"/>
            <w:vAlign w:val="bottom"/>
            <w:shd w:val="clear" w:color="auto" w:fill="434F69"/>
          </w:tcPr>
          <w:p>
            <w:pPr>
              <w:spacing w:after="0"/>
              <w:rPr>
                <w:sz w:val="13"/>
                <w:szCs w:val="13"/>
                <w:color w:val="auto"/>
              </w:rPr>
            </w:pPr>
          </w:p>
        </w:tc>
        <w:tc>
          <w:tcPr>
            <w:tcW w:w="880" w:type="dxa"/>
            <w:vAlign w:val="bottom"/>
            <w:tcBorders>
              <w:right w:val="single" w:sz="8" w:color="434F69"/>
            </w:tcBorders>
            <w:shd w:val="clear" w:color="auto" w:fill="434F69"/>
          </w:tcPr>
          <w:p>
            <w:pPr>
              <w:jc w:val="right"/>
              <w:ind w:right="235"/>
              <w:spacing w:after="0" w:line="151" w:lineRule="exact"/>
              <w:rPr>
                <w:sz w:val="20"/>
                <w:szCs w:val="20"/>
                <w:color w:val="auto"/>
              </w:rPr>
            </w:pPr>
            <w:r>
              <w:rPr>
                <w:rFonts w:ascii="Arial" w:cs="Arial" w:eastAsia="Arial" w:hAnsi="Arial"/>
                <w:sz w:val="14"/>
                <w:szCs w:val="14"/>
                <w:b w:val="1"/>
                <w:bCs w:val="1"/>
                <w:color w:val="FFFFFF"/>
              </w:rPr>
              <w:t>Bonus</w:t>
            </w:r>
          </w:p>
        </w:tc>
      </w:tr>
      <w:tr>
        <w:trPr>
          <w:trHeight w:val="213"/>
        </w:trPr>
        <w:tc>
          <w:tcPr>
            <w:tcW w:w="1480" w:type="dxa"/>
            <w:vAlign w:val="bottom"/>
            <w:tcBorders>
              <w:lef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Officer</w:t>
            </w:r>
          </w:p>
        </w:tc>
        <w:tc>
          <w:tcPr>
            <w:tcW w:w="280" w:type="dxa"/>
            <w:vAlign w:val="bottom"/>
            <w:shd w:val="clear" w:color="auto" w:fill="434F69"/>
          </w:tcPr>
          <w:p>
            <w:pPr>
              <w:spacing w:after="0"/>
              <w:rPr>
                <w:sz w:val="18"/>
                <w:szCs w:val="18"/>
                <w:color w:val="auto"/>
              </w:rPr>
            </w:pPr>
          </w:p>
        </w:tc>
        <w:tc>
          <w:tcPr>
            <w:tcW w:w="900" w:type="dxa"/>
            <w:vAlign w:val="bottom"/>
            <w:shd w:val="clear" w:color="auto" w:fill="434F69"/>
          </w:tcPr>
          <w:p>
            <w:pPr>
              <w:jc w:val="center"/>
              <w:ind w:right="115"/>
              <w:spacing w:after="0"/>
              <w:rPr>
                <w:sz w:val="20"/>
                <w:szCs w:val="20"/>
                <w:color w:val="auto"/>
              </w:rPr>
            </w:pPr>
            <w:r>
              <w:rPr>
                <w:rFonts w:ascii="Arial" w:cs="Arial" w:eastAsia="Arial" w:hAnsi="Arial"/>
                <w:sz w:val="14"/>
                <w:szCs w:val="14"/>
                <w:b w:val="1"/>
                <w:bCs w:val="1"/>
                <w:color w:val="FFFFFF"/>
              </w:rPr>
              <w:t>Amount</w:t>
            </w:r>
          </w:p>
        </w:tc>
        <w:tc>
          <w:tcPr>
            <w:tcW w:w="100" w:type="dxa"/>
            <w:vAlign w:val="bottom"/>
            <w:shd w:val="clear" w:color="auto" w:fill="434F69"/>
          </w:tcPr>
          <w:p>
            <w:pPr>
              <w:spacing w:after="0"/>
              <w:rPr>
                <w:sz w:val="18"/>
                <w:szCs w:val="18"/>
                <w:color w:val="auto"/>
              </w:rPr>
            </w:pPr>
          </w:p>
        </w:tc>
        <w:tc>
          <w:tcPr>
            <w:tcW w:w="780" w:type="dxa"/>
            <w:vAlign w:val="bottom"/>
            <w:shd w:val="clear" w:color="auto" w:fill="434F69"/>
          </w:tcPr>
          <w:p>
            <w:pPr>
              <w:jc w:val="right"/>
              <w:ind w:right="148"/>
              <w:spacing w:after="0"/>
              <w:rPr>
                <w:sz w:val="20"/>
                <w:szCs w:val="20"/>
                <w:color w:val="auto"/>
              </w:rPr>
            </w:pPr>
            <w:r>
              <w:rPr>
                <w:rFonts w:ascii="Arial" w:cs="Arial" w:eastAsia="Arial" w:hAnsi="Arial"/>
                <w:sz w:val="14"/>
                <w:szCs w:val="14"/>
                <w:b w:val="1"/>
                <w:bCs w:val="1"/>
                <w:color w:val="FFFFFF"/>
              </w:rPr>
              <w:t>Score</w:t>
            </w:r>
          </w:p>
        </w:tc>
        <w:tc>
          <w:tcPr>
            <w:tcW w:w="300" w:type="dxa"/>
            <w:vAlign w:val="bottom"/>
            <w:shd w:val="clear" w:color="auto" w:fill="434F69"/>
          </w:tcPr>
          <w:p>
            <w:pPr>
              <w:spacing w:after="0"/>
              <w:rPr>
                <w:sz w:val="18"/>
                <w:szCs w:val="18"/>
                <w:color w:val="auto"/>
              </w:rPr>
            </w:pPr>
          </w:p>
        </w:tc>
        <w:tc>
          <w:tcPr>
            <w:tcW w:w="700" w:type="dxa"/>
            <w:vAlign w:val="bottom"/>
            <w:gridSpan w:val="2"/>
            <w:shd w:val="clear" w:color="auto" w:fill="434F69"/>
          </w:tcPr>
          <w:p>
            <w:pPr>
              <w:jc w:val="right"/>
              <w:ind w:right="120"/>
              <w:spacing w:after="0"/>
              <w:rPr>
                <w:sz w:val="20"/>
                <w:szCs w:val="20"/>
                <w:color w:val="auto"/>
              </w:rPr>
            </w:pPr>
            <w:r>
              <w:rPr>
                <w:rFonts w:ascii="Arial" w:cs="Arial" w:eastAsia="Arial" w:hAnsi="Arial"/>
                <w:sz w:val="14"/>
                <w:szCs w:val="14"/>
                <w:b w:val="1"/>
                <w:bCs w:val="1"/>
                <w:color w:val="FFFFFF"/>
              </w:rPr>
              <w:t>Weight</w:t>
            </w:r>
          </w:p>
        </w:tc>
        <w:tc>
          <w:tcPr>
            <w:tcW w:w="380" w:type="dxa"/>
            <w:vAlign w:val="bottom"/>
            <w:shd w:val="clear" w:color="auto" w:fill="434F69"/>
          </w:tcPr>
          <w:p>
            <w:pPr>
              <w:spacing w:after="0"/>
              <w:rPr>
                <w:sz w:val="18"/>
                <w:szCs w:val="18"/>
                <w:color w:val="auto"/>
              </w:rPr>
            </w:pPr>
          </w:p>
        </w:tc>
        <w:tc>
          <w:tcPr>
            <w:tcW w:w="800" w:type="dxa"/>
            <w:vAlign w:val="bottom"/>
            <w:shd w:val="clear" w:color="auto" w:fill="434F69"/>
          </w:tcPr>
          <w:p>
            <w:pPr>
              <w:jc w:val="right"/>
              <w:ind w:right="156"/>
              <w:spacing w:after="0"/>
              <w:rPr>
                <w:sz w:val="20"/>
                <w:szCs w:val="20"/>
                <w:color w:val="auto"/>
              </w:rPr>
            </w:pPr>
            <w:r>
              <w:rPr>
                <w:rFonts w:ascii="Arial" w:cs="Arial" w:eastAsia="Arial" w:hAnsi="Arial"/>
                <w:sz w:val="14"/>
                <w:szCs w:val="14"/>
                <w:b w:val="1"/>
                <w:bCs w:val="1"/>
                <w:color w:val="FFFFFF"/>
              </w:rPr>
              <w:t>Score</w:t>
            </w:r>
          </w:p>
        </w:tc>
        <w:tc>
          <w:tcPr>
            <w:tcW w:w="300" w:type="dxa"/>
            <w:vAlign w:val="bottom"/>
            <w:shd w:val="clear" w:color="auto" w:fill="434F69"/>
          </w:tcPr>
          <w:p>
            <w:pPr>
              <w:spacing w:after="0"/>
              <w:rPr>
                <w:sz w:val="18"/>
                <w:szCs w:val="18"/>
                <w:color w:val="auto"/>
              </w:rPr>
            </w:pPr>
          </w:p>
        </w:tc>
        <w:tc>
          <w:tcPr>
            <w:tcW w:w="700" w:type="dxa"/>
            <w:vAlign w:val="bottom"/>
            <w:gridSpan w:val="2"/>
            <w:shd w:val="clear" w:color="auto" w:fill="434F69"/>
          </w:tcPr>
          <w:p>
            <w:pPr>
              <w:jc w:val="right"/>
              <w:ind w:right="120"/>
              <w:spacing w:after="0"/>
              <w:rPr>
                <w:sz w:val="20"/>
                <w:szCs w:val="20"/>
                <w:color w:val="auto"/>
              </w:rPr>
            </w:pPr>
            <w:r>
              <w:rPr>
                <w:rFonts w:ascii="Arial" w:cs="Arial" w:eastAsia="Arial" w:hAnsi="Arial"/>
                <w:sz w:val="14"/>
                <w:szCs w:val="14"/>
                <w:b w:val="1"/>
                <w:bCs w:val="1"/>
                <w:color w:val="FFFFFF"/>
              </w:rPr>
              <w:t>Weight</w:t>
            </w:r>
          </w:p>
        </w:tc>
        <w:tc>
          <w:tcPr>
            <w:tcW w:w="300" w:type="dxa"/>
            <w:vAlign w:val="bottom"/>
            <w:shd w:val="clear" w:color="auto" w:fill="434F69"/>
          </w:tcPr>
          <w:p>
            <w:pPr>
              <w:spacing w:after="0"/>
              <w:rPr>
                <w:sz w:val="18"/>
                <w:szCs w:val="18"/>
                <w:color w:val="auto"/>
              </w:rPr>
            </w:pPr>
          </w:p>
        </w:tc>
        <w:tc>
          <w:tcPr>
            <w:tcW w:w="100" w:type="dxa"/>
            <w:vAlign w:val="bottom"/>
            <w:shd w:val="clear" w:color="auto" w:fill="434F69"/>
          </w:tcPr>
          <w:p>
            <w:pPr>
              <w:spacing w:after="0"/>
              <w:rPr>
                <w:sz w:val="18"/>
                <w:szCs w:val="18"/>
                <w:color w:val="auto"/>
              </w:rPr>
            </w:pPr>
          </w:p>
        </w:tc>
        <w:tc>
          <w:tcPr>
            <w:tcW w:w="840" w:type="dxa"/>
            <w:vAlign w:val="bottom"/>
            <w:shd w:val="clear" w:color="auto" w:fill="434F69"/>
          </w:tcPr>
          <w:p>
            <w:pPr>
              <w:jc w:val="center"/>
              <w:ind w:right="16"/>
              <w:spacing w:after="0"/>
              <w:rPr>
                <w:sz w:val="20"/>
                <w:szCs w:val="20"/>
                <w:color w:val="auto"/>
              </w:rPr>
            </w:pPr>
            <w:r>
              <w:rPr>
                <w:rFonts w:ascii="Arial" w:cs="Arial" w:eastAsia="Arial" w:hAnsi="Arial"/>
                <w:sz w:val="14"/>
                <w:szCs w:val="14"/>
                <w:b w:val="1"/>
                <w:bCs w:val="1"/>
                <w:color w:val="FFFFFF"/>
              </w:rPr>
              <w:t>Earned</w:t>
            </w:r>
          </w:p>
        </w:tc>
        <w:tc>
          <w:tcPr>
            <w:tcW w:w="240" w:type="dxa"/>
            <w:vAlign w:val="bottom"/>
            <w:shd w:val="clear" w:color="auto" w:fill="434F69"/>
          </w:tcPr>
          <w:p>
            <w:pPr>
              <w:spacing w:after="0"/>
              <w:rPr>
                <w:sz w:val="18"/>
                <w:szCs w:val="18"/>
                <w:color w:val="auto"/>
              </w:rPr>
            </w:pPr>
          </w:p>
        </w:tc>
        <w:tc>
          <w:tcPr>
            <w:tcW w:w="880" w:type="dxa"/>
            <w:vAlign w:val="bottom"/>
            <w:tcBorders>
              <w:right w:val="single" w:sz="8" w:color="434F69"/>
            </w:tcBorders>
            <w:shd w:val="clear" w:color="auto" w:fill="434F69"/>
          </w:tcPr>
          <w:p>
            <w:pPr>
              <w:jc w:val="right"/>
              <w:ind w:right="115"/>
              <w:spacing w:after="0"/>
              <w:rPr>
                <w:sz w:val="20"/>
                <w:szCs w:val="20"/>
                <w:color w:val="auto"/>
              </w:rPr>
            </w:pPr>
            <w:r>
              <w:rPr>
                <w:rFonts w:ascii="Arial" w:cs="Arial" w:eastAsia="Arial" w:hAnsi="Arial"/>
                <w:sz w:val="14"/>
                <w:szCs w:val="14"/>
                <w:b w:val="1"/>
                <w:bCs w:val="1"/>
                <w:color w:val="FFFFFF"/>
                <w:w w:val="98"/>
              </w:rPr>
              <w:t>Amount</w:t>
            </w:r>
            <w:r>
              <w:rPr>
                <w:rFonts w:ascii="Arial" w:cs="Arial" w:eastAsia="Arial" w:hAnsi="Arial"/>
                <w:sz w:val="17"/>
                <w:szCs w:val="17"/>
                <w:b w:val="1"/>
                <w:bCs w:val="1"/>
                <w:color w:val="FFFFFF"/>
                <w:w w:val="98"/>
                <w:vertAlign w:val="superscript"/>
              </w:rPr>
              <w:t>(1)</w:t>
            </w:r>
          </w:p>
        </w:tc>
      </w:tr>
      <w:tr>
        <w:trPr>
          <w:trHeight w:val="250"/>
        </w:trPr>
        <w:tc>
          <w:tcPr>
            <w:tcW w:w="148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2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9"/>
              </w:rPr>
              <w:t>1,500,000</w:t>
            </w:r>
          </w:p>
        </w:tc>
        <w:tc>
          <w:tcPr>
            <w:tcW w:w="880" w:type="dxa"/>
            <w:vAlign w:val="bottom"/>
            <w:tcBorders>
              <w:bottom w:val="single" w:sz="8" w:color="434F69"/>
            </w:tcBorders>
            <w:gridSpan w:val="2"/>
            <w:shd w:val="clear" w:color="auto" w:fill="D9DCE1"/>
          </w:tcPr>
          <w:p>
            <w:pPr>
              <w:jc w:val="right"/>
              <w:ind w:right="48"/>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shd w:val="clear" w:color="auto" w:fill="D9DCE1"/>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tcBorders>
            <w:shd w:val="clear" w:color="auto" w:fill="D9DCE1"/>
          </w:tcPr>
          <w:p>
            <w:pPr>
              <w:jc w:val="right"/>
              <w:ind w:right="36"/>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434F69"/>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tcBorders>
            <w:gridSpan w:val="2"/>
            <w:shd w:val="clear" w:color="auto" w:fill="D9DCE1"/>
          </w:tcPr>
          <w:p>
            <w:pPr>
              <w:jc w:val="right"/>
              <w:ind w:right="96"/>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434F69"/>
            </w:tcBorders>
            <w:shd w:val="clear" w:color="auto" w:fill="D9DCE1"/>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9"/>
              </w:rPr>
              <w:t>1,720,000</w:t>
            </w:r>
          </w:p>
        </w:tc>
      </w:tr>
      <w:tr>
        <w:trPr>
          <w:trHeight w:val="250"/>
        </w:trPr>
        <w:tc>
          <w:tcPr>
            <w:tcW w:w="148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2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w w:val="99"/>
              </w:rPr>
              <w:t>1,000,000</w:t>
            </w:r>
          </w:p>
        </w:tc>
        <w:tc>
          <w:tcPr>
            <w:tcW w:w="880" w:type="dxa"/>
            <w:vAlign w:val="bottom"/>
            <w:tcBorders>
              <w:bottom w:val="single" w:sz="8" w:color="434F69"/>
            </w:tcBorders>
            <w:gridSpan w:val="2"/>
          </w:tcPr>
          <w:p>
            <w:pPr>
              <w:jc w:val="right"/>
              <w:ind w:right="48"/>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tcBorders>
          </w:tcPr>
          <w:p>
            <w:pPr>
              <w:jc w:val="right"/>
              <w:ind w:right="36"/>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434F69"/>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tcBorders>
            <w:gridSpan w:val="2"/>
          </w:tcPr>
          <w:p>
            <w:pPr>
              <w:jc w:val="right"/>
              <w:ind w:right="96"/>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434F69"/>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1,150,000</w:t>
            </w:r>
          </w:p>
        </w:tc>
      </w:tr>
      <w:tr>
        <w:trPr>
          <w:trHeight w:val="250"/>
        </w:trPr>
        <w:tc>
          <w:tcPr>
            <w:tcW w:w="148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2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880" w:type="dxa"/>
            <w:vAlign w:val="bottom"/>
            <w:tcBorders>
              <w:bottom w:val="single" w:sz="8" w:color="434F69"/>
            </w:tcBorders>
            <w:gridSpan w:val="2"/>
            <w:shd w:val="clear" w:color="auto" w:fill="D9DCE1"/>
          </w:tcPr>
          <w:p>
            <w:pPr>
              <w:jc w:val="right"/>
              <w:ind w:right="48"/>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shd w:val="clear" w:color="auto" w:fill="D9DCE1"/>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tcBorders>
            <w:shd w:val="clear" w:color="auto" w:fill="D9DCE1"/>
          </w:tcPr>
          <w:p>
            <w:pPr>
              <w:jc w:val="right"/>
              <w:ind w:right="36"/>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434F69"/>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tcBorders>
            <w:gridSpan w:val="2"/>
            <w:shd w:val="clear" w:color="auto" w:fill="D9DCE1"/>
          </w:tcPr>
          <w:p>
            <w:pPr>
              <w:jc w:val="right"/>
              <w:ind w:right="96"/>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434F69"/>
            </w:tcBorders>
            <w:shd w:val="clear" w:color="auto" w:fill="D9DCE1"/>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980,000</w:t>
            </w:r>
          </w:p>
        </w:tc>
      </w:tr>
      <w:tr>
        <w:trPr>
          <w:trHeight w:val="250"/>
        </w:trPr>
        <w:tc>
          <w:tcPr>
            <w:tcW w:w="148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2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880" w:type="dxa"/>
            <w:vAlign w:val="bottom"/>
            <w:tcBorders>
              <w:bottom w:val="single" w:sz="8" w:color="434F69"/>
            </w:tcBorders>
            <w:gridSpan w:val="2"/>
          </w:tcPr>
          <w:p>
            <w:pPr>
              <w:jc w:val="right"/>
              <w:ind w:right="48"/>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tcBorders>
          </w:tcPr>
          <w:p>
            <w:pPr>
              <w:jc w:val="right"/>
              <w:ind w:right="36"/>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434F69"/>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tcBorders>
            <w:gridSpan w:val="2"/>
          </w:tcPr>
          <w:p>
            <w:pPr>
              <w:jc w:val="right"/>
              <w:ind w:right="96"/>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434F69"/>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1,050,000</w:t>
            </w:r>
          </w:p>
        </w:tc>
      </w:tr>
      <w:tr>
        <w:trPr>
          <w:trHeight w:val="250"/>
        </w:trPr>
        <w:tc>
          <w:tcPr>
            <w:tcW w:w="148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2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880" w:type="dxa"/>
            <w:vAlign w:val="bottom"/>
            <w:tcBorders>
              <w:bottom w:val="single" w:sz="8" w:color="434F69"/>
            </w:tcBorders>
            <w:gridSpan w:val="2"/>
            <w:shd w:val="clear" w:color="auto" w:fill="D9DCE1"/>
          </w:tcPr>
          <w:p>
            <w:pPr>
              <w:jc w:val="right"/>
              <w:ind w:right="48"/>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shd w:val="clear" w:color="auto" w:fill="D9DCE1"/>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tcBorders>
            <w:shd w:val="clear" w:color="auto" w:fill="D9DCE1"/>
          </w:tcPr>
          <w:p>
            <w:pPr>
              <w:jc w:val="right"/>
              <w:ind w:right="36"/>
              <w:spacing w:after="0"/>
              <w:rPr>
                <w:sz w:val="20"/>
                <w:szCs w:val="20"/>
                <w:color w:val="auto"/>
              </w:rPr>
            </w:pPr>
            <w:r>
              <w:rPr>
                <w:rFonts w:ascii="Arial" w:cs="Arial" w:eastAsia="Arial" w:hAnsi="Arial"/>
                <w:sz w:val="18"/>
                <w:szCs w:val="18"/>
                <w:color w:val="auto"/>
              </w:rPr>
              <w:t>135%</w:t>
            </w:r>
          </w:p>
        </w:tc>
        <w:tc>
          <w:tcPr>
            <w:tcW w:w="3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434F69"/>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tcBorders>
            <w:gridSpan w:val="2"/>
            <w:shd w:val="clear" w:color="auto" w:fill="D9DCE1"/>
          </w:tcPr>
          <w:p>
            <w:pPr>
              <w:jc w:val="right"/>
              <w:ind w:right="96"/>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434F69"/>
            </w:tcBorders>
            <w:shd w:val="clear" w:color="auto" w:fill="D9DCE1"/>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9"/>
              </w:rPr>
              <w:t>1,010,000</w:t>
            </w:r>
          </w:p>
        </w:tc>
      </w:tr>
      <w:tr>
        <w:trPr>
          <w:trHeight w:val="250"/>
        </w:trPr>
        <w:tc>
          <w:tcPr>
            <w:tcW w:w="148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2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880" w:type="dxa"/>
            <w:vAlign w:val="bottom"/>
            <w:tcBorders>
              <w:bottom w:val="single" w:sz="8" w:color="434F69"/>
            </w:tcBorders>
            <w:gridSpan w:val="2"/>
          </w:tcPr>
          <w:p>
            <w:pPr>
              <w:jc w:val="right"/>
              <w:ind w:right="48"/>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tcBorders>
          </w:tcPr>
          <w:p>
            <w:pPr>
              <w:jc w:val="right"/>
              <w:ind w:right="36"/>
              <w:spacing w:after="0"/>
              <w:rPr>
                <w:sz w:val="20"/>
                <w:szCs w:val="20"/>
                <w:color w:val="auto"/>
              </w:rPr>
            </w:pPr>
            <w:r>
              <w:rPr>
                <w:rFonts w:ascii="Arial" w:cs="Arial" w:eastAsia="Arial" w:hAnsi="Arial"/>
                <w:sz w:val="18"/>
                <w:szCs w:val="18"/>
                <w:color w:val="auto"/>
              </w:rPr>
              <w:t>195%</w:t>
            </w:r>
          </w:p>
        </w:tc>
        <w:tc>
          <w:tcPr>
            <w:tcW w:w="30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70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434F69"/>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tcBorders>
            <w:gridSpan w:val="2"/>
          </w:tcPr>
          <w:p>
            <w:pPr>
              <w:jc w:val="right"/>
              <w:ind w:right="96"/>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434F69"/>
            </w:tcBorders>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1,170,000</w:t>
            </w:r>
          </w:p>
        </w:tc>
      </w:tr>
    </w:tbl>
    <w:p>
      <w:pPr>
        <w:spacing w:after="0" w:line="122" w:lineRule="exact"/>
        <w:rPr>
          <w:sz w:val="20"/>
          <w:szCs w:val="20"/>
          <w:color w:val="auto"/>
        </w:rPr>
      </w:pPr>
    </w:p>
    <w:p>
      <w:pPr>
        <w:ind w:left="1620"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Final amounts were rounded up to the nearest multiple of $10,000.</w:t>
      </w:r>
    </w:p>
    <w:p>
      <w:pPr>
        <w:spacing w:after="0" w:line="130" w:lineRule="exact"/>
        <w:rPr>
          <w:sz w:val="20"/>
          <w:szCs w:val="20"/>
          <w:color w:val="auto"/>
        </w:rPr>
      </w:pPr>
    </w:p>
    <w:p>
      <w:pPr>
        <w:ind w:left="1260" w:right="460" w:firstLine="360"/>
        <w:spacing w:after="0" w:line="250"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annual LTIP targets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base salary, and the value of the 2021 annual LTIP awards to the Named Executive Officers are set forth in the table below:</w:t>
      </w:r>
    </w:p>
    <w:p>
      <w:pPr>
        <w:spacing w:after="0" w:line="169"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2060" w:type="dxa"/>
            <w:vAlign w:val="bottom"/>
            <w:tcBorders>
              <w:left w:val="single" w:sz="8" w:color="434F69"/>
              <w:right w:val="single" w:sz="8" w:color="434F69"/>
            </w:tcBorders>
            <w:shd w:val="clear" w:color="auto" w:fill="434F69"/>
          </w:tcPr>
          <w:p>
            <w:pPr>
              <w:spacing w:after="0"/>
              <w:rPr>
                <w:sz w:val="17"/>
                <w:szCs w:val="17"/>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Annual LTIP</w:t>
            </w:r>
          </w:p>
        </w:tc>
        <w:tc>
          <w:tcPr>
            <w:tcW w:w="1160" w:type="dxa"/>
            <w:vAlign w:val="bottom"/>
            <w:tcBorders>
              <w:right w:val="single" w:sz="8" w:color="434F69"/>
            </w:tcBorders>
            <w:shd w:val="clear" w:color="auto" w:fill="434F69"/>
          </w:tcPr>
          <w:p>
            <w:pPr>
              <w:spacing w:after="0"/>
              <w:rPr>
                <w:sz w:val="17"/>
                <w:szCs w:val="17"/>
                <w:color w:val="auto"/>
              </w:rPr>
            </w:pPr>
          </w:p>
        </w:tc>
        <w:tc>
          <w:tcPr>
            <w:tcW w:w="1240" w:type="dxa"/>
            <w:vAlign w:val="bottom"/>
            <w:tcBorders>
              <w:right w:val="single" w:sz="8" w:color="434F69"/>
            </w:tcBorders>
            <w:shd w:val="clear" w:color="auto" w:fill="434F69"/>
          </w:tcPr>
          <w:p>
            <w:pPr>
              <w:spacing w:after="0"/>
              <w:rPr>
                <w:sz w:val="17"/>
                <w:szCs w:val="17"/>
                <w:color w:val="auto"/>
              </w:rPr>
            </w:pPr>
          </w:p>
        </w:tc>
        <w:tc>
          <w:tcPr>
            <w:tcW w:w="1100" w:type="dxa"/>
            <w:vAlign w:val="bottom"/>
            <w:tcBorders>
              <w:right w:val="single" w:sz="8" w:color="434F69"/>
            </w:tcBorders>
            <w:shd w:val="clear" w:color="auto" w:fill="434F69"/>
          </w:tcPr>
          <w:p>
            <w:pPr>
              <w:spacing w:after="0"/>
              <w:rPr>
                <w:sz w:val="17"/>
                <w:szCs w:val="17"/>
                <w:color w:val="auto"/>
              </w:rPr>
            </w:pPr>
          </w:p>
        </w:tc>
        <w:tc>
          <w:tcPr>
            <w:tcW w:w="1320" w:type="dxa"/>
            <w:vAlign w:val="bottom"/>
            <w:tcBorders>
              <w:right w:val="single" w:sz="8" w:color="434F69"/>
            </w:tcBorders>
            <w:shd w:val="clear" w:color="auto" w:fill="434F69"/>
          </w:tcPr>
          <w:p>
            <w:pPr>
              <w:spacing w:after="0"/>
              <w:rPr>
                <w:sz w:val="17"/>
                <w:szCs w:val="17"/>
                <w:color w:val="auto"/>
              </w:rPr>
            </w:pPr>
          </w:p>
        </w:tc>
      </w:tr>
      <w:tr>
        <w:trPr>
          <w:trHeight w:val="162"/>
        </w:trPr>
        <w:tc>
          <w:tcPr>
            <w:tcW w:w="2060" w:type="dxa"/>
            <w:vAlign w:val="bottom"/>
            <w:tcBorders>
              <w:left w:val="single" w:sz="8" w:color="434F69"/>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Award</w:t>
            </w:r>
          </w:p>
        </w:tc>
        <w:tc>
          <w:tcPr>
            <w:tcW w:w="1160" w:type="dxa"/>
            <w:vAlign w:val="bottom"/>
            <w:tcBorders>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10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r>
      <w:tr>
        <w:trPr>
          <w:trHeight w:val="162"/>
        </w:trPr>
        <w:tc>
          <w:tcPr>
            <w:tcW w:w="2060" w:type="dxa"/>
            <w:vAlign w:val="bottom"/>
            <w:tcBorders>
              <w:left w:val="single" w:sz="8" w:color="434F69"/>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Target Value</w:t>
            </w:r>
          </w:p>
        </w:tc>
        <w:tc>
          <w:tcPr>
            <w:tcW w:w="1160" w:type="dxa"/>
            <w:vAlign w:val="bottom"/>
            <w:tcBorders>
              <w:right w:val="single" w:sz="8" w:color="434F69"/>
            </w:tcBorders>
            <w:shd w:val="clear" w:color="auto" w:fill="434F69"/>
          </w:tcPr>
          <w:p>
            <w:pPr>
              <w:ind w:left="120"/>
              <w:spacing w:after="0"/>
              <w:rPr>
                <w:sz w:val="20"/>
                <w:szCs w:val="20"/>
                <w:color w:val="auto"/>
              </w:rPr>
            </w:pPr>
            <w:r>
              <w:rPr>
                <w:rFonts w:ascii="Arial" w:cs="Arial" w:eastAsia="Arial" w:hAnsi="Arial"/>
                <w:sz w:val="14"/>
                <w:szCs w:val="14"/>
                <w:b w:val="1"/>
                <w:bCs w:val="1"/>
                <w:color w:val="FFFFFF"/>
              </w:rPr>
              <w:t>2021 Annual</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2021 Annual</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Time-Vested</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151"/>
        </w:trPr>
        <w:tc>
          <w:tcPr>
            <w:tcW w:w="2060" w:type="dxa"/>
            <w:vAlign w:val="bottom"/>
            <w:tcBorders>
              <w:left w:val="single" w:sz="8" w:color="434F69"/>
              <w:right w:val="single" w:sz="8" w:color="434F69"/>
            </w:tcBorders>
            <w:shd w:val="clear" w:color="auto" w:fill="434F69"/>
          </w:tcPr>
          <w:p>
            <w:pPr>
              <w:spacing w:after="0"/>
              <w:rPr>
                <w:sz w:val="13"/>
                <w:szCs w:val="13"/>
                <w:color w:val="auto"/>
              </w:rPr>
            </w:pPr>
          </w:p>
        </w:tc>
        <w:tc>
          <w:tcPr>
            <w:tcW w:w="13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(as a percentage</w:t>
            </w:r>
          </w:p>
        </w:tc>
        <w:tc>
          <w:tcPr>
            <w:tcW w:w="116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LTIP Award</w:t>
            </w:r>
          </w:p>
        </w:tc>
        <w:tc>
          <w:tcPr>
            <w:tcW w:w="12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Phantom Units</w:t>
            </w:r>
          </w:p>
        </w:tc>
        <w:tc>
          <w:tcPr>
            <w:tcW w:w="110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Phantom</w:t>
            </w:r>
          </w:p>
        </w:tc>
        <w:tc>
          <w:tcPr>
            <w:tcW w:w="13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Vested Phantom</w:t>
            </w:r>
          </w:p>
        </w:tc>
      </w:tr>
      <w:tr>
        <w:trPr>
          <w:trHeight w:val="226"/>
        </w:trPr>
        <w:tc>
          <w:tcPr>
            <w:tcW w:w="20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of base salary)</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Value</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Granted</w:t>
            </w:r>
            <w:r>
              <w:rPr>
                <w:rFonts w:ascii="Arial" w:cs="Arial" w:eastAsia="Arial" w:hAnsi="Arial"/>
                <w:sz w:val="17"/>
                <w:szCs w:val="17"/>
                <w:b w:val="1"/>
                <w:bCs w:val="1"/>
                <w:color w:val="FFFFFF"/>
                <w:w w:val="97"/>
                <w:vertAlign w:val="superscript"/>
              </w:rPr>
              <w:t>(1)</w:t>
            </w:r>
          </w:p>
        </w:tc>
        <w:tc>
          <w:tcPr>
            <w:tcW w:w="1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(50%)</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(50%)</w:t>
            </w:r>
          </w:p>
        </w:tc>
      </w:tr>
      <w:tr>
        <w:trPr>
          <w:trHeight w:val="250"/>
        </w:trPr>
        <w:tc>
          <w:tcPr>
            <w:tcW w:w="20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340" w:type="dxa"/>
            <w:vAlign w:val="bottom"/>
            <w:tcBorders>
              <w:bottom w:val="single" w:sz="8" w:color="434F69"/>
              <w:right w:val="single" w:sz="8" w:color="434F69"/>
            </w:tcBorders>
            <w:shd w:val="clear" w:color="auto" w:fill="D9DCE1"/>
          </w:tcPr>
          <w:p>
            <w:pPr>
              <w:jc w:val="right"/>
              <w:ind w:right="298"/>
              <w:spacing w:after="0"/>
              <w:rPr>
                <w:sz w:val="20"/>
                <w:szCs w:val="20"/>
                <w:color w:val="auto"/>
              </w:rPr>
            </w:pPr>
            <w:r>
              <w:rPr>
                <w:rFonts w:ascii="Arial" w:cs="Arial" w:eastAsia="Arial" w:hAnsi="Arial"/>
                <w:sz w:val="18"/>
                <w:szCs w:val="18"/>
                <w:color w:val="auto"/>
              </w:rPr>
              <w:t>500%</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$3,000,000</w:t>
            </w:r>
          </w:p>
        </w:tc>
        <w:tc>
          <w:tcPr>
            <w:tcW w:w="12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300,600</w:t>
            </w:r>
          </w:p>
        </w:tc>
        <w:tc>
          <w:tcPr>
            <w:tcW w:w="1100" w:type="dxa"/>
            <w:vAlign w:val="bottom"/>
            <w:tcBorders>
              <w:bottom w:val="single" w:sz="8" w:color="434F69"/>
              <w:right w:val="single" w:sz="8" w:color="434F69"/>
            </w:tcBorders>
            <w:shd w:val="clear" w:color="auto" w:fill="D9DCE1"/>
          </w:tcPr>
          <w:p>
            <w:pPr>
              <w:jc w:val="right"/>
              <w:ind w:right="160"/>
              <w:spacing w:after="0"/>
              <w:rPr>
                <w:sz w:val="20"/>
                <w:szCs w:val="20"/>
                <w:color w:val="auto"/>
              </w:rPr>
            </w:pPr>
            <w:r>
              <w:rPr>
                <w:rFonts w:ascii="Arial" w:cs="Arial" w:eastAsia="Arial" w:hAnsi="Arial"/>
                <w:sz w:val="18"/>
                <w:szCs w:val="18"/>
                <w:color w:val="auto"/>
              </w:rPr>
              <w:t>150,300</w:t>
            </w:r>
          </w:p>
        </w:tc>
        <w:tc>
          <w:tcPr>
            <w:tcW w:w="1320" w:type="dxa"/>
            <w:vAlign w:val="bottom"/>
            <w:tcBorders>
              <w:bottom w:val="single" w:sz="8" w:color="434F69"/>
              <w:right w:val="single" w:sz="8" w:color="434F69"/>
            </w:tcBorders>
            <w:shd w:val="clear" w:color="auto" w:fill="D9DCE1"/>
          </w:tcPr>
          <w:p>
            <w:pPr>
              <w:jc w:val="right"/>
              <w:ind w:right="260"/>
              <w:spacing w:after="0"/>
              <w:rPr>
                <w:sz w:val="20"/>
                <w:szCs w:val="20"/>
                <w:color w:val="auto"/>
              </w:rPr>
            </w:pPr>
            <w:r>
              <w:rPr>
                <w:rFonts w:ascii="Arial" w:cs="Arial" w:eastAsia="Arial" w:hAnsi="Arial"/>
                <w:sz w:val="18"/>
                <w:szCs w:val="18"/>
                <w:color w:val="auto"/>
              </w:rPr>
              <w:t>150,300</w:t>
            </w:r>
          </w:p>
        </w:tc>
      </w:tr>
      <w:tr>
        <w:trPr>
          <w:trHeight w:val="283"/>
        </w:trPr>
        <w:tc>
          <w:tcPr>
            <w:tcW w:w="20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340" w:type="dxa"/>
            <w:vAlign w:val="bottom"/>
            <w:tcBorders>
              <w:bottom w:val="single" w:sz="8" w:color="434F69"/>
              <w:right w:val="single" w:sz="8" w:color="434F69"/>
            </w:tcBorders>
          </w:tcPr>
          <w:p>
            <w:pPr>
              <w:jc w:val="right"/>
              <w:ind w:right="298"/>
              <w:spacing w:after="0"/>
              <w:rPr>
                <w:sz w:val="20"/>
                <w:szCs w:val="20"/>
                <w:color w:val="auto"/>
              </w:rPr>
            </w:pPr>
            <w:r>
              <w:rPr>
                <w:rFonts w:ascii="Arial" w:cs="Arial" w:eastAsia="Arial" w:hAnsi="Arial"/>
                <w:sz w:val="18"/>
                <w:szCs w:val="18"/>
                <w:color w:val="auto"/>
              </w:rPr>
              <w:t>500%</w:t>
            </w:r>
          </w:p>
        </w:tc>
        <w:tc>
          <w:tcPr>
            <w:tcW w:w="1160" w:type="dxa"/>
            <w:vAlign w:val="bottom"/>
            <w:tcBorders>
              <w:bottom w:val="single" w:sz="8" w:color="434F69"/>
              <w:right w:val="single" w:sz="8" w:color="434F69"/>
            </w:tcBorders>
          </w:tcPr>
          <w:p>
            <w:pPr>
              <w:ind w:left="680"/>
              <w:spacing w:after="0" w:line="283"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(2)</w:t>
            </w:r>
          </w:p>
        </w:tc>
        <w:tc>
          <w:tcPr>
            <w:tcW w:w="1240" w:type="dxa"/>
            <w:vAlign w:val="bottom"/>
            <w:tcBorders>
              <w:bottom w:val="single" w:sz="8" w:color="434F69"/>
              <w:right w:val="single" w:sz="8" w:color="434F69"/>
            </w:tcBorders>
          </w:tcPr>
          <w:p>
            <w:pPr>
              <w:ind w:left="560"/>
              <w:spacing w:after="0" w:line="283"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(2)</w:t>
            </w:r>
          </w:p>
        </w:tc>
        <w:tc>
          <w:tcPr>
            <w:tcW w:w="1100" w:type="dxa"/>
            <w:vAlign w:val="bottom"/>
            <w:tcBorders>
              <w:bottom w:val="single" w:sz="8" w:color="434F69"/>
              <w:right w:val="single" w:sz="8" w:color="434F69"/>
            </w:tcBorders>
          </w:tcPr>
          <w:p>
            <w:pPr>
              <w:jc w:val="right"/>
              <w:ind w:right="120"/>
              <w:spacing w:after="0" w:line="283"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(2)</w:t>
            </w:r>
          </w:p>
        </w:tc>
        <w:tc>
          <w:tcPr>
            <w:tcW w:w="1320" w:type="dxa"/>
            <w:vAlign w:val="bottom"/>
            <w:tcBorders>
              <w:bottom w:val="single" w:sz="8" w:color="434F69"/>
              <w:right w:val="single" w:sz="8" w:color="434F69"/>
            </w:tcBorders>
          </w:tcPr>
          <w:p>
            <w:pPr>
              <w:jc w:val="right"/>
              <w:ind w:right="220"/>
              <w:spacing w:after="0" w:line="283" w:lineRule="exact"/>
              <w:rPr>
                <w:sz w:val="20"/>
                <w:szCs w:val="20"/>
                <w:color w:val="auto"/>
              </w:rPr>
            </w:pPr>
            <w:r>
              <w:rPr>
                <w:rFonts w:ascii="Arial" w:cs="Arial" w:eastAsia="Arial" w:hAnsi="Arial"/>
                <w:sz w:val="32"/>
                <w:szCs w:val="32"/>
                <w:color w:val="auto"/>
                <w:vertAlign w:val="subscript"/>
              </w:rPr>
              <w:t>n/a</w:t>
            </w:r>
            <w:r>
              <w:rPr>
                <w:rFonts w:ascii="Arial" w:cs="Arial" w:eastAsia="Arial" w:hAnsi="Arial"/>
                <w:sz w:val="11"/>
                <w:szCs w:val="11"/>
                <w:color w:val="auto"/>
              </w:rPr>
              <w:t>(2)</w:t>
            </w:r>
          </w:p>
        </w:tc>
      </w:tr>
      <w:tr>
        <w:trPr>
          <w:trHeight w:val="244"/>
        </w:trPr>
        <w:tc>
          <w:tcPr>
            <w:tcW w:w="20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340" w:type="dxa"/>
            <w:vAlign w:val="bottom"/>
            <w:tcBorders>
              <w:bottom w:val="single" w:sz="8" w:color="434F69"/>
              <w:right w:val="single" w:sz="8" w:color="434F69"/>
            </w:tcBorders>
            <w:shd w:val="clear" w:color="auto" w:fill="D9DCE1"/>
          </w:tcPr>
          <w:p>
            <w:pPr>
              <w:jc w:val="right"/>
              <w:ind w:right="298"/>
              <w:spacing w:after="0"/>
              <w:rPr>
                <w:sz w:val="20"/>
                <w:szCs w:val="20"/>
                <w:color w:val="auto"/>
              </w:rPr>
            </w:pPr>
            <w:r>
              <w:rPr>
                <w:rFonts w:ascii="Arial" w:cs="Arial" w:eastAsia="Arial" w:hAnsi="Arial"/>
                <w:sz w:val="18"/>
                <w:szCs w:val="18"/>
                <w:color w:val="auto"/>
              </w:rPr>
              <w:t>300%</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$1,200,000</w:t>
            </w:r>
          </w:p>
        </w:tc>
        <w:tc>
          <w:tcPr>
            <w:tcW w:w="12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120,200</w:t>
            </w:r>
          </w:p>
        </w:tc>
        <w:tc>
          <w:tcPr>
            <w:tcW w:w="1100" w:type="dxa"/>
            <w:vAlign w:val="bottom"/>
            <w:tcBorders>
              <w:bottom w:val="single" w:sz="8" w:color="434F69"/>
              <w:right w:val="single" w:sz="8" w:color="434F69"/>
            </w:tcBorders>
            <w:shd w:val="clear" w:color="auto" w:fill="D9DCE1"/>
          </w:tcPr>
          <w:p>
            <w:pPr>
              <w:jc w:val="right"/>
              <w:ind w:right="160"/>
              <w:spacing w:after="0"/>
              <w:rPr>
                <w:sz w:val="20"/>
                <w:szCs w:val="20"/>
                <w:color w:val="auto"/>
              </w:rPr>
            </w:pPr>
            <w:r>
              <w:rPr>
                <w:rFonts w:ascii="Arial" w:cs="Arial" w:eastAsia="Arial" w:hAnsi="Arial"/>
                <w:sz w:val="18"/>
                <w:szCs w:val="18"/>
                <w:color w:val="auto"/>
              </w:rPr>
              <w:t>60,100</w:t>
            </w:r>
          </w:p>
        </w:tc>
        <w:tc>
          <w:tcPr>
            <w:tcW w:w="1320" w:type="dxa"/>
            <w:vAlign w:val="bottom"/>
            <w:tcBorders>
              <w:bottom w:val="single" w:sz="8" w:color="434F69"/>
              <w:right w:val="single" w:sz="8" w:color="434F69"/>
            </w:tcBorders>
            <w:shd w:val="clear" w:color="auto" w:fill="D9DCE1"/>
          </w:tcPr>
          <w:p>
            <w:pPr>
              <w:jc w:val="right"/>
              <w:ind w:right="260"/>
              <w:spacing w:after="0"/>
              <w:rPr>
                <w:sz w:val="20"/>
                <w:szCs w:val="20"/>
                <w:color w:val="auto"/>
              </w:rPr>
            </w:pPr>
            <w:r>
              <w:rPr>
                <w:rFonts w:ascii="Arial" w:cs="Arial" w:eastAsia="Arial" w:hAnsi="Arial"/>
                <w:sz w:val="18"/>
                <w:szCs w:val="18"/>
                <w:color w:val="auto"/>
              </w:rPr>
              <w:t>60,100</w:t>
            </w:r>
          </w:p>
        </w:tc>
      </w:tr>
      <w:tr>
        <w:trPr>
          <w:trHeight w:val="250"/>
        </w:trPr>
        <w:tc>
          <w:tcPr>
            <w:tcW w:w="20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40" w:type="dxa"/>
            <w:vAlign w:val="bottom"/>
            <w:tcBorders>
              <w:bottom w:val="single" w:sz="8" w:color="434F69"/>
              <w:right w:val="single" w:sz="8" w:color="434F69"/>
            </w:tcBorders>
          </w:tcPr>
          <w:p>
            <w:pPr>
              <w:jc w:val="right"/>
              <w:ind w:right="298"/>
              <w:spacing w:after="0"/>
              <w:rPr>
                <w:sz w:val="20"/>
                <w:szCs w:val="20"/>
                <w:color w:val="auto"/>
              </w:rPr>
            </w:pPr>
            <w:r>
              <w:rPr>
                <w:rFonts w:ascii="Arial" w:cs="Arial" w:eastAsia="Arial" w:hAnsi="Arial"/>
                <w:sz w:val="18"/>
                <w:szCs w:val="18"/>
                <w:color w:val="auto"/>
              </w:rPr>
              <w:t>300%</w:t>
            </w:r>
          </w:p>
        </w:tc>
        <w:tc>
          <w:tcPr>
            <w:tcW w:w="11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$1,200,000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120,200</w:t>
            </w:r>
          </w:p>
        </w:tc>
        <w:tc>
          <w:tcPr>
            <w:tcW w:w="1100" w:type="dxa"/>
            <w:vAlign w:val="bottom"/>
            <w:tcBorders>
              <w:bottom w:val="single" w:sz="8" w:color="434F69"/>
              <w:right w:val="single" w:sz="8" w:color="434F69"/>
            </w:tcBorders>
          </w:tcPr>
          <w:p>
            <w:pPr>
              <w:jc w:val="right"/>
              <w:ind w:right="160"/>
              <w:spacing w:after="0"/>
              <w:rPr>
                <w:sz w:val="20"/>
                <w:szCs w:val="20"/>
                <w:color w:val="auto"/>
              </w:rPr>
            </w:pPr>
            <w:r>
              <w:rPr>
                <w:rFonts w:ascii="Arial" w:cs="Arial" w:eastAsia="Arial" w:hAnsi="Arial"/>
                <w:sz w:val="18"/>
                <w:szCs w:val="18"/>
                <w:color w:val="auto"/>
              </w:rPr>
              <w:t>60,100</w:t>
            </w:r>
          </w:p>
        </w:tc>
        <w:tc>
          <w:tcPr>
            <w:tcW w:w="1320" w:type="dxa"/>
            <w:vAlign w:val="bottom"/>
            <w:tcBorders>
              <w:bottom w:val="single" w:sz="8" w:color="434F69"/>
              <w:right w:val="single" w:sz="8" w:color="434F69"/>
            </w:tcBorders>
          </w:tcPr>
          <w:p>
            <w:pPr>
              <w:jc w:val="right"/>
              <w:ind w:right="260"/>
              <w:spacing w:after="0"/>
              <w:rPr>
                <w:sz w:val="20"/>
                <w:szCs w:val="20"/>
                <w:color w:val="auto"/>
              </w:rPr>
            </w:pPr>
            <w:r>
              <w:rPr>
                <w:rFonts w:ascii="Arial" w:cs="Arial" w:eastAsia="Arial" w:hAnsi="Arial"/>
                <w:sz w:val="18"/>
                <w:szCs w:val="18"/>
                <w:color w:val="auto"/>
              </w:rPr>
              <w:t>60,100</w:t>
            </w:r>
          </w:p>
        </w:tc>
      </w:tr>
      <w:tr>
        <w:trPr>
          <w:trHeight w:val="250"/>
        </w:trPr>
        <w:tc>
          <w:tcPr>
            <w:tcW w:w="20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340" w:type="dxa"/>
            <w:vAlign w:val="bottom"/>
            <w:tcBorders>
              <w:bottom w:val="single" w:sz="8" w:color="434F69"/>
              <w:right w:val="single" w:sz="8" w:color="434F69"/>
            </w:tcBorders>
            <w:shd w:val="clear" w:color="auto" w:fill="D9DCE1"/>
          </w:tcPr>
          <w:p>
            <w:pPr>
              <w:jc w:val="right"/>
              <w:ind w:right="298"/>
              <w:spacing w:after="0"/>
              <w:rPr>
                <w:sz w:val="20"/>
                <w:szCs w:val="20"/>
                <w:color w:val="auto"/>
              </w:rPr>
            </w:pPr>
            <w:r>
              <w:rPr>
                <w:rFonts w:ascii="Arial" w:cs="Arial" w:eastAsia="Arial" w:hAnsi="Arial"/>
                <w:sz w:val="18"/>
                <w:szCs w:val="18"/>
                <w:color w:val="auto"/>
              </w:rPr>
              <w:t>300%</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$1,200,000</w:t>
            </w:r>
          </w:p>
        </w:tc>
        <w:tc>
          <w:tcPr>
            <w:tcW w:w="12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8"/>
              </w:rPr>
              <w:t>120,200</w:t>
            </w:r>
          </w:p>
        </w:tc>
        <w:tc>
          <w:tcPr>
            <w:tcW w:w="1100" w:type="dxa"/>
            <w:vAlign w:val="bottom"/>
            <w:tcBorders>
              <w:bottom w:val="single" w:sz="8" w:color="434F69"/>
              <w:right w:val="single" w:sz="8" w:color="434F69"/>
            </w:tcBorders>
            <w:shd w:val="clear" w:color="auto" w:fill="D9DCE1"/>
          </w:tcPr>
          <w:p>
            <w:pPr>
              <w:jc w:val="right"/>
              <w:ind w:right="160"/>
              <w:spacing w:after="0"/>
              <w:rPr>
                <w:sz w:val="20"/>
                <w:szCs w:val="20"/>
                <w:color w:val="auto"/>
              </w:rPr>
            </w:pPr>
            <w:r>
              <w:rPr>
                <w:rFonts w:ascii="Arial" w:cs="Arial" w:eastAsia="Arial" w:hAnsi="Arial"/>
                <w:sz w:val="18"/>
                <w:szCs w:val="18"/>
                <w:color w:val="auto"/>
              </w:rPr>
              <w:t>60,100</w:t>
            </w:r>
          </w:p>
        </w:tc>
        <w:tc>
          <w:tcPr>
            <w:tcW w:w="1320" w:type="dxa"/>
            <w:vAlign w:val="bottom"/>
            <w:tcBorders>
              <w:bottom w:val="single" w:sz="8" w:color="434F69"/>
              <w:right w:val="single" w:sz="8" w:color="434F69"/>
            </w:tcBorders>
            <w:shd w:val="clear" w:color="auto" w:fill="D9DCE1"/>
          </w:tcPr>
          <w:p>
            <w:pPr>
              <w:jc w:val="right"/>
              <w:ind w:right="260"/>
              <w:spacing w:after="0"/>
              <w:rPr>
                <w:sz w:val="20"/>
                <w:szCs w:val="20"/>
                <w:color w:val="auto"/>
              </w:rPr>
            </w:pPr>
            <w:r>
              <w:rPr>
                <w:rFonts w:ascii="Arial" w:cs="Arial" w:eastAsia="Arial" w:hAnsi="Arial"/>
                <w:sz w:val="18"/>
                <w:szCs w:val="18"/>
                <w:color w:val="auto"/>
              </w:rPr>
              <w:t>60,100</w:t>
            </w:r>
          </w:p>
        </w:tc>
      </w:tr>
      <w:tr>
        <w:trPr>
          <w:trHeight w:val="250"/>
        </w:trPr>
        <w:tc>
          <w:tcPr>
            <w:tcW w:w="20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40" w:type="dxa"/>
            <w:vAlign w:val="bottom"/>
            <w:tcBorders>
              <w:bottom w:val="single" w:sz="8" w:color="434F69"/>
              <w:right w:val="single" w:sz="8" w:color="434F69"/>
            </w:tcBorders>
          </w:tcPr>
          <w:p>
            <w:pPr>
              <w:jc w:val="right"/>
              <w:ind w:right="298"/>
              <w:spacing w:after="0"/>
              <w:rPr>
                <w:sz w:val="20"/>
                <w:szCs w:val="20"/>
                <w:color w:val="auto"/>
              </w:rPr>
            </w:pPr>
            <w:r>
              <w:rPr>
                <w:rFonts w:ascii="Arial" w:cs="Arial" w:eastAsia="Arial" w:hAnsi="Arial"/>
                <w:sz w:val="18"/>
                <w:szCs w:val="18"/>
                <w:color w:val="auto"/>
              </w:rPr>
              <w:t>300%</w:t>
            </w:r>
          </w:p>
        </w:tc>
        <w:tc>
          <w:tcPr>
            <w:tcW w:w="11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$1,200,000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8"/>
              </w:rPr>
              <w:t>120,200</w:t>
            </w:r>
          </w:p>
        </w:tc>
        <w:tc>
          <w:tcPr>
            <w:tcW w:w="1100" w:type="dxa"/>
            <w:vAlign w:val="bottom"/>
            <w:tcBorders>
              <w:bottom w:val="single" w:sz="8" w:color="434F69"/>
              <w:right w:val="single" w:sz="8" w:color="434F69"/>
            </w:tcBorders>
          </w:tcPr>
          <w:p>
            <w:pPr>
              <w:jc w:val="right"/>
              <w:ind w:right="160"/>
              <w:spacing w:after="0"/>
              <w:rPr>
                <w:sz w:val="20"/>
                <w:szCs w:val="20"/>
                <w:color w:val="auto"/>
              </w:rPr>
            </w:pPr>
            <w:r>
              <w:rPr>
                <w:rFonts w:ascii="Arial" w:cs="Arial" w:eastAsia="Arial" w:hAnsi="Arial"/>
                <w:sz w:val="18"/>
                <w:szCs w:val="18"/>
                <w:color w:val="auto"/>
              </w:rPr>
              <w:t>60,100</w:t>
            </w:r>
          </w:p>
        </w:tc>
        <w:tc>
          <w:tcPr>
            <w:tcW w:w="1320" w:type="dxa"/>
            <w:vAlign w:val="bottom"/>
            <w:tcBorders>
              <w:bottom w:val="single" w:sz="8" w:color="434F69"/>
              <w:right w:val="single" w:sz="8" w:color="434F69"/>
            </w:tcBorders>
          </w:tcPr>
          <w:p>
            <w:pPr>
              <w:jc w:val="right"/>
              <w:ind w:right="260"/>
              <w:spacing w:after="0"/>
              <w:rPr>
                <w:sz w:val="20"/>
                <w:szCs w:val="20"/>
                <w:color w:val="auto"/>
              </w:rPr>
            </w:pPr>
            <w:r>
              <w:rPr>
                <w:rFonts w:ascii="Arial" w:cs="Arial" w:eastAsia="Arial" w:hAnsi="Arial"/>
                <w:sz w:val="18"/>
                <w:szCs w:val="18"/>
                <w:color w:val="auto"/>
              </w:rPr>
              <w:t>60,100</w:t>
            </w:r>
          </w:p>
        </w:tc>
      </w:tr>
    </w:tbl>
    <w:p>
      <w:pPr>
        <w:spacing w:after="0" w:line="67" w:lineRule="exact"/>
        <w:rPr>
          <w:sz w:val="20"/>
          <w:szCs w:val="20"/>
          <w:color w:val="auto"/>
        </w:rPr>
      </w:pPr>
    </w:p>
    <w:p>
      <w:pPr>
        <w:ind w:left="1620" w:right="740" w:hanging="360"/>
        <w:spacing w:after="0" w:line="214" w:lineRule="auto"/>
        <w:tabs>
          <w:tab w:leader="none" w:pos="162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2021 distribution ($9.98).</w:t>
      </w:r>
    </w:p>
    <w:p>
      <w:pPr>
        <w:spacing w:after="0" w:line="69" w:lineRule="exact"/>
        <w:rPr>
          <w:rFonts w:ascii="Arial" w:cs="Arial" w:eastAsia="Arial" w:hAnsi="Arial"/>
          <w:sz w:val="27"/>
          <w:szCs w:val="27"/>
          <w:color w:val="auto"/>
          <w:vertAlign w:val="superscript"/>
        </w:rPr>
      </w:pPr>
    </w:p>
    <w:p>
      <w:pPr>
        <w:ind w:left="1620" w:right="500" w:hanging="360"/>
        <w:spacing w:after="0" w:line="200" w:lineRule="auto"/>
        <w:tabs>
          <w:tab w:leader="none" w:pos="162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2021 long-term incentive program.</w:t>
      </w:r>
    </w:p>
    <w:p>
      <w:pPr>
        <w:spacing w:after="0" w:line="149" w:lineRule="exact"/>
        <w:rPr>
          <w:sz w:val="20"/>
          <w:szCs w:val="20"/>
          <w:color w:val="auto"/>
        </w:rPr>
      </w:pPr>
    </w:p>
    <w:p>
      <w:pPr>
        <w:jc w:val="both"/>
        <w:ind w:left="1260" w:right="640" w:firstLine="360"/>
        <w:spacing w:after="0"/>
        <w:rPr>
          <w:sz w:val="20"/>
          <w:szCs w:val="20"/>
          <w:color w:val="auto"/>
        </w:rPr>
      </w:pPr>
      <w:r>
        <w:rPr>
          <w:rFonts w:ascii="Arial" w:cs="Arial" w:eastAsia="Arial" w:hAnsi="Arial"/>
          <w:sz w:val="18"/>
          <w:szCs w:val="18"/>
          <w:color w:val="auto"/>
        </w:rPr>
        <w:t>The 2021 time-vested phantom units will vest (become payable 1-for-1 in PAA common units) on the August 2024 distribution date. The performance-vested phantom units will potentially vest on the August 2024 distribution date at a scaled payout range of between 0% to 200% based on:</w:t>
      </w:r>
    </w:p>
    <w:p>
      <w:pPr>
        <w:spacing w:after="0" w:line="122" w:lineRule="exact"/>
        <w:rPr>
          <w:sz w:val="20"/>
          <w:szCs w:val="20"/>
          <w:color w:val="auto"/>
        </w:rPr>
      </w:pPr>
    </w:p>
    <w:p>
      <w:pPr>
        <w:ind w:left="1980" w:right="500" w:hanging="360"/>
        <w:spacing w:after="0" w:line="250"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50% Relative TSR with Negative TSR Modifier</w:t>
      </w:r>
      <w:r>
        <w:rPr>
          <w:rFonts w:ascii="Arial" w:cs="Arial" w:eastAsia="Arial" w:hAnsi="Arial"/>
          <w:sz w:val="18"/>
          <w:szCs w:val="18"/>
          <w:color w:val="auto"/>
        </w:rPr>
        <w:t>: PAA’s TSR measured over the three-year period ending June 30, 2024 compared to the TSR of the TSR Comparator Peer Group identified on page 31 above (if PAA’s relative TSR results in a payout of over 100%, but actual TSR is negative, the payout on this portion of the award will be reduced by 25</w:t>
      </w:r>
    </w:p>
    <w:p>
      <w:pPr>
        <w:spacing w:after="0" w:line="1"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gross percentage points, but not below 100%); and</w:t>
      </w:r>
    </w:p>
    <w:p>
      <w:pPr>
        <w:spacing w:after="0" w:line="157" w:lineRule="exact"/>
        <w:rPr>
          <w:rFonts w:ascii="Arial" w:cs="Arial" w:eastAsia="Arial" w:hAnsi="Arial"/>
          <w:sz w:val="18"/>
          <w:szCs w:val="18"/>
          <w:color w:val="auto"/>
        </w:rPr>
      </w:pPr>
    </w:p>
    <w:p>
      <w:pPr>
        <w:ind w:left="1980" w:right="460" w:hanging="360"/>
        <w:spacing w:after="0" w:line="254"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50% DCF per CUE with Leverage Modifier</w:t>
      </w:r>
      <w:r>
        <w:rPr>
          <w:rFonts w:ascii="Arial" w:cs="Arial" w:eastAsia="Arial" w:hAnsi="Arial"/>
          <w:sz w:val="18"/>
          <w:szCs w:val="18"/>
          <w:color w:val="auto"/>
        </w:rPr>
        <w:t>: PAA achieving cumulative DCF per CUE of $6.00 over the three-year period ending June 30, 2024 (payout may be decreased or increased (but not above 200%) based on PAA’s leverage ratio as of June 30, 2024 compared to the target leverage ratio set forth in PAA’s multi-year plan as of August 2021).</w:t>
      </w:r>
    </w:p>
    <w:p>
      <w:pPr>
        <w:spacing w:after="0" w:line="123" w:lineRule="exact"/>
        <w:rPr>
          <w:sz w:val="20"/>
          <w:szCs w:val="20"/>
          <w:color w:val="auto"/>
        </w:rPr>
      </w:pPr>
    </w:p>
    <w:p>
      <w:pPr>
        <w:ind w:left="1260" w:right="460" w:firstLine="360"/>
        <w:spacing w:after="0" w:line="237" w:lineRule="auto"/>
        <w:rPr>
          <w:sz w:val="20"/>
          <w:szCs w:val="20"/>
          <w:color w:val="auto"/>
        </w:rPr>
      </w:pPr>
      <w:r>
        <w:rPr>
          <w:rFonts w:ascii="Arial" w:cs="Arial" w:eastAsia="Arial" w:hAnsi="Arial"/>
          <w:sz w:val="18"/>
          <w:szCs w:val="18"/>
          <w:color w:val="auto"/>
        </w:rPr>
        <w:t>DERs associated with the time-vested phantom units will accrue for the first year and such accrued amount will be paid in cash in a lump sum on the August 2022 distribution date; beginning in November 2022, DERs on such time-vested phantom units will be paid quarterly until the associated phantom units vest. DERs associated with the performance-vested phantom units will accrue during the three-year performance period and be paid in cash in a lump sum on the August 2024 distribution date with respect to the number of such phantom units, if any, that vest on such date. See the “Grants of Plan Based Awards Table” below for additional information regarding the 2021 annual grants.</w:t>
      </w:r>
    </w:p>
    <w:p>
      <w:pPr>
        <w:sectPr>
          <w:pgSz w:w="11900" w:h="16838" w:orient="portrait"/>
          <w:cols w:equalWidth="0" w:num="1">
            <w:col w:w="9900"/>
          </w:cols>
          <w:pgMar w:left="580" w:top="132" w:right="1419"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132" w:right="1419"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and directors collectively own substantial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 PAA and PAGP. As of March 28, 2022, the Named Executive Officers beneficially owned, in the aggregate, approximately 11.0 million units of equity interests in PAA and/or PAGP with an approximate market value of $120 million, and all executive officers and directors beneficially owned, in the aggregate, approximately 79.0 million units of equity interests in PAA and/or PAGP with an approximate market value of $863 million.</w:t>
      </w:r>
    </w:p>
    <w:p>
      <w:pPr>
        <w:spacing w:after="0" w:line="116"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i w:val="1"/>
          <w:iCs w:val="1"/>
          <w:color w:val="auto"/>
        </w:rPr>
        <w:t xml:space="preserve">Equity Ownership Guidelines. </w:t>
      </w:r>
      <w:r>
        <w:rPr>
          <w:rFonts w:ascii="Arial" w:cs="Arial" w:eastAsia="Arial" w:hAnsi="Arial"/>
          <w:sz w:val="18"/>
          <w:szCs w:val="18"/>
          <w:color w:val="auto"/>
        </w:rPr>
        <w:t>In November 2020, the Board adopted Equity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to further align the 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p>
    <w:p>
      <w:pPr>
        <w:spacing w:after="0" w:line="162" w:lineRule="exact"/>
        <w:rPr>
          <w:sz w:val="20"/>
          <w:szCs w:val="20"/>
          <w:color w:val="auto"/>
        </w:rPr>
      </w:pPr>
    </w:p>
    <w:tbl>
      <w:tblPr>
        <w:tblLayout w:type="fixed"/>
        <w:tblInd w:w="1630" w:type="dxa"/>
        <w:tblCellMar>
          <w:top w:w="0" w:type="dxa"/>
          <w:left w:w="0" w:type="dxa"/>
          <w:bottom w:w="0" w:type="dxa"/>
          <w:right w:w="0" w:type="dxa"/>
        </w:tblCellMar>
      </w:tblPr>
      <w:tr>
        <w:trPr>
          <w:trHeight w:val="243"/>
        </w:trPr>
        <w:tc>
          <w:tcPr>
            <w:tcW w:w="400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Title</w:t>
            </w:r>
          </w:p>
        </w:tc>
        <w:tc>
          <w:tcPr>
            <w:tcW w:w="3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Multiple of Base Salary or Annual Cash Retainer</w:t>
            </w:r>
          </w:p>
        </w:tc>
      </w:tr>
      <w:tr>
        <w:trPr>
          <w:trHeight w:val="250"/>
        </w:trPr>
        <w:tc>
          <w:tcPr>
            <w:tcW w:w="40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CEO</w:t>
            </w:r>
          </w:p>
        </w:tc>
        <w:tc>
          <w:tcPr>
            <w:tcW w:w="34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4"/>
              </w:rPr>
              <w:t>6x</w:t>
            </w:r>
          </w:p>
        </w:tc>
      </w:tr>
      <w:tr>
        <w:trPr>
          <w:trHeight w:val="250"/>
        </w:trPr>
        <w:tc>
          <w:tcPr>
            <w:tcW w:w="40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President</w:t>
            </w:r>
          </w:p>
        </w:tc>
        <w:tc>
          <w:tcPr>
            <w:tcW w:w="34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4"/>
              </w:rPr>
              <w:t>5x</w:t>
            </w:r>
          </w:p>
        </w:tc>
      </w:tr>
      <w:tr>
        <w:trPr>
          <w:trHeight w:val="250"/>
        </w:trPr>
        <w:tc>
          <w:tcPr>
            <w:tcW w:w="40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EVP</w:t>
            </w:r>
          </w:p>
        </w:tc>
        <w:tc>
          <w:tcPr>
            <w:tcW w:w="34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4"/>
              </w:rPr>
              <w:t>3x</w:t>
            </w:r>
          </w:p>
        </w:tc>
      </w:tr>
      <w:tr>
        <w:trPr>
          <w:trHeight w:val="250"/>
        </w:trPr>
        <w:tc>
          <w:tcPr>
            <w:tcW w:w="400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SVP</w:t>
            </w:r>
          </w:p>
        </w:tc>
        <w:tc>
          <w:tcPr>
            <w:tcW w:w="34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4"/>
              </w:rPr>
              <w:t>1x</w:t>
            </w:r>
          </w:p>
        </w:tc>
      </w:tr>
      <w:tr>
        <w:trPr>
          <w:trHeight w:val="250"/>
        </w:trPr>
        <w:tc>
          <w:tcPr>
            <w:tcW w:w="400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Director</w:t>
            </w:r>
          </w:p>
        </w:tc>
        <w:tc>
          <w:tcPr>
            <w:tcW w:w="34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4"/>
              </w:rPr>
              <w:t>5x</w:t>
            </w:r>
          </w:p>
        </w:tc>
      </w:tr>
    </w:tbl>
    <w:p>
      <w:pPr>
        <w:spacing w:after="0" w:line="134"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Executive officers and directors are expected to meet these guidelines within five years after the later of becoming subject to the guidelines or the date of adoption of the guidelines. The compliance date for current executive officers and directors is November 2025, except for Mr. McCarthy whose compliance date is August 2026. All current executive officers and directors are on track to meet the applicable guidelines on their respective compliance dates. Executive officers and directors are required to hold 100% of units/shares acquired upon vesting of phantom units or phantom shares until ownership guidelines are met (“hold until met” requirement).</w:t>
      </w:r>
    </w:p>
    <w:p>
      <w:pPr>
        <w:spacing w:after="0" w:line="117"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i w:val="1"/>
          <w:iCs w:val="1"/>
          <w:color w:val="auto"/>
        </w:rPr>
        <w:t>Anti-Hedging and Pledging Policies</w:t>
      </w:r>
      <w:r>
        <w:rPr>
          <w:rFonts w:ascii="Arial" w:cs="Arial" w:eastAsia="Arial" w:hAnsi="Arial"/>
          <w:sz w:val="18"/>
          <w:szCs w:val="18"/>
          <w:color w:val="auto"/>
        </w:rPr>
        <w:t>. 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in a margin account.</w:t>
      </w:r>
    </w:p>
    <w:p>
      <w:pPr>
        <w:spacing w:after="0" w:line="116" w:lineRule="exact"/>
        <w:rPr>
          <w:sz w:val="20"/>
          <w:szCs w:val="20"/>
          <w:color w:val="auto"/>
        </w:rPr>
      </w:pPr>
    </w:p>
    <w:p>
      <w:pPr>
        <w:ind w:left="1260" w:right="539" w:firstLine="360"/>
        <w:spacing w:after="0" w:line="245"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In November 2020, the Board also adopted a Clawback Policy to further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interests of our executive officers with the interests of our unitholders, incentivize appropriate behaviors and discourage excessive risk taking. The Clawback Policy covers all executive officers and includes the following clawback triggers and related recoveries:</w:t>
      </w:r>
    </w:p>
    <w:p>
      <w:pPr>
        <w:spacing w:after="0" w:line="77" w:lineRule="exact"/>
        <w:rPr>
          <w:sz w:val="20"/>
          <w:szCs w:val="20"/>
          <w:color w:val="auto"/>
        </w:rPr>
      </w:pPr>
    </w:p>
    <w:p>
      <w:pPr>
        <w:ind w:left="1800" w:right="619" w:hanging="180"/>
        <w:spacing w:after="0" w:line="256"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Fraud or intentional/unlawful conduct that contributes to a material financial restatement that results in over-payment of performance-based compensation (Company may seek recovery of any excess compensation awarded or paid); and</w:t>
      </w:r>
    </w:p>
    <w:p>
      <w:pPr>
        <w:spacing w:after="0" w:line="93"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unvested time-based equity awards granted or paid during the 3-year period prior to discovery of the misconduct).</w:t>
      </w:r>
    </w:p>
    <w:p>
      <w:pPr>
        <w:spacing w:after="0" w:line="11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i w:val="1"/>
          <w:iCs w:val="1"/>
          <w:color w:val="auto"/>
        </w:rPr>
        <w:t xml:space="preserve">Change in Control Triggers. </w:t>
      </w:r>
      <w:r>
        <w:rPr>
          <w:rFonts w:ascii="Arial" w:cs="Arial" w:eastAsia="Arial" w:hAnsi="Arial"/>
          <w:sz w:val="17"/>
          <w:szCs w:val="17"/>
          <w:color w:val="auto"/>
        </w:rPr>
        <w:t>Our long-term incentive plan grants provide for accelerated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upon a change of control (as defined in such agreements), but such vesting becomes operative only if the change in control is accompanied by a “change in status” (which includes the termination of employment by GP LLC without cause and certain other circumstances involving a voluntary separation or retirement). We believe this “double trigger” arrangement is appropriate because it provides assurance to the executive, but does not offer a windfall to the executive when there has been no real change in employment status. Pursuant to the legacy AAP Management Unit grant agreements held by</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51" w:lineRule="auto"/>
        <w:rPr>
          <w:sz w:val="20"/>
          <w:szCs w:val="20"/>
          <w:color w:val="auto"/>
        </w:rPr>
      </w:pPr>
      <w:r>
        <w:rPr>
          <w:rFonts w:ascii="Arial" w:cs="Arial" w:eastAsia="Arial" w:hAnsi="Arial"/>
          <w:sz w:val="18"/>
          <w:szCs w:val="18"/>
          <w:color w:val="auto"/>
        </w:rPr>
        <w:t>Messrs. Chiang (375,521 units) and Goebel (37,552 units), upon the occurrence of a change in control, any earned AAP Management Units become vested units. In addition, the provisions in Mr. Pefanis’ legacy employment agreement provide for a severance payment if he terminates employment within three months following a change in control. Mr. Pefanis agreed to a conditional waiver of these provisions with respect to all prior qualifying transactions. See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13"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80"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138"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11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 the case of our long term incentive plan grants, provides a structural mitigant against excessive risk taking to achieve performance targets.</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 term performance goals and we believe that risks arising from our compensation policies and practices for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66" w:lineRule="exact"/>
        <w:rPr>
          <w:sz w:val="20"/>
          <w:szCs w:val="20"/>
          <w:color w:val="auto"/>
        </w:rPr>
      </w:pPr>
    </w:p>
    <w:p>
      <w:pPr>
        <w:jc w:val="both"/>
        <w:ind w:left="1260" w:right="519" w:firstLine="360"/>
        <w:spacing w:after="0" w:line="238" w:lineRule="auto"/>
        <w:rPr>
          <w:sz w:val="20"/>
          <w:szCs w:val="20"/>
          <w:color w:val="auto"/>
        </w:rPr>
      </w:pPr>
      <w:r>
        <w:rPr>
          <w:rFonts w:ascii="Arial" w:cs="Arial" w:eastAsia="Arial" w:hAnsi="Arial"/>
          <w:sz w:val="18"/>
          <w:szCs w:val="18"/>
          <w:color w:val="auto"/>
        </w:rPr>
        <w:t>The following table sets forth certain compensation information for our Named Executive Officers. As a result of his request to not participate in the 2021 long-term incentive program, Mr. Pefanis is not one of the three most highly compensated executive officers, but he is included as a Named Executive Officer given the significance of his role as President of Plains.</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2540" w:type="dxa"/>
            <w:vAlign w:val="bottom"/>
            <w:tcBorders>
              <w:left w:val="single" w:sz="8" w:color="434F69"/>
              <w:right w:val="single" w:sz="8" w:color="434F69"/>
            </w:tcBorders>
            <w:shd w:val="clear" w:color="auto" w:fill="434F69"/>
          </w:tcPr>
          <w:p>
            <w:pPr>
              <w:spacing w:after="0"/>
              <w:rPr>
                <w:sz w:val="17"/>
                <w:szCs w:val="17"/>
                <w:color w:val="auto"/>
              </w:rPr>
            </w:pPr>
          </w:p>
        </w:tc>
        <w:tc>
          <w:tcPr>
            <w:tcW w:w="560" w:type="dxa"/>
            <w:vAlign w:val="bottom"/>
            <w:tcBorders>
              <w:right w:val="single" w:sz="8" w:color="434F69"/>
            </w:tcBorders>
            <w:shd w:val="clear" w:color="auto" w:fill="434F69"/>
          </w:tcPr>
          <w:p>
            <w:pPr>
              <w:spacing w:after="0"/>
              <w:rPr>
                <w:sz w:val="17"/>
                <w:szCs w:val="17"/>
                <w:color w:val="auto"/>
              </w:rPr>
            </w:pPr>
          </w:p>
        </w:tc>
        <w:tc>
          <w:tcPr>
            <w:tcW w:w="780" w:type="dxa"/>
            <w:vAlign w:val="bottom"/>
            <w:tcBorders>
              <w:right w:val="single" w:sz="8" w:color="434F69"/>
            </w:tcBorders>
            <w:shd w:val="clear" w:color="auto" w:fill="434F69"/>
          </w:tcPr>
          <w:p>
            <w:pPr>
              <w:spacing w:after="0"/>
              <w:rPr>
                <w:sz w:val="17"/>
                <w:szCs w:val="17"/>
                <w:color w:val="auto"/>
              </w:rPr>
            </w:pPr>
          </w:p>
        </w:tc>
        <w:tc>
          <w:tcPr>
            <w:tcW w:w="940" w:type="dxa"/>
            <w:vAlign w:val="bottom"/>
            <w:tcBorders>
              <w:right w:val="single" w:sz="8" w:color="434F69"/>
            </w:tcBorders>
            <w:shd w:val="clear" w:color="auto" w:fill="434F69"/>
          </w:tcPr>
          <w:p>
            <w:pPr>
              <w:spacing w:after="0"/>
              <w:rPr>
                <w:sz w:val="17"/>
                <w:szCs w:val="17"/>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Non-Equity</w:t>
            </w:r>
          </w:p>
        </w:tc>
        <w:tc>
          <w:tcPr>
            <w:tcW w:w="1240" w:type="dxa"/>
            <w:vAlign w:val="bottom"/>
            <w:tcBorders>
              <w:right w:val="single" w:sz="8" w:color="434F69"/>
            </w:tcBorders>
            <w:shd w:val="clear" w:color="auto" w:fill="434F69"/>
          </w:tcPr>
          <w:p>
            <w:pPr>
              <w:spacing w:after="0"/>
              <w:rPr>
                <w:sz w:val="17"/>
                <w:szCs w:val="17"/>
                <w:color w:val="auto"/>
              </w:rPr>
            </w:pPr>
          </w:p>
        </w:tc>
        <w:tc>
          <w:tcPr>
            <w:tcW w:w="920" w:type="dxa"/>
            <w:vAlign w:val="bottom"/>
            <w:tcBorders>
              <w:right w:val="single" w:sz="8" w:color="434F69"/>
            </w:tcBorders>
            <w:shd w:val="clear" w:color="auto" w:fill="434F69"/>
          </w:tcPr>
          <w:p>
            <w:pPr>
              <w:spacing w:after="0"/>
              <w:rPr>
                <w:sz w:val="17"/>
                <w:szCs w:val="17"/>
                <w:color w:val="auto"/>
              </w:rPr>
            </w:pPr>
          </w:p>
        </w:tc>
      </w:tr>
      <w:tr>
        <w:trPr>
          <w:trHeight w:val="162"/>
        </w:trPr>
        <w:tc>
          <w:tcPr>
            <w:tcW w:w="2540" w:type="dxa"/>
            <w:vAlign w:val="bottom"/>
            <w:tcBorders>
              <w:left w:val="single" w:sz="8" w:color="434F69"/>
              <w:right w:val="single" w:sz="8" w:color="434F69"/>
            </w:tcBorders>
            <w:shd w:val="clear" w:color="auto" w:fill="434F69"/>
          </w:tcPr>
          <w:p>
            <w:pPr>
              <w:spacing w:after="0"/>
              <w:rPr>
                <w:sz w:val="14"/>
                <w:szCs w:val="14"/>
                <w:color w:val="auto"/>
              </w:rPr>
            </w:pPr>
          </w:p>
        </w:tc>
        <w:tc>
          <w:tcPr>
            <w:tcW w:w="560" w:type="dxa"/>
            <w:vAlign w:val="bottom"/>
            <w:tcBorders>
              <w:right w:val="single" w:sz="8" w:color="434F69"/>
            </w:tcBorders>
            <w:shd w:val="clear" w:color="auto" w:fill="434F69"/>
          </w:tcPr>
          <w:p>
            <w:pPr>
              <w:spacing w:after="0"/>
              <w:rPr>
                <w:sz w:val="14"/>
                <w:szCs w:val="14"/>
                <w:color w:val="auto"/>
              </w:rPr>
            </w:pPr>
          </w:p>
        </w:tc>
        <w:tc>
          <w:tcPr>
            <w:tcW w:w="780" w:type="dxa"/>
            <w:vAlign w:val="bottom"/>
            <w:tcBorders>
              <w:right w:val="single" w:sz="8" w:color="434F69"/>
            </w:tcBorders>
            <w:shd w:val="clear" w:color="auto" w:fill="434F69"/>
          </w:tcPr>
          <w:p>
            <w:pPr>
              <w:spacing w:after="0"/>
              <w:rPr>
                <w:sz w:val="14"/>
                <w:szCs w:val="14"/>
                <w:color w:val="auto"/>
              </w:rPr>
            </w:pPr>
          </w:p>
        </w:tc>
        <w:tc>
          <w:tcPr>
            <w:tcW w:w="940" w:type="dxa"/>
            <w:vAlign w:val="bottom"/>
            <w:tcBorders>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Incentive</w:t>
            </w:r>
          </w:p>
        </w:tc>
        <w:tc>
          <w:tcPr>
            <w:tcW w:w="1240" w:type="dxa"/>
            <w:vAlign w:val="bottom"/>
            <w:tcBorders>
              <w:right w:val="single" w:sz="8" w:color="434F69"/>
            </w:tcBorders>
            <w:shd w:val="clear" w:color="auto" w:fill="434F69"/>
          </w:tcPr>
          <w:p>
            <w:pPr>
              <w:spacing w:after="0"/>
              <w:rPr>
                <w:sz w:val="14"/>
                <w:szCs w:val="14"/>
                <w:color w:val="auto"/>
              </w:rPr>
            </w:pPr>
          </w:p>
        </w:tc>
        <w:tc>
          <w:tcPr>
            <w:tcW w:w="920" w:type="dxa"/>
            <w:vAlign w:val="bottom"/>
            <w:tcBorders>
              <w:right w:val="single" w:sz="8" w:color="434F69"/>
            </w:tcBorders>
            <w:shd w:val="clear" w:color="auto" w:fill="434F69"/>
          </w:tcPr>
          <w:p>
            <w:pPr>
              <w:spacing w:after="0"/>
              <w:rPr>
                <w:sz w:val="14"/>
                <w:szCs w:val="14"/>
                <w:color w:val="auto"/>
              </w:rPr>
            </w:pPr>
          </w:p>
        </w:tc>
      </w:tr>
      <w:tr>
        <w:trPr>
          <w:trHeight w:val="162"/>
        </w:trPr>
        <w:tc>
          <w:tcPr>
            <w:tcW w:w="2540" w:type="dxa"/>
            <w:vAlign w:val="bottom"/>
            <w:tcBorders>
              <w:left w:val="single" w:sz="8" w:color="434F69"/>
              <w:right w:val="single" w:sz="8" w:color="434F69"/>
            </w:tcBorders>
            <w:shd w:val="clear" w:color="auto" w:fill="434F69"/>
          </w:tcPr>
          <w:p>
            <w:pPr>
              <w:spacing w:after="0"/>
              <w:rPr>
                <w:sz w:val="14"/>
                <w:szCs w:val="14"/>
                <w:color w:val="auto"/>
              </w:rPr>
            </w:pPr>
          </w:p>
        </w:tc>
        <w:tc>
          <w:tcPr>
            <w:tcW w:w="560" w:type="dxa"/>
            <w:vAlign w:val="bottom"/>
            <w:tcBorders>
              <w:right w:val="single" w:sz="8" w:color="434F69"/>
            </w:tcBorders>
            <w:shd w:val="clear" w:color="auto" w:fill="434F69"/>
          </w:tcPr>
          <w:p>
            <w:pPr>
              <w:spacing w:after="0"/>
              <w:rPr>
                <w:sz w:val="14"/>
                <w:szCs w:val="14"/>
                <w:color w:val="auto"/>
              </w:rPr>
            </w:pPr>
          </w:p>
        </w:tc>
        <w:tc>
          <w:tcPr>
            <w:tcW w:w="780" w:type="dxa"/>
            <w:vAlign w:val="bottom"/>
            <w:tcBorders>
              <w:right w:val="single" w:sz="8" w:color="434F69"/>
            </w:tcBorders>
            <w:shd w:val="clear" w:color="auto" w:fill="434F69"/>
          </w:tcPr>
          <w:p>
            <w:pPr>
              <w:spacing w:after="0"/>
              <w:rPr>
                <w:sz w:val="14"/>
                <w:szCs w:val="14"/>
                <w:color w:val="auto"/>
              </w:rPr>
            </w:pPr>
          </w:p>
        </w:tc>
        <w:tc>
          <w:tcPr>
            <w:tcW w:w="9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Stock</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Plan</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All Other</w:t>
            </w:r>
          </w:p>
        </w:tc>
        <w:tc>
          <w:tcPr>
            <w:tcW w:w="920" w:type="dxa"/>
            <w:vAlign w:val="bottom"/>
            <w:tcBorders>
              <w:right w:val="single" w:sz="8" w:color="434F69"/>
            </w:tcBorders>
            <w:shd w:val="clear" w:color="auto" w:fill="434F69"/>
          </w:tcPr>
          <w:p>
            <w:pPr>
              <w:spacing w:after="0"/>
              <w:rPr>
                <w:sz w:val="14"/>
                <w:szCs w:val="14"/>
                <w:color w:val="auto"/>
              </w:rPr>
            </w:pPr>
          </w:p>
        </w:tc>
      </w:tr>
      <w:tr>
        <w:trPr>
          <w:trHeight w:val="151"/>
        </w:trPr>
        <w:tc>
          <w:tcPr>
            <w:tcW w:w="2540" w:type="dxa"/>
            <w:vAlign w:val="bottom"/>
            <w:tcBorders>
              <w:left w:val="single" w:sz="8" w:color="434F69"/>
              <w:right w:val="single" w:sz="8" w:color="434F69"/>
            </w:tcBorders>
            <w:shd w:val="clear" w:color="auto" w:fill="434F69"/>
          </w:tcPr>
          <w:p>
            <w:pPr>
              <w:ind w:left="60"/>
              <w:spacing w:after="0" w:line="151" w:lineRule="exact"/>
              <w:rPr>
                <w:sz w:val="20"/>
                <w:szCs w:val="20"/>
                <w:color w:val="auto"/>
              </w:rPr>
            </w:pPr>
            <w:r>
              <w:rPr>
                <w:rFonts w:ascii="Arial" w:cs="Arial" w:eastAsia="Arial" w:hAnsi="Arial"/>
                <w:sz w:val="14"/>
                <w:szCs w:val="14"/>
                <w:b w:val="1"/>
                <w:bCs w:val="1"/>
                <w:color w:val="FFFFFF"/>
              </w:rPr>
              <w:t>Name and Current Principal</w:t>
            </w:r>
          </w:p>
        </w:tc>
        <w:tc>
          <w:tcPr>
            <w:tcW w:w="560" w:type="dxa"/>
            <w:vAlign w:val="bottom"/>
            <w:tcBorders>
              <w:right w:val="single" w:sz="8" w:color="434F69"/>
            </w:tcBorders>
            <w:shd w:val="clear" w:color="auto" w:fill="434F69"/>
          </w:tcPr>
          <w:p>
            <w:pPr>
              <w:spacing w:after="0"/>
              <w:rPr>
                <w:sz w:val="13"/>
                <w:szCs w:val="13"/>
                <w:color w:val="auto"/>
              </w:rPr>
            </w:pPr>
          </w:p>
        </w:tc>
        <w:tc>
          <w:tcPr>
            <w:tcW w:w="780" w:type="dxa"/>
            <w:vAlign w:val="bottom"/>
            <w:tcBorders>
              <w:right w:val="single" w:sz="8" w:color="434F69"/>
            </w:tcBorders>
            <w:shd w:val="clear" w:color="auto" w:fill="434F69"/>
          </w:tcPr>
          <w:p>
            <w:pPr>
              <w:ind w:left="140"/>
              <w:spacing w:after="0" w:line="151" w:lineRule="exact"/>
              <w:rPr>
                <w:sz w:val="20"/>
                <w:szCs w:val="20"/>
                <w:color w:val="auto"/>
              </w:rPr>
            </w:pPr>
            <w:r>
              <w:rPr>
                <w:rFonts w:ascii="Arial" w:cs="Arial" w:eastAsia="Arial" w:hAnsi="Arial"/>
                <w:sz w:val="14"/>
                <w:szCs w:val="14"/>
                <w:b w:val="1"/>
                <w:bCs w:val="1"/>
                <w:color w:val="FFFFFF"/>
              </w:rPr>
              <w:t>Salary</w:t>
            </w:r>
          </w:p>
        </w:tc>
        <w:tc>
          <w:tcPr>
            <w:tcW w:w="9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Awards</w:t>
            </w:r>
          </w:p>
        </w:tc>
        <w:tc>
          <w:tcPr>
            <w:tcW w:w="12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Compensation</w:t>
            </w:r>
          </w:p>
        </w:tc>
        <w:tc>
          <w:tcPr>
            <w:tcW w:w="12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Compensation</w:t>
            </w:r>
          </w:p>
        </w:tc>
        <w:tc>
          <w:tcPr>
            <w:tcW w:w="920" w:type="dxa"/>
            <w:vAlign w:val="bottom"/>
            <w:tcBorders>
              <w:right w:val="single" w:sz="8" w:color="434F69"/>
            </w:tcBorders>
            <w:shd w:val="clear" w:color="auto" w:fill="434F69"/>
          </w:tcPr>
          <w:p>
            <w:pPr>
              <w:ind w:left="280"/>
              <w:spacing w:after="0" w:line="151" w:lineRule="exact"/>
              <w:rPr>
                <w:sz w:val="20"/>
                <w:szCs w:val="20"/>
                <w:color w:val="auto"/>
              </w:rPr>
            </w:pPr>
            <w:r>
              <w:rPr>
                <w:rFonts w:ascii="Arial" w:cs="Arial" w:eastAsia="Arial" w:hAnsi="Arial"/>
                <w:sz w:val="14"/>
                <w:szCs w:val="14"/>
                <w:b w:val="1"/>
                <w:bCs w:val="1"/>
                <w:color w:val="FFFFFF"/>
              </w:rPr>
              <w:t>Total</w:t>
            </w:r>
          </w:p>
        </w:tc>
      </w:tr>
      <w:tr>
        <w:trPr>
          <w:trHeight w:val="226"/>
        </w:trPr>
        <w:tc>
          <w:tcPr>
            <w:tcW w:w="25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Position</w:t>
            </w:r>
          </w:p>
        </w:tc>
        <w:tc>
          <w:tcPr>
            <w:tcW w:w="560" w:type="dxa"/>
            <w:vAlign w:val="bottom"/>
            <w:tcBorders>
              <w:right w:val="single" w:sz="8" w:color="434F69"/>
            </w:tcBorders>
            <w:shd w:val="clear" w:color="auto" w:fill="434F69"/>
          </w:tcPr>
          <w:p>
            <w:pPr>
              <w:ind w:left="120"/>
              <w:spacing w:after="0"/>
              <w:rPr>
                <w:sz w:val="20"/>
                <w:szCs w:val="20"/>
                <w:color w:val="auto"/>
              </w:rPr>
            </w:pPr>
            <w:r>
              <w:rPr>
                <w:rFonts w:ascii="Arial" w:cs="Arial" w:eastAsia="Arial" w:hAnsi="Arial"/>
                <w:sz w:val="14"/>
                <w:szCs w:val="14"/>
                <w:b w:val="1"/>
                <w:bCs w:val="1"/>
                <w:color w:val="FFFFFF"/>
              </w:rPr>
              <w:t>Year</w:t>
            </w:r>
          </w:p>
        </w:tc>
        <w:tc>
          <w:tcPr>
            <w:tcW w:w="7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(1)</w:t>
            </w:r>
          </w:p>
        </w:tc>
        <w:tc>
          <w:tcPr>
            <w:tcW w:w="9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(2)</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(3)</w:t>
            </w: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r>
      <w:tr>
        <w:trPr>
          <w:trHeight w:val="236"/>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Willie Chiang</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2,053,850</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1,720,000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4,392,210</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Chairman and Chief Executive</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2,247,181</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1,425,000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4,290,241</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1,273,118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2,250,000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4,140,878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Harry Pefanis</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1,150,000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1,568,360</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President</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950,000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1,368,060</w:t>
            </w:r>
          </w:p>
        </w:tc>
      </w:tr>
      <w:tr>
        <w:trPr>
          <w:trHeight w:val="237"/>
        </w:trPr>
        <w:tc>
          <w:tcPr>
            <w:tcW w:w="2540" w:type="dxa"/>
            <w:vAlign w:val="bottom"/>
            <w:tcBorders>
              <w:left w:val="single" w:sz="8" w:color="434F69"/>
              <w:bottom w:val="single" w:sz="8" w:color="434F69"/>
              <w:right w:val="single" w:sz="8" w:color="434F69"/>
            </w:tcBorders>
          </w:tcPr>
          <w:p>
            <w:pPr>
              <w:spacing w:after="0"/>
              <w:rPr>
                <w:sz w:val="20"/>
                <w:szCs w:val="20"/>
                <w:color w:val="auto"/>
              </w:rPr>
            </w:pP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1,500,000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1,917,760</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Al Swanson</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980,000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2,219,627</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775,000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2,091,956</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Chief Financial 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509,288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1,200,000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2,127,048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Richard McGee</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1,050,000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2,289,627</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775,000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2,091,956</w:t>
            </w:r>
          </w:p>
        </w:tc>
      </w:tr>
      <w:tr>
        <w:trPr>
          <w:trHeight w:val="204"/>
        </w:trPr>
        <w:tc>
          <w:tcPr>
            <w:tcW w:w="2540" w:type="dxa"/>
            <w:vAlign w:val="bottom"/>
            <w:tcBorders>
              <w:left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General Counsel and</w:t>
            </w:r>
          </w:p>
        </w:tc>
        <w:tc>
          <w:tcPr>
            <w:tcW w:w="560" w:type="dxa"/>
            <w:vAlign w:val="bottom"/>
            <w:tcBorders>
              <w:right w:val="single" w:sz="8" w:color="434F69"/>
            </w:tcBorders>
          </w:tcPr>
          <w:p>
            <w:pPr>
              <w:spacing w:after="0"/>
              <w:rPr>
                <w:sz w:val="17"/>
                <w:szCs w:val="17"/>
                <w:color w:val="auto"/>
              </w:rPr>
            </w:pPr>
          </w:p>
        </w:tc>
        <w:tc>
          <w:tcPr>
            <w:tcW w:w="780" w:type="dxa"/>
            <w:vAlign w:val="bottom"/>
            <w:tcBorders>
              <w:right w:val="single" w:sz="8" w:color="434F69"/>
            </w:tcBorders>
          </w:tcPr>
          <w:p>
            <w:pPr>
              <w:spacing w:after="0"/>
              <w:rPr>
                <w:sz w:val="17"/>
                <w:szCs w:val="17"/>
                <w:color w:val="auto"/>
              </w:rPr>
            </w:pPr>
          </w:p>
        </w:tc>
        <w:tc>
          <w:tcPr>
            <w:tcW w:w="940" w:type="dxa"/>
            <w:vAlign w:val="bottom"/>
            <w:tcBorders>
              <w:right w:val="single" w:sz="8" w:color="434F69"/>
            </w:tcBorders>
          </w:tcPr>
          <w:p>
            <w:pPr>
              <w:spacing w:after="0"/>
              <w:rPr>
                <w:sz w:val="17"/>
                <w:szCs w:val="17"/>
                <w:color w:val="auto"/>
              </w:rPr>
            </w:pPr>
          </w:p>
        </w:tc>
        <w:tc>
          <w:tcPr>
            <w:tcW w:w="1240" w:type="dxa"/>
            <w:vAlign w:val="bottom"/>
            <w:tcBorders>
              <w:right w:val="single" w:sz="8" w:color="434F69"/>
            </w:tcBorders>
          </w:tcPr>
          <w:p>
            <w:pPr>
              <w:spacing w:after="0"/>
              <w:rPr>
                <w:sz w:val="17"/>
                <w:szCs w:val="17"/>
                <w:color w:val="auto"/>
              </w:rPr>
            </w:pPr>
          </w:p>
        </w:tc>
        <w:tc>
          <w:tcPr>
            <w:tcW w:w="1240" w:type="dxa"/>
            <w:vAlign w:val="bottom"/>
            <w:tcBorders>
              <w:right w:val="single" w:sz="8" w:color="434F69"/>
            </w:tcBorders>
          </w:tcPr>
          <w:p>
            <w:pPr>
              <w:spacing w:after="0"/>
              <w:rPr>
                <w:sz w:val="17"/>
                <w:szCs w:val="17"/>
                <w:color w:val="auto"/>
              </w:rPr>
            </w:pPr>
          </w:p>
        </w:tc>
        <w:tc>
          <w:tcPr>
            <w:tcW w:w="920" w:type="dxa"/>
            <w:vAlign w:val="bottom"/>
            <w:tcBorders>
              <w:right w:val="single" w:sz="8" w:color="434F69"/>
            </w:tcBorders>
          </w:tcPr>
          <w:p>
            <w:pPr>
              <w:spacing w:after="0"/>
              <w:rPr>
                <w:sz w:val="17"/>
                <w:szCs w:val="17"/>
                <w:color w:val="auto"/>
              </w:rPr>
            </w:pPr>
          </w:p>
        </w:tc>
      </w:tr>
      <w:tr>
        <w:trPr>
          <w:trHeight w:val="208"/>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Secretary</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509,288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1,200,000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2,127,048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Chris Chandler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1,010,000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2,249,627</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800,000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2,116,956</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Chief Operating 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396,000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4,410,788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1,400,000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6,224,548</w:t>
            </w:r>
          </w:p>
        </w:tc>
      </w:tr>
      <w:tr>
        <w:trPr>
          <w:trHeight w:val="297"/>
        </w:trPr>
        <w:tc>
          <w:tcPr>
            <w:tcW w:w="25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60" w:type="dxa"/>
            <w:vAlign w:val="bottom"/>
            <w:tcBorders>
              <w:bottom w:val="single" w:sz="8" w:color="434F69"/>
              <w:right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3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6"/>
                <w:szCs w:val="16"/>
                <w:color w:val="auto"/>
              </w:rPr>
              <w:t>Jeremy Goebel</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2021</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821,267</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1,170,000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18,360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2,409,627</w:t>
            </w:r>
          </w:p>
        </w:tc>
      </w:tr>
      <w:tr>
        <w:trPr>
          <w:trHeight w:val="237"/>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400,000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898,896</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800,000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18,060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2,116,956</w:t>
            </w:r>
          </w:p>
        </w:tc>
      </w:tr>
      <w:tr>
        <w:trPr>
          <w:trHeight w:val="236"/>
        </w:trPr>
        <w:tc>
          <w:tcPr>
            <w:tcW w:w="254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Chief Commercial Officer</w:t>
            </w:r>
          </w:p>
        </w:tc>
        <w:tc>
          <w:tcPr>
            <w:tcW w:w="56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6"/>
                <w:szCs w:val="16"/>
                <w:color w:val="auto"/>
              </w:rPr>
              <w:t>2019</w:t>
            </w:r>
          </w:p>
        </w:tc>
        <w:tc>
          <w:tcPr>
            <w:tcW w:w="7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396,000</w:t>
            </w:r>
          </w:p>
        </w:tc>
        <w:tc>
          <w:tcPr>
            <w:tcW w:w="940" w:type="dxa"/>
            <w:vAlign w:val="bottom"/>
            <w:tcBorders>
              <w:bottom w:val="single" w:sz="8" w:color="434F69"/>
              <w:right w:val="single" w:sz="8" w:color="434F69"/>
            </w:tcBorders>
          </w:tcPr>
          <w:p>
            <w:pPr>
              <w:jc w:val="right"/>
              <w:ind w:right="20"/>
              <w:spacing w:after="0"/>
              <w:rPr>
                <w:sz w:val="20"/>
                <w:szCs w:val="20"/>
                <w:color w:val="auto"/>
              </w:rPr>
            </w:pPr>
            <w:r>
              <w:rPr>
                <w:rFonts w:ascii="Arial" w:cs="Arial" w:eastAsia="Arial" w:hAnsi="Arial"/>
                <w:sz w:val="16"/>
                <w:szCs w:val="16"/>
                <w:color w:val="auto"/>
              </w:rPr>
              <w:t>4,410,788</w:t>
            </w:r>
          </w:p>
        </w:tc>
        <w:tc>
          <w:tcPr>
            <w:tcW w:w="124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1,400,000</w:t>
            </w:r>
          </w:p>
        </w:tc>
        <w:tc>
          <w:tcPr>
            <w:tcW w:w="12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w w:val="98"/>
              </w:rPr>
              <w:t>17,760</w:t>
            </w:r>
          </w:p>
        </w:tc>
        <w:tc>
          <w:tcPr>
            <w:tcW w:w="9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6"/>
                <w:szCs w:val="16"/>
                <w:color w:val="auto"/>
              </w:rPr>
              <w:t>6,224,548</w:t>
            </w:r>
          </w:p>
        </w:tc>
      </w:tr>
    </w:tbl>
    <w:p>
      <w:pPr>
        <w:spacing w:after="0" w:line="80" w:lineRule="exact"/>
        <w:rPr>
          <w:sz w:val="20"/>
          <w:szCs w:val="20"/>
          <w:color w:val="auto"/>
        </w:rPr>
      </w:pPr>
    </w:p>
    <w:p>
      <w:pPr>
        <w:ind w:left="1620" w:hanging="360"/>
        <w:spacing w:after="0"/>
        <w:tabs>
          <w:tab w:leader="none" w:pos="162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In March 2019, the salaries for each of Messrs. Chandler and Goebel were increased from</w:t>
      </w:r>
    </w:p>
    <w:p>
      <w:pPr>
        <w:ind w:left="1620" w:right="799"/>
        <w:spacing w:after="0" w:line="281" w:lineRule="auto"/>
        <w:rPr>
          <w:rFonts w:ascii="Arial" w:cs="Arial" w:eastAsia="Arial" w:hAnsi="Arial"/>
          <w:sz w:val="27"/>
          <w:szCs w:val="27"/>
          <w:color w:val="auto"/>
          <w:vertAlign w:val="superscript"/>
        </w:rPr>
      </w:pPr>
      <w:r>
        <w:rPr>
          <w:rFonts w:ascii="Arial" w:cs="Arial" w:eastAsia="Arial" w:hAnsi="Arial"/>
          <w:sz w:val="17"/>
          <w:szCs w:val="17"/>
          <w:color w:val="auto"/>
        </w:rPr>
        <w:t>$375,000 to $400,000 in connection with their promotions to the executive vice president level. Salary amounts in the table for Messrs. Chandler and Goebel reflect a blended rate for 2019.</w:t>
      </w:r>
    </w:p>
    <w:p>
      <w:pPr>
        <w:spacing w:after="0" w:line="41" w:lineRule="exact"/>
        <w:rPr>
          <w:rFonts w:ascii="Arial" w:cs="Arial" w:eastAsia="Arial" w:hAnsi="Arial"/>
          <w:sz w:val="27"/>
          <w:szCs w:val="27"/>
          <w:color w:val="auto"/>
          <w:vertAlign w:val="superscript"/>
        </w:rPr>
      </w:pPr>
    </w:p>
    <w:p>
      <w:pPr>
        <w:ind w:left="1620" w:right="699" w:hanging="360"/>
        <w:spacing w:after="0" w:line="231" w:lineRule="auto"/>
        <w:tabs>
          <w:tab w:leader="none" w:pos="1620" w:val="left"/>
        </w:tabs>
        <w:numPr>
          <w:ilvl w:val="0"/>
          <w:numId w:val="49"/>
        </w:numPr>
        <w:rPr>
          <w:rFonts w:ascii="Arial" w:cs="Arial" w:eastAsia="Arial" w:hAnsi="Arial"/>
          <w:sz w:val="27"/>
          <w:szCs w:val="27"/>
          <w:color w:val="auto"/>
          <w:vertAlign w:val="superscript"/>
        </w:rPr>
      </w:pPr>
      <w:r>
        <w:rPr>
          <w:rFonts w:ascii="Arial" w:cs="Arial" w:eastAsia="Arial" w:hAnsi="Arial"/>
          <w:sz w:val="18"/>
          <w:szCs w:val="18"/>
          <w:color w:val="auto"/>
        </w:rPr>
        <w:t>Grant date fair values are presented for phantom unit grants awarded to Messrs. Chiang, Swanson, McGee, Chandler and Goebel in 2019, 2020 and 2021. Dollar amounts in the table represent the aggregate fair value of phantom units awarded based on the probable outcome of underlying performance conditions pursuant to FASB ASC Topic 718. See Note 18 to our Consolidated Financial Statements included in our 2021 Annual Report for further discussion regarding the calculation of grant date fair values.</w:t>
      </w:r>
    </w:p>
    <w:p>
      <w:pPr>
        <w:spacing w:after="0" w:line="68" w:lineRule="exact"/>
        <w:rPr>
          <w:rFonts w:ascii="Arial" w:cs="Arial" w:eastAsia="Arial" w:hAnsi="Arial"/>
          <w:sz w:val="27"/>
          <w:szCs w:val="27"/>
          <w:color w:val="auto"/>
          <w:vertAlign w:val="superscript"/>
        </w:rPr>
      </w:pPr>
    </w:p>
    <w:p>
      <w:pPr>
        <w:ind w:left="1620" w:right="419"/>
        <w:spacing w:after="0" w:line="238" w:lineRule="auto"/>
        <w:rPr>
          <w:rFonts w:ascii="Arial" w:cs="Arial" w:eastAsia="Arial" w:hAnsi="Arial"/>
          <w:sz w:val="27"/>
          <w:szCs w:val="27"/>
          <w:color w:val="auto"/>
          <w:vertAlign w:val="superscript"/>
        </w:rPr>
      </w:pPr>
      <w:r>
        <w:rPr>
          <w:rFonts w:ascii="Arial" w:cs="Arial" w:eastAsia="Arial" w:hAnsi="Arial"/>
          <w:sz w:val="18"/>
          <w:szCs w:val="18"/>
          <w:color w:val="auto"/>
        </w:rPr>
        <w:t>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w:t>
      </w:r>
    </w:p>
    <w:p>
      <w:pPr>
        <w:spacing w:after="0" w:line="56" w:lineRule="exact"/>
        <w:rPr>
          <w:rFonts w:ascii="Arial" w:cs="Arial" w:eastAsia="Arial" w:hAnsi="Arial"/>
          <w:sz w:val="27"/>
          <w:szCs w:val="27"/>
          <w:color w:val="auto"/>
          <w:vertAlign w:val="superscript"/>
        </w:rPr>
      </w:pPr>
    </w:p>
    <w:p>
      <w:pPr>
        <w:ind w:left="1620" w:right="699"/>
        <w:spacing w:after="0"/>
        <w:rPr>
          <w:rFonts w:ascii="Arial" w:cs="Arial" w:eastAsia="Arial" w:hAnsi="Arial"/>
          <w:sz w:val="27"/>
          <w:szCs w:val="27"/>
          <w:color w:val="auto"/>
          <w:vertAlign w:val="superscript"/>
        </w:rPr>
      </w:pPr>
      <w:r>
        <w:rPr>
          <w:rFonts w:ascii="Arial" w:cs="Arial" w:eastAsia="Arial" w:hAnsi="Arial"/>
          <w:sz w:val="18"/>
          <w:szCs w:val="18"/>
          <w:color w:val="auto"/>
        </w:rPr>
        <w:t>For phantom unit grants awarded in November 2019, 50% were deemed probable of vesting on the grant date. The maximum fair value of phantom unit grants awarded in November 2019, assuming</w:t>
      </w:r>
    </w:p>
    <w:p>
      <w:pPr>
        <w:sectPr>
          <w:pgSz w:w="11900" w:h="16838" w:orient="portrait"/>
          <w:cols w:equalWidth="0" w:num="1">
            <w:col w:w="9879"/>
          </w:cols>
          <w:pgMar w:left="580" w:top="132"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that the highest level of performance conditions will be met, was $6,865,000 for each of Messrs.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Chandler and Goebel.</w:t>
      </w:r>
    </w:p>
    <w:p>
      <w:pPr>
        <w:spacing w:after="0" w:line="77" w:lineRule="exact"/>
        <w:rPr>
          <w:sz w:val="20"/>
          <w:szCs w:val="20"/>
          <w:color w:val="auto"/>
        </w:rPr>
      </w:pPr>
    </w:p>
    <w:p>
      <w:pPr>
        <w:ind w:left="1620" w:right="760"/>
        <w:spacing w:after="0" w:line="254" w:lineRule="auto"/>
        <w:rPr>
          <w:sz w:val="20"/>
          <w:szCs w:val="20"/>
          <w:color w:val="auto"/>
        </w:rPr>
      </w:pPr>
      <w:r>
        <w:rPr>
          <w:rFonts w:ascii="Arial" w:cs="Arial" w:eastAsia="Arial" w:hAnsi="Arial"/>
          <w:sz w:val="18"/>
          <w:szCs w:val="18"/>
          <w:color w:val="auto"/>
        </w:rPr>
        <w:t>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55" w:lineRule="exact"/>
        <w:rPr>
          <w:sz w:val="20"/>
          <w:szCs w:val="20"/>
          <w:color w:val="auto"/>
        </w:rPr>
      </w:pPr>
    </w:p>
    <w:p>
      <w:pPr>
        <w:ind w:left="1620" w:right="760"/>
        <w:spacing w:after="0" w:line="254" w:lineRule="auto"/>
        <w:rPr>
          <w:sz w:val="20"/>
          <w:szCs w:val="20"/>
          <w:color w:val="auto"/>
        </w:rPr>
      </w:pPr>
      <w:r>
        <w:rPr>
          <w:rFonts w:ascii="Arial" w:cs="Arial" w:eastAsia="Arial" w:hAnsi="Arial"/>
          <w:sz w:val="18"/>
          <w:szCs w:val="18"/>
          <w:color w:val="auto"/>
        </w:rPr>
        <w:t>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p>
    <w:p>
      <w:pPr>
        <w:spacing w:after="0" w:line="69" w:lineRule="exact"/>
        <w:rPr>
          <w:sz w:val="20"/>
          <w:szCs w:val="20"/>
          <w:color w:val="auto"/>
        </w:rPr>
      </w:pPr>
    </w:p>
    <w:p>
      <w:pPr>
        <w:jc w:val="both"/>
        <w:ind w:left="1620" w:right="820"/>
        <w:spacing w:after="0" w:line="256" w:lineRule="auto"/>
        <w:rPr>
          <w:sz w:val="20"/>
          <w:szCs w:val="20"/>
          <w:color w:val="auto"/>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w:t>
      </w:r>
    </w:p>
    <w:p>
      <w:pPr>
        <w:spacing w:after="0" w:line="53" w:lineRule="exact"/>
        <w:rPr>
          <w:sz w:val="20"/>
          <w:szCs w:val="20"/>
          <w:color w:val="auto"/>
        </w:rPr>
      </w:pPr>
    </w:p>
    <w:p>
      <w:pPr>
        <w:ind w:left="1620" w:right="800" w:hanging="360"/>
        <w:spacing w:after="0" w:line="222" w:lineRule="auto"/>
        <w:tabs>
          <w:tab w:leader="none" w:pos="162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2021 includes $17,400 in matching contributions for each of the Named Executive Officers. The remaining amount represents premium payments on behalf of such Named Executive Officer for group term life insurance.</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80" w:lineRule="exact"/>
        <w:rPr>
          <w:sz w:val="20"/>
          <w:szCs w:val="20"/>
          <w:color w:val="auto"/>
        </w:rPr>
      </w:pPr>
    </w:p>
    <w:p>
      <w:pPr>
        <w:ind w:left="1260" w:right="760" w:firstLine="360"/>
        <w:spacing w:after="0" w:line="261"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2021:</w:t>
      </w:r>
    </w:p>
    <w:p>
      <w:pPr>
        <w:spacing w:after="0" w:line="199" w:lineRule="exact"/>
        <w:rPr>
          <w:sz w:val="20"/>
          <w:szCs w:val="20"/>
          <w:color w:val="auto"/>
        </w:rPr>
      </w:pPr>
    </w:p>
    <w:tbl>
      <w:tblPr>
        <w:tblLayout w:type="fixed"/>
        <w:tblInd w:w="510" w:type="dxa"/>
        <w:tblCellMar>
          <w:top w:w="0" w:type="dxa"/>
          <w:left w:w="0" w:type="dxa"/>
          <w:bottom w:w="0" w:type="dxa"/>
          <w:right w:w="0" w:type="dxa"/>
        </w:tblCellMar>
      </w:tblPr>
      <w:tr>
        <w:trPr>
          <w:trHeight w:val="216"/>
        </w:trPr>
        <w:tc>
          <w:tcPr>
            <w:tcW w:w="1160" w:type="dxa"/>
            <w:vAlign w:val="bottom"/>
            <w:tcBorders>
              <w:left w:val="single" w:sz="8" w:color="434F69"/>
              <w:right w:val="single" w:sz="8" w:color="434F69"/>
            </w:tcBorders>
            <w:shd w:val="clear" w:color="auto" w:fill="434F69"/>
          </w:tcPr>
          <w:p>
            <w:pPr>
              <w:spacing w:after="0"/>
              <w:rPr>
                <w:sz w:val="18"/>
                <w:szCs w:val="18"/>
                <w:color w:val="auto"/>
              </w:rPr>
            </w:pPr>
          </w:p>
        </w:tc>
        <w:tc>
          <w:tcPr>
            <w:tcW w:w="900" w:type="dxa"/>
            <w:vAlign w:val="bottom"/>
            <w:tcBorders>
              <w:right w:val="single" w:sz="8" w:color="434F69"/>
            </w:tcBorders>
            <w:shd w:val="clear" w:color="auto" w:fill="434F69"/>
          </w:tcPr>
          <w:p>
            <w:pPr>
              <w:spacing w:after="0"/>
              <w:rPr>
                <w:sz w:val="18"/>
                <w:szCs w:val="18"/>
                <w:color w:val="auto"/>
              </w:rPr>
            </w:pPr>
          </w:p>
        </w:tc>
        <w:tc>
          <w:tcPr>
            <w:tcW w:w="60" w:type="dxa"/>
            <w:vAlign w:val="bottom"/>
            <w:shd w:val="clear" w:color="auto" w:fill="434F69"/>
          </w:tcPr>
          <w:p>
            <w:pPr>
              <w:spacing w:after="0"/>
              <w:rPr>
                <w:sz w:val="18"/>
                <w:szCs w:val="18"/>
                <w:color w:val="auto"/>
              </w:rPr>
            </w:pPr>
          </w:p>
        </w:tc>
        <w:tc>
          <w:tcPr>
            <w:tcW w:w="860" w:type="dxa"/>
            <w:vAlign w:val="bottom"/>
            <w:tcBorders>
              <w:right w:val="single" w:sz="8" w:color="434F69"/>
            </w:tcBorders>
            <w:shd w:val="clear" w:color="auto" w:fill="434F69"/>
          </w:tcPr>
          <w:p>
            <w:pPr>
              <w:spacing w:after="0"/>
              <w:rPr>
                <w:sz w:val="18"/>
                <w:szCs w:val="18"/>
                <w:color w:val="auto"/>
              </w:rPr>
            </w:pPr>
          </w:p>
        </w:tc>
        <w:tc>
          <w:tcPr>
            <w:tcW w:w="860" w:type="dxa"/>
            <w:vAlign w:val="bottom"/>
            <w:tcBorders>
              <w:right w:val="single" w:sz="8" w:color="434F69"/>
            </w:tcBorders>
            <w:shd w:val="clear" w:color="auto" w:fill="434F69"/>
          </w:tcPr>
          <w:p>
            <w:pPr>
              <w:spacing w:after="0"/>
              <w:rPr>
                <w:sz w:val="18"/>
                <w:szCs w:val="18"/>
                <w:color w:val="auto"/>
              </w:rPr>
            </w:pPr>
          </w:p>
        </w:tc>
        <w:tc>
          <w:tcPr>
            <w:tcW w:w="900" w:type="dxa"/>
            <w:vAlign w:val="bottom"/>
            <w:tcBorders>
              <w:right w:val="single" w:sz="8" w:color="434F69"/>
            </w:tcBorders>
            <w:shd w:val="clear" w:color="auto" w:fill="434F69"/>
          </w:tcPr>
          <w:p>
            <w:pPr>
              <w:spacing w:after="0"/>
              <w:rPr>
                <w:sz w:val="18"/>
                <w:szCs w:val="18"/>
                <w:color w:val="auto"/>
              </w:rPr>
            </w:pPr>
          </w:p>
        </w:tc>
        <w:tc>
          <w:tcPr>
            <w:tcW w:w="920" w:type="dxa"/>
            <w:vAlign w:val="bottom"/>
            <w:tcBorders>
              <w:right w:val="single" w:sz="8" w:color="434F69"/>
            </w:tcBorders>
            <w:shd w:val="clear" w:color="auto" w:fill="434F69"/>
          </w:tcPr>
          <w:p>
            <w:pPr>
              <w:spacing w:after="0"/>
              <w:rPr>
                <w:sz w:val="18"/>
                <w:szCs w:val="18"/>
                <w:color w:val="auto"/>
              </w:rPr>
            </w:pPr>
          </w:p>
        </w:tc>
        <w:tc>
          <w:tcPr>
            <w:tcW w:w="740" w:type="dxa"/>
            <w:vAlign w:val="bottom"/>
            <w:tcBorders>
              <w:right w:val="single" w:sz="8" w:color="434F69"/>
            </w:tcBorders>
            <w:shd w:val="clear" w:color="auto" w:fill="434F69"/>
          </w:tcPr>
          <w:p>
            <w:pPr>
              <w:spacing w:after="0"/>
              <w:rPr>
                <w:sz w:val="18"/>
                <w:szCs w:val="18"/>
                <w:color w:val="auto"/>
              </w:rPr>
            </w:pPr>
          </w:p>
        </w:tc>
        <w:tc>
          <w:tcPr>
            <w:tcW w:w="900" w:type="dxa"/>
            <w:vAlign w:val="bottom"/>
            <w:tcBorders>
              <w:right w:val="single" w:sz="8" w:color="434F69"/>
            </w:tcBorders>
            <w:shd w:val="clear" w:color="auto" w:fill="434F69"/>
          </w:tcPr>
          <w:p>
            <w:pPr>
              <w:spacing w:after="0"/>
              <w:rPr>
                <w:sz w:val="18"/>
                <w:szCs w:val="18"/>
                <w:color w:val="auto"/>
              </w:rPr>
            </w:pPr>
          </w:p>
        </w:tc>
        <w:tc>
          <w:tcPr>
            <w:tcW w:w="80" w:type="dxa"/>
            <w:vAlign w:val="bottom"/>
            <w:shd w:val="clear" w:color="auto" w:fill="434F69"/>
          </w:tcPr>
          <w:p>
            <w:pPr>
              <w:spacing w:after="0"/>
              <w:rPr>
                <w:sz w:val="18"/>
                <w:szCs w:val="18"/>
                <w:color w:val="auto"/>
              </w:rPr>
            </w:pPr>
          </w:p>
        </w:tc>
        <w:tc>
          <w:tcPr>
            <w:tcW w:w="1140" w:type="dxa"/>
            <w:vAlign w:val="bottom"/>
            <w:tcBorders>
              <w:right w:val="single" w:sz="8" w:color="434F69"/>
            </w:tcBorders>
            <w:shd w:val="clear" w:color="auto" w:fill="434F69"/>
          </w:tcPr>
          <w:p>
            <w:pPr>
              <w:jc w:val="center"/>
              <w:ind w:right="73"/>
              <w:spacing w:after="0"/>
              <w:rPr>
                <w:sz w:val="20"/>
                <w:szCs w:val="20"/>
                <w:color w:val="auto"/>
              </w:rPr>
            </w:pPr>
            <w:r>
              <w:rPr>
                <w:rFonts w:ascii="Arial" w:cs="Arial" w:eastAsia="Arial" w:hAnsi="Arial"/>
                <w:sz w:val="14"/>
                <w:szCs w:val="14"/>
                <w:b w:val="1"/>
                <w:bCs w:val="1"/>
                <w:color w:val="FFFFFF"/>
              </w:rPr>
              <w:t>All Other</w:t>
            </w:r>
          </w:p>
        </w:tc>
        <w:tc>
          <w:tcPr>
            <w:tcW w:w="1220" w:type="dxa"/>
            <w:vAlign w:val="bottom"/>
            <w:tcBorders>
              <w:right w:val="single" w:sz="8" w:color="434F69"/>
            </w:tcBorders>
            <w:shd w:val="clear" w:color="auto" w:fill="434F69"/>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Borders>
              <w:left w:val="single" w:sz="8" w:color="434F69"/>
              <w:right w:val="single" w:sz="8" w:color="434F69"/>
            </w:tcBorders>
            <w:shd w:val="clear" w:color="auto" w:fill="434F69"/>
          </w:tcPr>
          <w:p>
            <w:pPr>
              <w:spacing w:after="0"/>
              <w:rPr>
                <w:sz w:val="14"/>
                <w:szCs w:val="14"/>
                <w:color w:val="auto"/>
              </w:rPr>
            </w:pPr>
          </w:p>
        </w:tc>
        <w:tc>
          <w:tcPr>
            <w:tcW w:w="900" w:type="dxa"/>
            <w:vAlign w:val="bottom"/>
            <w:tcBorders>
              <w:right w:val="single" w:sz="8" w:color="434F69"/>
            </w:tcBorders>
            <w:shd w:val="clear" w:color="auto" w:fill="434F69"/>
          </w:tcPr>
          <w:p>
            <w:pPr>
              <w:spacing w:after="0"/>
              <w:rPr>
                <w:sz w:val="14"/>
                <w:szCs w:val="14"/>
                <w:color w:val="auto"/>
              </w:rPr>
            </w:pPr>
          </w:p>
        </w:tc>
        <w:tc>
          <w:tcPr>
            <w:tcW w:w="60" w:type="dxa"/>
            <w:vAlign w:val="bottom"/>
            <w:shd w:val="clear" w:color="auto" w:fill="434F69"/>
          </w:tcPr>
          <w:p>
            <w:pPr>
              <w:spacing w:after="0"/>
              <w:rPr>
                <w:sz w:val="14"/>
                <w:szCs w:val="14"/>
                <w:color w:val="auto"/>
              </w:rPr>
            </w:pPr>
          </w:p>
        </w:tc>
        <w:tc>
          <w:tcPr>
            <w:tcW w:w="2620" w:type="dxa"/>
            <w:vAlign w:val="bottom"/>
            <w:tcBorders>
              <w:right w:val="single" w:sz="8" w:color="434F69"/>
            </w:tcBorders>
            <w:gridSpan w:val="3"/>
            <w:vMerge w:val="restart"/>
            <w:shd w:val="clear" w:color="auto" w:fill="434F69"/>
          </w:tcPr>
          <w:p>
            <w:pPr>
              <w:jc w:val="center"/>
              <w:ind w:right="48"/>
              <w:spacing w:after="0"/>
              <w:rPr>
                <w:sz w:val="20"/>
                <w:szCs w:val="20"/>
                <w:color w:val="auto"/>
              </w:rPr>
            </w:pPr>
            <w:r>
              <w:rPr>
                <w:rFonts w:ascii="Arial" w:cs="Arial" w:eastAsia="Arial" w:hAnsi="Arial"/>
                <w:sz w:val="14"/>
                <w:szCs w:val="14"/>
                <w:b w:val="1"/>
                <w:bCs w:val="1"/>
                <w:color w:val="FFFFFF"/>
              </w:rPr>
              <w:t>Estimated Future Payouts Under</w:t>
            </w:r>
          </w:p>
        </w:tc>
        <w:tc>
          <w:tcPr>
            <w:tcW w:w="2560" w:type="dxa"/>
            <w:vAlign w:val="bottom"/>
            <w:tcBorders>
              <w:right w:val="single" w:sz="8" w:color="434F69"/>
            </w:tcBorders>
            <w:gridSpan w:val="3"/>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80" w:type="dxa"/>
            <w:vAlign w:val="bottom"/>
            <w:shd w:val="clear" w:color="auto" w:fill="434F69"/>
          </w:tcPr>
          <w:p>
            <w:pPr>
              <w:spacing w:after="0"/>
              <w:rPr>
                <w:sz w:val="14"/>
                <w:szCs w:val="14"/>
                <w:color w:val="auto"/>
              </w:rPr>
            </w:pPr>
          </w:p>
        </w:tc>
        <w:tc>
          <w:tcPr>
            <w:tcW w:w="1140" w:type="dxa"/>
            <w:vAlign w:val="bottom"/>
            <w:tcBorders>
              <w:right w:val="single" w:sz="8" w:color="434F69"/>
            </w:tcBorders>
            <w:shd w:val="clear" w:color="auto" w:fill="434F69"/>
          </w:tcPr>
          <w:p>
            <w:pPr>
              <w:jc w:val="center"/>
              <w:ind w:right="73"/>
              <w:spacing w:after="0"/>
              <w:rPr>
                <w:sz w:val="20"/>
                <w:szCs w:val="20"/>
                <w:color w:val="auto"/>
              </w:rPr>
            </w:pPr>
            <w:r>
              <w:rPr>
                <w:rFonts w:ascii="Arial" w:cs="Arial" w:eastAsia="Arial" w:hAnsi="Arial"/>
                <w:sz w:val="14"/>
                <w:szCs w:val="14"/>
                <w:b w:val="1"/>
                <w:bCs w:val="1"/>
                <w:color w:val="FFFFFF"/>
              </w:rPr>
              <w:t>Stock Awards:</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70"/>
        </w:trPr>
        <w:tc>
          <w:tcPr>
            <w:tcW w:w="1160" w:type="dxa"/>
            <w:vAlign w:val="bottom"/>
            <w:tcBorders>
              <w:left w:val="single" w:sz="8" w:color="434F69"/>
              <w:right w:val="single" w:sz="8" w:color="434F69"/>
            </w:tcBorders>
            <w:shd w:val="clear" w:color="auto" w:fill="434F69"/>
          </w:tcPr>
          <w:p>
            <w:pPr>
              <w:spacing w:after="0"/>
              <w:rPr>
                <w:sz w:val="6"/>
                <w:szCs w:val="6"/>
                <w:color w:val="auto"/>
              </w:rPr>
            </w:pPr>
          </w:p>
        </w:tc>
        <w:tc>
          <w:tcPr>
            <w:tcW w:w="900" w:type="dxa"/>
            <w:vAlign w:val="bottom"/>
            <w:tcBorders>
              <w:right w:val="single" w:sz="8" w:color="434F69"/>
            </w:tcBorders>
            <w:shd w:val="clear" w:color="auto" w:fill="434F69"/>
          </w:tcPr>
          <w:p>
            <w:pPr>
              <w:spacing w:after="0"/>
              <w:rPr>
                <w:sz w:val="6"/>
                <w:szCs w:val="6"/>
                <w:color w:val="auto"/>
              </w:rPr>
            </w:pPr>
          </w:p>
        </w:tc>
        <w:tc>
          <w:tcPr>
            <w:tcW w:w="60" w:type="dxa"/>
            <w:vAlign w:val="bottom"/>
            <w:shd w:val="clear" w:color="auto" w:fill="434F69"/>
          </w:tcPr>
          <w:p>
            <w:pPr>
              <w:spacing w:after="0"/>
              <w:rPr>
                <w:sz w:val="6"/>
                <w:szCs w:val="6"/>
                <w:color w:val="auto"/>
              </w:rPr>
            </w:pPr>
          </w:p>
        </w:tc>
        <w:tc>
          <w:tcPr>
            <w:tcW w:w="2620" w:type="dxa"/>
            <w:vAlign w:val="bottom"/>
            <w:tcBorders>
              <w:right w:val="single" w:sz="8" w:color="434F69"/>
            </w:tcBorders>
            <w:gridSpan w:val="3"/>
            <w:vMerge w:val="continue"/>
            <w:shd w:val="clear" w:color="auto" w:fill="434F69"/>
          </w:tcPr>
          <w:p>
            <w:pPr>
              <w:spacing w:after="0"/>
              <w:rPr>
                <w:sz w:val="6"/>
                <w:szCs w:val="6"/>
                <w:color w:val="auto"/>
              </w:rPr>
            </w:pPr>
          </w:p>
        </w:tc>
        <w:tc>
          <w:tcPr>
            <w:tcW w:w="2560" w:type="dxa"/>
            <w:vAlign w:val="bottom"/>
            <w:tcBorders>
              <w:right w:val="single" w:sz="8" w:color="434F69"/>
            </w:tcBorders>
            <w:gridSpan w:val="3"/>
            <w:vMerge w:val="continue"/>
            <w:shd w:val="clear" w:color="auto" w:fill="434F69"/>
          </w:tcPr>
          <w:p>
            <w:pPr>
              <w:spacing w:after="0"/>
              <w:rPr>
                <w:sz w:val="6"/>
                <w:szCs w:val="6"/>
                <w:color w:val="auto"/>
              </w:rPr>
            </w:pPr>
          </w:p>
        </w:tc>
        <w:tc>
          <w:tcPr>
            <w:tcW w:w="80" w:type="dxa"/>
            <w:vAlign w:val="bottom"/>
            <w:shd w:val="clear" w:color="auto" w:fill="434F69"/>
          </w:tcPr>
          <w:p>
            <w:pPr>
              <w:spacing w:after="0"/>
              <w:rPr>
                <w:sz w:val="6"/>
                <w:szCs w:val="6"/>
                <w:color w:val="auto"/>
              </w:rPr>
            </w:pPr>
          </w:p>
        </w:tc>
        <w:tc>
          <w:tcPr>
            <w:tcW w:w="1140" w:type="dxa"/>
            <w:vAlign w:val="bottom"/>
            <w:tcBorders>
              <w:right w:val="single" w:sz="8" w:color="434F69"/>
            </w:tcBorders>
            <w:vMerge w:val="restart"/>
            <w:shd w:val="clear" w:color="auto" w:fill="434F69"/>
          </w:tcPr>
          <w:p>
            <w:pPr>
              <w:jc w:val="center"/>
              <w:ind w:right="93"/>
              <w:spacing w:after="0"/>
              <w:rPr>
                <w:sz w:val="20"/>
                <w:szCs w:val="20"/>
                <w:color w:val="auto"/>
              </w:rPr>
            </w:pPr>
            <w:r>
              <w:rPr>
                <w:rFonts w:ascii="Arial" w:cs="Arial" w:eastAsia="Arial" w:hAnsi="Arial"/>
                <w:sz w:val="14"/>
                <w:szCs w:val="14"/>
                <w:b w:val="1"/>
                <w:bCs w:val="1"/>
                <w:color w:val="FFFFFF"/>
              </w:rPr>
              <w:t>Number Of</w:t>
            </w:r>
          </w:p>
        </w:tc>
        <w:tc>
          <w:tcPr>
            <w:tcW w:w="122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213"/>
        </w:trPr>
        <w:tc>
          <w:tcPr>
            <w:tcW w:w="1160" w:type="dxa"/>
            <w:vAlign w:val="bottom"/>
            <w:tcBorders>
              <w:left w:val="single" w:sz="8" w:color="434F69"/>
              <w:right w:val="single" w:sz="8" w:color="434F69"/>
            </w:tcBorders>
            <w:shd w:val="clear" w:color="auto" w:fill="434F69"/>
          </w:tcPr>
          <w:p>
            <w:pPr>
              <w:spacing w:after="0"/>
              <w:rPr>
                <w:sz w:val="18"/>
                <w:szCs w:val="18"/>
                <w:color w:val="auto"/>
              </w:rPr>
            </w:pPr>
          </w:p>
        </w:tc>
        <w:tc>
          <w:tcPr>
            <w:tcW w:w="900" w:type="dxa"/>
            <w:vAlign w:val="bottom"/>
            <w:tcBorders>
              <w:right w:val="single" w:sz="8" w:color="434F69"/>
            </w:tcBorders>
            <w:shd w:val="clear" w:color="auto" w:fill="434F69"/>
          </w:tcPr>
          <w:p>
            <w:pPr>
              <w:spacing w:after="0"/>
              <w:rPr>
                <w:sz w:val="18"/>
                <w:szCs w:val="18"/>
                <w:color w:val="auto"/>
              </w:rPr>
            </w:pPr>
          </w:p>
        </w:tc>
        <w:tc>
          <w:tcPr>
            <w:tcW w:w="60" w:type="dxa"/>
            <w:vAlign w:val="bottom"/>
            <w:shd w:val="clear" w:color="auto" w:fill="434F69"/>
          </w:tcPr>
          <w:p>
            <w:pPr>
              <w:spacing w:after="0"/>
              <w:rPr>
                <w:sz w:val="18"/>
                <w:szCs w:val="18"/>
                <w:color w:val="auto"/>
              </w:rPr>
            </w:pPr>
          </w:p>
        </w:tc>
        <w:tc>
          <w:tcPr>
            <w:tcW w:w="2620" w:type="dxa"/>
            <w:vAlign w:val="bottom"/>
            <w:tcBorders>
              <w:right w:val="single" w:sz="8" w:color="434F69"/>
            </w:tcBorders>
            <w:gridSpan w:val="3"/>
            <w:shd w:val="clear" w:color="auto" w:fill="434F69"/>
          </w:tcPr>
          <w:p>
            <w:pPr>
              <w:jc w:val="center"/>
              <w:ind w:right="28"/>
              <w:spacing w:after="0" w:line="159" w:lineRule="exact"/>
              <w:rPr>
                <w:sz w:val="20"/>
                <w:szCs w:val="20"/>
                <w:color w:val="auto"/>
              </w:rPr>
            </w:pPr>
            <w:r>
              <w:rPr>
                <w:rFonts w:ascii="Arial" w:cs="Arial" w:eastAsia="Arial" w:hAnsi="Arial"/>
                <w:sz w:val="14"/>
                <w:szCs w:val="14"/>
                <w:b w:val="1"/>
                <w:bCs w:val="1"/>
                <w:color w:val="FFFFFF"/>
              </w:rPr>
              <w:t>Non-Equity Incentive Plan Awards</w:t>
            </w:r>
          </w:p>
        </w:tc>
        <w:tc>
          <w:tcPr>
            <w:tcW w:w="2560" w:type="dxa"/>
            <w:vAlign w:val="bottom"/>
            <w:tcBorders>
              <w:right w:val="single" w:sz="8" w:color="434F69"/>
            </w:tcBorders>
            <w:gridSpan w:val="3"/>
            <w:shd w:val="clear" w:color="auto" w:fill="434F69"/>
          </w:tcPr>
          <w:p>
            <w:pPr>
              <w:jc w:val="center"/>
              <w:spacing w:after="0" w:line="159"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80" w:type="dxa"/>
            <w:vAlign w:val="bottom"/>
            <w:shd w:val="clear" w:color="auto" w:fill="434F69"/>
          </w:tcPr>
          <w:p>
            <w:pPr>
              <w:spacing w:after="0"/>
              <w:rPr>
                <w:sz w:val="18"/>
                <w:szCs w:val="18"/>
                <w:color w:val="auto"/>
              </w:rPr>
            </w:pPr>
          </w:p>
        </w:tc>
        <w:tc>
          <w:tcPr>
            <w:tcW w:w="1140" w:type="dxa"/>
            <w:vAlign w:val="bottom"/>
            <w:tcBorders>
              <w:right w:val="single" w:sz="8" w:color="434F69"/>
            </w:tcBorders>
            <w:vMerge w:val="continue"/>
            <w:shd w:val="clear" w:color="auto" w:fill="434F69"/>
          </w:tcPr>
          <w:p>
            <w:pPr>
              <w:spacing w:after="0"/>
              <w:rPr>
                <w:sz w:val="18"/>
                <w:szCs w:val="18"/>
                <w:color w:val="auto"/>
              </w:rPr>
            </w:pPr>
          </w:p>
        </w:tc>
        <w:tc>
          <w:tcPr>
            <w:tcW w:w="1220" w:type="dxa"/>
            <w:vAlign w:val="bottom"/>
            <w:tcBorders>
              <w:right w:val="single" w:sz="8" w:color="434F69"/>
            </w:tcBorders>
            <w:vMerge w:val="continue"/>
            <w:shd w:val="clear" w:color="auto" w:fill="434F69"/>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434F69"/>
              <w:left w:val="single" w:sz="8" w:color="434F69"/>
              <w:right w:val="single" w:sz="8" w:color="434F69"/>
            </w:tcBorders>
            <w:shd w:val="clear" w:color="auto" w:fill="434F69"/>
          </w:tcPr>
          <w:p>
            <w:pPr>
              <w:spacing w:after="0" w:line="20" w:lineRule="exact"/>
              <w:rPr>
                <w:sz w:val="1"/>
                <w:szCs w:val="1"/>
                <w:color w:val="auto"/>
              </w:rPr>
            </w:pPr>
          </w:p>
        </w:tc>
        <w:tc>
          <w:tcPr>
            <w:tcW w:w="900" w:type="dxa"/>
            <w:vAlign w:val="bottom"/>
            <w:tcBorders>
              <w:top w:val="single" w:sz="8" w:color="434F69"/>
              <w:right w:val="single" w:sz="8" w:color="434F69"/>
            </w:tcBorders>
            <w:shd w:val="clear" w:color="auto" w:fill="434F69"/>
          </w:tcPr>
          <w:p>
            <w:pPr>
              <w:spacing w:after="0" w:line="20" w:lineRule="exact"/>
              <w:rPr>
                <w:sz w:val="1"/>
                <w:szCs w:val="1"/>
                <w:color w:val="auto"/>
              </w:rPr>
            </w:pPr>
          </w:p>
        </w:tc>
        <w:tc>
          <w:tcPr>
            <w:tcW w:w="60" w:type="dxa"/>
            <w:vAlign w:val="bottom"/>
            <w:tcBorders>
              <w:top w:val="single" w:sz="8" w:color="auto"/>
            </w:tcBorders>
            <w:shd w:val="clear" w:color="auto" w:fill="434F69"/>
          </w:tcPr>
          <w:p>
            <w:pPr>
              <w:spacing w:after="0" w:line="20" w:lineRule="exact"/>
              <w:rPr>
                <w:sz w:val="1"/>
                <w:szCs w:val="1"/>
                <w:color w:val="auto"/>
              </w:rPr>
            </w:pPr>
          </w:p>
        </w:tc>
        <w:tc>
          <w:tcPr>
            <w:tcW w:w="860" w:type="dxa"/>
            <w:vAlign w:val="bottom"/>
            <w:tcBorders>
              <w:top w:val="single" w:sz="8" w:color="auto"/>
              <w:right w:val="single" w:sz="8" w:color="434F69"/>
            </w:tcBorders>
            <w:shd w:val="clear" w:color="auto" w:fill="434F69"/>
          </w:tcPr>
          <w:p>
            <w:pPr>
              <w:spacing w:after="0" w:line="20" w:lineRule="exact"/>
              <w:rPr>
                <w:sz w:val="1"/>
                <w:szCs w:val="1"/>
                <w:color w:val="auto"/>
              </w:rPr>
            </w:pPr>
          </w:p>
        </w:tc>
        <w:tc>
          <w:tcPr>
            <w:tcW w:w="860" w:type="dxa"/>
            <w:vAlign w:val="bottom"/>
            <w:tcBorders>
              <w:top w:val="single" w:sz="8" w:color="auto"/>
              <w:right w:val="single" w:sz="8" w:color="434F69"/>
            </w:tcBorders>
            <w:shd w:val="clear" w:color="auto" w:fill="434F69"/>
          </w:tcPr>
          <w:p>
            <w:pPr>
              <w:spacing w:after="0" w:line="20" w:lineRule="exact"/>
              <w:rPr>
                <w:sz w:val="1"/>
                <w:szCs w:val="1"/>
                <w:color w:val="auto"/>
              </w:rPr>
            </w:pPr>
          </w:p>
        </w:tc>
        <w:tc>
          <w:tcPr>
            <w:tcW w:w="900" w:type="dxa"/>
            <w:vAlign w:val="bottom"/>
            <w:tcBorders>
              <w:top w:val="single" w:sz="8" w:color="auto"/>
              <w:right w:val="single" w:sz="8" w:color="434F69"/>
            </w:tcBorders>
            <w:shd w:val="clear" w:color="auto" w:fill="434F69"/>
          </w:tcPr>
          <w:p>
            <w:pPr>
              <w:spacing w:after="0" w:line="20" w:lineRule="exact"/>
              <w:rPr>
                <w:sz w:val="1"/>
                <w:szCs w:val="1"/>
                <w:color w:val="auto"/>
              </w:rPr>
            </w:pPr>
          </w:p>
        </w:tc>
        <w:tc>
          <w:tcPr>
            <w:tcW w:w="920" w:type="dxa"/>
            <w:vAlign w:val="bottom"/>
            <w:tcBorders>
              <w:top w:val="single" w:sz="8" w:color="auto"/>
              <w:right w:val="single" w:sz="8" w:color="434F69"/>
            </w:tcBorders>
            <w:shd w:val="clear" w:color="auto" w:fill="434F69"/>
          </w:tcPr>
          <w:p>
            <w:pPr>
              <w:spacing w:after="0" w:line="20" w:lineRule="exact"/>
              <w:rPr>
                <w:sz w:val="1"/>
                <w:szCs w:val="1"/>
                <w:color w:val="auto"/>
              </w:rPr>
            </w:pPr>
          </w:p>
        </w:tc>
        <w:tc>
          <w:tcPr>
            <w:tcW w:w="740" w:type="dxa"/>
            <w:vAlign w:val="bottom"/>
            <w:tcBorders>
              <w:top w:val="single" w:sz="8" w:color="auto"/>
              <w:right w:val="single" w:sz="8" w:color="434F69"/>
            </w:tcBorders>
            <w:shd w:val="clear" w:color="auto" w:fill="434F69"/>
          </w:tcPr>
          <w:p>
            <w:pPr>
              <w:spacing w:after="0" w:line="20" w:lineRule="exact"/>
              <w:rPr>
                <w:sz w:val="1"/>
                <w:szCs w:val="1"/>
                <w:color w:val="auto"/>
              </w:rPr>
            </w:pPr>
          </w:p>
        </w:tc>
        <w:tc>
          <w:tcPr>
            <w:tcW w:w="900" w:type="dxa"/>
            <w:vAlign w:val="bottom"/>
            <w:tcBorders>
              <w:top w:val="single" w:sz="8" w:color="auto"/>
              <w:right w:val="single" w:sz="8" w:color="434F69"/>
            </w:tcBorders>
            <w:shd w:val="clear" w:color="auto" w:fill="434F69"/>
          </w:tcPr>
          <w:p>
            <w:pPr>
              <w:spacing w:after="0" w:line="20" w:lineRule="exact"/>
              <w:rPr>
                <w:sz w:val="1"/>
                <w:szCs w:val="1"/>
                <w:color w:val="auto"/>
              </w:rPr>
            </w:pPr>
          </w:p>
        </w:tc>
        <w:tc>
          <w:tcPr>
            <w:tcW w:w="80" w:type="dxa"/>
            <w:vAlign w:val="bottom"/>
            <w:tcBorders>
              <w:top w:val="single" w:sz="8" w:color="434F69"/>
            </w:tcBorders>
            <w:shd w:val="clear" w:color="auto" w:fill="434F69"/>
          </w:tcPr>
          <w:p>
            <w:pPr>
              <w:spacing w:after="0" w:line="20" w:lineRule="exact"/>
              <w:rPr>
                <w:sz w:val="1"/>
                <w:szCs w:val="1"/>
                <w:color w:val="auto"/>
              </w:rPr>
            </w:pPr>
          </w:p>
        </w:tc>
        <w:tc>
          <w:tcPr>
            <w:tcW w:w="1140" w:type="dxa"/>
            <w:vAlign w:val="bottom"/>
            <w:tcBorders>
              <w:top w:val="single" w:sz="8" w:color="434F69"/>
              <w:right w:val="single" w:sz="8" w:color="434F69"/>
            </w:tcBorders>
            <w:shd w:val="clear" w:color="auto" w:fill="434F69"/>
          </w:tcPr>
          <w:p>
            <w:pPr>
              <w:jc w:val="center"/>
              <w:ind w:right="73"/>
              <w:spacing w:after="0" w:line="21" w:lineRule="exact"/>
              <w:rPr>
                <w:sz w:val="20"/>
                <w:szCs w:val="20"/>
                <w:color w:val="auto"/>
              </w:rPr>
            </w:pPr>
            <w:r>
              <w:rPr>
                <w:rFonts w:ascii="Arial" w:cs="Arial" w:eastAsia="Arial" w:hAnsi="Arial"/>
                <w:sz w:val="2"/>
                <w:szCs w:val="2"/>
                <w:b w:val="1"/>
                <w:bCs w:val="1"/>
                <w:color w:val="FFFFFF"/>
              </w:rPr>
              <w:t>Shares Of</w:t>
            </w:r>
          </w:p>
        </w:tc>
        <w:tc>
          <w:tcPr>
            <w:tcW w:w="1220" w:type="dxa"/>
            <w:vAlign w:val="bottom"/>
            <w:tcBorders>
              <w:top w:val="single" w:sz="8" w:color="434F69"/>
              <w:right w:val="single" w:sz="8" w:color="434F69"/>
            </w:tcBorders>
            <w:shd w:val="clear" w:color="auto" w:fill="434F69"/>
          </w:tcPr>
          <w:p>
            <w:pPr>
              <w:jc w:val="center"/>
              <w:spacing w:after="0" w:line="21" w:lineRule="exact"/>
              <w:rPr>
                <w:sz w:val="20"/>
                <w:szCs w:val="20"/>
                <w:color w:val="auto"/>
              </w:rPr>
            </w:pPr>
            <w:r>
              <w:rPr>
                <w:rFonts w:ascii="Arial" w:cs="Arial" w:eastAsia="Arial" w:hAnsi="Arial"/>
                <w:sz w:val="2"/>
                <w:szCs w:val="2"/>
                <w:b w:val="1"/>
                <w:bCs w:val="1"/>
                <w:color w:val="FFFFFF"/>
              </w:rPr>
              <w:t>Of Stock and</w:t>
            </w:r>
          </w:p>
        </w:tc>
        <w:tc>
          <w:tcPr>
            <w:tcW w:w="0" w:type="dxa"/>
            <w:vAlign w:val="bottom"/>
          </w:tcPr>
          <w:p>
            <w:pPr>
              <w:spacing w:after="0" w:line="20" w:lineRule="exact"/>
              <w:rPr>
                <w:sz w:val="1"/>
                <w:szCs w:val="1"/>
                <w:color w:val="auto"/>
              </w:rPr>
            </w:pPr>
          </w:p>
        </w:tc>
      </w:tr>
      <w:tr>
        <w:trPr>
          <w:trHeight w:val="151"/>
        </w:trPr>
        <w:tc>
          <w:tcPr>
            <w:tcW w:w="1160" w:type="dxa"/>
            <w:vAlign w:val="bottom"/>
            <w:tcBorders>
              <w:left w:val="single" w:sz="8" w:color="434F69"/>
              <w:right w:val="single" w:sz="8" w:color="434F69"/>
            </w:tcBorders>
            <w:shd w:val="clear" w:color="auto" w:fill="434F69"/>
          </w:tcPr>
          <w:p>
            <w:pPr>
              <w:spacing w:after="0"/>
              <w:rPr>
                <w:sz w:val="13"/>
                <w:szCs w:val="13"/>
                <w:color w:val="auto"/>
              </w:rPr>
            </w:pPr>
          </w:p>
        </w:tc>
        <w:tc>
          <w:tcPr>
            <w:tcW w:w="900" w:type="dxa"/>
            <w:vAlign w:val="bottom"/>
            <w:tcBorders>
              <w:right w:val="single" w:sz="8" w:color="434F69"/>
            </w:tcBorders>
            <w:shd w:val="clear" w:color="auto" w:fill="434F69"/>
          </w:tcPr>
          <w:p>
            <w:pPr>
              <w:spacing w:after="0"/>
              <w:rPr>
                <w:sz w:val="13"/>
                <w:szCs w:val="13"/>
                <w:color w:val="auto"/>
              </w:rPr>
            </w:pPr>
          </w:p>
        </w:tc>
        <w:tc>
          <w:tcPr>
            <w:tcW w:w="60" w:type="dxa"/>
            <w:vAlign w:val="bottom"/>
            <w:shd w:val="clear" w:color="auto" w:fill="434F69"/>
          </w:tcPr>
          <w:p>
            <w:pPr>
              <w:spacing w:after="0"/>
              <w:rPr>
                <w:sz w:val="13"/>
                <w:szCs w:val="13"/>
                <w:color w:val="auto"/>
              </w:rPr>
            </w:pPr>
          </w:p>
        </w:tc>
        <w:tc>
          <w:tcPr>
            <w:tcW w:w="860" w:type="dxa"/>
            <w:vAlign w:val="bottom"/>
            <w:tcBorders>
              <w:right w:val="single" w:sz="8" w:color="434F69"/>
            </w:tcBorders>
            <w:shd w:val="clear" w:color="auto" w:fill="434F69"/>
          </w:tcPr>
          <w:p>
            <w:pPr>
              <w:ind w:left="20"/>
              <w:spacing w:after="0" w:line="151" w:lineRule="exact"/>
              <w:rPr>
                <w:sz w:val="20"/>
                <w:szCs w:val="20"/>
                <w:color w:val="auto"/>
              </w:rPr>
            </w:pPr>
            <w:r>
              <w:rPr>
                <w:rFonts w:ascii="Arial" w:cs="Arial" w:eastAsia="Arial" w:hAnsi="Arial"/>
                <w:sz w:val="14"/>
                <w:szCs w:val="14"/>
                <w:b w:val="1"/>
                <w:bCs w:val="1"/>
                <w:color w:val="FFFFFF"/>
              </w:rPr>
              <w:t>Threshold</w:t>
            </w:r>
          </w:p>
        </w:tc>
        <w:tc>
          <w:tcPr>
            <w:tcW w:w="86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w w:val="98"/>
              </w:rPr>
              <w:t>Target</w:t>
            </w:r>
          </w:p>
        </w:tc>
        <w:tc>
          <w:tcPr>
            <w:tcW w:w="900" w:type="dxa"/>
            <w:vAlign w:val="bottom"/>
            <w:tcBorders>
              <w:right w:val="single" w:sz="8" w:color="434F69"/>
            </w:tcBorders>
            <w:shd w:val="clear" w:color="auto" w:fill="434F69"/>
          </w:tcPr>
          <w:p>
            <w:pPr>
              <w:jc w:val="right"/>
              <w:ind w:right="68"/>
              <w:spacing w:after="0" w:line="151" w:lineRule="exact"/>
              <w:rPr>
                <w:sz w:val="20"/>
                <w:szCs w:val="20"/>
                <w:color w:val="auto"/>
              </w:rPr>
            </w:pPr>
            <w:r>
              <w:rPr>
                <w:rFonts w:ascii="Arial" w:cs="Arial" w:eastAsia="Arial" w:hAnsi="Arial"/>
                <w:sz w:val="14"/>
                <w:szCs w:val="14"/>
                <w:b w:val="1"/>
                <w:bCs w:val="1"/>
                <w:color w:val="FFFFFF"/>
              </w:rPr>
              <w:t>Maximum</w:t>
            </w:r>
          </w:p>
        </w:tc>
        <w:tc>
          <w:tcPr>
            <w:tcW w:w="920" w:type="dxa"/>
            <w:vAlign w:val="bottom"/>
            <w:tcBorders>
              <w:right w:val="single" w:sz="8" w:color="434F69"/>
            </w:tcBorders>
            <w:shd w:val="clear" w:color="auto" w:fill="434F69"/>
          </w:tcPr>
          <w:p>
            <w:pPr>
              <w:ind w:left="80"/>
              <w:spacing w:after="0" w:line="151" w:lineRule="exact"/>
              <w:rPr>
                <w:sz w:val="20"/>
                <w:szCs w:val="20"/>
                <w:color w:val="auto"/>
              </w:rPr>
            </w:pPr>
            <w:r>
              <w:rPr>
                <w:rFonts w:ascii="Arial" w:cs="Arial" w:eastAsia="Arial" w:hAnsi="Arial"/>
                <w:sz w:val="14"/>
                <w:szCs w:val="14"/>
                <w:b w:val="1"/>
                <w:bCs w:val="1"/>
                <w:color w:val="FFFFFF"/>
              </w:rPr>
              <w:t>Threshold</w:t>
            </w:r>
          </w:p>
        </w:tc>
        <w:tc>
          <w:tcPr>
            <w:tcW w:w="74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w w:val="98"/>
              </w:rPr>
              <w:t>Target</w:t>
            </w:r>
          </w:p>
        </w:tc>
        <w:tc>
          <w:tcPr>
            <w:tcW w:w="900" w:type="dxa"/>
            <w:vAlign w:val="bottom"/>
            <w:tcBorders>
              <w:right w:val="single" w:sz="8" w:color="434F69"/>
            </w:tcBorders>
            <w:shd w:val="clear" w:color="auto" w:fill="434F69"/>
          </w:tcPr>
          <w:p>
            <w:pPr>
              <w:jc w:val="right"/>
              <w:ind w:right="68"/>
              <w:spacing w:after="0" w:line="151" w:lineRule="exact"/>
              <w:rPr>
                <w:sz w:val="20"/>
                <w:szCs w:val="20"/>
                <w:color w:val="auto"/>
              </w:rPr>
            </w:pPr>
            <w:r>
              <w:rPr>
                <w:rFonts w:ascii="Arial" w:cs="Arial" w:eastAsia="Arial" w:hAnsi="Arial"/>
                <w:sz w:val="14"/>
                <w:szCs w:val="14"/>
                <w:b w:val="1"/>
                <w:bCs w:val="1"/>
                <w:color w:val="FFFFFF"/>
              </w:rPr>
              <w:t>Maximum</w:t>
            </w:r>
          </w:p>
        </w:tc>
        <w:tc>
          <w:tcPr>
            <w:tcW w:w="80" w:type="dxa"/>
            <w:vAlign w:val="bottom"/>
            <w:shd w:val="clear" w:color="auto" w:fill="434F69"/>
          </w:tcPr>
          <w:p>
            <w:pPr>
              <w:spacing w:after="0"/>
              <w:rPr>
                <w:sz w:val="13"/>
                <w:szCs w:val="13"/>
                <w:color w:val="auto"/>
              </w:rPr>
            </w:pPr>
          </w:p>
        </w:tc>
        <w:tc>
          <w:tcPr>
            <w:tcW w:w="1140" w:type="dxa"/>
            <w:vAlign w:val="bottom"/>
            <w:tcBorders>
              <w:right w:val="single" w:sz="8" w:color="434F69"/>
            </w:tcBorders>
            <w:shd w:val="clear" w:color="auto" w:fill="434F69"/>
          </w:tcPr>
          <w:p>
            <w:pPr>
              <w:jc w:val="center"/>
              <w:ind w:right="73"/>
              <w:spacing w:after="0" w:line="151" w:lineRule="exact"/>
              <w:rPr>
                <w:sz w:val="20"/>
                <w:szCs w:val="20"/>
                <w:color w:val="auto"/>
              </w:rPr>
            </w:pPr>
            <w:r>
              <w:rPr>
                <w:rFonts w:ascii="Arial" w:cs="Arial" w:eastAsia="Arial" w:hAnsi="Arial"/>
                <w:sz w:val="14"/>
                <w:szCs w:val="14"/>
                <w:b w:val="1"/>
                <w:bCs w:val="1"/>
                <w:color w:val="FFFFFF"/>
              </w:rPr>
              <w:t>Stock or Units</w:t>
            </w:r>
          </w:p>
        </w:tc>
        <w:tc>
          <w:tcPr>
            <w:tcW w:w="12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Option Awards</w:t>
            </w:r>
          </w:p>
        </w:tc>
        <w:tc>
          <w:tcPr>
            <w:tcW w:w="0" w:type="dxa"/>
            <w:vAlign w:val="bottom"/>
          </w:tcPr>
          <w:p>
            <w:pPr>
              <w:spacing w:after="0"/>
              <w:rPr>
                <w:sz w:val="1"/>
                <w:szCs w:val="1"/>
                <w:color w:val="auto"/>
              </w:rPr>
            </w:pPr>
          </w:p>
        </w:tc>
      </w:tr>
      <w:tr>
        <w:trPr>
          <w:trHeight w:val="226"/>
        </w:trPr>
        <w:tc>
          <w:tcPr>
            <w:tcW w:w="1160" w:type="dxa"/>
            <w:vAlign w:val="bottom"/>
            <w:tcBorders>
              <w:left w:val="single" w:sz="8" w:color="434F69"/>
              <w:right w:val="single" w:sz="8" w:color="434F69"/>
            </w:tcBorders>
            <w:shd w:val="clear" w:color="auto" w:fill="434F69"/>
          </w:tcPr>
          <w:p>
            <w:pPr>
              <w:ind w:left="40"/>
              <w:spacing w:after="0"/>
              <w:rPr>
                <w:sz w:val="20"/>
                <w:szCs w:val="20"/>
                <w:color w:val="auto"/>
              </w:rPr>
            </w:pPr>
            <w:r>
              <w:rPr>
                <w:rFonts w:ascii="Arial" w:cs="Arial" w:eastAsia="Arial" w:hAnsi="Arial"/>
                <w:sz w:val="14"/>
                <w:szCs w:val="14"/>
                <w:b w:val="1"/>
                <w:bCs w:val="1"/>
                <w:color w:val="FFFFFF"/>
              </w:rPr>
              <w:t>Name</w:t>
            </w:r>
          </w:p>
        </w:tc>
        <w:tc>
          <w:tcPr>
            <w:tcW w:w="9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Grant Date</w:t>
            </w:r>
          </w:p>
        </w:tc>
        <w:tc>
          <w:tcPr>
            <w:tcW w:w="60" w:type="dxa"/>
            <w:vAlign w:val="bottom"/>
            <w:shd w:val="clear" w:color="auto" w:fill="434F69"/>
          </w:tcPr>
          <w:p>
            <w:pPr>
              <w:spacing w:after="0"/>
              <w:rPr>
                <w:sz w:val="19"/>
                <w:szCs w:val="19"/>
                <w:color w:val="auto"/>
              </w:rPr>
            </w:pPr>
          </w:p>
        </w:tc>
        <w:tc>
          <w:tcPr>
            <w:tcW w:w="860" w:type="dxa"/>
            <w:vAlign w:val="bottom"/>
            <w:tcBorders>
              <w:right w:val="single" w:sz="8" w:color="434F69"/>
            </w:tcBorders>
            <w:shd w:val="clear" w:color="auto" w:fill="434F69"/>
          </w:tcPr>
          <w:p>
            <w:pPr>
              <w:ind w:left="300"/>
              <w:spacing w:after="0"/>
              <w:rPr>
                <w:sz w:val="20"/>
                <w:szCs w:val="20"/>
                <w:color w:val="auto"/>
              </w:rPr>
            </w:pPr>
            <w:r>
              <w:rPr>
                <w:rFonts w:ascii="Arial" w:cs="Arial" w:eastAsia="Arial" w:hAnsi="Arial"/>
                <w:sz w:val="14"/>
                <w:szCs w:val="14"/>
                <w:b w:val="1"/>
                <w:bCs w:val="1"/>
                <w:color w:val="FFFFFF"/>
              </w:rPr>
              <w:t>($)</w:t>
            </w:r>
          </w:p>
        </w:tc>
        <w:tc>
          <w:tcPr>
            <w:tcW w:w="860" w:type="dxa"/>
            <w:vAlign w:val="bottom"/>
            <w:tcBorders>
              <w:right w:val="single" w:sz="8" w:color="434F69"/>
            </w:tcBorders>
            <w:shd w:val="clear" w:color="auto" w:fill="434F69"/>
          </w:tcPr>
          <w:p>
            <w:pPr>
              <w:jc w:val="right"/>
              <w:ind w:right="268"/>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right w:val="single" w:sz="8" w:color="434F69"/>
            </w:tcBorders>
            <w:shd w:val="clear" w:color="auto" w:fill="434F69"/>
          </w:tcPr>
          <w:p>
            <w:pPr>
              <w:jc w:val="right"/>
              <w:ind w:right="288"/>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right w:val="single" w:sz="8" w:color="434F69"/>
            </w:tcBorders>
            <w:shd w:val="clear" w:color="auto" w:fill="434F69"/>
          </w:tcPr>
          <w:p>
            <w:pPr>
              <w:ind w:left="36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right w:val="single" w:sz="8" w:color="434F69"/>
            </w:tcBorders>
            <w:shd w:val="clear" w:color="auto" w:fill="434F69"/>
          </w:tcPr>
          <w:p>
            <w:pPr>
              <w:jc w:val="right"/>
              <w:ind w:right="208"/>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right w:val="single" w:sz="8" w:color="434F69"/>
            </w:tcBorders>
            <w:shd w:val="clear" w:color="auto" w:fill="434F69"/>
          </w:tcPr>
          <w:p>
            <w:pPr>
              <w:jc w:val="right"/>
              <w:ind w:right="288"/>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34F69"/>
          </w:tcPr>
          <w:p>
            <w:pPr>
              <w:spacing w:after="0"/>
              <w:rPr>
                <w:sz w:val="19"/>
                <w:szCs w:val="19"/>
                <w:color w:val="auto"/>
              </w:rPr>
            </w:pPr>
          </w:p>
        </w:tc>
        <w:tc>
          <w:tcPr>
            <w:tcW w:w="1140" w:type="dxa"/>
            <w:vAlign w:val="bottom"/>
            <w:tcBorders>
              <w:right w:val="single" w:sz="8" w:color="434F69"/>
            </w:tcBorders>
            <w:shd w:val="clear" w:color="auto" w:fill="434F69"/>
          </w:tcPr>
          <w:p>
            <w:pPr>
              <w:jc w:val="center"/>
              <w:ind w:right="33"/>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(2)</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(3)</w:t>
            </w:r>
          </w:p>
        </w:tc>
        <w:tc>
          <w:tcPr>
            <w:tcW w:w="0" w:type="dxa"/>
            <w:vAlign w:val="bottom"/>
          </w:tcPr>
          <w:p>
            <w:pPr>
              <w:spacing w:after="0"/>
              <w:rPr>
                <w:sz w:val="1"/>
                <w:szCs w:val="1"/>
                <w:color w:val="auto"/>
              </w:rPr>
            </w:pPr>
          </w:p>
        </w:tc>
      </w:tr>
      <w:tr>
        <w:trPr>
          <w:trHeight w:val="210"/>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Willie Chiang</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60" w:type="dxa"/>
            <w:vAlign w:val="bottom"/>
            <w:tcBorders>
              <w:bottom w:val="single" w:sz="8" w:color="434F69"/>
            </w:tcBorders>
          </w:tcPr>
          <w:p>
            <w:pPr>
              <w:spacing w:after="0"/>
              <w:rPr>
                <w:sz w:val="18"/>
                <w:szCs w:val="18"/>
                <w:color w:val="auto"/>
              </w:rPr>
            </w:pPr>
          </w:p>
        </w:tc>
        <w:tc>
          <w:tcPr>
            <w:tcW w:w="860" w:type="dxa"/>
            <w:vAlign w:val="bottom"/>
            <w:tcBorders>
              <w:bottom w:val="single" w:sz="8" w:color="434F69"/>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1,500,000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3,000,000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34F69"/>
            </w:tcBorders>
          </w:tcPr>
          <w:p>
            <w:pPr>
              <w:spacing w:after="0"/>
              <w:rPr>
                <w:sz w:val="18"/>
                <w:szCs w:val="18"/>
                <w:color w:val="auto"/>
              </w:rPr>
            </w:pPr>
          </w:p>
        </w:tc>
        <w:tc>
          <w:tcPr>
            <w:tcW w:w="114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60" w:type="dxa"/>
            <w:vAlign w:val="bottom"/>
            <w:tcBorders>
              <w:left w:val="single" w:sz="8" w:color="434F69"/>
              <w:right w:val="single" w:sz="8" w:color="434F69"/>
            </w:tcBorders>
          </w:tcPr>
          <w:p>
            <w:pPr>
              <w:spacing w:after="0"/>
              <w:rPr>
                <w:sz w:val="21"/>
                <w:szCs w:val="21"/>
                <w:color w:val="auto"/>
              </w:rPr>
            </w:pPr>
          </w:p>
        </w:tc>
        <w:tc>
          <w:tcPr>
            <w:tcW w:w="900" w:type="dxa"/>
            <w:vAlign w:val="bottom"/>
            <w:tcBorders>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60" w:type="dxa"/>
            <w:vAlign w:val="bottom"/>
          </w:tcPr>
          <w:p>
            <w:pPr>
              <w:spacing w:after="0"/>
              <w:rPr>
                <w:sz w:val="21"/>
                <w:szCs w:val="21"/>
                <w:color w:val="auto"/>
              </w:rPr>
            </w:pPr>
          </w:p>
        </w:tc>
        <w:tc>
          <w:tcPr>
            <w:tcW w:w="860" w:type="dxa"/>
            <w:vAlign w:val="bottom"/>
            <w:tcBorders>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150,300</w:t>
            </w:r>
          </w:p>
        </w:tc>
        <w:tc>
          <w:tcPr>
            <w:tcW w:w="900" w:type="dxa"/>
            <w:vAlign w:val="bottom"/>
            <w:tcBorders>
              <w:right w:val="single" w:sz="8" w:color="434F69"/>
            </w:tcBorders>
          </w:tcPr>
          <w:p>
            <w:pPr>
              <w:jc w:val="right"/>
              <w:ind w:right="128"/>
              <w:spacing w:after="0"/>
              <w:rPr>
                <w:sz w:val="20"/>
                <w:szCs w:val="20"/>
                <w:color w:val="auto"/>
              </w:rPr>
            </w:pPr>
            <w:r>
              <w:rPr>
                <w:rFonts w:ascii="Arial" w:cs="Arial" w:eastAsia="Arial" w:hAnsi="Arial"/>
                <w:sz w:val="14"/>
                <w:szCs w:val="14"/>
                <w:color w:val="auto"/>
              </w:rPr>
              <w:t>300,600</w:t>
            </w:r>
          </w:p>
        </w:tc>
        <w:tc>
          <w:tcPr>
            <w:tcW w:w="1220" w:type="dxa"/>
            <w:vAlign w:val="bottom"/>
            <w:tcBorders>
              <w:right w:val="single" w:sz="8" w:color="434F69"/>
            </w:tcBorders>
            <w:gridSpan w:val="2"/>
          </w:tcPr>
          <w:p>
            <w:pPr>
              <w:jc w:val="right"/>
              <w:ind w:right="293"/>
              <w:spacing w:after="0"/>
              <w:rPr>
                <w:sz w:val="20"/>
                <w:szCs w:val="20"/>
                <w:color w:val="auto"/>
              </w:rPr>
            </w:pPr>
            <w:r>
              <w:rPr>
                <w:rFonts w:ascii="Arial" w:cs="Arial" w:eastAsia="Arial" w:hAnsi="Arial"/>
                <w:sz w:val="14"/>
                <w:szCs w:val="14"/>
                <w:color w:val="auto"/>
              </w:rPr>
              <w:t>150,300</w:t>
            </w:r>
          </w:p>
        </w:tc>
        <w:tc>
          <w:tcPr>
            <w:tcW w:w="1220" w:type="dxa"/>
            <w:vAlign w:val="bottom"/>
            <w:tcBorders>
              <w:right w:val="single" w:sz="8" w:color="434F69"/>
            </w:tcBorders>
          </w:tcPr>
          <w:p>
            <w:pPr>
              <w:jc w:val="right"/>
              <w:ind w:right="212"/>
              <w:spacing w:after="0"/>
              <w:rPr>
                <w:sz w:val="20"/>
                <w:szCs w:val="20"/>
                <w:color w:val="auto"/>
              </w:rPr>
            </w:pPr>
            <w:r>
              <w:rPr>
                <w:rFonts w:ascii="Arial" w:cs="Arial" w:eastAsia="Arial" w:hAnsi="Arial"/>
                <w:sz w:val="14"/>
                <w:szCs w:val="14"/>
                <w:color w:val="auto"/>
              </w:rPr>
              <w:t>2,053,850</w:t>
            </w:r>
          </w:p>
        </w:tc>
        <w:tc>
          <w:tcPr>
            <w:tcW w:w="0" w:type="dxa"/>
            <w:vAlign w:val="bottom"/>
          </w:tcPr>
          <w:p>
            <w:pPr>
              <w:spacing w:after="0"/>
              <w:rPr>
                <w:sz w:val="1"/>
                <w:szCs w:val="1"/>
                <w:color w:val="auto"/>
              </w:rPr>
            </w:pPr>
          </w:p>
        </w:tc>
      </w:tr>
      <w:tr>
        <w:trPr>
          <w:trHeight w:val="25"/>
        </w:trPr>
        <w:tc>
          <w:tcPr>
            <w:tcW w:w="1160" w:type="dxa"/>
            <w:vAlign w:val="bottom"/>
            <w:tcBorders>
              <w:left w:val="single" w:sz="8" w:color="434F69"/>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60" w:type="dxa"/>
            <w:vAlign w:val="bottom"/>
            <w:tcBorders>
              <w:bottom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920" w:type="dxa"/>
            <w:vAlign w:val="bottom"/>
            <w:tcBorders>
              <w:bottom w:val="single" w:sz="8" w:color="434F69"/>
              <w:right w:val="single" w:sz="8" w:color="434F69"/>
            </w:tcBorders>
          </w:tcPr>
          <w:p>
            <w:pPr>
              <w:spacing w:after="0"/>
              <w:rPr>
                <w:sz w:val="2"/>
                <w:szCs w:val="2"/>
                <w:color w:val="auto"/>
              </w:rPr>
            </w:pPr>
          </w:p>
        </w:tc>
        <w:tc>
          <w:tcPr>
            <w:tcW w:w="74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80" w:type="dxa"/>
            <w:vAlign w:val="bottom"/>
            <w:tcBorders>
              <w:bottom w:val="single" w:sz="8" w:color="434F69"/>
            </w:tcBorders>
          </w:tcPr>
          <w:p>
            <w:pPr>
              <w:spacing w:after="0"/>
              <w:rPr>
                <w:sz w:val="2"/>
                <w:szCs w:val="2"/>
                <w:color w:val="auto"/>
              </w:rPr>
            </w:pPr>
          </w:p>
        </w:tc>
        <w:tc>
          <w:tcPr>
            <w:tcW w:w="1140" w:type="dxa"/>
            <w:vAlign w:val="bottom"/>
            <w:tcBorders>
              <w:bottom w:val="single" w:sz="8" w:color="434F69"/>
              <w:right w:val="single" w:sz="8" w:color="434F69"/>
            </w:tcBorders>
          </w:tcPr>
          <w:p>
            <w:pPr>
              <w:spacing w:after="0"/>
              <w:rPr>
                <w:sz w:val="2"/>
                <w:szCs w:val="2"/>
                <w:color w:val="auto"/>
              </w:rPr>
            </w:pPr>
          </w:p>
        </w:tc>
        <w:tc>
          <w:tcPr>
            <w:tcW w:w="1220" w:type="dxa"/>
            <w:vAlign w:val="bottom"/>
            <w:tcBorders>
              <w:bottom w:val="single" w:sz="8" w:color="434F69"/>
              <w:right w:val="single" w:sz="8" w:color="434F6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60" w:type="dxa"/>
            <w:vAlign w:val="bottom"/>
            <w:tcBorders>
              <w:bottom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Harry Pefanis</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60" w:type="dxa"/>
            <w:vAlign w:val="bottom"/>
            <w:tcBorders>
              <w:bottom w:val="single" w:sz="8" w:color="434F69"/>
            </w:tcBorders>
          </w:tcPr>
          <w:p>
            <w:pPr>
              <w:spacing w:after="0"/>
              <w:rPr>
                <w:sz w:val="17"/>
                <w:szCs w:val="17"/>
                <w:color w:val="auto"/>
              </w:rPr>
            </w:pPr>
          </w:p>
        </w:tc>
        <w:tc>
          <w:tcPr>
            <w:tcW w:w="860" w:type="dxa"/>
            <w:vAlign w:val="bottom"/>
            <w:tcBorders>
              <w:bottom w:val="single" w:sz="8" w:color="434F69"/>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1,000,000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2,000,000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34F69"/>
            </w:tcBorders>
          </w:tcPr>
          <w:p>
            <w:pPr>
              <w:spacing w:after="0"/>
              <w:rPr>
                <w:sz w:val="17"/>
                <w:szCs w:val="17"/>
                <w:color w:val="auto"/>
              </w:rPr>
            </w:pPr>
          </w:p>
        </w:tc>
        <w:tc>
          <w:tcPr>
            <w:tcW w:w="114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60" w:type="dxa"/>
            <w:vAlign w:val="bottom"/>
            <w:tcBorders>
              <w:bottom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Al Swanson</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60" w:type="dxa"/>
            <w:vAlign w:val="bottom"/>
            <w:tcBorders>
              <w:bottom w:val="single" w:sz="8" w:color="434F69"/>
            </w:tcBorders>
          </w:tcPr>
          <w:p>
            <w:pPr>
              <w:spacing w:after="0"/>
              <w:rPr>
                <w:sz w:val="17"/>
                <w:szCs w:val="17"/>
                <w:color w:val="auto"/>
              </w:rPr>
            </w:pPr>
          </w:p>
        </w:tc>
        <w:tc>
          <w:tcPr>
            <w:tcW w:w="860" w:type="dxa"/>
            <w:vAlign w:val="bottom"/>
            <w:tcBorders>
              <w:bottom w:val="single" w:sz="8" w:color="434F69"/>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34F69"/>
            </w:tcBorders>
          </w:tcPr>
          <w:p>
            <w:pPr>
              <w:spacing w:after="0"/>
              <w:rPr>
                <w:sz w:val="17"/>
                <w:szCs w:val="17"/>
                <w:color w:val="auto"/>
              </w:rPr>
            </w:pPr>
          </w:p>
        </w:tc>
        <w:tc>
          <w:tcPr>
            <w:tcW w:w="114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60" w:type="dxa"/>
            <w:vAlign w:val="bottom"/>
            <w:tcBorders>
              <w:left w:val="single" w:sz="8" w:color="434F69"/>
              <w:right w:val="single" w:sz="8" w:color="434F69"/>
            </w:tcBorders>
          </w:tcPr>
          <w:p>
            <w:pPr>
              <w:spacing w:after="0"/>
              <w:rPr>
                <w:sz w:val="21"/>
                <w:szCs w:val="21"/>
                <w:color w:val="auto"/>
              </w:rPr>
            </w:pPr>
          </w:p>
        </w:tc>
        <w:tc>
          <w:tcPr>
            <w:tcW w:w="900" w:type="dxa"/>
            <w:vAlign w:val="bottom"/>
            <w:tcBorders>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60" w:type="dxa"/>
            <w:vAlign w:val="bottom"/>
          </w:tcPr>
          <w:p>
            <w:pPr>
              <w:spacing w:after="0"/>
              <w:rPr>
                <w:sz w:val="21"/>
                <w:szCs w:val="21"/>
                <w:color w:val="auto"/>
              </w:rPr>
            </w:pPr>
          </w:p>
        </w:tc>
        <w:tc>
          <w:tcPr>
            <w:tcW w:w="860" w:type="dxa"/>
            <w:vAlign w:val="bottom"/>
            <w:tcBorders>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right w:val="single" w:sz="8" w:color="434F69"/>
            </w:tcBorders>
            <w:gridSpan w:val="2"/>
          </w:tcPr>
          <w:p>
            <w:pPr>
              <w:jc w:val="right"/>
              <w:ind w:right="293"/>
              <w:spacing w:after="0"/>
              <w:rPr>
                <w:sz w:val="20"/>
                <w:szCs w:val="20"/>
                <w:color w:val="auto"/>
              </w:rPr>
            </w:pPr>
            <w:r>
              <w:rPr>
                <w:rFonts w:ascii="Arial" w:cs="Arial" w:eastAsia="Arial" w:hAnsi="Arial"/>
                <w:sz w:val="14"/>
                <w:szCs w:val="14"/>
                <w:color w:val="auto"/>
              </w:rPr>
              <w:t>60,100</w:t>
            </w:r>
          </w:p>
        </w:tc>
        <w:tc>
          <w:tcPr>
            <w:tcW w:w="1220" w:type="dxa"/>
            <w:vAlign w:val="bottom"/>
            <w:tcBorders>
              <w:right w:val="single" w:sz="8" w:color="434F69"/>
            </w:tcBorders>
          </w:tcPr>
          <w:p>
            <w:pPr>
              <w:jc w:val="right"/>
              <w:ind w:right="212"/>
              <w:spacing w:after="0"/>
              <w:rPr>
                <w:sz w:val="20"/>
                <w:szCs w:val="20"/>
                <w:color w:val="auto"/>
              </w:rPr>
            </w:pPr>
            <w:r>
              <w:rPr>
                <w:rFonts w:ascii="Arial" w:cs="Arial" w:eastAsia="Arial" w:hAnsi="Arial"/>
                <w:sz w:val="14"/>
                <w:szCs w:val="14"/>
                <w:color w:val="auto"/>
              </w:rPr>
              <w:t>821,267</w:t>
            </w:r>
          </w:p>
        </w:tc>
        <w:tc>
          <w:tcPr>
            <w:tcW w:w="0" w:type="dxa"/>
            <w:vAlign w:val="bottom"/>
          </w:tcPr>
          <w:p>
            <w:pPr>
              <w:spacing w:after="0"/>
              <w:rPr>
                <w:sz w:val="1"/>
                <w:szCs w:val="1"/>
                <w:color w:val="auto"/>
              </w:rPr>
            </w:pPr>
          </w:p>
        </w:tc>
      </w:tr>
      <w:tr>
        <w:trPr>
          <w:trHeight w:val="25"/>
        </w:trPr>
        <w:tc>
          <w:tcPr>
            <w:tcW w:w="1160" w:type="dxa"/>
            <w:vAlign w:val="bottom"/>
            <w:tcBorders>
              <w:left w:val="single" w:sz="8" w:color="434F69"/>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60" w:type="dxa"/>
            <w:vAlign w:val="bottom"/>
            <w:tcBorders>
              <w:bottom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920" w:type="dxa"/>
            <w:vAlign w:val="bottom"/>
            <w:tcBorders>
              <w:bottom w:val="single" w:sz="8" w:color="434F69"/>
              <w:right w:val="single" w:sz="8" w:color="434F69"/>
            </w:tcBorders>
          </w:tcPr>
          <w:p>
            <w:pPr>
              <w:spacing w:after="0"/>
              <w:rPr>
                <w:sz w:val="2"/>
                <w:szCs w:val="2"/>
                <w:color w:val="auto"/>
              </w:rPr>
            </w:pPr>
          </w:p>
        </w:tc>
        <w:tc>
          <w:tcPr>
            <w:tcW w:w="74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80" w:type="dxa"/>
            <w:vAlign w:val="bottom"/>
            <w:tcBorders>
              <w:bottom w:val="single" w:sz="8" w:color="434F69"/>
            </w:tcBorders>
          </w:tcPr>
          <w:p>
            <w:pPr>
              <w:spacing w:after="0"/>
              <w:rPr>
                <w:sz w:val="2"/>
                <w:szCs w:val="2"/>
                <w:color w:val="auto"/>
              </w:rPr>
            </w:pPr>
          </w:p>
        </w:tc>
        <w:tc>
          <w:tcPr>
            <w:tcW w:w="1140" w:type="dxa"/>
            <w:vAlign w:val="bottom"/>
            <w:tcBorders>
              <w:bottom w:val="single" w:sz="8" w:color="434F69"/>
              <w:right w:val="single" w:sz="8" w:color="434F69"/>
            </w:tcBorders>
          </w:tcPr>
          <w:p>
            <w:pPr>
              <w:spacing w:after="0"/>
              <w:rPr>
                <w:sz w:val="2"/>
                <w:szCs w:val="2"/>
                <w:color w:val="auto"/>
              </w:rPr>
            </w:pPr>
          </w:p>
        </w:tc>
        <w:tc>
          <w:tcPr>
            <w:tcW w:w="1220" w:type="dxa"/>
            <w:vAlign w:val="bottom"/>
            <w:tcBorders>
              <w:bottom w:val="single" w:sz="8" w:color="434F69"/>
              <w:right w:val="single" w:sz="8" w:color="434F6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60" w:type="dxa"/>
            <w:vAlign w:val="bottom"/>
            <w:tcBorders>
              <w:bottom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Richard McGee</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60" w:type="dxa"/>
            <w:vAlign w:val="bottom"/>
            <w:tcBorders>
              <w:bottom w:val="single" w:sz="8" w:color="434F69"/>
            </w:tcBorders>
          </w:tcPr>
          <w:p>
            <w:pPr>
              <w:spacing w:after="0"/>
              <w:rPr>
                <w:sz w:val="17"/>
                <w:szCs w:val="17"/>
                <w:color w:val="auto"/>
              </w:rPr>
            </w:pPr>
          </w:p>
        </w:tc>
        <w:tc>
          <w:tcPr>
            <w:tcW w:w="860" w:type="dxa"/>
            <w:vAlign w:val="bottom"/>
            <w:tcBorders>
              <w:bottom w:val="single" w:sz="8" w:color="434F69"/>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34F69"/>
            </w:tcBorders>
          </w:tcPr>
          <w:p>
            <w:pPr>
              <w:spacing w:after="0"/>
              <w:rPr>
                <w:sz w:val="17"/>
                <w:szCs w:val="17"/>
                <w:color w:val="auto"/>
              </w:rPr>
            </w:pPr>
          </w:p>
        </w:tc>
        <w:tc>
          <w:tcPr>
            <w:tcW w:w="114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60" w:type="dxa"/>
            <w:vAlign w:val="bottom"/>
            <w:tcBorders>
              <w:left w:val="single" w:sz="8" w:color="434F69"/>
              <w:right w:val="single" w:sz="8" w:color="434F69"/>
            </w:tcBorders>
          </w:tcPr>
          <w:p>
            <w:pPr>
              <w:spacing w:after="0"/>
              <w:rPr>
                <w:sz w:val="21"/>
                <w:szCs w:val="21"/>
                <w:color w:val="auto"/>
              </w:rPr>
            </w:pPr>
          </w:p>
        </w:tc>
        <w:tc>
          <w:tcPr>
            <w:tcW w:w="900" w:type="dxa"/>
            <w:vAlign w:val="bottom"/>
            <w:tcBorders>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60" w:type="dxa"/>
            <w:vAlign w:val="bottom"/>
          </w:tcPr>
          <w:p>
            <w:pPr>
              <w:spacing w:after="0"/>
              <w:rPr>
                <w:sz w:val="21"/>
                <w:szCs w:val="21"/>
                <w:color w:val="auto"/>
              </w:rPr>
            </w:pPr>
          </w:p>
        </w:tc>
        <w:tc>
          <w:tcPr>
            <w:tcW w:w="860" w:type="dxa"/>
            <w:vAlign w:val="bottom"/>
            <w:tcBorders>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right w:val="single" w:sz="8" w:color="434F69"/>
            </w:tcBorders>
            <w:gridSpan w:val="2"/>
          </w:tcPr>
          <w:p>
            <w:pPr>
              <w:jc w:val="right"/>
              <w:ind w:right="293"/>
              <w:spacing w:after="0"/>
              <w:rPr>
                <w:sz w:val="20"/>
                <w:szCs w:val="20"/>
                <w:color w:val="auto"/>
              </w:rPr>
            </w:pPr>
            <w:r>
              <w:rPr>
                <w:rFonts w:ascii="Arial" w:cs="Arial" w:eastAsia="Arial" w:hAnsi="Arial"/>
                <w:sz w:val="14"/>
                <w:szCs w:val="14"/>
                <w:color w:val="auto"/>
              </w:rPr>
              <w:t>60,100</w:t>
            </w:r>
          </w:p>
        </w:tc>
        <w:tc>
          <w:tcPr>
            <w:tcW w:w="1220" w:type="dxa"/>
            <w:vAlign w:val="bottom"/>
            <w:tcBorders>
              <w:right w:val="single" w:sz="8" w:color="434F69"/>
            </w:tcBorders>
          </w:tcPr>
          <w:p>
            <w:pPr>
              <w:jc w:val="right"/>
              <w:ind w:right="212"/>
              <w:spacing w:after="0"/>
              <w:rPr>
                <w:sz w:val="20"/>
                <w:szCs w:val="20"/>
                <w:color w:val="auto"/>
              </w:rPr>
            </w:pPr>
            <w:r>
              <w:rPr>
                <w:rFonts w:ascii="Arial" w:cs="Arial" w:eastAsia="Arial" w:hAnsi="Arial"/>
                <w:sz w:val="14"/>
                <w:szCs w:val="14"/>
                <w:color w:val="auto"/>
              </w:rPr>
              <w:t>821,267</w:t>
            </w:r>
          </w:p>
        </w:tc>
        <w:tc>
          <w:tcPr>
            <w:tcW w:w="0" w:type="dxa"/>
            <w:vAlign w:val="bottom"/>
          </w:tcPr>
          <w:p>
            <w:pPr>
              <w:spacing w:after="0"/>
              <w:rPr>
                <w:sz w:val="1"/>
                <w:szCs w:val="1"/>
                <w:color w:val="auto"/>
              </w:rPr>
            </w:pPr>
          </w:p>
        </w:tc>
      </w:tr>
      <w:tr>
        <w:trPr>
          <w:trHeight w:val="25"/>
        </w:trPr>
        <w:tc>
          <w:tcPr>
            <w:tcW w:w="1160" w:type="dxa"/>
            <w:vAlign w:val="bottom"/>
            <w:tcBorders>
              <w:left w:val="single" w:sz="8" w:color="434F69"/>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60" w:type="dxa"/>
            <w:vAlign w:val="bottom"/>
            <w:tcBorders>
              <w:bottom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920" w:type="dxa"/>
            <w:vAlign w:val="bottom"/>
            <w:tcBorders>
              <w:bottom w:val="single" w:sz="8" w:color="434F69"/>
              <w:right w:val="single" w:sz="8" w:color="434F69"/>
            </w:tcBorders>
          </w:tcPr>
          <w:p>
            <w:pPr>
              <w:spacing w:after="0"/>
              <w:rPr>
                <w:sz w:val="2"/>
                <w:szCs w:val="2"/>
                <w:color w:val="auto"/>
              </w:rPr>
            </w:pPr>
          </w:p>
        </w:tc>
        <w:tc>
          <w:tcPr>
            <w:tcW w:w="74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80" w:type="dxa"/>
            <w:vAlign w:val="bottom"/>
            <w:tcBorders>
              <w:bottom w:val="single" w:sz="8" w:color="434F69"/>
            </w:tcBorders>
          </w:tcPr>
          <w:p>
            <w:pPr>
              <w:spacing w:after="0"/>
              <w:rPr>
                <w:sz w:val="2"/>
                <w:szCs w:val="2"/>
                <w:color w:val="auto"/>
              </w:rPr>
            </w:pPr>
          </w:p>
        </w:tc>
        <w:tc>
          <w:tcPr>
            <w:tcW w:w="1140" w:type="dxa"/>
            <w:vAlign w:val="bottom"/>
            <w:tcBorders>
              <w:bottom w:val="single" w:sz="8" w:color="434F69"/>
              <w:right w:val="single" w:sz="8" w:color="434F69"/>
            </w:tcBorders>
          </w:tcPr>
          <w:p>
            <w:pPr>
              <w:spacing w:after="0"/>
              <w:rPr>
                <w:sz w:val="2"/>
                <w:szCs w:val="2"/>
                <w:color w:val="auto"/>
              </w:rPr>
            </w:pPr>
          </w:p>
        </w:tc>
        <w:tc>
          <w:tcPr>
            <w:tcW w:w="1220" w:type="dxa"/>
            <w:vAlign w:val="bottom"/>
            <w:tcBorders>
              <w:bottom w:val="single" w:sz="8" w:color="434F69"/>
              <w:right w:val="single" w:sz="8" w:color="434F6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60" w:type="dxa"/>
            <w:vAlign w:val="bottom"/>
            <w:tcBorders>
              <w:bottom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Chris Chandler</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60" w:type="dxa"/>
            <w:vAlign w:val="bottom"/>
            <w:tcBorders>
              <w:bottom w:val="single" w:sz="8" w:color="434F69"/>
            </w:tcBorders>
          </w:tcPr>
          <w:p>
            <w:pPr>
              <w:spacing w:after="0"/>
              <w:rPr>
                <w:sz w:val="17"/>
                <w:szCs w:val="17"/>
                <w:color w:val="auto"/>
              </w:rPr>
            </w:pPr>
          </w:p>
        </w:tc>
        <w:tc>
          <w:tcPr>
            <w:tcW w:w="860" w:type="dxa"/>
            <w:vAlign w:val="bottom"/>
            <w:tcBorders>
              <w:bottom w:val="single" w:sz="8" w:color="434F69"/>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34F69"/>
            </w:tcBorders>
          </w:tcPr>
          <w:p>
            <w:pPr>
              <w:spacing w:after="0"/>
              <w:rPr>
                <w:sz w:val="17"/>
                <w:szCs w:val="17"/>
                <w:color w:val="auto"/>
              </w:rPr>
            </w:pPr>
          </w:p>
        </w:tc>
        <w:tc>
          <w:tcPr>
            <w:tcW w:w="114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60" w:type="dxa"/>
            <w:vAlign w:val="bottom"/>
            <w:tcBorders>
              <w:left w:val="single" w:sz="8" w:color="434F69"/>
              <w:right w:val="single" w:sz="8" w:color="434F69"/>
            </w:tcBorders>
          </w:tcPr>
          <w:p>
            <w:pPr>
              <w:spacing w:after="0"/>
              <w:rPr>
                <w:sz w:val="21"/>
                <w:szCs w:val="21"/>
                <w:color w:val="auto"/>
              </w:rPr>
            </w:pPr>
          </w:p>
        </w:tc>
        <w:tc>
          <w:tcPr>
            <w:tcW w:w="900" w:type="dxa"/>
            <w:vAlign w:val="bottom"/>
            <w:tcBorders>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60" w:type="dxa"/>
            <w:vAlign w:val="bottom"/>
          </w:tcPr>
          <w:p>
            <w:pPr>
              <w:spacing w:after="0"/>
              <w:rPr>
                <w:sz w:val="21"/>
                <w:szCs w:val="21"/>
                <w:color w:val="auto"/>
              </w:rPr>
            </w:pPr>
          </w:p>
        </w:tc>
        <w:tc>
          <w:tcPr>
            <w:tcW w:w="860" w:type="dxa"/>
            <w:vAlign w:val="bottom"/>
            <w:tcBorders>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right w:val="single" w:sz="8" w:color="434F69"/>
            </w:tcBorders>
            <w:gridSpan w:val="2"/>
          </w:tcPr>
          <w:p>
            <w:pPr>
              <w:jc w:val="right"/>
              <w:ind w:right="293"/>
              <w:spacing w:after="0"/>
              <w:rPr>
                <w:sz w:val="20"/>
                <w:szCs w:val="20"/>
                <w:color w:val="auto"/>
              </w:rPr>
            </w:pPr>
            <w:r>
              <w:rPr>
                <w:rFonts w:ascii="Arial" w:cs="Arial" w:eastAsia="Arial" w:hAnsi="Arial"/>
                <w:sz w:val="14"/>
                <w:szCs w:val="14"/>
                <w:color w:val="auto"/>
              </w:rPr>
              <w:t>60,100</w:t>
            </w:r>
          </w:p>
        </w:tc>
        <w:tc>
          <w:tcPr>
            <w:tcW w:w="1220" w:type="dxa"/>
            <w:vAlign w:val="bottom"/>
            <w:tcBorders>
              <w:right w:val="single" w:sz="8" w:color="434F69"/>
            </w:tcBorders>
          </w:tcPr>
          <w:p>
            <w:pPr>
              <w:jc w:val="right"/>
              <w:ind w:right="212"/>
              <w:spacing w:after="0"/>
              <w:rPr>
                <w:sz w:val="20"/>
                <w:szCs w:val="20"/>
                <w:color w:val="auto"/>
              </w:rPr>
            </w:pPr>
            <w:r>
              <w:rPr>
                <w:rFonts w:ascii="Arial" w:cs="Arial" w:eastAsia="Arial" w:hAnsi="Arial"/>
                <w:sz w:val="14"/>
                <w:szCs w:val="14"/>
                <w:color w:val="auto"/>
              </w:rPr>
              <w:t>821,267</w:t>
            </w:r>
          </w:p>
        </w:tc>
        <w:tc>
          <w:tcPr>
            <w:tcW w:w="0" w:type="dxa"/>
            <w:vAlign w:val="bottom"/>
          </w:tcPr>
          <w:p>
            <w:pPr>
              <w:spacing w:after="0"/>
              <w:rPr>
                <w:sz w:val="1"/>
                <w:szCs w:val="1"/>
                <w:color w:val="auto"/>
              </w:rPr>
            </w:pPr>
          </w:p>
        </w:tc>
      </w:tr>
      <w:tr>
        <w:trPr>
          <w:trHeight w:val="25"/>
        </w:trPr>
        <w:tc>
          <w:tcPr>
            <w:tcW w:w="1160" w:type="dxa"/>
            <w:vAlign w:val="bottom"/>
            <w:tcBorders>
              <w:left w:val="single" w:sz="8" w:color="434F69"/>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60" w:type="dxa"/>
            <w:vAlign w:val="bottom"/>
            <w:tcBorders>
              <w:bottom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920" w:type="dxa"/>
            <w:vAlign w:val="bottom"/>
            <w:tcBorders>
              <w:bottom w:val="single" w:sz="8" w:color="434F69"/>
              <w:right w:val="single" w:sz="8" w:color="434F69"/>
            </w:tcBorders>
          </w:tcPr>
          <w:p>
            <w:pPr>
              <w:spacing w:after="0"/>
              <w:rPr>
                <w:sz w:val="2"/>
                <w:szCs w:val="2"/>
                <w:color w:val="auto"/>
              </w:rPr>
            </w:pPr>
          </w:p>
        </w:tc>
        <w:tc>
          <w:tcPr>
            <w:tcW w:w="74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80" w:type="dxa"/>
            <w:vAlign w:val="bottom"/>
            <w:tcBorders>
              <w:bottom w:val="single" w:sz="8" w:color="434F69"/>
            </w:tcBorders>
          </w:tcPr>
          <w:p>
            <w:pPr>
              <w:spacing w:after="0"/>
              <w:rPr>
                <w:sz w:val="2"/>
                <w:szCs w:val="2"/>
                <w:color w:val="auto"/>
              </w:rPr>
            </w:pPr>
          </w:p>
        </w:tc>
        <w:tc>
          <w:tcPr>
            <w:tcW w:w="1140" w:type="dxa"/>
            <w:vAlign w:val="bottom"/>
            <w:tcBorders>
              <w:bottom w:val="single" w:sz="8" w:color="434F69"/>
              <w:right w:val="single" w:sz="8" w:color="434F69"/>
            </w:tcBorders>
          </w:tcPr>
          <w:p>
            <w:pPr>
              <w:spacing w:after="0"/>
              <w:rPr>
                <w:sz w:val="2"/>
                <w:szCs w:val="2"/>
                <w:color w:val="auto"/>
              </w:rPr>
            </w:pPr>
          </w:p>
        </w:tc>
        <w:tc>
          <w:tcPr>
            <w:tcW w:w="1220" w:type="dxa"/>
            <w:vAlign w:val="bottom"/>
            <w:tcBorders>
              <w:bottom w:val="single" w:sz="8" w:color="434F69"/>
              <w:right w:val="single" w:sz="8" w:color="434F6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60" w:type="dxa"/>
            <w:vAlign w:val="bottom"/>
            <w:tcBorders>
              <w:bottom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86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92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60" w:type="dxa"/>
            <w:vAlign w:val="bottom"/>
            <w:tcBorders>
              <w:left w:val="single" w:sz="8" w:color="434F69"/>
              <w:bottom w:val="single" w:sz="8" w:color="434F69"/>
              <w:right w:val="single" w:sz="8" w:color="434F69"/>
            </w:tcBorders>
          </w:tcPr>
          <w:p>
            <w:pPr>
              <w:ind w:left="40"/>
              <w:spacing w:after="0"/>
              <w:rPr>
                <w:sz w:val="20"/>
                <w:szCs w:val="20"/>
                <w:color w:val="auto"/>
              </w:rPr>
            </w:pPr>
            <w:r>
              <w:rPr>
                <w:rFonts w:ascii="Arial" w:cs="Arial" w:eastAsia="Arial" w:hAnsi="Arial"/>
                <w:sz w:val="14"/>
                <w:szCs w:val="14"/>
                <w:color w:val="auto"/>
              </w:rPr>
              <w:t>Jeremy Goebel</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4"/>
                <w:szCs w:val="14"/>
                <w:color w:val="auto"/>
              </w:rPr>
              <w:t>2/25/21</w:t>
            </w:r>
          </w:p>
        </w:tc>
        <w:tc>
          <w:tcPr>
            <w:tcW w:w="60" w:type="dxa"/>
            <w:vAlign w:val="bottom"/>
            <w:tcBorders>
              <w:bottom w:val="single" w:sz="8" w:color="434F69"/>
            </w:tcBorders>
          </w:tcPr>
          <w:p>
            <w:pPr>
              <w:spacing w:after="0"/>
              <w:rPr>
                <w:sz w:val="17"/>
                <w:szCs w:val="17"/>
                <w:color w:val="auto"/>
              </w:rPr>
            </w:pPr>
          </w:p>
        </w:tc>
        <w:tc>
          <w:tcPr>
            <w:tcW w:w="860" w:type="dxa"/>
            <w:vAlign w:val="bottom"/>
            <w:tcBorders>
              <w:bottom w:val="single" w:sz="8" w:color="434F69"/>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800,000</w:t>
            </w:r>
          </w:p>
        </w:tc>
        <w:tc>
          <w:tcPr>
            <w:tcW w:w="900" w:type="dxa"/>
            <w:vAlign w:val="bottom"/>
            <w:tcBorders>
              <w:bottom w:val="single" w:sz="8" w:color="434F69"/>
              <w:right w:val="single" w:sz="8" w:color="434F69"/>
            </w:tcBorders>
          </w:tcPr>
          <w:p>
            <w:pPr>
              <w:jc w:val="right"/>
              <w:ind w:right="48"/>
              <w:spacing w:after="0"/>
              <w:rPr>
                <w:sz w:val="20"/>
                <w:szCs w:val="20"/>
                <w:color w:val="auto"/>
              </w:rPr>
            </w:pPr>
            <w:r>
              <w:rPr>
                <w:rFonts w:ascii="Arial" w:cs="Arial" w:eastAsia="Arial" w:hAnsi="Arial"/>
                <w:sz w:val="14"/>
                <w:szCs w:val="14"/>
                <w:color w:val="auto"/>
              </w:rPr>
              <w:t>1,600,000</w:t>
            </w:r>
          </w:p>
        </w:tc>
        <w:tc>
          <w:tcPr>
            <w:tcW w:w="920" w:type="dxa"/>
            <w:vAlign w:val="bottom"/>
            <w:tcBorders>
              <w:bottom w:val="single" w:sz="8" w:color="434F69"/>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34F69"/>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34F69"/>
              <w:right w:val="single" w:sz="8" w:color="434F69"/>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34F69"/>
            </w:tcBorders>
          </w:tcPr>
          <w:p>
            <w:pPr>
              <w:spacing w:after="0"/>
              <w:rPr>
                <w:sz w:val="17"/>
                <w:szCs w:val="17"/>
                <w:color w:val="auto"/>
              </w:rPr>
            </w:pPr>
          </w:p>
        </w:tc>
        <w:tc>
          <w:tcPr>
            <w:tcW w:w="1140" w:type="dxa"/>
            <w:vAlign w:val="bottom"/>
            <w:tcBorders>
              <w:bottom w:val="single" w:sz="8" w:color="434F69"/>
              <w:right w:val="single" w:sz="8" w:color="434F69"/>
            </w:tcBorders>
          </w:tcPr>
          <w:p>
            <w:pPr>
              <w:jc w:val="right"/>
              <w:ind w:right="2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434F69"/>
              <w:right w:val="single" w:sz="8" w:color="434F69"/>
            </w:tcBorders>
          </w:tcPr>
          <w:p>
            <w:pPr>
              <w:jc w:val="right"/>
              <w:ind w:right="2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60" w:type="dxa"/>
            <w:vAlign w:val="bottom"/>
            <w:tcBorders>
              <w:left w:val="single" w:sz="8" w:color="434F69"/>
              <w:right w:val="single" w:sz="8" w:color="434F69"/>
            </w:tcBorders>
          </w:tcPr>
          <w:p>
            <w:pPr>
              <w:spacing w:after="0"/>
              <w:rPr>
                <w:sz w:val="21"/>
                <w:szCs w:val="21"/>
                <w:color w:val="auto"/>
              </w:rPr>
            </w:pPr>
          </w:p>
        </w:tc>
        <w:tc>
          <w:tcPr>
            <w:tcW w:w="900" w:type="dxa"/>
            <w:vAlign w:val="bottom"/>
            <w:tcBorders>
              <w:right w:val="single" w:sz="8" w:color="434F69"/>
            </w:tcBorders>
          </w:tcPr>
          <w:p>
            <w:pPr>
              <w:jc w:val="center"/>
              <w:spacing w:after="0"/>
              <w:rPr>
                <w:sz w:val="20"/>
                <w:szCs w:val="20"/>
                <w:color w:val="auto"/>
              </w:rPr>
            </w:pPr>
            <w:r>
              <w:rPr>
                <w:rFonts w:ascii="Arial" w:cs="Arial" w:eastAsia="Arial" w:hAnsi="Arial"/>
                <w:sz w:val="14"/>
                <w:szCs w:val="14"/>
                <w:color w:val="auto"/>
              </w:rPr>
              <w:t>8/19/21</w:t>
            </w:r>
          </w:p>
        </w:tc>
        <w:tc>
          <w:tcPr>
            <w:tcW w:w="60" w:type="dxa"/>
            <w:vAlign w:val="bottom"/>
          </w:tcPr>
          <w:p>
            <w:pPr>
              <w:spacing w:after="0"/>
              <w:rPr>
                <w:sz w:val="21"/>
                <w:szCs w:val="21"/>
                <w:color w:val="auto"/>
              </w:rPr>
            </w:pPr>
          </w:p>
        </w:tc>
        <w:tc>
          <w:tcPr>
            <w:tcW w:w="860" w:type="dxa"/>
            <w:vAlign w:val="bottom"/>
            <w:tcBorders>
              <w:right w:val="single" w:sz="8" w:color="434F69"/>
            </w:tcBorders>
          </w:tcPr>
          <w:p>
            <w:pPr>
              <w:ind w:left="3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434F69"/>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434F69"/>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434F69"/>
            </w:tcBorders>
          </w:tcPr>
          <w:p>
            <w:pPr>
              <w:jc w:val="right"/>
              <w:ind w:right="28"/>
              <w:spacing w:after="0"/>
              <w:rPr>
                <w:sz w:val="20"/>
                <w:szCs w:val="20"/>
                <w:color w:val="auto"/>
              </w:rPr>
            </w:pPr>
            <w:r>
              <w:rPr>
                <w:rFonts w:ascii="Arial" w:cs="Arial" w:eastAsia="Arial" w:hAnsi="Arial"/>
                <w:sz w:val="14"/>
                <w:szCs w:val="14"/>
                <w:color w:val="auto"/>
              </w:rPr>
              <w:t>60,100</w:t>
            </w:r>
          </w:p>
        </w:tc>
        <w:tc>
          <w:tcPr>
            <w:tcW w:w="900" w:type="dxa"/>
            <w:vAlign w:val="bottom"/>
            <w:tcBorders>
              <w:right w:val="single" w:sz="8" w:color="434F69"/>
            </w:tcBorders>
          </w:tcPr>
          <w:p>
            <w:pPr>
              <w:jc w:val="right"/>
              <w:ind w:right="128"/>
              <w:spacing w:after="0"/>
              <w:rPr>
                <w:sz w:val="20"/>
                <w:szCs w:val="20"/>
                <w:color w:val="auto"/>
              </w:rPr>
            </w:pPr>
            <w:r>
              <w:rPr>
                <w:rFonts w:ascii="Arial" w:cs="Arial" w:eastAsia="Arial" w:hAnsi="Arial"/>
                <w:sz w:val="14"/>
                <w:szCs w:val="14"/>
                <w:color w:val="auto"/>
              </w:rPr>
              <w:t>120,200</w:t>
            </w:r>
          </w:p>
        </w:tc>
        <w:tc>
          <w:tcPr>
            <w:tcW w:w="1220" w:type="dxa"/>
            <w:vAlign w:val="bottom"/>
            <w:tcBorders>
              <w:right w:val="single" w:sz="8" w:color="434F69"/>
            </w:tcBorders>
            <w:gridSpan w:val="2"/>
          </w:tcPr>
          <w:p>
            <w:pPr>
              <w:jc w:val="right"/>
              <w:ind w:right="293"/>
              <w:spacing w:after="0"/>
              <w:rPr>
                <w:sz w:val="20"/>
                <w:szCs w:val="20"/>
                <w:color w:val="auto"/>
              </w:rPr>
            </w:pPr>
            <w:r>
              <w:rPr>
                <w:rFonts w:ascii="Arial" w:cs="Arial" w:eastAsia="Arial" w:hAnsi="Arial"/>
                <w:sz w:val="14"/>
                <w:szCs w:val="14"/>
                <w:color w:val="auto"/>
              </w:rPr>
              <w:t>60,100</w:t>
            </w:r>
          </w:p>
        </w:tc>
        <w:tc>
          <w:tcPr>
            <w:tcW w:w="1220" w:type="dxa"/>
            <w:vAlign w:val="bottom"/>
            <w:tcBorders>
              <w:right w:val="single" w:sz="8" w:color="434F69"/>
            </w:tcBorders>
          </w:tcPr>
          <w:p>
            <w:pPr>
              <w:jc w:val="right"/>
              <w:ind w:right="212"/>
              <w:spacing w:after="0"/>
              <w:rPr>
                <w:sz w:val="20"/>
                <w:szCs w:val="20"/>
                <w:color w:val="auto"/>
              </w:rPr>
            </w:pPr>
            <w:r>
              <w:rPr>
                <w:rFonts w:ascii="Arial" w:cs="Arial" w:eastAsia="Arial" w:hAnsi="Arial"/>
                <w:sz w:val="14"/>
                <w:szCs w:val="14"/>
                <w:color w:val="auto"/>
              </w:rPr>
              <w:t>821,267</w:t>
            </w:r>
          </w:p>
        </w:tc>
        <w:tc>
          <w:tcPr>
            <w:tcW w:w="0" w:type="dxa"/>
            <w:vAlign w:val="bottom"/>
          </w:tcPr>
          <w:p>
            <w:pPr>
              <w:spacing w:after="0"/>
              <w:rPr>
                <w:sz w:val="1"/>
                <w:szCs w:val="1"/>
                <w:color w:val="auto"/>
              </w:rPr>
            </w:pPr>
          </w:p>
        </w:tc>
      </w:tr>
      <w:tr>
        <w:trPr>
          <w:trHeight w:val="25"/>
        </w:trPr>
        <w:tc>
          <w:tcPr>
            <w:tcW w:w="1160" w:type="dxa"/>
            <w:vAlign w:val="bottom"/>
            <w:tcBorders>
              <w:left w:val="single" w:sz="8" w:color="434F69"/>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60" w:type="dxa"/>
            <w:vAlign w:val="bottom"/>
            <w:tcBorders>
              <w:bottom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86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920" w:type="dxa"/>
            <w:vAlign w:val="bottom"/>
            <w:tcBorders>
              <w:bottom w:val="single" w:sz="8" w:color="434F69"/>
              <w:right w:val="single" w:sz="8" w:color="434F69"/>
            </w:tcBorders>
          </w:tcPr>
          <w:p>
            <w:pPr>
              <w:spacing w:after="0"/>
              <w:rPr>
                <w:sz w:val="2"/>
                <w:szCs w:val="2"/>
                <w:color w:val="auto"/>
              </w:rPr>
            </w:pPr>
          </w:p>
        </w:tc>
        <w:tc>
          <w:tcPr>
            <w:tcW w:w="740" w:type="dxa"/>
            <w:vAlign w:val="bottom"/>
            <w:tcBorders>
              <w:bottom w:val="single" w:sz="8" w:color="434F69"/>
              <w:right w:val="single" w:sz="8" w:color="434F69"/>
            </w:tcBorders>
          </w:tcPr>
          <w:p>
            <w:pPr>
              <w:spacing w:after="0"/>
              <w:rPr>
                <w:sz w:val="2"/>
                <w:szCs w:val="2"/>
                <w:color w:val="auto"/>
              </w:rPr>
            </w:pPr>
          </w:p>
        </w:tc>
        <w:tc>
          <w:tcPr>
            <w:tcW w:w="900" w:type="dxa"/>
            <w:vAlign w:val="bottom"/>
            <w:tcBorders>
              <w:bottom w:val="single" w:sz="8" w:color="434F69"/>
              <w:right w:val="single" w:sz="8" w:color="434F69"/>
            </w:tcBorders>
          </w:tcPr>
          <w:p>
            <w:pPr>
              <w:spacing w:after="0"/>
              <w:rPr>
                <w:sz w:val="2"/>
                <w:szCs w:val="2"/>
                <w:color w:val="auto"/>
              </w:rPr>
            </w:pPr>
          </w:p>
        </w:tc>
        <w:tc>
          <w:tcPr>
            <w:tcW w:w="80" w:type="dxa"/>
            <w:vAlign w:val="bottom"/>
            <w:tcBorders>
              <w:bottom w:val="single" w:sz="8" w:color="434F69"/>
            </w:tcBorders>
          </w:tcPr>
          <w:p>
            <w:pPr>
              <w:spacing w:after="0"/>
              <w:rPr>
                <w:sz w:val="2"/>
                <w:szCs w:val="2"/>
                <w:color w:val="auto"/>
              </w:rPr>
            </w:pPr>
          </w:p>
        </w:tc>
        <w:tc>
          <w:tcPr>
            <w:tcW w:w="1140" w:type="dxa"/>
            <w:vAlign w:val="bottom"/>
            <w:tcBorders>
              <w:bottom w:val="single" w:sz="8" w:color="434F69"/>
              <w:right w:val="single" w:sz="8" w:color="434F69"/>
            </w:tcBorders>
          </w:tcPr>
          <w:p>
            <w:pPr>
              <w:spacing w:after="0"/>
              <w:rPr>
                <w:sz w:val="2"/>
                <w:szCs w:val="2"/>
                <w:color w:val="auto"/>
              </w:rPr>
            </w:pPr>
          </w:p>
        </w:tc>
        <w:tc>
          <w:tcPr>
            <w:tcW w:w="1220" w:type="dxa"/>
            <w:vAlign w:val="bottom"/>
            <w:tcBorders>
              <w:bottom w:val="single" w:sz="8" w:color="434F69"/>
              <w:right w:val="single" w:sz="8" w:color="434F6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20" w:right="820" w:hanging="360"/>
        <w:spacing w:after="0" w:line="247"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7"/>
          <w:szCs w:val="17"/>
          <w:color w:val="auto"/>
        </w:rPr>
        <w:t>Represents the performance-vested portion of phantom units granted in August 2021. These phantom units will potentially vest on the August 2024 distribution date at a scaled payout range of between 0% and 200% based on: (i) with respect to 50% of the performance-vested award, PAA’s TSR over the three-year period ending June 30, 2024 compared to the TSR of the TSR Comparator Peer Group (payout may be reduced if absolute TSR is negative); and (ii) with respect to the other 50% of the performance-vested award, PAA achieving cumulative DCF per CUE of $6.00 over the three-year period ending June 30, 2024 (payout may be decreased or increased by</w:t>
      </w:r>
    </w:p>
    <w:p>
      <w:pPr>
        <w:sectPr>
          <w:pgSz w:w="11900" w:h="16838" w:orient="portrait"/>
          <w:cols w:equalWidth="0" w:num="1">
            <w:col w:w="10220"/>
          </w:cols>
          <w:pgMar w:left="580" w:top="132" w:right="1099" w:bottom="1440" w:gutter="0" w:footer="0" w:header="0"/>
        </w:sectPr>
      </w:pPr>
    </w:p>
    <w:p>
      <w:pPr>
        <w:spacing w:after="0" w:line="38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99"/>
        <w:spacing w:after="0" w:line="253" w:lineRule="auto"/>
        <w:rPr>
          <w:sz w:val="20"/>
          <w:szCs w:val="20"/>
          <w:color w:val="auto"/>
        </w:rPr>
      </w:pPr>
      <w:r>
        <w:rPr>
          <w:rFonts w:ascii="Arial" w:cs="Arial" w:eastAsia="Arial" w:hAnsi="Arial"/>
          <w:sz w:val="18"/>
          <w:szCs w:val="18"/>
          <w:color w:val="auto"/>
        </w:rPr>
        <w:t>50 gross percentage points (but not above 200%) based on PAA’s leverage ratio as of June 30, 2024 compared to PAA’s target leverage ratio for such date as set forth in PAA’s multi-year plan as of August 2021). DERs associated with the performance-vested portion will accrue during the three-year performance period and be paid in cash in a lump sum on the August 2024 distribution date with respect to the number of such phantom units, if any, that vest on such date.</w:t>
      </w:r>
    </w:p>
    <w:p>
      <w:pPr>
        <w:spacing w:after="0" w:line="84" w:lineRule="exact"/>
        <w:rPr>
          <w:sz w:val="20"/>
          <w:szCs w:val="20"/>
          <w:color w:val="auto"/>
        </w:rPr>
      </w:pPr>
    </w:p>
    <w:p>
      <w:pPr>
        <w:ind w:left="1620" w:right="439" w:hanging="360"/>
        <w:spacing w:after="0" w:line="227"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Represents the time-vested portion of phantom units granted in August 2021. These phantom units will vest on the August 2024 distribution date. DERs associated with the time-vested portion will accrue for the first year and such accrued amount will be paid in cash in a lump sum on the August 2022 distribution date; beginning in November 2022, DERs on such time-vested portion will be paid quarterly until the associated phantom units vest.</w:t>
      </w:r>
    </w:p>
    <w:p>
      <w:pPr>
        <w:spacing w:after="0" w:line="84" w:lineRule="exact"/>
        <w:rPr>
          <w:rFonts w:ascii="Arial" w:cs="Arial" w:eastAsia="Arial" w:hAnsi="Arial"/>
          <w:sz w:val="27"/>
          <w:szCs w:val="27"/>
          <w:color w:val="auto"/>
          <w:vertAlign w:val="superscript"/>
        </w:rPr>
      </w:pPr>
    </w:p>
    <w:p>
      <w:pPr>
        <w:ind w:left="1620" w:right="419" w:hanging="360"/>
        <w:spacing w:after="0" w:line="231"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August 2021 based on the probable outcome of underlying performance conditions pursuant to FASB ASC Topic 718. 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34" w:lineRule="exact"/>
        <w:rPr>
          <w:sz w:val="20"/>
          <w:szCs w:val="20"/>
          <w:color w:val="auto"/>
        </w:rPr>
      </w:pPr>
    </w:p>
    <w:p>
      <w:pPr>
        <w:ind w:left="1260" w:right="599" w:firstLine="360"/>
        <w:spacing w:after="0" w:line="256"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234"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19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employment agreement related to termination, change of control and related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as in effect 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2021 with respect to our Named Executive Officers:</w:t>
      </w:r>
    </w:p>
    <w:p>
      <w:pPr>
        <w:spacing w:after="0" w:line="185" w:lineRule="exact"/>
        <w:rPr>
          <w:sz w:val="20"/>
          <w:szCs w:val="20"/>
          <w:color w:val="auto"/>
        </w:rPr>
      </w:pPr>
    </w:p>
    <w:tbl>
      <w:tblPr>
        <w:tblLayout w:type="fixed"/>
        <w:tblInd w:w="1270" w:type="dxa"/>
        <w:tblCellMar>
          <w:top w:w="0" w:type="dxa"/>
          <w:left w:w="0" w:type="dxa"/>
          <w:bottom w:w="0" w:type="dxa"/>
          <w:right w:w="0" w:type="dxa"/>
        </w:tblCellMar>
      </w:tblPr>
      <w:tr>
        <w:trPr>
          <w:trHeight w:val="237"/>
        </w:trPr>
        <w:tc>
          <w:tcPr>
            <w:tcW w:w="3120" w:type="dxa"/>
            <w:vAlign w:val="bottom"/>
            <w:tcBorders>
              <w:left w:val="single" w:sz="8" w:color="434F69"/>
              <w:bottom w:val="single" w:sz="8" w:color="434F69"/>
              <w:right w:val="single" w:sz="8" w:color="434F69"/>
            </w:tcBorders>
            <w:shd w:val="clear" w:color="auto" w:fill="434F69"/>
          </w:tcPr>
          <w:p>
            <w:pPr>
              <w:spacing w:after="0"/>
              <w:rPr>
                <w:sz w:val="20"/>
                <w:szCs w:val="20"/>
                <w:color w:val="auto"/>
              </w:rPr>
            </w:pPr>
          </w:p>
        </w:tc>
        <w:tc>
          <w:tcPr>
            <w:tcW w:w="1320" w:type="dxa"/>
            <w:vAlign w:val="bottom"/>
            <w:tcBorders>
              <w:bottom w:val="single" w:sz="8" w:color="auto"/>
              <w:right w:val="single" w:sz="8" w:color="434F69"/>
            </w:tcBorders>
            <w:shd w:val="clear" w:color="auto" w:fill="434F69"/>
          </w:tcPr>
          <w:p>
            <w:pPr>
              <w:spacing w:after="0"/>
              <w:rPr>
                <w:sz w:val="20"/>
                <w:szCs w:val="20"/>
                <w:color w:val="auto"/>
              </w:rPr>
            </w:pPr>
          </w:p>
        </w:tc>
        <w:tc>
          <w:tcPr>
            <w:tcW w:w="2460" w:type="dxa"/>
            <w:vAlign w:val="bottom"/>
            <w:tcBorders>
              <w:bottom w:val="single" w:sz="8" w:color="auto"/>
              <w:right w:val="single" w:sz="8" w:color="434F69"/>
            </w:tcBorders>
            <w:gridSpan w:val="2"/>
            <w:shd w:val="clear" w:color="auto" w:fill="434F69"/>
          </w:tcPr>
          <w:p>
            <w:pPr>
              <w:jc w:val="right"/>
              <w:ind w:right="695"/>
              <w:spacing w:after="0"/>
              <w:rPr>
                <w:sz w:val="20"/>
                <w:szCs w:val="20"/>
                <w:color w:val="auto"/>
              </w:rPr>
            </w:pPr>
            <w:r>
              <w:rPr>
                <w:rFonts w:ascii="Arial" w:cs="Arial" w:eastAsia="Arial" w:hAnsi="Arial"/>
                <w:sz w:val="14"/>
                <w:szCs w:val="14"/>
                <w:b w:val="1"/>
                <w:bCs w:val="1"/>
                <w:color w:val="FFFFFF"/>
              </w:rPr>
              <w:t>Unit Awards</w:t>
            </w:r>
          </w:p>
        </w:tc>
        <w:tc>
          <w:tcPr>
            <w:tcW w:w="1320" w:type="dxa"/>
            <w:vAlign w:val="bottom"/>
            <w:tcBorders>
              <w:bottom w:val="single" w:sz="8" w:color="auto"/>
              <w:right w:val="single" w:sz="8" w:color="434F69"/>
            </w:tcBorders>
            <w:shd w:val="clear" w:color="auto" w:fill="434F69"/>
          </w:tcPr>
          <w:p>
            <w:pPr>
              <w:spacing w:after="0"/>
              <w:rPr>
                <w:sz w:val="20"/>
                <w:szCs w:val="20"/>
                <w:color w:val="auto"/>
              </w:rPr>
            </w:pPr>
          </w:p>
        </w:tc>
      </w:tr>
      <w:tr>
        <w:trPr>
          <w:trHeight w:val="175"/>
        </w:trPr>
        <w:tc>
          <w:tcPr>
            <w:tcW w:w="3120" w:type="dxa"/>
            <w:vAlign w:val="bottom"/>
            <w:tcBorders>
              <w:left w:val="single" w:sz="8" w:color="434F69"/>
              <w:right w:val="single" w:sz="8" w:color="434F69"/>
            </w:tcBorders>
            <w:shd w:val="clear" w:color="auto" w:fill="434F69"/>
          </w:tcPr>
          <w:p>
            <w:pPr>
              <w:spacing w:after="0"/>
              <w:rPr>
                <w:sz w:val="15"/>
                <w:szCs w:val="15"/>
                <w:color w:val="auto"/>
              </w:rPr>
            </w:pPr>
          </w:p>
        </w:tc>
        <w:tc>
          <w:tcPr>
            <w:tcW w:w="1320" w:type="dxa"/>
            <w:vAlign w:val="bottom"/>
            <w:tcBorders>
              <w:right w:val="single" w:sz="8" w:color="434F69"/>
            </w:tcBorders>
            <w:shd w:val="clear" w:color="auto" w:fill="434F69"/>
          </w:tcPr>
          <w:p>
            <w:pPr>
              <w:spacing w:after="0"/>
              <w:rPr>
                <w:sz w:val="15"/>
                <w:szCs w:val="15"/>
                <w:color w:val="auto"/>
              </w:rPr>
            </w:pPr>
          </w:p>
        </w:tc>
        <w:tc>
          <w:tcPr>
            <w:tcW w:w="1160" w:type="dxa"/>
            <w:vAlign w:val="bottom"/>
            <w:tcBorders>
              <w:right w:val="single" w:sz="8" w:color="434F69"/>
            </w:tcBorders>
            <w:shd w:val="clear" w:color="auto" w:fill="434F69"/>
          </w:tcPr>
          <w:p>
            <w:pPr>
              <w:spacing w:after="0"/>
              <w:rPr>
                <w:sz w:val="15"/>
                <w:szCs w:val="15"/>
                <w:color w:val="auto"/>
              </w:rPr>
            </w:pPr>
          </w:p>
        </w:tc>
        <w:tc>
          <w:tcPr>
            <w:tcW w:w="1300" w:type="dxa"/>
            <w:vAlign w:val="bottom"/>
            <w:tcBorders>
              <w:right w:val="single" w:sz="8" w:color="434F69"/>
            </w:tcBorders>
            <w:shd w:val="clear" w:color="auto" w:fill="434F69"/>
          </w:tcPr>
          <w:p>
            <w:pPr>
              <w:spacing w:after="0"/>
              <w:rPr>
                <w:sz w:val="15"/>
                <w:szCs w:val="15"/>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Incentive</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Incentive</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Plan Awards:</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Plan Awards: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Market</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Payout Value</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Unearned</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of Unearned</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Number of</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 or</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 or</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of</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or</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or</w:t>
            </w:r>
          </w:p>
        </w:tc>
      </w:tr>
      <w:tr>
        <w:trPr>
          <w:trHeight w:val="162"/>
        </w:trPr>
        <w:tc>
          <w:tcPr>
            <w:tcW w:w="3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Stock That</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Other Rights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Other Rights</w:t>
            </w:r>
          </w:p>
        </w:tc>
      </w:tr>
      <w:tr>
        <w:trPr>
          <w:trHeight w:val="151"/>
        </w:trPr>
        <w:tc>
          <w:tcPr>
            <w:tcW w:w="3120" w:type="dxa"/>
            <w:vAlign w:val="bottom"/>
            <w:tcBorders>
              <w:left w:val="single" w:sz="8" w:color="434F69"/>
              <w:right w:val="single" w:sz="8" w:color="434F69"/>
            </w:tcBorders>
            <w:shd w:val="clear" w:color="auto" w:fill="434F69"/>
          </w:tcPr>
          <w:p>
            <w:pPr>
              <w:spacing w:after="0"/>
              <w:rPr>
                <w:sz w:val="13"/>
                <w:szCs w:val="13"/>
                <w:color w:val="auto"/>
              </w:rPr>
            </w:pPr>
          </w:p>
        </w:tc>
        <w:tc>
          <w:tcPr>
            <w:tcW w:w="13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That Have</w:t>
            </w:r>
          </w:p>
        </w:tc>
        <w:tc>
          <w:tcPr>
            <w:tcW w:w="116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Have Not</w:t>
            </w:r>
          </w:p>
        </w:tc>
        <w:tc>
          <w:tcPr>
            <w:tcW w:w="130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That Have</w:t>
            </w:r>
          </w:p>
        </w:tc>
        <w:tc>
          <w:tcPr>
            <w:tcW w:w="13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That Have</w:t>
            </w:r>
          </w:p>
        </w:tc>
      </w:tr>
      <w:tr>
        <w:trPr>
          <w:trHeight w:val="226"/>
        </w:trPr>
        <w:tc>
          <w:tcPr>
            <w:tcW w:w="312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Not Vested (#)</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Vested ($)</w:t>
            </w:r>
            <w:r>
              <w:rPr>
                <w:rFonts w:ascii="Arial" w:cs="Arial" w:eastAsia="Arial" w:hAnsi="Arial"/>
                <w:sz w:val="17"/>
                <w:szCs w:val="17"/>
                <w:b w:val="1"/>
                <w:bCs w:val="1"/>
                <w:color w:val="FFFFFF"/>
                <w:w w:val="96"/>
                <w:vertAlign w:val="superscript"/>
              </w:rPr>
              <w:t>(1)</w:t>
            </w:r>
          </w:p>
        </w:tc>
        <w:tc>
          <w:tcPr>
            <w:tcW w:w="13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Not Vested (#)</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Not Vested ($)</w:t>
            </w:r>
            <w:r>
              <w:rPr>
                <w:rFonts w:ascii="Arial" w:cs="Arial" w:eastAsia="Arial" w:hAnsi="Arial"/>
                <w:sz w:val="17"/>
                <w:szCs w:val="17"/>
                <w:b w:val="1"/>
                <w:bCs w:val="1"/>
                <w:color w:val="FFFFFF"/>
                <w:w w:val="98"/>
                <w:vertAlign w:val="superscript"/>
              </w:rPr>
              <w:t>(1)</w:t>
            </w:r>
          </w:p>
        </w:tc>
      </w:tr>
      <w:tr>
        <w:trPr>
          <w:trHeight w:val="256"/>
        </w:trPr>
        <w:tc>
          <w:tcPr>
            <w:tcW w:w="3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1320" w:type="dxa"/>
            <w:vAlign w:val="bottom"/>
            <w:tcBorders>
              <w:bottom w:val="single" w:sz="8" w:color="434F69"/>
              <w:right w:val="single" w:sz="8" w:color="434F69"/>
            </w:tcBorders>
          </w:tcPr>
          <w:p>
            <w:pPr>
              <w:jc w:val="right"/>
              <w:ind w:right="113"/>
              <w:spacing w:after="0" w:line="256" w:lineRule="exact"/>
              <w:rPr>
                <w:sz w:val="20"/>
                <w:szCs w:val="20"/>
                <w:color w:val="auto"/>
              </w:rPr>
            </w:pPr>
            <w:r>
              <w:rPr>
                <w:rFonts w:ascii="Arial" w:cs="Arial" w:eastAsia="Arial" w:hAnsi="Arial"/>
                <w:sz w:val="18"/>
                <w:szCs w:val="18"/>
                <w:color w:val="auto"/>
              </w:rPr>
              <w:t>375,521</w:t>
            </w:r>
            <w:r>
              <w:rPr>
                <w:rFonts w:ascii="Arial" w:cs="Arial" w:eastAsia="Arial" w:hAnsi="Arial"/>
                <w:sz w:val="23"/>
                <w:szCs w:val="23"/>
                <w:color w:val="auto"/>
                <w:vertAlign w:val="superscript"/>
              </w:rPr>
              <w:t>(2)</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3,584,378</w:t>
            </w:r>
          </w:p>
        </w:tc>
        <w:tc>
          <w:tcPr>
            <w:tcW w:w="130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25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500,000</w:t>
            </w:r>
            <w:r>
              <w:rPr>
                <w:rFonts w:ascii="Arial" w:cs="Arial" w:eastAsia="Arial" w:hAnsi="Arial"/>
                <w:sz w:val="23"/>
                <w:szCs w:val="23"/>
                <w:color w:val="auto"/>
                <w:vertAlign w:val="superscript"/>
              </w:rPr>
              <w:t>(3)</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4,670,000</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62,870</w:t>
            </w:r>
            <w:r>
              <w:rPr>
                <w:rFonts w:ascii="Arial" w:cs="Arial" w:eastAsia="Arial" w:hAnsi="Arial"/>
                <w:sz w:val="23"/>
                <w:szCs w:val="23"/>
                <w:color w:val="auto"/>
                <w:vertAlign w:val="superscript"/>
              </w:rPr>
              <w:t>(4)</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587,206</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62,870</w:t>
            </w:r>
            <w:r>
              <w:rPr>
                <w:rFonts w:ascii="Arial" w:cs="Arial" w:eastAsia="Arial" w:hAnsi="Arial"/>
                <w:sz w:val="23"/>
                <w:szCs w:val="23"/>
                <w:color w:val="auto"/>
                <w:vertAlign w:val="superscript"/>
              </w:rPr>
              <w:t>(5)</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587,206</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187,970</w:t>
            </w:r>
            <w:r>
              <w:rPr>
                <w:rFonts w:ascii="Arial" w:cs="Arial" w:eastAsia="Arial" w:hAnsi="Arial"/>
                <w:sz w:val="23"/>
                <w:szCs w:val="23"/>
                <w:color w:val="auto"/>
                <w:vertAlign w:val="superscript"/>
              </w:rPr>
              <w:t>(10)</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1,755,640</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187,970</w:t>
            </w:r>
            <w:r>
              <w:rPr>
                <w:rFonts w:ascii="Arial" w:cs="Arial" w:eastAsia="Arial" w:hAnsi="Arial"/>
                <w:sz w:val="23"/>
                <w:szCs w:val="23"/>
                <w:color w:val="auto"/>
                <w:vertAlign w:val="superscript"/>
              </w:rPr>
              <w:t>(11)</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1,755,640</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150,300</w:t>
            </w:r>
            <w:r>
              <w:rPr>
                <w:rFonts w:ascii="Arial" w:cs="Arial" w:eastAsia="Arial" w:hAnsi="Arial"/>
                <w:sz w:val="23"/>
                <w:szCs w:val="23"/>
                <w:color w:val="auto"/>
                <w:vertAlign w:val="superscript"/>
              </w:rPr>
              <w:t>(12)</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1,403,802</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150,300</w:t>
            </w:r>
            <w:r>
              <w:rPr>
                <w:rFonts w:ascii="Arial" w:cs="Arial" w:eastAsia="Arial" w:hAnsi="Arial"/>
                <w:sz w:val="23"/>
                <w:szCs w:val="23"/>
                <w:color w:val="auto"/>
                <w:vertAlign w:val="superscript"/>
              </w:rPr>
              <w:t>(13)</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1,403,802</w:t>
            </w:r>
          </w:p>
        </w:tc>
      </w:tr>
      <w:tr>
        <w:trPr>
          <w:trHeight w:val="304"/>
        </w:trPr>
        <w:tc>
          <w:tcPr>
            <w:tcW w:w="31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44"/>
        </w:trPr>
        <w:tc>
          <w:tcPr>
            <w:tcW w:w="3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320" w:type="dxa"/>
            <w:vAlign w:val="bottom"/>
            <w:tcBorders>
              <w:bottom w:val="single" w:sz="8" w:color="434F69"/>
              <w:right w:val="single" w:sz="8" w:color="434F69"/>
            </w:tcBorders>
          </w:tcPr>
          <w:p>
            <w:pPr>
              <w:jc w:val="right"/>
              <w:ind w:right="25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r>
      <w:tr>
        <w:trPr>
          <w:trHeight w:val="310"/>
        </w:trPr>
        <w:tc>
          <w:tcPr>
            <w:tcW w:w="31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234,901</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702,275</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561,334</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r>
      <w:tr>
        <w:trPr>
          <w:trHeight w:val="304"/>
        </w:trPr>
        <w:tc>
          <w:tcPr>
            <w:tcW w:w="31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234,901</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702,275</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561,334</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r>
      <w:tr>
        <w:trPr>
          <w:trHeight w:val="304"/>
        </w:trPr>
        <w:tc>
          <w:tcPr>
            <w:tcW w:w="31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45,000</w:t>
            </w:r>
            <w:r>
              <w:rPr>
                <w:rFonts w:ascii="Arial" w:cs="Arial" w:eastAsia="Arial" w:hAnsi="Arial"/>
                <w:sz w:val="23"/>
                <w:szCs w:val="23"/>
                <w:color w:val="auto"/>
                <w:vertAlign w:val="superscript"/>
              </w:rPr>
              <w:t>(7)</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420,300</w:t>
            </w:r>
          </w:p>
        </w:tc>
        <w:tc>
          <w:tcPr>
            <w:tcW w:w="130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234,901</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2,335,000</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2,335,000</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702,275</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561,334</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r>
      <w:tr>
        <w:trPr>
          <w:trHeight w:val="304"/>
        </w:trPr>
        <w:tc>
          <w:tcPr>
            <w:tcW w:w="31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c>
          <w:tcPr>
            <w:tcW w:w="1160" w:type="dxa"/>
            <w:vAlign w:val="bottom"/>
            <w:tcBorders>
              <w:bottom w:val="single" w:sz="8" w:color="434F69"/>
              <w:right w:val="single" w:sz="8" w:color="434F69"/>
            </w:tcBorders>
            <w:shd w:val="clear" w:color="auto" w:fill="D9DCE1"/>
          </w:tcPr>
          <w:p>
            <w:pPr>
              <w:spacing w:after="0"/>
              <w:rPr>
                <w:sz w:val="24"/>
                <w:szCs w:val="24"/>
                <w:color w:val="auto"/>
              </w:rPr>
            </w:pPr>
          </w:p>
        </w:tc>
        <w:tc>
          <w:tcPr>
            <w:tcW w:w="1300" w:type="dxa"/>
            <w:vAlign w:val="bottom"/>
            <w:tcBorders>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1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37,552</w:t>
            </w:r>
            <w:r>
              <w:rPr>
                <w:rFonts w:ascii="Arial" w:cs="Arial" w:eastAsia="Arial" w:hAnsi="Arial"/>
                <w:sz w:val="23"/>
                <w:szCs w:val="23"/>
                <w:color w:val="auto"/>
                <w:vertAlign w:val="superscript"/>
              </w:rPr>
              <w:t>(8)</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358,449</w:t>
            </w:r>
          </w:p>
        </w:tc>
        <w:tc>
          <w:tcPr>
            <w:tcW w:w="130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60,000</w:t>
            </w:r>
            <w:r>
              <w:rPr>
                <w:rFonts w:ascii="Arial" w:cs="Arial" w:eastAsia="Arial" w:hAnsi="Arial"/>
                <w:sz w:val="23"/>
                <w:szCs w:val="23"/>
                <w:color w:val="auto"/>
                <w:vertAlign w:val="superscript"/>
              </w:rPr>
              <w:t>(9)</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560,400</w:t>
            </w:r>
          </w:p>
        </w:tc>
        <w:tc>
          <w:tcPr>
            <w:tcW w:w="130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(4)</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234,901</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3"/>
                <w:szCs w:val="23"/>
                <w:color w:val="auto"/>
                <w:vertAlign w:val="superscript"/>
              </w:rPr>
              <w:t>(5)</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234,901</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113"/>
              <w:spacing w:after="0" w:line="250"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2,335,000</w:t>
            </w:r>
          </w:p>
        </w:tc>
        <w:tc>
          <w:tcPr>
            <w:tcW w:w="1300" w:type="dxa"/>
            <w:vAlign w:val="bottom"/>
            <w:tcBorders>
              <w:bottom w:val="single" w:sz="8" w:color="434F69"/>
              <w:right w:val="single" w:sz="8" w:color="434F69"/>
            </w:tcBorders>
          </w:tcPr>
          <w:p>
            <w:pPr>
              <w:jc w:val="right"/>
              <w:ind w:right="115"/>
              <w:spacing w:after="0" w:line="250" w:lineRule="exact"/>
              <w:rPr>
                <w:sz w:val="20"/>
                <w:szCs w:val="20"/>
                <w:color w:val="auto"/>
              </w:rPr>
            </w:pPr>
            <w:r>
              <w:rPr>
                <w:rFonts w:ascii="Arial" w:cs="Arial" w:eastAsia="Arial" w:hAnsi="Arial"/>
                <w:sz w:val="18"/>
                <w:szCs w:val="18"/>
                <w:color w:val="auto"/>
              </w:rPr>
              <w:t>250,000</w:t>
            </w:r>
            <w:r>
              <w:rPr>
                <w:rFonts w:ascii="Arial" w:cs="Arial" w:eastAsia="Arial" w:hAnsi="Arial"/>
                <w:sz w:val="23"/>
                <w:szCs w:val="23"/>
                <w:color w:val="auto"/>
                <w:vertAlign w:val="superscript"/>
              </w:rPr>
              <w:t>(6)</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2,335,000</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(10)</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702,275</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3"/>
                <w:szCs w:val="23"/>
                <w:color w:val="auto"/>
                <w:vertAlign w:val="superscript"/>
              </w:rPr>
              <w:t>(11)</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702,275</w:t>
            </w:r>
          </w:p>
        </w:tc>
      </w:tr>
      <w:tr>
        <w:trPr>
          <w:trHeight w:val="250"/>
        </w:trPr>
        <w:tc>
          <w:tcPr>
            <w:tcW w:w="3120" w:type="dxa"/>
            <w:vAlign w:val="bottom"/>
            <w:tcBorders>
              <w:left w:val="single" w:sz="8" w:color="434F69"/>
              <w:bottom w:val="single" w:sz="8" w:color="434F69"/>
              <w:right w:val="single" w:sz="8" w:color="434F69"/>
            </w:tcBorders>
          </w:tcPr>
          <w:p>
            <w:pPr>
              <w:spacing w:after="0"/>
              <w:rPr>
                <w:sz w:val="21"/>
                <w:szCs w:val="21"/>
                <w:color w:val="auto"/>
              </w:rPr>
            </w:pPr>
          </w:p>
        </w:tc>
        <w:tc>
          <w:tcPr>
            <w:tcW w:w="132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(12)</w:t>
            </w:r>
          </w:p>
        </w:tc>
        <w:tc>
          <w:tcPr>
            <w:tcW w:w="1160" w:type="dxa"/>
            <w:vAlign w:val="bottom"/>
            <w:tcBorders>
              <w:bottom w:val="single" w:sz="8" w:color="434F69"/>
              <w:right w:val="single" w:sz="8" w:color="434F69"/>
            </w:tcBorders>
          </w:tcPr>
          <w:p>
            <w:pPr>
              <w:jc w:val="right"/>
              <w:ind w:right="95"/>
              <w:spacing w:after="0"/>
              <w:rPr>
                <w:sz w:val="20"/>
                <w:szCs w:val="20"/>
                <w:color w:val="auto"/>
              </w:rPr>
            </w:pPr>
            <w:r>
              <w:rPr>
                <w:rFonts w:ascii="Arial" w:cs="Arial" w:eastAsia="Arial" w:hAnsi="Arial"/>
                <w:sz w:val="18"/>
                <w:szCs w:val="18"/>
                <w:color w:val="auto"/>
              </w:rPr>
              <w:t>561,334</w:t>
            </w:r>
          </w:p>
        </w:tc>
        <w:tc>
          <w:tcPr>
            <w:tcW w:w="1300" w:type="dxa"/>
            <w:vAlign w:val="bottom"/>
            <w:tcBorders>
              <w:bottom w:val="single" w:sz="8" w:color="434F69"/>
              <w:right w:val="single" w:sz="8" w:color="434F69"/>
            </w:tcBorders>
          </w:tcPr>
          <w:p>
            <w:pPr>
              <w:jc w:val="right"/>
              <w:ind w:right="55"/>
              <w:spacing w:after="0" w:line="250" w:lineRule="exact"/>
              <w:rPr>
                <w:sz w:val="20"/>
                <w:szCs w:val="20"/>
                <w:color w:val="auto"/>
              </w:rPr>
            </w:pPr>
            <w:r>
              <w:rPr>
                <w:rFonts w:ascii="Arial" w:cs="Arial" w:eastAsia="Arial" w:hAnsi="Arial"/>
                <w:sz w:val="18"/>
                <w:szCs w:val="18"/>
                <w:color w:val="auto"/>
              </w:rPr>
              <w:t>60,100</w:t>
            </w:r>
            <w:r>
              <w:rPr>
                <w:rFonts w:ascii="Arial" w:cs="Arial" w:eastAsia="Arial" w:hAnsi="Arial"/>
                <w:sz w:val="23"/>
                <w:szCs w:val="23"/>
                <w:color w:val="auto"/>
                <w:vertAlign w:val="superscript"/>
              </w:rPr>
              <w:t>(13)</w:t>
            </w:r>
          </w:p>
        </w:tc>
        <w:tc>
          <w:tcPr>
            <w:tcW w:w="132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561,334</w:t>
            </w:r>
          </w:p>
        </w:tc>
      </w:tr>
    </w:tbl>
    <w:p>
      <w:pPr>
        <w:spacing w:after="0" w:line="67" w:lineRule="exact"/>
        <w:rPr>
          <w:sz w:val="20"/>
          <w:szCs w:val="20"/>
          <w:color w:val="auto"/>
        </w:rPr>
      </w:pPr>
    </w:p>
    <w:p>
      <w:pPr>
        <w:ind w:left="1620" w:right="479" w:hanging="360"/>
        <w:spacing w:after="0" w:line="244"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7"/>
          <w:szCs w:val="17"/>
          <w:color w:val="auto"/>
        </w:rPr>
        <w:t>Market value of phantom units reported in these columns is calculated by multiplying the closing market price ($9.34) of PAA’s common units at December 31, 2021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w:t>
      </w:r>
    </w:p>
    <w:p>
      <w:pPr>
        <w:sectPr>
          <w:pgSz w:w="11900" w:h="16838" w:orient="portrait"/>
          <w:cols w:equalWidth="0" w:num="1">
            <w:col w:w="9879"/>
          </w:cols>
          <w:pgMar w:left="580" w:top="132" w:right="1440" w:bottom="1440" w:gutter="0" w:footer="0" w:header="0"/>
        </w:sect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79"/>
        <w:spacing w:after="0" w:line="254" w:lineRule="auto"/>
        <w:rPr>
          <w:sz w:val="20"/>
          <w:szCs w:val="20"/>
          <w:color w:val="auto"/>
        </w:rPr>
      </w:pPr>
      <w:r>
        <w:rPr>
          <w:rFonts w:ascii="Arial" w:cs="Arial" w:eastAsia="Arial" w:hAnsi="Arial"/>
          <w:sz w:val="18"/>
          <w:szCs w:val="18"/>
          <w:color w:val="auto"/>
        </w:rPr>
        <w:t>(ii)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55" w:lineRule="exact"/>
        <w:rPr>
          <w:sz w:val="20"/>
          <w:szCs w:val="20"/>
          <w:color w:val="auto"/>
        </w:rPr>
      </w:pPr>
    </w:p>
    <w:p>
      <w:pPr>
        <w:ind w:left="1620" w:right="479" w:hanging="360"/>
        <w:spacing w:after="0" w:line="222"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Chiang in 2015. All of these AAP Management Units have been earned, but have not yet vested; accordingly, they remain subject to a call right in the event Mr. Chiang’s employment is terminated under certain circumstances prior to December 31, 2022.</w:t>
      </w:r>
    </w:p>
    <w:p>
      <w:pPr>
        <w:spacing w:after="0" w:line="69" w:lineRule="exact"/>
        <w:rPr>
          <w:rFonts w:ascii="Arial" w:cs="Arial" w:eastAsia="Arial" w:hAnsi="Arial"/>
          <w:sz w:val="27"/>
          <w:szCs w:val="27"/>
          <w:color w:val="auto"/>
          <w:vertAlign w:val="superscript"/>
        </w:rPr>
      </w:pPr>
    </w:p>
    <w:p>
      <w:pPr>
        <w:ind w:left="1620" w:right="419" w:hanging="360"/>
        <w:spacing w:after="0" w:line="243"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 (iii) immediately preceding, the applicable trailing four quarter period must begin on or after January 1, 2020.</w:t>
      </w:r>
    </w:p>
    <w:p>
      <w:pPr>
        <w:spacing w:after="0" w:line="85" w:lineRule="exact"/>
        <w:rPr>
          <w:rFonts w:ascii="Arial" w:cs="Arial" w:eastAsia="Arial" w:hAnsi="Arial"/>
          <w:sz w:val="27"/>
          <w:szCs w:val="27"/>
          <w:color w:val="auto"/>
          <w:vertAlign w:val="superscript"/>
        </w:rPr>
      </w:pPr>
    </w:p>
    <w:p>
      <w:pPr>
        <w:ind w:left="1620" w:right="1039" w:hanging="360"/>
        <w:spacing w:after="0" w:line="200"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August 2022 distribution date. The associated DERs vested on the August 2020 distribution date.</w:t>
      </w:r>
    </w:p>
    <w:p>
      <w:pPr>
        <w:spacing w:after="0" w:line="68" w:lineRule="exact"/>
        <w:rPr>
          <w:rFonts w:ascii="Arial" w:cs="Arial" w:eastAsia="Arial" w:hAnsi="Arial"/>
          <w:sz w:val="27"/>
          <w:szCs w:val="27"/>
          <w:color w:val="auto"/>
          <w:vertAlign w:val="superscript"/>
        </w:rPr>
      </w:pPr>
    </w:p>
    <w:p>
      <w:pPr>
        <w:ind w:left="1620" w:right="479" w:hanging="360"/>
        <w:spacing w:after="0" w:line="233"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such phantom units may not begin until after December 31, 2020. The associated DERs will vest on the first distribution date following January 1, 2021 on which PAA achieves DCF per common unit of at least $2.50 on a trailing four quarter basis.</w:t>
      </w:r>
    </w:p>
    <w:p>
      <w:pPr>
        <w:spacing w:after="0" w:line="72" w:lineRule="exact"/>
        <w:rPr>
          <w:rFonts w:ascii="Arial" w:cs="Arial" w:eastAsia="Arial" w:hAnsi="Arial"/>
          <w:sz w:val="27"/>
          <w:szCs w:val="27"/>
          <w:color w:val="auto"/>
          <w:vertAlign w:val="superscript"/>
        </w:rPr>
      </w:pPr>
    </w:p>
    <w:p>
      <w:pPr>
        <w:ind w:left="1620" w:right="439" w:hanging="360"/>
        <w:spacing w:after="0" w:line="243"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the applicable portion of one-time special retention phantom unit awards granted in November 2019. As of December 31, 2021, the terms of these phantom units provided that they will vest (i) 50% on the August 2026 distribution date, (ii) 25% on the later of the August 2026 distribution date and the first distribution date following PAA’s achievement of DCF per common unit and CUE of at least $2.80 on a trailing four quarter basis, and (iii) 25% on the later of the August 2026 distribution date and the first distribution date following PAA’s achievement of DCF per common unit and CUE of at least $3.15 on a trailing four quarter basis. The associated DERs have vested or will vest (i) 20% each on the August 2020, August 2021 and August 2022 distribution dates (60% total), (ii) 20% on the first distribution date following PAA’s achievement of DCF per common unit and CUE of at least $2.70 on a trailing four quarter basis, and (iii) 20% on the first distribution date following PAA’s achievement of DCF per common unit and CUE of at least $2.90 on a trailing four quarter basis. The applicable trailing four quarter period for determining whether the requisite DCF per common unit and CUE has been achieved for vesting of phantom units and DERs may not begin until on or after January 1, 2020. Any phantom units that have not vested by the August 2028 distribution date will be forfeited. The vesting terms with respect to the performance-based portion of these phantom units (50% of amount awarded) were amended in February 2022 as described in a Current Report on Form 8-K filed with the Securities and Exchange Commission on February 28, 2022.</w:t>
      </w: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39" w:hanging="360"/>
        <w:spacing w:after="0" w:line="225" w:lineRule="auto"/>
        <w:tabs>
          <w:tab w:leader="none" w:pos="162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to Mr. Chandler in May 2018. These phantom units will vest on the May 2022 distribution date. The phantom units have associated DERs that are currently vested and payable in cash on each distribution payment date.</w:t>
      </w:r>
    </w:p>
    <w:p>
      <w:pPr>
        <w:spacing w:after="0" w:line="68" w:lineRule="exact"/>
        <w:rPr>
          <w:rFonts w:ascii="Arial" w:cs="Arial" w:eastAsia="Arial" w:hAnsi="Arial"/>
          <w:sz w:val="26"/>
          <w:szCs w:val="26"/>
          <w:color w:val="auto"/>
          <w:vertAlign w:val="superscript"/>
        </w:rPr>
      </w:pPr>
    </w:p>
    <w:p>
      <w:pPr>
        <w:ind w:left="1620" w:right="519" w:hanging="360"/>
        <w:spacing w:after="0" w:line="222"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granted to Mr. Goebel in July 2015. All of these AAP Management Units have been earned, but have not yet vested; accordingly, they remain subject to a call right in the event Mr. Goebel’s employment is terminated prior to December 31, 2022.</w:t>
      </w:r>
    </w:p>
    <w:p>
      <w:pPr>
        <w:spacing w:after="0" w:line="69" w:lineRule="exact"/>
        <w:rPr>
          <w:rFonts w:ascii="Arial" w:cs="Arial" w:eastAsia="Arial" w:hAnsi="Arial"/>
          <w:sz w:val="27"/>
          <w:szCs w:val="27"/>
          <w:color w:val="auto"/>
          <w:vertAlign w:val="superscript"/>
        </w:rPr>
      </w:pPr>
    </w:p>
    <w:p>
      <w:pPr>
        <w:ind w:left="1620" w:right="499" w:hanging="360"/>
        <w:spacing w:after="0" w:line="222"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One-half of these phantom units vested on January 1, 2022 and the other half will vest on January 1, 2023. The phantom units have associated DERs that are currently vested and payable in cash on each distribution payment date.</w:t>
      </w:r>
    </w:p>
    <w:p>
      <w:pPr>
        <w:spacing w:after="0" w:line="150" w:lineRule="exact"/>
        <w:rPr>
          <w:rFonts w:ascii="Arial" w:cs="Arial" w:eastAsia="Arial" w:hAnsi="Arial"/>
          <w:sz w:val="27"/>
          <w:szCs w:val="27"/>
          <w:color w:val="auto"/>
          <w:vertAlign w:val="superscript"/>
        </w:rPr>
      </w:pPr>
    </w:p>
    <w:p>
      <w:pPr>
        <w:ind w:left="1620" w:right="499" w:hanging="360"/>
        <w:spacing w:after="0" w:line="222"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vest on the August 2023 distribution date. The associated DERs accrued for the first year and such accrued amount was paid in cash in a lump sum on the August 2021 distribution date; beginning in November 2021, the associated DERs began being paid quarterly in cash on each distribution payment date.</w:t>
      </w:r>
    </w:p>
    <w:p>
      <w:pPr>
        <w:spacing w:after="0" w:line="56" w:lineRule="exact"/>
        <w:rPr>
          <w:rFonts w:ascii="Arial" w:cs="Arial" w:eastAsia="Arial" w:hAnsi="Arial"/>
          <w:sz w:val="27"/>
          <w:szCs w:val="27"/>
          <w:color w:val="auto"/>
          <w:vertAlign w:val="superscript"/>
        </w:rPr>
      </w:pPr>
    </w:p>
    <w:p>
      <w:pPr>
        <w:ind w:left="1620" w:hanging="360"/>
        <w:spacing w:after="0"/>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potentially vest on the</w:t>
      </w:r>
    </w:p>
    <w:p>
      <w:pPr>
        <w:ind w:left="1620" w:right="439"/>
        <w:spacing w:after="0" w:line="251" w:lineRule="auto"/>
        <w:rPr>
          <w:rFonts w:ascii="Arial" w:cs="Arial" w:eastAsia="Arial" w:hAnsi="Arial"/>
          <w:sz w:val="27"/>
          <w:szCs w:val="27"/>
          <w:color w:val="auto"/>
          <w:vertAlign w:val="superscript"/>
        </w:rPr>
      </w:pPr>
      <w:r>
        <w:rPr>
          <w:rFonts w:ascii="Arial" w:cs="Arial" w:eastAsia="Arial" w:hAnsi="Arial"/>
          <w:sz w:val="18"/>
          <w:szCs w:val="18"/>
          <w:color w:val="auto"/>
        </w:rPr>
        <w:t>August 2023 distribution date at a scaled payout range of between 0% and 200% based on: (i) with respect to 25% of the August 2020 award, PAA’s TSR over the three-year period ending June 30, 2023 compared to the TSR of the TSR Comparator Peer Group (payout may be reduced if absolute TSR is negative); and (ii) with respect to the other 25% of the August 2020 award, PAA achieving cumulative DCF per CUE of $6.00 over the three-year period ending June 30, 2023 (payout may be decreased or increased by 50 gross percentage points (but not above 200%) based on PAA’s leverage ratio as of June 30, 2023 compared to the target leverage ratio set forth in PAA’s multi-year plan as of August 2020). DERs will accrue during the three-year vesting period and be paid in cash in a lump sum on the August 2023 distribution date with respect to the number of phantom units, if any, that vest on such date.</w:t>
      </w:r>
    </w:p>
    <w:p>
      <w:pPr>
        <w:spacing w:after="0" w:line="130" w:lineRule="exact"/>
        <w:rPr>
          <w:rFonts w:ascii="Arial" w:cs="Arial" w:eastAsia="Arial" w:hAnsi="Arial"/>
          <w:sz w:val="27"/>
          <w:szCs w:val="27"/>
          <w:color w:val="auto"/>
          <w:vertAlign w:val="superscript"/>
        </w:rPr>
      </w:pPr>
    </w:p>
    <w:p>
      <w:pPr>
        <w:ind w:left="1620" w:right="539" w:hanging="360"/>
        <w:spacing w:after="0" w:line="222"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vest on the August 2024 distribution date. The associated DERs will accrue for the first year and such accrued amount will be paid in cash in a lump sum on the August 2022 distribution date; beginning in November 2022, the associated DERs will be paid quarterly in cash on each distribution payment date.</w:t>
      </w:r>
    </w:p>
    <w:p>
      <w:pPr>
        <w:spacing w:after="0" w:line="56" w:lineRule="exact"/>
        <w:rPr>
          <w:rFonts w:ascii="Arial" w:cs="Arial" w:eastAsia="Arial" w:hAnsi="Arial"/>
          <w:sz w:val="27"/>
          <w:szCs w:val="27"/>
          <w:color w:val="auto"/>
          <w:vertAlign w:val="superscript"/>
        </w:rPr>
      </w:pPr>
    </w:p>
    <w:p>
      <w:pPr>
        <w:ind w:left="1620" w:hanging="360"/>
        <w:spacing w:after="0"/>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potentially vest on the</w:t>
      </w:r>
    </w:p>
    <w:p>
      <w:pPr>
        <w:ind w:left="1620" w:right="439"/>
        <w:spacing w:after="0" w:line="251" w:lineRule="auto"/>
        <w:rPr>
          <w:rFonts w:ascii="Arial" w:cs="Arial" w:eastAsia="Arial" w:hAnsi="Arial"/>
          <w:sz w:val="27"/>
          <w:szCs w:val="27"/>
          <w:color w:val="auto"/>
          <w:vertAlign w:val="superscript"/>
        </w:rPr>
      </w:pPr>
      <w:r>
        <w:rPr>
          <w:rFonts w:ascii="Arial" w:cs="Arial" w:eastAsia="Arial" w:hAnsi="Arial"/>
          <w:sz w:val="18"/>
          <w:szCs w:val="18"/>
          <w:color w:val="auto"/>
        </w:rPr>
        <w:t>August 2024 distribution date at a scaled payout range of between 0% and 200% based on: (i) with respect to 25% of the August 2021 award, PAA’s TSR over the three-year period ending June 30, 2024 compared to the TSR of the TSR Comparator Peer Group (payout may be reduced if absolute TSR is negative); and (ii) with respect to the other 25% of the August 2021 award, PAA achieving cumulative DCF per CUE of $6.00 over the three-year period ending June 30, 2024 (payout may be decreased or increased by 50 gross percentage points (but not above 200%) based on PAA’s leverage ratio as of June 30, 2024 compared to the target leverage ratio set forth in PAA’s multi-year plan as of August 2021). DERs will accrue during the three-year performance period and be paid in cash in a lump sum on the August 2024 distribution date with respect to the number of phantom units, if any, that vest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66"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2021 with respect to our Named Executive Officers.</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37"/>
        </w:trPr>
        <w:tc>
          <w:tcPr>
            <w:tcW w:w="5640" w:type="dxa"/>
            <w:vAlign w:val="bottom"/>
            <w:tcBorders>
              <w:left w:val="single" w:sz="8" w:color="434F69"/>
              <w:right w:val="single" w:sz="8" w:color="434F69"/>
            </w:tcBorders>
            <w:shd w:val="clear" w:color="auto" w:fill="434F69"/>
          </w:tcPr>
          <w:p>
            <w:pPr>
              <w:spacing w:after="0"/>
              <w:rPr>
                <w:sz w:val="20"/>
                <w:szCs w:val="20"/>
                <w:color w:val="auto"/>
              </w:rPr>
            </w:pPr>
          </w:p>
        </w:tc>
        <w:tc>
          <w:tcPr>
            <w:tcW w:w="2580" w:type="dxa"/>
            <w:vAlign w:val="bottom"/>
            <w:tcBorders>
              <w:right w:val="single" w:sz="8" w:color="434F69"/>
            </w:tcBorders>
            <w:gridSpan w:val="2"/>
            <w:shd w:val="clear" w:color="auto" w:fill="434F69"/>
          </w:tcPr>
          <w:p>
            <w:pPr>
              <w:jc w:val="right"/>
              <w:ind w:right="773"/>
              <w:spacing w:after="0"/>
              <w:rPr>
                <w:sz w:val="20"/>
                <w:szCs w:val="20"/>
                <w:color w:val="auto"/>
              </w:rPr>
            </w:pPr>
            <w:r>
              <w:rPr>
                <w:rFonts w:ascii="Arial" w:cs="Arial" w:eastAsia="Arial" w:hAnsi="Arial"/>
                <w:sz w:val="14"/>
                <w:szCs w:val="14"/>
                <w:b w:val="1"/>
                <w:bCs w:val="1"/>
                <w:color w:val="FFFFFF"/>
              </w:rPr>
              <w:t>Unit Awards</w:t>
            </w:r>
          </w:p>
        </w:tc>
      </w:tr>
      <w:tr>
        <w:trPr>
          <w:trHeight w:val="175"/>
        </w:trPr>
        <w:tc>
          <w:tcPr>
            <w:tcW w:w="5640" w:type="dxa"/>
            <w:vAlign w:val="bottom"/>
            <w:tcBorders>
              <w:top w:val="single" w:sz="8" w:color="434F69"/>
              <w:left w:val="single" w:sz="8" w:color="434F69"/>
              <w:right w:val="single" w:sz="8" w:color="434F69"/>
            </w:tcBorders>
            <w:shd w:val="clear" w:color="auto" w:fill="434F69"/>
          </w:tcPr>
          <w:p>
            <w:pPr>
              <w:spacing w:after="0"/>
              <w:rPr>
                <w:sz w:val="15"/>
                <w:szCs w:val="15"/>
                <w:color w:val="auto"/>
              </w:rPr>
            </w:pPr>
          </w:p>
        </w:tc>
        <w:tc>
          <w:tcPr>
            <w:tcW w:w="1380" w:type="dxa"/>
            <w:vAlign w:val="bottom"/>
            <w:tcBorders>
              <w:top w:val="single" w:sz="8" w:color="auto"/>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200" w:type="dxa"/>
            <w:vAlign w:val="bottom"/>
            <w:tcBorders>
              <w:top w:val="single" w:sz="8" w:color="auto"/>
              <w:right w:val="single" w:sz="8" w:color="434F69"/>
            </w:tcBorders>
            <w:shd w:val="clear" w:color="auto" w:fill="434F69"/>
          </w:tcPr>
          <w:p>
            <w:pPr>
              <w:spacing w:after="0"/>
              <w:rPr>
                <w:sz w:val="15"/>
                <w:szCs w:val="15"/>
                <w:color w:val="auto"/>
              </w:rPr>
            </w:pPr>
          </w:p>
        </w:tc>
      </w:tr>
      <w:tr>
        <w:trPr>
          <w:trHeight w:val="151"/>
        </w:trPr>
        <w:tc>
          <w:tcPr>
            <w:tcW w:w="5640" w:type="dxa"/>
            <w:vAlign w:val="bottom"/>
            <w:tcBorders>
              <w:left w:val="single" w:sz="8" w:color="434F69"/>
              <w:right w:val="single" w:sz="8" w:color="434F69"/>
            </w:tcBorders>
            <w:shd w:val="clear" w:color="auto" w:fill="434F69"/>
          </w:tcPr>
          <w:p>
            <w:pPr>
              <w:spacing w:after="0"/>
              <w:rPr>
                <w:sz w:val="13"/>
                <w:szCs w:val="13"/>
                <w:color w:val="auto"/>
              </w:rPr>
            </w:pPr>
          </w:p>
        </w:tc>
        <w:tc>
          <w:tcPr>
            <w:tcW w:w="138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Acquired on</w:t>
            </w:r>
          </w:p>
        </w:tc>
        <w:tc>
          <w:tcPr>
            <w:tcW w:w="1200" w:type="dxa"/>
            <w:vAlign w:val="bottom"/>
            <w:tcBorders>
              <w:right w:val="single" w:sz="8" w:color="434F69"/>
            </w:tcBorders>
            <w:shd w:val="clear" w:color="auto" w:fill="434F69"/>
          </w:tcPr>
          <w:p>
            <w:pPr>
              <w:jc w:val="right"/>
              <w:ind w:right="33"/>
              <w:spacing w:after="0" w:line="151" w:lineRule="exact"/>
              <w:rPr>
                <w:sz w:val="20"/>
                <w:szCs w:val="20"/>
                <w:color w:val="auto"/>
              </w:rPr>
            </w:pPr>
            <w:r>
              <w:rPr>
                <w:rFonts w:ascii="Arial" w:cs="Arial" w:eastAsia="Arial" w:hAnsi="Arial"/>
                <w:sz w:val="14"/>
                <w:szCs w:val="14"/>
                <w:b w:val="1"/>
                <w:bCs w:val="1"/>
                <w:color w:val="FFFFFF"/>
              </w:rPr>
              <w:t>Value Realized</w:t>
            </w:r>
          </w:p>
        </w:tc>
      </w:tr>
      <w:tr>
        <w:trPr>
          <w:trHeight w:val="226"/>
        </w:trPr>
        <w:tc>
          <w:tcPr>
            <w:tcW w:w="56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3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1200" w:type="dxa"/>
            <w:vAlign w:val="bottom"/>
            <w:tcBorders>
              <w:right w:val="single" w:sz="8" w:color="434F69"/>
            </w:tcBorders>
            <w:shd w:val="clear" w:color="auto" w:fill="434F69"/>
          </w:tcPr>
          <w:p>
            <w:pPr>
              <w:jc w:val="right"/>
              <w:ind w:right="33"/>
              <w:spacing w:after="0"/>
              <w:rPr>
                <w:sz w:val="20"/>
                <w:szCs w:val="20"/>
                <w:color w:val="auto"/>
              </w:rPr>
            </w:pPr>
            <w:r>
              <w:rPr>
                <w:rFonts w:ascii="Arial" w:cs="Arial" w:eastAsia="Arial" w:hAnsi="Arial"/>
                <w:sz w:val="14"/>
                <w:szCs w:val="14"/>
                <w:b w:val="1"/>
                <w:bCs w:val="1"/>
                <w:color w:val="FFFFFF"/>
              </w:rPr>
              <w:t>on Vesting ($)</w:t>
            </w:r>
          </w:p>
        </w:tc>
      </w:tr>
      <w:tr>
        <w:trPr>
          <w:trHeight w:val="256"/>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27,500</w:t>
            </w:r>
          </w:p>
        </w:tc>
        <w:tc>
          <w:tcPr>
            <w:tcW w:w="1200" w:type="dxa"/>
            <w:vAlign w:val="bottom"/>
            <w:tcBorders>
              <w:bottom w:val="single" w:sz="8" w:color="434F69"/>
              <w:right w:val="single" w:sz="8" w:color="434F69"/>
            </w:tcBorders>
          </w:tcPr>
          <w:p>
            <w:pPr>
              <w:jc w:val="right"/>
              <w:ind w:right="33"/>
              <w:spacing w:after="0" w:line="256" w:lineRule="exact"/>
              <w:rPr>
                <w:sz w:val="20"/>
                <w:szCs w:val="20"/>
                <w:color w:val="auto"/>
              </w:rPr>
            </w:pPr>
            <w:r>
              <w:rPr>
                <w:rFonts w:ascii="Arial" w:cs="Arial" w:eastAsia="Arial" w:hAnsi="Arial"/>
                <w:sz w:val="18"/>
                <w:szCs w:val="18"/>
                <w:color w:val="auto"/>
              </w:rPr>
              <w:t>276,375</w:t>
            </w:r>
            <w:r>
              <w:rPr>
                <w:rFonts w:ascii="Arial" w:cs="Arial" w:eastAsia="Arial" w:hAnsi="Arial"/>
                <w:sz w:val="23"/>
                <w:szCs w:val="23"/>
                <w:color w:val="auto"/>
                <w:vertAlign w:val="superscript"/>
              </w:rPr>
              <w:t>(2)</w:t>
            </w:r>
          </w:p>
        </w:tc>
      </w:tr>
      <w:tr>
        <w:trPr>
          <w:trHeight w:val="250"/>
        </w:trPr>
        <w:tc>
          <w:tcPr>
            <w:tcW w:w="5640" w:type="dxa"/>
            <w:vAlign w:val="bottom"/>
            <w:tcBorders>
              <w:left w:val="single" w:sz="8" w:color="434F69"/>
              <w:bottom w:val="single" w:sz="8" w:color="434F69"/>
              <w:right w:val="single" w:sz="8" w:color="434F69"/>
            </w:tcBorders>
          </w:tcPr>
          <w:p>
            <w:pPr>
              <w:spacing w:after="0"/>
              <w:rPr>
                <w:sz w:val="21"/>
                <w:szCs w:val="21"/>
                <w:color w:val="auto"/>
              </w:rPr>
            </w:pP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25,000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250,250</w:t>
            </w:r>
            <w:r>
              <w:rPr>
                <w:rFonts w:ascii="Arial" w:cs="Arial" w:eastAsia="Arial" w:hAnsi="Arial"/>
                <w:sz w:val="23"/>
                <w:szCs w:val="23"/>
                <w:color w:val="auto"/>
                <w:vertAlign w:val="superscript"/>
              </w:rPr>
              <w:t>(3)</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120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44"/>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ind w:right="173"/>
              <w:spacing w:after="0"/>
              <w:rPr>
                <w:sz w:val="20"/>
                <w:szCs w:val="20"/>
                <w:color w:val="auto"/>
              </w:rPr>
            </w:pPr>
            <w:r>
              <w:rPr>
                <w:rFonts w:ascii="Arial" w:cs="Arial" w:eastAsia="Arial" w:hAnsi="Arial"/>
                <w:sz w:val="18"/>
                <w:szCs w:val="18"/>
                <w:color w:val="auto"/>
              </w:rPr>
              <w:t>—</w:t>
            </w:r>
          </w:p>
        </w:tc>
      </w:tr>
      <w:tr>
        <w:trPr>
          <w:trHeight w:val="310"/>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120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23,000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231,150</w:t>
            </w:r>
            <w:r>
              <w:rPr>
                <w:rFonts w:ascii="Arial" w:cs="Arial" w:eastAsia="Arial" w:hAnsi="Arial"/>
                <w:sz w:val="23"/>
                <w:szCs w:val="23"/>
                <w:color w:val="auto"/>
                <w:vertAlign w:val="superscript"/>
              </w:rPr>
              <w:t>(2)</w:t>
            </w:r>
          </w:p>
        </w:tc>
      </w:tr>
      <w:tr>
        <w:trPr>
          <w:trHeight w:val="250"/>
        </w:trPr>
        <w:tc>
          <w:tcPr>
            <w:tcW w:w="5640" w:type="dxa"/>
            <w:vAlign w:val="bottom"/>
            <w:tcBorders>
              <w:left w:val="single" w:sz="8" w:color="434F69"/>
              <w:bottom w:val="single" w:sz="8" w:color="434F69"/>
              <w:right w:val="single" w:sz="8" w:color="434F69"/>
            </w:tcBorders>
          </w:tcPr>
          <w:p>
            <w:pPr>
              <w:spacing w:after="0"/>
              <w:rPr>
                <w:sz w:val="21"/>
                <w:szCs w:val="21"/>
                <w:color w:val="auto"/>
              </w:rPr>
            </w:pP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15,000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150,150</w:t>
            </w:r>
            <w:r>
              <w:rPr>
                <w:rFonts w:ascii="Arial" w:cs="Arial" w:eastAsia="Arial" w:hAnsi="Arial"/>
                <w:sz w:val="23"/>
                <w:szCs w:val="23"/>
                <w:color w:val="auto"/>
                <w:vertAlign w:val="superscript"/>
              </w:rPr>
              <w:t>(3)</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120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23,000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231,150</w:t>
            </w:r>
            <w:r>
              <w:rPr>
                <w:rFonts w:ascii="Arial" w:cs="Arial" w:eastAsia="Arial" w:hAnsi="Arial"/>
                <w:sz w:val="23"/>
                <w:szCs w:val="23"/>
                <w:color w:val="auto"/>
                <w:vertAlign w:val="superscript"/>
              </w:rPr>
              <w:t>(2)</w:t>
            </w:r>
          </w:p>
        </w:tc>
      </w:tr>
      <w:tr>
        <w:trPr>
          <w:trHeight w:val="250"/>
        </w:trPr>
        <w:tc>
          <w:tcPr>
            <w:tcW w:w="5640" w:type="dxa"/>
            <w:vAlign w:val="bottom"/>
            <w:tcBorders>
              <w:left w:val="single" w:sz="8" w:color="434F69"/>
              <w:bottom w:val="single" w:sz="8" w:color="434F69"/>
              <w:right w:val="single" w:sz="8" w:color="434F69"/>
            </w:tcBorders>
          </w:tcPr>
          <w:p>
            <w:pPr>
              <w:spacing w:after="0"/>
              <w:rPr>
                <w:sz w:val="21"/>
                <w:szCs w:val="21"/>
                <w:color w:val="auto"/>
              </w:rPr>
            </w:pP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12,500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125,125</w:t>
            </w:r>
            <w:r>
              <w:rPr>
                <w:rFonts w:ascii="Arial" w:cs="Arial" w:eastAsia="Arial" w:hAnsi="Arial"/>
                <w:sz w:val="23"/>
                <w:szCs w:val="23"/>
                <w:color w:val="auto"/>
                <w:vertAlign w:val="superscript"/>
              </w:rPr>
              <w:t>(3)</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120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82,500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825,825</w:t>
            </w:r>
            <w:r>
              <w:rPr>
                <w:rFonts w:ascii="Arial" w:cs="Arial" w:eastAsia="Arial" w:hAnsi="Arial"/>
                <w:sz w:val="23"/>
                <w:szCs w:val="23"/>
                <w:color w:val="auto"/>
                <w:vertAlign w:val="superscript"/>
              </w:rPr>
              <w:t>(3)</w:t>
            </w:r>
          </w:p>
        </w:tc>
      </w:tr>
      <w:tr>
        <w:trPr>
          <w:trHeight w:val="304"/>
        </w:trPr>
        <w:tc>
          <w:tcPr>
            <w:tcW w:w="564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380" w:type="dxa"/>
            <w:vAlign w:val="bottom"/>
            <w:tcBorders>
              <w:bottom w:val="single" w:sz="8" w:color="434F69"/>
              <w:right w:val="single" w:sz="8" w:color="434F69"/>
            </w:tcBorders>
            <w:shd w:val="clear" w:color="auto" w:fill="D9DCE1"/>
          </w:tcPr>
          <w:p>
            <w:pPr>
              <w:spacing w:after="0"/>
              <w:rPr>
                <w:sz w:val="24"/>
                <w:szCs w:val="24"/>
                <w:color w:val="auto"/>
              </w:rPr>
            </w:pPr>
          </w:p>
        </w:tc>
        <w:tc>
          <w:tcPr>
            <w:tcW w:w="120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6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9,167</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92,128</w:t>
            </w:r>
            <w:r>
              <w:rPr>
                <w:rFonts w:ascii="Arial" w:cs="Arial" w:eastAsia="Arial" w:hAnsi="Arial"/>
                <w:sz w:val="23"/>
                <w:szCs w:val="23"/>
                <w:color w:val="auto"/>
                <w:vertAlign w:val="superscript"/>
              </w:rPr>
              <w:t>(2)</w:t>
            </w:r>
          </w:p>
        </w:tc>
      </w:tr>
      <w:tr>
        <w:trPr>
          <w:trHeight w:val="250"/>
        </w:trPr>
        <w:tc>
          <w:tcPr>
            <w:tcW w:w="5640" w:type="dxa"/>
            <w:vAlign w:val="bottom"/>
            <w:tcBorders>
              <w:left w:val="single" w:sz="8" w:color="434F69"/>
              <w:bottom w:val="single" w:sz="8" w:color="434F69"/>
              <w:right w:val="single" w:sz="8" w:color="434F69"/>
            </w:tcBorders>
          </w:tcPr>
          <w:p>
            <w:pPr>
              <w:spacing w:after="0"/>
              <w:rPr>
                <w:sz w:val="21"/>
                <w:szCs w:val="21"/>
                <w:color w:val="auto"/>
              </w:rPr>
            </w:pP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10,000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100,100</w:t>
            </w:r>
            <w:r>
              <w:rPr>
                <w:rFonts w:ascii="Arial" w:cs="Arial" w:eastAsia="Arial" w:hAnsi="Arial"/>
                <w:sz w:val="23"/>
                <w:szCs w:val="23"/>
                <w:color w:val="auto"/>
                <w:vertAlign w:val="superscript"/>
              </w:rPr>
              <w:t>(3)</w:t>
            </w:r>
          </w:p>
        </w:tc>
      </w:tr>
      <w:tr>
        <w:trPr>
          <w:trHeight w:val="250"/>
        </w:trPr>
        <w:tc>
          <w:tcPr>
            <w:tcW w:w="5640" w:type="dxa"/>
            <w:vAlign w:val="bottom"/>
            <w:tcBorders>
              <w:left w:val="single" w:sz="8" w:color="434F69"/>
              <w:bottom w:val="single" w:sz="8" w:color="434F69"/>
              <w:right w:val="single" w:sz="8" w:color="434F69"/>
            </w:tcBorders>
          </w:tcPr>
          <w:p>
            <w:pPr>
              <w:spacing w:after="0"/>
              <w:rPr>
                <w:sz w:val="21"/>
                <w:szCs w:val="21"/>
                <w:color w:val="auto"/>
              </w:rPr>
            </w:pPr>
          </w:p>
        </w:tc>
        <w:tc>
          <w:tcPr>
            <w:tcW w:w="1380" w:type="dxa"/>
            <w:vAlign w:val="bottom"/>
            <w:tcBorders>
              <w:bottom w:val="single" w:sz="8" w:color="434F69"/>
              <w:right w:val="single" w:sz="8" w:color="434F69"/>
            </w:tcBorders>
          </w:tcPr>
          <w:p>
            <w:pPr>
              <w:jc w:val="right"/>
              <w:ind w:right="355"/>
              <w:spacing w:after="0"/>
              <w:rPr>
                <w:sz w:val="20"/>
                <w:szCs w:val="20"/>
                <w:color w:val="auto"/>
              </w:rPr>
            </w:pPr>
            <w:r>
              <w:rPr>
                <w:rFonts w:ascii="Arial" w:cs="Arial" w:eastAsia="Arial" w:hAnsi="Arial"/>
                <w:sz w:val="18"/>
                <w:szCs w:val="18"/>
                <w:color w:val="auto"/>
              </w:rPr>
              <w:t>30,000</w:t>
            </w:r>
          </w:p>
        </w:tc>
        <w:tc>
          <w:tcPr>
            <w:tcW w:w="120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247,200</w:t>
            </w:r>
            <w:r>
              <w:rPr>
                <w:rFonts w:ascii="Arial" w:cs="Arial" w:eastAsia="Arial" w:hAnsi="Arial"/>
                <w:sz w:val="23"/>
                <w:szCs w:val="23"/>
                <w:color w:val="auto"/>
                <w:vertAlign w:val="superscript"/>
              </w:rPr>
              <w:t>(4)</w:t>
            </w:r>
          </w:p>
        </w:tc>
      </w:tr>
    </w:tbl>
    <w:p>
      <w:pPr>
        <w:spacing w:after="0" w:line="67" w:lineRule="exact"/>
        <w:rPr>
          <w:sz w:val="20"/>
          <w:szCs w:val="20"/>
          <w:color w:val="auto"/>
        </w:rPr>
      </w:pPr>
    </w:p>
    <w:p>
      <w:pPr>
        <w:ind w:left="1620" w:right="639" w:hanging="360"/>
        <w:spacing w:after="0" w:line="200"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2021. The actual number of units delivered was net of income tax withholding.</w:t>
      </w:r>
    </w:p>
    <w:p>
      <w:pPr>
        <w:spacing w:after="0" w:line="68" w:lineRule="exact"/>
        <w:rPr>
          <w:rFonts w:ascii="Arial" w:cs="Arial" w:eastAsia="Arial" w:hAnsi="Arial"/>
          <w:sz w:val="27"/>
          <w:szCs w:val="27"/>
          <w:color w:val="auto"/>
          <w:vertAlign w:val="superscript"/>
        </w:rPr>
      </w:pPr>
    </w:p>
    <w:p>
      <w:pPr>
        <w:ind w:left="1620" w:right="579" w:hanging="360"/>
        <w:spacing w:after="0" w:line="222"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($10.05) of PAA’s common units on August 12, 2021 (the trading date immediately preceding the vesting date) by the number of units that vested.</w:t>
      </w:r>
    </w:p>
    <w:p>
      <w:pPr>
        <w:spacing w:after="0" w:line="69" w:lineRule="exact"/>
        <w:rPr>
          <w:rFonts w:ascii="Arial" w:cs="Arial" w:eastAsia="Arial" w:hAnsi="Arial"/>
          <w:sz w:val="27"/>
          <w:szCs w:val="27"/>
          <w:color w:val="auto"/>
          <w:vertAlign w:val="superscript"/>
        </w:rPr>
      </w:pPr>
    </w:p>
    <w:p>
      <w:pPr>
        <w:ind w:left="1620" w:right="439" w:hanging="360"/>
        <w:spacing w:after="0" w:line="222"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($10.01) of PAA’s common units on May 13, 2021 (the trading date immediately preceding the vesting date) by the number of units that vested.</w:t>
      </w:r>
    </w:p>
    <w:p>
      <w:pPr>
        <w:spacing w:after="0" w:line="69" w:lineRule="exact"/>
        <w:rPr>
          <w:rFonts w:ascii="Arial" w:cs="Arial" w:eastAsia="Arial" w:hAnsi="Arial"/>
          <w:sz w:val="27"/>
          <w:szCs w:val="27"/>
          <w:color w:val="auto"/>
          <w:vertAlign w:val="superscript"/>
        </w:rPr>
      </w:pPr>
    </w:p>
    <w:p>
      <w:pPr>
        <w:jc w:val="both"/>
        <w:ind w:left="1620" w:right="859" w:hanging="360"/>
        <w:spacing w:after="0" w:line="222"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($8.24) of PAA’s common units on December 31, 2020 (the trading date immediately preceding the vesting date) by the number of units that vested.</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66" w:lineRule="exact"/>
        <w:rPr>
          <w:sz w:val="20"/>
          <w:szCs w:val="20"/>
          <w:color w:val="auto"/>
        </w:rPr>
      </w:pPr>
    </w:p>
    <w:p>
      <w:pPr>
        <w:jc w:val="both"/>
        <w:ind w:left="1260" w:right="739" w:firstLine="360"/>
        <w:spacing w:after="0"/>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80"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6"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2021.</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2120" w:type="dxa"/>
            <w:vAlign w:val="bottom"/>
            <w:tcBorders>
              <w:left w:val="single" w:sz="8" w:color="434F69"/>
              <w:right w:val="single" w:sz="8" w:color="434F69"/>
            </w:tcBorders>
            <w:shd w:val="clear" w:color="auto" w:fill="434F69"/>
          </w:tcPr>
          <w:p>
            <w:pPr>
              <w:spacing w:after="0"/>
              <w:rPr>
                <w:sz w:val="17"/>
                <w:szCs w:val="17"/>
                <w:color w:val="auto"/>
              </w:rPr>
            </w:pPr>
          </w:p>
        </w:tc>
        <w:tc>
          <w:tcPr>
            <w:tcW w:w="1320" w:type="dxa"/>
            <w:vAlign w:val="bottom"/>
            <w:tcBorders>
              <w:right w:val="single" w:sz="8" w:color="434F69"/>
            </w:tcBorders>
            <w:shd w:val="clear" w:color="auto" w:fill="434F69"/>
          </w:tcPr>
          <w:p>
            <w:pPr>
              <w:spacing w:after="0"/>
              <w:rPr>
                <w:sz w:val="17"/>
                <w:szCs w:val="17"/>
                <w:color w:val="auto"/>
              </w:rPr>
            </w:pPr>
          </w:p>
        </w:tc>
        <w:tc>
          <w:tcPr>
            <w:tcW w:w="1320" w:type="dxa"/>
            <w:vAlign w:val="bottom"/>
            <w:tcBorders>
              <w:right w:val="single" w:sz="8" w:color="434F69"/>
            </w:tcBorders>
            <w:shd w:val="clear" w:color="auto" w:fill="434F69"/>
          </w:tcPr>
          <w:p>
            <w:pPr>
              <w:spacing w:after="0"/>
              <w:rPr>
                <w:sz w:val="17"/>
                <w:szCs w:val="17"/>
                <w:color w:val="auto"/>
              </w:rPr>
            </w:pPr>
          </w:p>
        </w:tc>
        <w:tc>
          <w:tcPr>
            <w:tcW w:w="1140" w:type="dxa"/>
            <w:vAlign w:val="bottom"/>
            <w:tcBorders>
              <w:right w:val="single" w:sz="8" w:color="434F69"/>
            </w:tcBorders>
            <w:shd w:val="clear" w:color="auto" w:fill="434F69"/>
          </w:tcPr>
          <w:p>
            <w:pPr>
              <w:spacing w:after="0"/>
              <w:rPr>
                <w:sz w:val="17"/>
                <w:szCs w:val="17"/>
                <w:color w:val="auto"/>
              </w:rPr>
            </w:pPr>
          </w:p>
        </w:tc>
        <w:tc>
          <w:tcPr>
            <w:tcW w:w="1120" w:type="dxa"/>
            <w:vAlign w:val="bottom"/>
            <w:tcBorders>
              <w:right w:val="single" w:sz="8" w:color="434F69"/>
            </w:tcBorders>
            <w:shd w:val="clear" w:color="auto" w:fill="434F69"/>
          </w:tcPr>
          <w:p>
            <w:pPr>
              <w:spacing w:after="0"/>
              <w:rPr>
                <w:sz w:val="17"/>
                <w:szCs w:val="17"/>
                <w:color w:val="auto"/>
              </w:rPr>
            </w:pPr>
          </w:p>
        </w:tc>
        <w:tc>
          <w:tcPr>
            <w:tcW w:w="1200" w:type="dxa"/>
            <w:vAlign w:val="bottom"/>
            <w:tcBorders>
              <w:right w:val="single" w:sz="8" w:color="434F69"/>
            </w:tcBorders>
            <w:shd w:val="clear" w:color="auto" w:fill="434F69"/>
          </w:tcPr>
          <w:p>
            <w:pPr>
              <w:jc w:val="center"/>
              <w:ind w:right="2"/>
              <w:spacing w:after="0"/>
              <w:rPr>
                <w:sz w:val="20"/>
                <w:szCs w:val="20"/>
                <w:color w:val="auto"/>
              </w:rPr>
            </w:pPr>
            <w:r>
              <w:rPr>
                <w:rFonts w:ascii="Arial" w:cs="Arial" w:eastAsia="Arial" w:hAnsi="Arial"/>
                <w:sz w:val="14"/>
                <w:szCs w:val="14"/>
                <w:b w:val="1"/>
                <w:bCs w:val="1"/>
                <w:color w:val="FFFFFF"/>
                <w:w w:val="96"/>
              </w:rPr>
              <w:t>In</w:t>
            </w:r>
          </w:p>
        </w:tc>
      </w:tr>
      <w:tr>
        <w:trPr>
          <w:trHeight w:val="162"/>
        </w:trPr>
        <w:tc>
          <w:tcPr>
            <w:tcW w:w="2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14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By</w:t>
            </w:r>
          </w:p>
        </w:tc>
        <w:tc>
          <w:tcPr>
            <w:tcW w:w="11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By</w:t>
            </w:r>
          </w:p>
        </w:tc>
        <w:tc>
          <w:tcPr>
            <w:tcW w:w="1200" w:type="dxa"/>
            <w:vAlign w:val="bottom"/>
            <w:tcBorders>
              <w:right w:val="single" w:sz="8" w:color="434F69"/>
            </w:tcBorders>
            <w:shd w:val="clear" w:color="auto" w:fill="434F69"/>
          </w:tcPr>
          <w:p>
            <w:pPr>
              <w:jc w:val="center"/>
              <w:ind w:right="22"/>
              <w:spacing w:after="0"/>
              <w:rPr>
                <w:sz w:val="20"/>
                <w:szCs w:val="20"/>
                <w:color w:val="auto"/>
              </w:rPr>
            </w:pPr>
            <w:r>
              <w:rPr>
                <w:rFonts w:ascii="Arial" w:cs="Arial" w:eastAsia="Arial" w:hAnsi="Arial"/>
                <w:sz w:val="14"/>
                <w:szCs w:val="14"/>
                <w:b w:val="1"/>
                <w:bCs w:val="1"/>
                <w:color w:val="FFFFFF"/>
              </w:rPr>
              <w:t>Connection</w:t>
            </w:r>
          </w:p>
        </w:tc>
      </w:tr>
      <w:tr>
        <w:trPr>
          <w:trHeight w:val="162"/>
        </w:trPr>
        <w:tc>
          <w:tcPr>
            <w:tcW w:w="2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By</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By</w:t>
            </w:r>
          </w:p>
        </w:tc>
        <w:tc>
          <w:tcPr>
            <w:tcW w:w="114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Company</w:t>
            </w:r>
          </w:p>
        </w:tc>
        <w:tc>
          <w:tcPr>
            <w:tcW w:w="11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Executive</w:t>
            </w:r>
          </w:p>
        </w:tc>
        <w:tc>
          <w:tcPr>
            <w:tcW w:w="1200" w:type="dxa"/>
            <w:vAlign w:val="bottom"/>
            <w:tcBorders>
              <w:right w:val="single" w:sz="8" w:color="434F69"/>
            </w:tcBorders>
            <w:shd w:val="clear" w:color="auto" w:fill="434F69"/>
          </w:tcPr>
          <w:p>
            <w:pPr>
              <w:jc w:val="center"/>
              <w:ind w:right="2"/>
              <w:spacing w:after="0"/>
              <w:rPr>
                <w:sz w:val="20"/>
                <w:szCs w:val="20"/>
                <w:color w:val="auto"/>
              </w:rPr>
            </w:pPr>
            <w:r>
              <w:rPr>
                <w:rFonts w:ascii="Arial" w:cs="Arial" w:eastAsia="Arial" w:hAnsi="Arial"/>
                <w:sz w:val="14"/>
                <w:szCs w:val="14"/>
                <w:b w:val="1"/>
                <w:bCs w:val="1"/>
                <w:color w:val="FFFFFF"/>
              </w:rPr>
              <w:t>with a</w:t>
            </w:r>
          </w:p>
        </w:tc>
      </w:tr>
      <w:tr>
        <w:trPr>
          <w:trHeight w:val="162"/>
        </w:trPr>
        <w:tc>
          <w:tcPr>
            <w:tcW w:w="2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Reason of</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Reason of</w:t>
            </w:r>
          </w:p>
        </w:tc>
        <w:tc>
          <w:tcPr>
            <w:tcW w:w="114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without</w:t>
            </w:r>
          </w:p>
        </w:tc>
        <w:tc>
          <w:tcPr>
            <w:tcW w:w="11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with Good</w:t>
            </w:r>
          </w:p>
        </w:tc>
        <w:tc>
          <w:tcPr>
            <w:tcW w:w="1200" w:type="dxa"/>
            <w:vAlign w:val="bottom"/>
            <w:tcBorders>
              <w:right w:val="single" w:sz="8" w:color="434F69"/>
            </w:tcBorders>
            <w:shd w:val="clear" w:color="auto" w:fill="434F69"/>
          </w:tcPr>
          <w:p>
            <w:pPr>
              <w:jc w:val="center"/>
              <w:ind w:right="22"/>
              <w:spacing w:after="0"/>
              <w:rPr>
                <w:sz w:val="20"/>
                <w:szCs w:val="20"/>
                <w:color w:val="auto"/>
              </w:rPr>
            </w:pPr>
            <w:r>
              <w:rPr>
                <w:rFonts w:ascii="Arial" w:cs="Arial" w:eastAsia="Arial" w:hAnsi="Arial"/>
                <w:sz w:val="14"/>
                <w:szCs w:val="14"/>
                <w:b w:val="1"/>
                <w:bCs w:val="1"/>
                <w:color w:val="FFFFFF"/>
              </w:rPr>
              <w:t>Change In</w:t>
            </w:r>
          </w:p>
        </w:tc>
      </w:tr>
      <w:tr>
        <w:trPr>
          <w:trHeight w:val="162"/>
        </w:trPr>
        <w:tc>
          <w:tcPr>
            <w:tcW w:w="212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Death</w:t>
            </w:r>
          </w:p>
        </w:tc>
        <w:tc>
          <w:tcPr>
            <w:tcW w:w="13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Disability</w:t>
            </w:r>
          </w:p>
        </w:tc>
        <w:tc>
          <w:tcPr>
            <w:tcW w:w="114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w w:val="99"/>
              </w:rPr>
              <w:t>Cause</w:t>
            </w:r>
          </w:p>
        </w:tc>
        <w:tc>
          <w:tcPr>
            <w:tcW w:w="1120" w:type="dxa"/>
            <w:vAlign w:val="bottom"/>
            <w:tcBorders>
              <w:right w:val="single" w:sz="8" w:color="434F69"/>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rPr>
              <w:t>Reason</w:t>
            </w:r>
          </w:p>
        </w:tc>
        <w:tc>
          <w:tcPr>
            <w:tcW w:w="1200" w:type="dxa"/>
            <w:vAlign w:val="bottom"/>
            <w:tcBorders>
              <w:right w:val="single" w:sz="8" w:color="434F69"/>
            </w:tcBorders>
            <w:shd w:val="clear" w:color="auto" w:fill="434F69"/>
          </w:tcPr>
          <w:p>
            <w:pPr>
              <w:jc w:val="center"/>
              <w:ind w:right="22"/>
              <w:spacing w:after="0"/>
              <w:rPr>
                <w:sz w:val="20"/>
                <w:szCs w:val="20"/>
                <w:color w:val="auto"/>
              </w:rPr>
            </w:pPr>
            <w:r>
              <w:rPr>
                <w:rFonts w:ascii="Arial" w:cs="Arial" w:eastAsia="Arial" w:hAnsi="Arial"/>
                <w:sz w:val="14"/>
                <w:szCs w:val="14"/>
                <w:b w:val="1"/>
                <w:bCs w:val="1"/>
                <w:color w:val="FFFFFF"/>
              </w:rPr>
              <w:t>Control</w:t>
            </w:r>
          </w:p>
        </w:tc>
      </w:tr>
      <w:tr>
        <w:trPr>
          <w:trHeight w:val="196"/>
        </w:trPr>
        <w:tc>
          <w:tcPr>
            <w:tcW w:w="2120" w:type="dxa"/>
            <w:vAlign w:val="bottom"/>
            <w:tcBorders>
              <w:left w:val="single" w:sz="8" w:color="434F69"/>
              <w:bottom w:val="single" w:sz="8" w:color="434F69"/>
              <w:right w:val="single" w:sz="8" w:color="434F69"/>
            </w:tcBorders>
            <w:shd w:val="clear" w:color="auto" w:fill="434F69"/>
          </w:tcPr>
          <w:p>
            <w:pPr>
              <w:spacing w:after="0"/>
              <w:rPr>
                <w:sz w:val="17"/>
                <w:szCs w:val="17"/>
                <w:color w:val="auto"/>
              </w:rPr>
            </w:pPr>
          </w:p>
        </w:tc>
        <w:tc>
          <w:tcPr>
            <w:tcW w:w="13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3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2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r>
      <w:tr>
        <w:trPr>
          <w:trHeight w:val="270"/>
        </w:trPr>
        <w:tc>
          <w:tcPr>
            <w:tcW w:w="2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Willie Chiang</w:t>
            </w:r>
            <w:r>
              <w:rPr>
                <w:rFonts w:ascii="Arial" w:cs="Arial" w:eastAsia="Arial" w:hAnsi="Arial"/>
                <w:sz w:val="19"/>
                <w:szCs w:val="19"/>
                <w:b w:val="1"/>
                <w:bCs w:val="1"/>
                <w:color w:val="auto"/>
                <w:vertAlign w:val="superscript"/>
              </w:rPr>
              <w:t>(9)</w:t>
            </w: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140" w:type="dxa"/>
            <w:vAlign w:val="bottom"/>
            <w:tcBorders>
              <w:bottom w:val="single" w:sz="8" w:color="434F69"/>
              <w:right w:val="single" w:sz="8" w:color="434F69"/>
            </w:tcBorders>
            <w:shd w:val="clear" w:color="auto" w:fill="D9DCE1"/>
          </w:tcPr>
          <w:p>
            <w:pPr>
              <w:spacing w:after="0"/>
              <w:rPr>
                <w:sz w:val="23"/>
                <w:szCs w:val="23"/>
                <w:color w:val="auto"/>
              </w:rPr>
            </w:pPr>
          </w:p>
        </w:tc>
        <w:tc>
          <w:tcPr>
            <w:tcW w:w="112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23"/>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9,355,691</w:t>
            </w:r>
            <w:r>
              <w:rPr>
                <w:rFonts w:ascii="Arial" w:cs="Arial" w:eastAsia="Arial" w:hAnsi="Arial"/>
                <w:sz w:val="19"/>
                <w:szCs w:val="19"/>
                <w:color w:val="auto"/>
                <w:vertAlign w:val="superscript"/>
              </w:rPr>
              <w:t>(1)</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9,355,691</w:t>
            </w:r>
            <w:r>
              <w:rPr>
                <w:rFonts w:ascii="Arial" w:cs="Arial" w:eastAsia="Arial" w:hAnsi="Arial"/>
                <w:sz w:val="19"/>
                <w:szCs w:val="19"/>
                <w:color w:val="auto"/>
                <w:vertAlign w:val="superscript"/>
              </w:rPr>
              <w:t>(1)</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7,462,286</w:t>
            </w:r>
            <w:r>
              <w:rPr>
                <w:rFonts w:ascii="Arial" w:cs="Arial" w:eastAsia="Arial" w:hAnsi="Arial"/>
                <w:sz w:val="19"/>
                <w:szCs w:val="19"/>
                <w:color w:val="auto"/>
                <w:vertAlign w:val="superscript"/>
              </w:rPr>
              <w:t>(2)</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12,163,295</w:t>
            </w:r>
            <w:r>
              <w:rPr>
                <w:rFonts w:ascii="Arial" w:cs="Arial" w:eastAsia="Arial" w:hAnsi="Arial"/>
                <w:sz w:val="19"/>
                <w:szCs w:val="19"/>
                <w:color w:val="auto"/>
                <w:vertAlign w:val="superscript"/>
              </w:rPr>
              <w:t>(3)</w:t>
            </w:r>
          </w:p>
        </w:tc>
      </w:tr>
      <w:tr>
        <w:trPr>
          <w:trHeight w:val="248"/>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AAP Management Units</w:t>
            </w:r>
          </w:p>
        </w:tc>
        <w:tc>
          <w:tcPr>
            <w:tcW w:w="1320" w:type="dxa"/>
            <w:vAlign w:val="bottom"/>
            <w:tcBorders>
              <w:bottom w:val="single" w:sz="8" w:color="434F69"/>
              <w:right w:val="single" w:sz="8" w:color="434F69"/>
            </w:tcBorders>
          </w:tcPr>
          <w:p>
            <w:pPr>
              <w:jc w:val="right"/>
              <w:ind w:right="21"/>
              <w:spacing w:after="0"/>
              <w:rPr>
                <w:sz w:val="20"/>
                <w:szCs w:val="20"/>
                <w:color w:val="auto"/>
              </w:rPr>
            </w:pPr>
            <w:r>
              <w:rPr>
                <w:rFonts w:ascii="Arial" w:cs="Arial" w:eastAsia="Arial" w:hAnsi="Arial"/>
                <w:sz w:val="16"/>
                <w:szCs w:val="16"/>
                <w:color w:val="auto"/>
              </w:rPr>
              <w:t>3,584,379</w:t>
            </w:r>
            <w:r>
              <w:rPr>
                <w:rFonts w:ascii="Arial" w:cs="Arial" w:eastAsia="Arial" w:hAnsi="Arial"/>
                <w:sz w:val="19"/>
                <w:szCs w:val="19"/>
                <w:color w:val="auto"/>
                <w:vertAlign w:val="superscript"/>
              </w:rPr>
              <w:t>(10)</w:t>
            </w:r>
          </w:p>
        </w:tc>
        <w:tc>
          <w:tcPr>
            <w:tcW w:w="1320" w:type="dxa"/>
            <w:vAlign w:val="bottom"/>
            <w:tcBorders>
              <w:bottom w:val="single" w:sz="8" w:color="434F69"/>
              <w:right w:val="single" w:sz="8" w:color="434F69"/>
            </w:tcBorders>
          </w:tcPr>
          <w:p>
            <w:pPr>
              <w:jc w:val="right"/>
              <w:ind w:right="1"/>
              <w:spacing w:after="0"/>
              <w:rPr>
                <w:sz w:val="20"/>
                <w:szCs w:val="20"/>
                <w:color w:val="auto"/>
              </w:rPr>
            </w:pPr>
            <w:r>
              <w:rPr>
                <w:rFonts w:ascii="Arial" w:cs="Arial" w:eastAsia="Arial" w:hAnsi="Arial"/>
                <w:sz w:val="16"/>
                <w:szCs w:val="16"/>
                <w:color w:val="auto"/>
              </w:rPr>
              <w:t>3,584,379</w:t>
            </w:r>
            <w:r>
              <w:rPr>
                <w:rFonts w:ascii="Arial" w:cs="Arial" w:eastAsia="Arial" w:hAnsi="Arial"/>
                <w:sz w:val="19"/>
                <w:szCs w:val="19"/>
                <w:color w:val="auto"/>
                <w:vertAlign w:val="superscript"/>
              </w:rPr>
              <w:t>(10)</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3,584,379</w:t>
            </w:r>
            <w:r>
              <w:rPr>
                <w:rFonts w:ascii="Arial" w:cs="Arial" w:eastAsia="Arial" w:hAnsi="Arial"/>
                <w:sz w:val="19"/>
                <w:szCs w:val="19"/>
                <w:color w:val="auto"/>
                <w:vertAlign w:val="superscript"/>
              </w:rPr>
              <w:t>(4)</w:t>
            </w:r>
          </w:p>
        </w:tc>
        <w:tc>
          <w:tcPr>
            <w:tcW w:w="1120" w:type="dxa"/>
            <w:vAlign w:val="bottom"/>
            <w:tcBorders>
              <w:bottom w:val="single" w:sz="8" w:color="434F69"/>
              <w:right w:val="single" w:sz="8" w:color="434F69"/>
            </w:tcBorders>
          </w:tcPr>
          <w:p>
            <w:pPr>
              <w:jc w:val="right"/>
              <w:ind w:right="21"/>
              <w:spacing w:after="0"/>
              <w:rPr>
                <w:sz w:val="20"/>
                <w:szCs w:val="20"/>
                <w:color w:val="auto"/>
              </w:rPr>
            </w:pPr>
            <w:r>
              <w:rPr>
                <w:rFonts w:ascii="Arial" w:cs="Arial" w:eastAsia="Arial" w:hAnsi="Arial"/>
                <w:sz w:val="16"/>
                <w:szCs w:val="16"/>
                <w:color w:val="auto"/>
              </w:rPr>
              <w:t>3,584,379</w:t>
            </w:r>
            <w:r>
              <w:rPr>
                <w:rFonts w:ascii="Arial" w:cs="Arial" w:eastAsia="Arial" w:hAnsi="Arial"/>
                <w:sz w:val="19"/>
                <w:szCs w:val="19"/>
                <w:color w:val="auto"/>
                <w:vertAlign w:val="superscript"/>
              </w:rPr>
              <w:t>(4)</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3,584,379</w:t>
            </w:r>
            <w:r>
              <w:rPr>
                <w:rFonts w:ascii="Arial" w:cs="Arial" w:eastAsia="Arial" w:hAnsi="Arial"/>
                <w:sz w:val="19"/>
                <w:szCs w:val="19"/>
                <w:color w:val="auto"/>
                <w:vertAlign w:val="superscript"/>
              </w:rPr>
              <w:t>(5)</w:t>
            </w:r>
          </w:p>
        </w:tc>
      </w:tr>
      <w:tr>
        <w:trPr>
          <w:trHeight w:val="232"/>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12,940,070</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12,940,070</w:t>
            </w:r>
          </w:p>
        </w:tc>
        <w:tc>
          <w:tcPr>
            <w:tcW w:w="1140" w:type="dxa"/>
            <w:vAlign w:val="bottom"/>
            <w:tcBorders>
              <w:bottom w:val="single" w:sz="8" w:color="434F69"/>
              <w:right w:val="single" w:sz="8" w:color="434F69"/>
            </w:tcBorders>
          </w:tcPr>
          <w:p>
            <w:pPr>
              <w:jc w:val="right"/>
              <w:ind w:right="101"/>
              <w:spacing w:after="0"/>
              <w:rPr>
                <w:sz w:val="20"/>
                <w:szCs w:val="20"/>
                <w:color w:val="auto"/>
              </w:rPr>
            </w:pPr>
            <w:r>
              <w:rPr>
                <w:rFonts w:ascii="Arial" w:cs="Arial" w:eastAsia="Arial" w:hAnsi="Arial"/>
                <w:sz w:val="16"/>
                <w:szCs w:val="16"/>
                <w:color w:val="auto"/>
              </w:rPr>
              <w:t>11,046,665</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3,584,379</w:t>
            </w:r>
          </w:p>
        </w:tc>
        <w:tc>
          <w:tcPr>
            <w:tcW w:w="1200" w:type="dxa"/>
            <w:vAlign w:val="bottom"/>
            <w:tcBorders>
              <w:bottom w:val="single" w:sz="8" w:color="434F69"/>
              <w:right w:val="single" w:sz="8" w:color="434F69"/>
            </w:tcBorders>
          </w:tcPr>
          <w:p>
            <w:pPr>
              <w:jc w:val="right"/>
              <w:ind w:right="142"/>
              <w:spacing w:after="0"/>
              <w:rPr>
                <w:sz w:val="20"/>
                <w:szCs w:val="20"/>
                <w:color w:val="auto"/>
              </w:rPr>
            </w:pPr>
            <w:r>
              <w:rPr>
                <w:rFonts w:ascii="Arial" w:cs="Arial" w:eastAsia="Arial" w:hAnsi="Arial"/>
                <w:sz w:val="16"/>
                <w:szCs w:val="16"/>
                <w:color w:val="auto"/>
              </w:rPr>
              <w:t>15,747,674</w:t>
            </w:r>
          </w:p>
        </w:tc>
      </w:tr>
      <w:tr>
        <w:trPr>
          <w:trHeight w:val="270"/>
        </w:trPr>
        <w:tc>
          <w:tcPr>
            <w:tcW w:w="2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Harry Pefanis</w:t>
            </w:r>
            <w:r>
              <w:rPr>
                <w:rFonts w:ascii="Arial" w:cs="Arial" w:eastAsia="Arial" w:hAnsi="Arial"/>
                <w:sz w:val="19"/>
                <w:szCs w:val="19"/>
                <w:b w:val="1"/>
                <w:bCs w:val="1"/>
                <w:color w:val="auto"/>
                <w:vertAlign w:val="superscript"/>
              </w:rPr>
              <w:t>(9)</w:t>
            </w: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140" w:type="dxa"/>
            <w:vAlign w:val="bottom"/>
            <w:tcBorders>
              <w:bottom w:val="single" w:sz="8" w:color="434F69"/>
              <w:right w:val="single" w:sz="8" w:color="434F69"/>
            </w:tcBorders>
            <w:shd w:val="clear" w:color="auto" w:fill="D9DCE1"/>
          </w:tcPr>
          <w:p>
            <w:pPr>
              <w:spacing w:after="0"/>
              <w:rPr>
                <w:sz w:val="23"/>
                <w:szCs w:val="23"/>
                <w:color w:val="auto"/>
              </w:rPr>
            </w:pPr>
          </w:p>
        </w:tc>
        <w:tc>
          <w:tcPr>
            <w:tcW w:w="112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36"/>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Salary and Bonus</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3,800,000</w:t>
            </w:r>
            <w:r>
              <w:rPr>
                <w:rFonts w:ascii="Arial" w:cs="Arial" w:eastAsia="Arial" w:hAnsi="Arial"/>
                <w:sz w:val="19"/>
                <w:szCs w:val="19"/>
                <w:color w:val="auto"/>
                <w:vertAlign w:val="superscript"/>
              </w:rPr>
              <w:t>(6)</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3,800,000</w:t>
            </w:r>
            <w:r>
              <w:rPr>
                <w:rFonts w:ascii="Arial" w:cs="Arial" w:eastAsia="Arial" w:hAnsi="Arial"/>
                <w:sz w:val="19"/>
                <w:szCs w:val="19"/>
                <w:color w:val="auto"/>
                <w:vertAlign w:val="superscript"/>
              </w:rPr>
              <w:t>(6)</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3,800,000</w:t>
            </w:r>
            <w:r>
              <w:rPr>
                <w:rFonts w:ascii="Arial" w:cs="Arial" w:eastAsia="Arial" w:hAnsi="Arial"/>
                <w:sz w:val="19"/>
                <w:szCs w:val="19"/>
                <w:color w:val="auto"/>
                <w:vertAlign w:val="superscript"/>
              </w:rPr>
              <w:t>(6)</w:t>
            </w:r>
          </w:p>
        </w:tc>
        <w:tc>
          <w:tcPr>
            <w:tcW w:w="1120" w:type="dxa"/>
            <w:vAlign w:val="bottom"/>
            <w:tcBorders>
              <w:bottom w:val="single" w:sz="8" w:color="434F69"/>
              <w:right w:val="single" w:sz="8" w:color="434F69"/>
            </w:tcBorders>
          </w:tcPr>
          <w:p>
            <w:pPr>
              <w:jc w:val="right"/>
              <w:ind w:right="21"/>
              <w:spacing w:after="0"/>
              <w:rPr>
                <w:sz w:val="20"/>
                <w:szCs w:val="20"/>
                <w:color w:val="auto"/>
              </w:rPr>
            </w:pPr>
            <w:r>
              <w:rPr>
                <w:rFonts w:ascii="Arial" w:cs="Arial" w:eastAsia="Arial" w:hAnsi="Arial"/>
                <w:sz w:val="16"/>
                <w:szCs w:val="16"/>
                <w:color w:val="auto"/>
              </w:rPr>
              <w:t>3,800,000</w:t>
            </w:r>
            <w:r>
              <w:rPr>
                <w:rFonts w:ascii="Arial" w:cs="Arial" w:eastAsia="Arial" w:hAnsi="Arial"/>
                <w:sz w:val="19"/>
                <w:szCs w:val="19"/>
                <w:color w:val="auto"/>
                <w:vertAlign w:val="superscript"/>
              </w:rPr>
              <w:t>(6)</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5,700,000</w:t>
            </w:r>
            <w:r>
              <w:rPr>
                <w:rFonts w:ascii="Arial" w:cs="Arial" w:eastAsia="Arial" w:hAnsi="Arial"/>
                <w:sz w:val="19"/>
                <w:szCs w:val="19"/>
                <w:color w:val="auto"/>
                <w:vertAlign w:val="superscript"/>
              </w:rPr>
              <w:t>(7)</w:t>
            </w:r>
          </w:p>
        </w:tc>
      </w:tr>
      <w:tr>
        <w:trPr>
          <w:trHeight w:val="237"/>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Health Benefits</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41,224</w:t>
            </w:r>
            <w:r>
              <w:rPr>
                <w:rFonts w:ascii="Arial" w:cs="Arial" w:eastAsia="Arial" w:hAnsi="Arial"/>
                <w:sz w:val="19"/>
                <w:szCs w:val="19"/>
                <w:color w:val="auto"/>
                <w:vertAlign w:val="superscript"/>
              </w:rPr>
              <w:t>(8)</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41,224</w:t>
            </w:r>
            <w:r>
              <w:rPr>
                <w:rFonts w:ascii="Arial" w:cs="Arial" w:eastAsia="Arial" w:hAnsi="Arial"/>
                <w:sz w:val="19"/>
                <w:szCs w:val="19"/>
                <w:color w:val="auto"/>
                <w:vertAlign w:val="superscript"/>
              </w:rPr>
              <w:t>(8)</w:t>
            </w:r>
          </w:p>
        </w:tc>
        <w:tc>
          <w:tcPr>
            <w:tcW w:w="1120" w:type="dxa"/>
            <w:vAlign w:val="bottom"/>
            <w:tcBorders>
              <w:bottom w:val="single" w:sz="8" w:color="434F69"/>
              <w:right w:val="single" w:sz="8" w:color="434F69"/>
            </w:tcBorders>
          </w:tcPr>
          <w:p>
            <w:pPr>
              <w:jc w:val="right"/>
              <w:ind w:right="21"/>
              <w:spacing w:after="0"/>
              <w:rPr>
                <w:sz w:val="20"/>
                <w:szCs w:val="20"/>
                <w:color w:val="auto"/>
              </w:rPr>
            </w:pPr>
            <w:r>
              <w:rPr>
                <w:rFonts w:ascii="Arial" w:cs="Arial" w:eastAsia="Arial" w:hAnsi="Arial"/>
                <w:sz w:val="16"/>
                <w:szCs w:val="16"/>
                <w:color w:val="auto"/>
              </w:rPr>
              <w:t>41,224</w:t>
            </w:r>
            <w:r>
              <w:rPr>
                <w:rFonts w:ascii="Arial" w:cs="Arial" w:eastAsia="Arial" w:hAnsi="Arial"/>
                <w:sz w:val="19"/>
                <w:szCs w:val="19"/>
                <w:color w:val="auto"/>
                <w:vertAlign w:val="superscript"/>
              </w:rPr>
              <w:t>(8)</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41,224</w:t>
            </w:r>
            <w:r>
              <w:rPr>
                <w:rFonts w:ascii="Arial" w:cs="Arial" w:eastAsia="Arial" w:hAnsi="Arial"/>
                <w:sz w:val="19"/>
                <w:szCs w:val="19"/>
                <w:color w:val="auto"/>
                <w:vertAlign w:val="superscript"/>
              </w:rPr>
              <w:t>(8)</w:t>
            </w:r>
          </w:p>
        </w:tc>
      </w:tr>
      <w:tr>
        <w:trPr>
          <w:trHeight w:val="230"/>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3,800,000</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3,841,224</w:t>
            </w:r>
          </w:p>
        </w:tc>
        <w:tc>
          <w:tcPr>
            <w:tcW w:w="1140" w:type="dxa"/>
            <w:vAlign w:val="bottom"/>
            <w:tcBorders>
              <w:bottom w:val="single" w:sz="8" w:color="434F69"/>
              <w:right w:val="single" w:sz="8" w:color="434F69"/>
            </w:tcBorders>
          </w:tcPr>
          <w:p>
            <w:pPr>
              <w:jc w:val="right"/>
              <w:ind w:right="101"/>
              <w:spacing w:after="0"/>
              <w:rPr>
                <w:sz w:val="20"/>
                <w:szCs w:val="20"/>
                <w:color w:val="auto"/>
              </w:rPr>
            </w:pPr>
            <w:r>
              <w:rPr>
                <w:rFonts w:ascii="Arial" w:cs="Arial" w:eastAsia="Arial" w:hAnsi="Arial"/>
                <w:sz w:val="16"/>
                <w:szCs w:val="16"/>
                <w:color w:val="auto"/>
              </w:rPr>
              <w:t>3,841,224</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3,841,224</w:t>
            </w:r>
          </w:p>
        </w:tc>
        <w:tc>
          <w:tcPr>
            <w:tcW w:w="1200" w:type="dxa"/>
            <w:vAlign w:val="bottom"/>
            <w:tcBorders>
              <w:bottom w:val="single" w:sz="8" w:color="434F69"/>
              <w:right w:val="single" w:sz="8" w:color="434F69"/>
            </w:tcBorders>
          </w:tcPr>
          <w:p>
            <w:pPr>
              <w:jc w:val="right"/>
              <w:ind w:right="142"/>
              <w:spacing w:after="0"/>
              <w:rPr>
                <w:sz w:val="20"/>
                <w:szCs w:val="20"/>
                <w:color w:val="auto"/>
              </w:rPr>
            </w:pPr>
            <w:r>
              <w:rPr>
                <w:rFonts w:ascii="Arial" w:cs="Arial" w:eastAsia="Arial" w:hAnsi="Arial"/>
                <w:sz w:val="16"/>
                <w:szCs w:val="16"/>
                <w:color w:val="auto"/>
              </w:rPr>
              <w:t>5,741,224</w:t>
            </w:r>
          </w:p>
        </w:tc>
      </w:tr>
      <w:tr>
        <w:trPr>
          <w:trHeight w:val="270"/>
        </w:trPr>
        <w:tc>
          <w:tcPr>
            <w:tcW w:w="2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Al Swanson</w:t>
            </w:r>
            <w:r>
              <w:rPr>
                <w:rFonts w:ascii="Arial" w:cs="Arial" w:eastAsia="Arial" w:hAnsi="Arial"/>
                <w:sz w:val="19"/>
                <w:szCs w:val="19"/>
                <w:b w:val="1"/>
                <w:bCs w:val="1"/>
                <w:color w:val="auto"/>
                <w:vertAlign w:val="superscript"/>
              </w:rPr>
              <w:t>(9)</w:t>
            </w: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140" w:type="dxa"/>
            <w:vAlign w:val="bottom"/>
            <w:tcBorders>
              <w:bottom w:val="single" w:sz="8" w:color="434F69"/>
              <w:right w:val="single" w:sz="8" w:color="434F69"/>
            </w:tcBorders>
            <w:shd w:val="clear" w:color="auto" w:fill="D9DCE1"/>
          </w:tcPr>
          <w:p>
            <w:pPr>
              <w:spacing w:after="0"/>
              <w:rPr>
                <w:sz w:val="23"/>
                <w:szCs w:val="23"/>
                <w:color w:val="auto"/>
              </w:rPr>
            </w:pPr>
          </w:p>
        </w:tc>
        <w:tc>
          <w:tcPr>
            <w:tcW w:w="112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36"/>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1,874,351</w:t>
            </w:r>
            <w:r>
              <w:rPr>
                <w:rFonts w:ascii="Arial" w:cs="Arial" w:eastAsia="Arial" w:hAnsi="Arial"/>
                <w:sz w:val="19"/>
                <w:szCs w:val="19"/>
                <w:color w:val="auto"/>
                <w:vertAlign w:val="superscript"/>
              </w:rPr>
              <w:t>(1)</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1,874,351</w:t>
            </w:r>
            <w:r>
              <w:rPr>
                <w:rFonts w:ascii="Arial" w:cs="Arial" w:eastAsia="Arial" w:hAnsi="Arial"/>
                <w:sz w:val="19"/>
                <w:szCs w:val="19"/>
                <w:color w:val="auto"/>
                <w:vertAlign w:val="superscript"/>
              </w:rPr>
              <w:t>(1)</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1,116,971</w:t>
            </w:r>
            <w:r>
              <w:rPr>
                <w:rFonts w:ascii="Arial" w:cs="Arial" w:eastAsia="Arial" w:hAnsi="Arial"/>
                <w:sz w:val="19"/>
                <w:szCs w:val="19"/>
                <w:color w:val="auto"/>
                <w:vertAlign w:val="superscript"/>
              </w:rPr>
              <w:t>(2)</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2,997,019</w:t>
            </w:r>
            <w:r>
              <w:rPr>
                <w:rFonts w:ascii="Arial" w:cs="Arial" w:eastAsia="Arial" w:hAnsi="Arial"/>
                <w:sz w:val="19"/>
                <w:szCs w:val="19"/>
                <w:color w:val="auto"/>
                <w:vertAlign w:val="superscript"/>
              </w:rPr>
              <w:t>(3)</w:t>
            </w:r>
          </w:p>
        </w:tc>
      </w:tr>
      <w:tr>
        <w:trPr>
          <w:trHeight w:val="230"/>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1,874,351</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1,874,351</w:t>
            </w:r>
          </w:p>
        </w:tc>
        <w:tc>
          <w:tcPr>
            <w:tcW w:w="1140" w:type="dxa"/>
            <w:vAlign w:val="bottom"/>
            <w:tcBorders>
              <w:bottom w:val="single" w:sz="8" w:color="434F69"/>
              <w:right w:val="single" w:sz="8" w:color="434F69"/>
            </w:tcBorders>
          </w:tcPr>
          <w:p>
            <w:pPr>
              <w:jc w:val="right"/>
              <w:ind w:right="101"/>
              <w:spacing w:after="0"/>
              <w:rPr>
                <w:sz w:val="20"/>
                <w:szCs w:val="20"/>
                <w:color w:val="auto"/>
              </w:rPr>
            </w:pPr>
            <w:r>
              <w:rPr>
                <w:rFonts w:ascii="Arial" w:cs="Arial" w:eastAsia="Arial" w:hAnsi="Arial"/>
                <w:sz w:val="16"/>
                <w:szCs w:val="16"/>
                <w:color w:val="auto"/>
              </w:rPr>
              <w:t>1,116,971</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142"/>
              <w:spacing w:after="0"/>
              <w:rPr>
                <w:sz w:val="20"/>
                <w:szCs w:val="20"/>
                <w:color w:val="auto"/>
              </w:rPr>
            </w:pPr>
            <w:r>
              <w:rPr>
                <w:rFonts w:ascii="Arial" w:cs="Arial" w:eastAsia="Arial" w:hAnsi="Arial"/>
                <w:sz w:val="16"/>
                <w:szCs w:val="16"/>
                <w:color w:val="auto"/>
              </w:rPr>
              <w:t>2,997,019</w:t>
            </w:r>
          </w:p>
        </w:tc>
      </w:tr>
      <w:tr>
        <w:trPr>
          <w:trHeight w:val="270"/>
        </w:trPr>
        <w:tc>
          <w:tcPr>
            <w:tcW w:w="2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Richard McGee</w:t>
            </w:r>
            <w:r>
              <w:rPr>
                <w:rFonts w:ascii="Arial" w:cs="Arial" w:eastAsia="Arial" w:hAnsi="Arial"/>
                <w:sz w:val="19"/>
                <w:szCs w:val="19"/>
                <w:b w:val="1"/>
                <w:bCs w:val="1"/>
                <w:color w:val="auto"/>
                <w:vertAlign w:val="superscript"/>
              </w:rPr>
              <w:t>(9)</w:t>
            </w: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140" w:type="dxa"/>
            <w:vAlign w:val="bottom"/>
            <w:tcBorders>
              <w:bottom w:val="single" w:sz="8" w:color="434F69"/>
              <w:right w:val="single" w:sz="8" w:color="434F69"/>
            </w:tcBorders>
            <w:shd w:val="clear" w:color="auto" w:fill="D9DCE1"/>
          </w:tcPr>
          <w:p>
            <w:pPr>
              <w:spacing w:after="0"/>
              <w:rPr>
                <w:sz w:val="23"/>
                <w:szCs w:val="23"/>
                <w:color w:val="auto"/>
              </w:rPr>
            </w:pPr>
          </w:p>
        </w:tc>
        <w:tc>
          <w:tcPr>
            <w:tcW w:w="112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36"/>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1,874,351</w:t>
            </w:r>
            <w:r>
              <w:rPr>
                <w:rFonts w:ascii="Arial" w:cs="Arial" w:eastAsia="Arial" w:hAnsi="Arial"/>
                <w:sz w:val="19"/>
                <w:szCs w:val="19"/>
                <w:color w:val="auto"/>
                <w:vertAlign w:val="superscript"/>
              </w:rPr>
              <w:t>(1)</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1,874,351</w:t>
            </w:r>
            <w:r>
              <w:rPr>
                <w:rFonts w:ascii="Arial" w:cs="Arial" w:eastAsia="Arial" w:hAnsi="Arial"/>
                <w:sz w:val="19"/>
                <w:szCs w:val="19"/>
                <w:color w:val="auto"/>
                <w:vertAlign w:val="superscript"/>
              </w:rPr>
              <w:t>(1)</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1,116,971</w:t>
            </w:r>
            <w:r>
              <w:rPr>
                <w:rFonts w:ascii="Arial" w:cs="Arial" w:eastAsia="Arial" w:hAnsi="Arial"/>
                <w:sz w:val="19"/>
                <w:szCs w:val="19"/>
                <w:color w:val="auto"/>
                <w:vertAlign w:val="superscript"/>
              </w:rPr>
              <w:t>(2)</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2,997,019</w:t>
            </w:r>
            <w:r>
              <w:rPr>
                <w:rFonts w:ascii="Arial" w:cs="Arial" w:eastAsia="Arial" w:hAnsi="Arial"/>
                <w:sz w:val="19"/>
                <w:szCs w:val="19"/>
                <w:color w:val="auto"/>
                <w:vertAlign w:val="superscript"/>
              </w:rPr>
              <w:t>(3)</w:t>
            </w:r>
          </w:p>
        </w:tc>
      </w:tr>
      <w:tr>
        <w:trPr>
          <w:trHeight w:val="230"/>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1,874,351</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1,874,351</w:t>
            </w:r>
          </w:p>
        </w:tc>
        <w:tc>
          <w:tcPr>
            <w:tcW w:w="1140" w:type="dxa"/>
            <w:vAlign w:val="bottom"/>
            <w:tcBorders>
              <w:bottom w:val="single" w:sz="8" w:color="434F69"/>
              <w:right w:val="single" w:sz="8" w:color="434F69"/>
            </w:tcBorders>
          </w:tcPr>
          <w:p>
            <w:pPr>
              <w:jc w:val="right"/>
              <w:ind w:right="101"/>
              <w:spacing w:after="0"/>
              <w:rPr>
                <w:sz w:val="20"/>
                <w:szCs w:val="20"/>
                <w:color w:val="auto"/>
              </w:rPr>
            </w:pPr>
            <w:r>
              <w:rPr>
                <w:rFonts w:ascii="Arial" w:cs="Arial" w:eastAsia="Arial" w:hAnsi="Arial"/>
                <w:sz w:val="16"/>
                <w:szCs w:val="16"/>
                <w:color w:val="auto"/>
              </w:rPr>
              <w:t>1,116,971</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142"/>
              <w:spacing w:after="0"/>
              <w:rPr>
                <w:sz w:val="20"/>
                <w:szCs w:val="20"/>
                <w:color w:val="auto"/>
              </w:rPr>
            </w:pPr>
            <w:r>
              <w:rPr>
                <w:rFonts w:ascii="Arial" w:cs="Arial" w:eastAsia="Arial" w:hAnsi="Arial"/>
                <w:sz w:val="16"/>
                <w:szCs w:val="16"/>
                <w:color w:val="auto"/>
              </w:rPr>
              <w:t>2,997,019</w:t>
            </w:r>
          </w:p>
        </w:tc>
      </w:tr>
      <w:tr>
        <w:trPr>
          <w:trHeight w:val="270"/>
        </w:trPr>
        <w:tc>
          <w:tcPr>
            <w:tcW w:w="2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Chris Chandler</w:t>
            </w:r>
            <w:r>
              <w:rPr>
                <w:rFonts w:ascii="Arial" w:cs="Arial" w:eastAsia="Arial" w:hAnsi="Arial"/>
                <w:sz w:val="19"/>
                <w:szCs w:val="19"/>
                <w:b w:val="1"/>
                <w:bCs w:val="1"/>
                <w:color w:val="auto"/>
                <w:vertAlign w:val="superscript"/>
              </w:rPr>
              <w:t>(9)</w:t>
            </w: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140" w:type="dxa"/>
            <w:vAlign w:val="bottom"/>
            <w:tcBorders>
              <w:bottom w:val="single" w:sz="8" w:color="434F69"/>
              <w:right w:val="single" w:sz="8" w:color="434F69"/>
            </w:tcBorders>
            <w:shd w:val="clear" w:color="auto" w:fill="D9DCE1"/>
          </w:tcPr>
          <w:p>
            <w:pPr>
              <w:spacing w:after="0"/>
              <w:rPr>
                <w:sz w:val="23"/>
                <w:szCs w:val="23"/>
                <w:color w:val="auto"/>
              </w:rPr>
            </w:pPr>
          </w:p>
        </w:tc>
        <w:tc>
          <w:tcPr>
            <w:tcW w:w="112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37"/>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4,629,651</w:t>
            </w:r>
            <w:r>
              <w:rPr>
                <w:rFonts w:ascii="Arial" w:cs="Arial" w:eastAsia="Arial" w:hAnsi="Arial"/>
                <w:sz w:val="19"/>
                <w:szCs w:val="19"/>
                <w:color w:val="auto"/>
                <w:vertAlign w:val="superscript"/>
              </w:rPr>
              <w:t>(1)</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4,629,651</w:t>
            </w:r>
            <w:r>
              <w:rPr>
                <w:rFonts w:ascii="Arial" w:cs="Arial" w:eastAsia="Arial" w:hAnsi="Arial"/>
                <w:sz w:val="19"/>
                <w:szCs w:val="19"/>
                <w:color w:val="auto"/>
                <w:vertAlign w:val="superscript"/>
              </w:rPr>
              <w:t>(1)</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3,405,271</w:t>
            </w:r>
            <w:r>
              <w:rPr>
                <w:rFonts w:ascii="Arial" w:cs="Arial" w:eastAsia="Arial" w:hAnsi="Arial"/>
                <w:sz w:val="19"/>
                <w:szCs w:val="19"/>
                <w:color w:val="auto"/>
                <w:vertAlign w:val="superscript"/>
              </w:rPr>
              <w:t>(2)</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8,087,319</w:t>
            </w:r>
            <w:r>
              <w:rPr>
                <w:rFonts w:ascii="Arial" w:cs="Arial" w:eastAsia="Arial" w:hAnsi="Arial"/>
                <w:sz w:val="19"/>
                <w:szCs w:val="19"/>
                <w:color w:val="auto"/>
                <w:vertAlign w:val="superscript"/>
              </w:rPr>
              <w:t>(3)</w:t>
            </w:r>
          </w:p>
        </w:tc>
      </w:tr>
      <w:tr>
        <w:trPr>
          <w:trHeight w:val="230"/>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4,629,651</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4,629,651</w:t>
            </w:r>
          </w:p>
        </w:tc>
        <w:tc>
          <w:tcPr>
            <w:tcW w:w="1140" w:type="dxa"/>
            <w:vAlign w:val="bottom"/>
            <w:tcBorders>
              <w:bottom w:val="single" w:sz="8" w:color="434F69"/>
              <w:right w:val="single" w:sz="8" w:color="434F69"/>
            </w:tcBorders>
          </w:tcPr>
          <w:p>
            <w:pPr>
              <w:jc w:val="right"/>
              <w:ind w:right="101"/>
              <w:spacing w:after="0"/>
              <w:rPr>
                <w:sz w:val="20"/>
                <w:szCs w:val="20"/>
                <w:color w:val="auto"/>
              </w:rPr>
            </w:pPr>
            <w:r>
              <w:rPr>
                <w:rFonts w:ascii="Arial" w:cs="Arial" w:eastAsia="Arial" w:hAnsi="Arial"/>
                <w:sz w:val="16"/>
                <w:szCs w:val="16"/>
                <w:color w:val="auto"/>
              </w:rPr>
              <w:t>3,405,271</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142"/>
              <w:spacing w:after="0"/>
              <w:rPr>
                <w:sz w:val="20"/>
                <w:szCs w:val="20"/>
                <w:color w:val="auto"/>
              </w:rPr>
            </w:pPr>
            <w:r>
              <w:rPr>
                <w:rFonts w:ascii="Arial" w:cs="Arial" w:eastAsia="Arial" w:hAnsi="Arial"/>
                <w:sz w:val="16"/>
                <w:szCs w:val="16"/>
                <w:color w:val="auto"/>
              </w:rPr>
              <w:t>8,087,319</w:t>
            </w:r>
          </w:p>
        </w:tc>
      </w:tr>
      <w:tr>
        <w:trPr>
          <w:trHeight w:val="270"/>
        </w:trPr>
        <w:tc>
          <w:tcPr>
            <w:tcW w:w="212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Jeremy Goebel</w:t>
            </w:r>
            <w:r>
              <w:rPr>
                <w:rFonts w:ascii="Arial" w:cs="Arial" w:eastAsia="Arial" w:hAnsi="Arial"/>
                <w:sz w:val="19"/>
                <w:szCs w:val="19"/>
                <w:b w:val="1"/>
                <w:bCs w:val="1"/>
                <w:color w:val="auto"/>
                <w:vertAlign w:val="superscript"/>
              </w:rPr>
              <w:t>(9)</w:t>
            </w: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320" w:type="dxa"/>
            <w:vAlign w:val="bottom"/>
            <w:tcBorders>
              <w:bottom w:val="single" w:sz="8" w:color="434F69"/>
              <w:right w:val="single" w:sz="8" w:color="434F69"/>
            </w:tcBorders>
            <w:shd w:val="clear" w:color="auto" w:fill="D9DCE1"/>
          </w:tcPr>
          <w:p>
            <w:pPr>
              <w:spacing w:after="0"/>
              <w:rPr>
                <w:sz w:val="23"/>
                <w:szCs w:val="23"/>
                <w:color w:val="auto"/>
              </w:rPr>
            </w:pPr>
          </w:p>
        </w:tc>
        <w:tc>
          <w:tcPr>
            <w:tcW w:w="1140" w:type="dxa"/>
            <w:vAlign w:val="bottom"/>
            <w:tcBorders>
              <w:bottom w:val="single" w:sz="8" w:color="434F69"/>
              <w:right w:val="single" w:sz="8" w:color="434F69"/>
            </w:tcBorders>
            <w:shd w:val="clear" w:color="auto" w:fill="D9DCE1"/>
          </w:tcPr>
          <w:p>
            <w:pPr>
              <w:spacing w:after="0"/>
              <w:rPr>
                <w:sz w:val="23"/>
                <w:szCs w:val="23"/>
                <w:color w:val="auto"/>
              </w:rPr>
            </w:pPr>
          </w:p>
        </w:tc>
        <w:tc>
          <w:tcPr>
            <w:tcW w:w="112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36"/>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4,769,751</w:t>
            </w:r>
            <w:r>
              <w:rPr>
                <w:rFonts w:ascii="Arial" w:cs="Arial" w:eastAsia="Arial" w:hAnsi="Arial"/>
                <w:sz w:val="19"/>
                <w:szCs w:val="19"/>
                <w:color w:val="auto"/>
                <w:vertAlign w:val="superscript"/>
              </w:rPr>
              <w:t>(1)</w:t>
            </w:r>
          </w:p>
        </w:tc>
        <w:tc>
          <w:tcPr>
            <w:tcW w:w="1320" w:type="dxa"/>
            <w:vAlign w:val="bottom"/>
            <w:tcBorders>
              <w:bottom w:val="single" w:sz="8" w:color="434F69"/>
              <w:right w:val="single" w:sz="8" w:color="434F69"/>
            </w:tcBorders>
          </w:tcPr>
          <w:p>
            <w:pPr>
              <w:jc w:val="right"/>
              <w:ind w:right="61"/>
              <w:spacing w:after="0"/>
              <w:rPr>
                <w:sz w:val="20"/>
                <w:szCs w:val="20"/>
                <w:color w:val="auto"/>
              </w:rPr>
            </w:pPr>
            <w:r>
              <w:rPr>
                <w:rFonts w:ascii="Arial" w:cs="Arial" w:eastAsia="Arial" w:hAnsi="Arial"/>
                <w:sz w:val="16"/>
                <w:szCs w:val="16"/>
                <w:color w:val="auto"/>
              </w:rPr>
              <w:t>4,769,751</w:t>
            </w:r>
            <w:r>
              <w:rPr>
                <w:rFonts w:ascii="Arial" w:cs="Arial" w:eastAsia="Arial" w:hAnsi="Arial"/>
                <w:sz w:val="19"/>
                <w:szCs w:val="19"/>
                <w:color w:val="auto"/>
                <w:vertAlign w:val="superscript"/>
              </w:rPr>
              <w:t>(1)</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3,545,371</w:t>
            </w:r>
            <w:r>
              <w:rPr>
                <w:rFonts w:ascii="Arial" w:cs="Arial" w:eastAsia="Arial" w:hAnsi="Arial"/>
                <w:sz w:val="19"/>
                <w:szCs w:val="19"/>
                <w:color w:val="auto"/>
                <w:vertAlign w:val="superscript"/>
              </w:rPr>
              <w:t>(2)</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8,227,419</w:t>
            </w:r>
            <w:r>
              <w:rPr>
                <w:rFonts w:ascii="Arial" w:cs="Arial" w:eastAsia="Arial" w:hAnsi="Arial"/>
                <w:sz w:val="19"/>
                <w:szCs w:val="19"/>
                <w:color w:val="auto"/>
                <w:vertAlign w:val="superscript"/>
              </w:rPr>
              <w:t>(3)</w:t>
            </w:r>
          </w:p>
        </w:tc>
      </w:tr>
      <w:tr>
        <w:trPr>
          <w:trHeight w:val="237"/>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AAP Management Units</w:t>
            </w:r>
          </w:p>
        </w:tc>
        <w:tc>
          <w:tcPr>
            <w:tcW w:w="1320" w:type="dxa"/>
            <w:vAlign w:val="bottom"/>
            <w:tcBorders>
              <w:bottom w:val="single" w:sz="8" w:color="434F69"/>
              <w:right w:val="single" w:sz="8" w:color="434F69"/>
            </w:tcBorders>
          </w:tcPr>
          <w:p>
            <w:pPr>
              <w:jc w:val="right"/>
              <w:ind w:right="21"/>
              <w:spacing w:after="0"/>
              <w:rPr>
                <w:sz w:val="20"/>
                <w:szCs w:val="20"/>
                <w:color w:val="auto"/>
              </w:rPr>
            </w:pPr>
            <w:r>
              <w:rPr>
                <w:rFonts w:ascii="Arial" w:cs="Arial" w:eastAsia="Arial" w:hAnsi="Arial"/>
                <w:sz w:val="16"/>
                <w:szCs w:val="16"/>
                <w:color w:val="auto"/>
              </w:rPr>
              <w:t>358,449</w:t>
            </w:r>
            <w:r>
              <w:rPr>
                <w:rFonts w:ascii="Arial" w:cs="Arial" w:eastAsia="Arial" w:hAnsi="Arial"/>
                <w:sz w:val="19"/>
                <w:szCs w:val="19"/>
                <w:color w:val="auto"/>
                <w:vertAlign w:val="superscript"/>
              </w:rPr>
              <w:t>(11)</w:t>
            </w:r>
          </w:p>
        </w:tc>
        <w:tc>
          <w:tcPr>
            <w:tcW w:w="1320" w:type="dxa"/>
            <w:vAlign w:val="bottom"/>
            <w:tcBorders>
              <w:bottom w:val="single" w:sz="8" w:color="434F69"/>
              <w:right w:val="single" w:sz="8" w:color="434F69"/>
            </w:tcBorders>
          </w:tcPr>
          <w:p>
            <w:pPr>
              <w:jc w:val="right"/>
              <w:ind w:right="1"/>
              <w:spacing w:after="0"/>
              <w:rPr>
                <w:sz w:val="20"/>
                <w:szCs w:val="20"/>
                <w:color w:val="auto"/>
              </w:rPr>
            </w:pPr>
            <w:r>
              <w:rPr>
                <w:rFonts w:ascii="Arial" w:cs="Arial" w:eastAsia="Arial" w:hAnsi="Arial"/>
                <w:sz w:val="16"/>
                <w:szCs w:val="16"/>
                <w:color w:val="auto"/>
              </w:rPr>
              <w:t>358,449</w:t>
            </w:r>
            <w:r>
              <w:rPr>
                <w:rFonts w:ascii="Arial" w:cs="Arial" w:eastAsia="Arial" w:hAnsi="Arial"/>
                <w:sz w:val="19"/>
                <w:szCs w:val="19"/>
                <w:color w:val="auto"/>
                <w:vertAlign w:val="superscript"/>
              </w:rPr>
              <w:t>(11)</w:t>
            </w:r>
          </w:p>
        </w:tc>
        <w:tc>
          <w:tcPr>
            <w:tcW w:w="11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6"/>
                <w:szCs w:val="16"/>
                <w:color w:val="auto"/>
              </w:rPr>
              <w:t>358,449</w:t>
            </w:r>
            <w:r>
              <w:rPr>
                <w:rFonts w:ascii="Arial" w:cs="Arial" w:eastAsia="Arial" w:hAnsi="Arial"/>
                <w:sz w:val="19"/>
                <w:szCs w:val="19"/>
                <w:color w:val="auto"/>
                <w:vertAlign w:val="superscript"/>
              </w:rPr>
              <w:t>(4)</w:t>
            </w:r>
          </w:p>
        </w:tc>
        <w:tc>
          <w:tcPr>
            <w:tcW w:w="1120" w:type="dxa"/>
            <w:vAlign w:val="bottom"/>
            <w:tcBorders>
              <w:bottom w:val="single" w:sz="8" w:color="434F69"/>
              <w:right w:val="single" w:sz="8" w:color="434F69"/>
            </w:tcBorders>
          </w:tcPr>
          <w:p>
            <w:pPr>
              <w:jc w:val="right"/>
              <w:ind w:right="21"/>
              <w:spacing w:after="0"/>
              <w:rPr>
                <w:sz w:val="20"/>
                <w:szCs w:val="20"/>
                <w:color w:val="auto"/>
              </w:rPr>
            </w:pPr>
            <w:r>
              <w:rPr>
                <w:rFonts w:ascii="Arial" w:cs="Arial" w:eastAsia="Arial" w:hAnsi="Arial"/>
                <w:sz w:val="16"/>
                <w:szCs w:val="16"/>
                <w:color w:val="auto"/>
              </w:rPr>
              <w:t>358,449</w:t>
            </w:r>
            <w:r>
              <w:rPr>
                <w:rFonts w:ascii="Arial" w:cs="Arial" w:eastAsia="Arial" w:hAnsi="Arial"/>
                <w:sz w:val="19"/>
                <w:szCs w:val="19"/>
                <w:color w:val="auto"/>
                <w:vertAlign w:val="superscript"/>
              </w:rPr>
              <w:t>(4)</w:t>
            </w:r>
          </w:p>
        </w:tc>
        <w:tc>
          <w:tcPr>
            <w:tcW w:w="1200" w:type="dxa"/>
            <w:vAlign w:val="bottom"/>
            <w:tcBorders>
              <w:bottom w:val="single" w:sz="8" w:color="434F69"/>
              <w:right w:val="single" w:sz="8" w:color="434F69"/>
            </w:tcBorders>
          </w:tcPr>
          <w:p>
            <w:pPr>
              <w:jc w:val="right"/>
              <w:ind w:right="22"/>
              <w:spacing w:after="0"/>
              <w:rPr>
                <w:sz w:val="20"/>
                <w:szCs w:val="20"/>
                <w:color w:val="auto"/>
              </w:rPr>
            </w:pPr>
            <w:r>
              <w:rPr>
                <w:rFonts w:ascii="Arial" w:cs="Arial" w:eastAsia="Arial" w:hAnsi="Arial"/>
                <w:sz w:val="16"/>
                <w:szCs w:val="16"/>
                <w:color w:val="auto"/>
              </w:rPr>
              <w:t>358,449</w:t>
            </w:r>
            <w:r>
              <w:rPr>
                <w:rFonts w:ascii="Arial" w:cs="Arial" w:eastAsia="Arial" w:hAnsi="Arial"/>
                <w:sz w:val="19"/>
                <w:szCs w:val="19"/>
                <w:color w:val="auto"/>
                <w:vertAlign w:val="superscript"/>
              </w:rPr>
              <w:t>(5)</w:t>
            </w:r>
          </w:p>
        </w:tc>
      </w:tr>
      <w:tr>
        <w:trPr>
          <w:trHeight w:val="230"/>
        </w:trPr>
        <w:tc>
          <w:tcPr>
            <w:tcW w:w="2120" w:type="dxa"/>
            <w:vAlign w:val="bottom"/>
            <w:tcBorders>
              <w:left w:val="single" w:sz="8" w:color="434F69"/>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5,128,200</w:t>
            </w:r>
          </w:p>
        </w:tc>
        <w:tc>
          <w:tcPr>
            <w:tcW w:w="1320" w:type="dxa"/>
            <w:vAlign w:val="bottom"/>
            <w:tcBorders>
              <w:bottom w:val="single" w:sz="8" w:color="434F69"/>
              <w:right w:val="single" w:sz="8" w:color="434F69"/>
            </w:tcBorders>
          </w:tcPr>
          <w:p>
            <w:pPr>
              <w:jc w:val="right"/>
              <w:ind w:right="181"/>
              <w:spacing w:after="0"/>
              <w:rPr>
                <w:sz w:val="20"/>
                <w:szCs w:val="20"/>
                <w:color w:val="auto"/>
              </w:rPr>
            </w:pPr>
            <w:r>
              <w:rPr>
                <w:rFonts w:ascii="Arial" w:cs="Arial" w:eastAsia="Arial" w:hAnsi="Arial"/>
                <w:sz w:val="16"/>
                <w:szCs w:val="16"/>
                <w:color w:val="auto"/>
              </w:rPr>
              <w:t>5,128,200</w:t>
            </w:r>
          </w:p>
        </w:tc>
        <w:tc>
          <w:tcPr>
            <w:tcW w:w="1140" w:type="dxa"/>
            <w:vAlign w:val="bottom"/>
            <w:tcBorders>
              <w:bottom w:val="single" w:sz="8" w:color="434F69"/>
              <w:right w:val="single" w:sz="8" w:color="434F69"/>
            </w:tcBorders>
          </w:tcPr>
          <w:p>
            <w:pPr>
              <w:jc w:val="right"/>
              <w:ind w:right="101"/>
              <w:spacing w:after="0"/>
              <w:rPr>
                <w:sz w:val="20"/>
                <w:szCs w:val="20"/>
                <w:color w:val="auto"/>
              </w:rPr>
            </w:pPr>
            <w:r>
              <w:rPr>
                <w:rFonts w:ascii="Arial" w:cs="Arial" w:eastAsia="Arial" w:hAnsi="Arial"/>
                <w:sz w:val="16"/>
                <w:szCs w:val="16"/>
                <w:color w:val="auto"/>
              </w:rPr>
              <w:t>3,903,820</w:t>
            </w:r>
          </w:p>
        </w:tc>
        <w:tc>
          <w:tcPr>
            <w:tcW w:w="1120" w:type="dxa"/>
            <w:vAlign w:val="bottom"/>
            <w:tcBorders>
              <w:bottom w:val="single" w:sz="8" w:color="434F69"/>
              <w:right w:val="single" w:sz="8" w:color="434F69"/>
            </w:tcBorders>
          </w:tcPr>
          <w:p>
            <w:pPr>
              <w:jc w:val="right"/>
              <w:ind w:right="141"/>
              <w:spacing w:after="0"/>
              <w:rPr>
                <w:sz w:val="20"/>
                <w:szCs w:val="20"/>
                <w:color w:val="auto"/>
              </w:rPr>
            </w:pPr>
            <w:r>
              <w:rPr>
                <w:rFonts w:ascii="Arial" w:cs="Arial" w:eastAsia="Arial" w:hAnsi="Arial"/>
                <w:sz w:val="16"/>
                <w:szCs w:val="16"/>
                <w:color w:val="auto"/>
              </w:rPr>
              <w:t>358,449</w:t>
            </w:r>
          </w:p>
        </w:tc>
        <w:tc>
          <w:tcPr>
            <w:tcW w:w="1200" w:type="dxa"/>
            <w:vAlign w:val="bottom"/>
            <w:tcBorders>
              <w:bottom w:val="single" w:sz="8" w:color="434F69"/>
              <w:right w:val="single" w:sz="8" w:color="434F69"/>
            </w:tcBorders>
          </w:tcPr>
          <w:p>
            <w:pPr>
              <w:jc w:val="right"/>
              <w:ind w:right="142"/>
              <w:spacing w:after="0"/>
              <w:rPr>
                <w:sz w:val="20"/>
                <w:szCs w:val="20"/>
                <w:color w:val="auto"/>
              </w:rPr>
            </w:pPr>
            <w:r>
              <w:rPr>
                <w:rFonts w:ascii="Arial" w:cs="Arial" w:eastAsia="Arial" w:hAnsi="Arial"/>
                <w:sz w:val="16"/>
                <w:szCs w:val="16"/>
                <w:color w:val="auto"/>
              </w:rPr>
              <w:t>8,585,868</w:t>
            </w:r>
          </w:p>
        </w:tc>
      </w:tr>
    </w:tbl>
    <w:p>
      <w:pPr>
        <w:spacing w:after="0" w:line="67" w:lineRule="exact"/>
        <w:rPr>
          <w:sz w:val="20"/>
          <w:szCs w:val="20"/>
          <w:color w:val="auto"/>
        </w:rPr>
      </w:pPr>
    </w:p>
    <w:p>
      <w:pPr>
        <w:ind w:left="1620" w:right="519" w:hanging="360"/>
        <w:spacing w:after="0" w:line="231" w:lineRule="auto"/>
        <w:tabs>
          <w:tab w:leader="none" w:pos="162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68" w:lineRule="exact"/>
        <w:rPr>
          <w:rFonts w:ascii="Arial" w:cs="Arial" w:eastAsia="Arial" w:hAnsi="Arial"/>
          <w:sz w:val="27"/>
          <w:szCs w:val="27"/>
          <w:color w:val="auto"/>
          <w:vertAlign w:val="superscript"/>
        </w:rPr>
      </w:pPr>
    </w:p>
    <w:p>
      <w:pPr>
        <w:ind w:left="1620" w:right="479"/>
        <w:spacing w:after="0" w:line="253" w:lineRule="auto"/>
        <w:rPr>
          <w:rFonts w:ascii="Arial" w:cs="Arial" w:eastAsia="Arial" w:hAnsi="Arial"/>
          <w:sz w:val="27"/>
          <w:szCs w:val="27"/>
          <w:color w:val="auto"/>
          <w:vertAlign w:val="superscript"/>
        </w:rPr>
      </w:pPr>
      <w:r>
        <w:rPr>
          <w:rFonts w:ascii="Arial" w:cs="Arial" w:eastAsia="Arial" w:hAnsi="Arial"/>
          <w:sz w:val="17"/>
          <w:szCs w:val="17"/>
          <w:color w:val="auto"/>
        </w:rPr>
        <w:t>The letters evidencing the August 2019, August 2020 and August 2021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6" w:lineRule="exact"/>
        <w:rPr>
          <w:rFonts w:ascii="Arial" w:cs="Arial" w:eastAsia="Arial" w:hAnsi="Arial"/>
          <w:sz w:val="27"/>
          <w:szCs w:val="27"/>
          <w:color w:val="auto"/>
          <w:vertAlign w:val="superscript"/>
        </w:rPr>
      </w:pPr>
    </w:p>
    <w:p>
      <w:pPr>
        <w:ind w:left="1620" w:right="539"/>
        <w:spacing w:after="0" w:line="237"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December 2017 phantom unit grant awarded to Mr. Goebel and the May 2018 grant of 135,000 phantom units awarded to Mr. Chandler provide that in the event of their death or disability,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69" w:lineRule="exact"/>
        <w:rPr>
          <w:rFonts w:ascii="Arial" w:cs="Arial" w:eastAsia="Arial" w:hAnsi="Arial"/>
          <w:sz w:val="27"/>
          <w:szCs w:val="27"/>
          <w:color w:val="auto"/>
          <w:vertAlign w:val="superscript"/>
        </w:rPr>
      </w:pPr>
    </w:p>
    <w:p>
      <w:pPr>
        <w:ind w:left="1620" w:right="519"/>
        <w:spacing w:after="0" w:line="274" w:lineRule="auto"/>
        <w:rPr>
          <w:rFonts w:ascii="Arial" w:cs="Arial" w:eastAsia="Arial" w:hAnsi="Arial"/>
          <w:sz w:val="27"/>
          <w:szCs w:val="27"/>
          <w:color w:val="auto"/>
          <w:vertAlign w:val="superscript"/>
        </w:rPr>
      </w:pPr>
      <w:r>
        <w:rPr>
          <w:rFonts w:ascii="Arial" w:cs="Arial" w:eastAsia="Arial" w:hAnsi="Arial"/>
          <w:sz w:val="17"/>
          <w:szCs w:val="17"/>
          <w:color w:val="auto"/>
        </w:rPr>
        <w:t>The letters evidencing the November 2019 phantom unit grants awarded to Messrs. Chandler and Goebel provide that in the event of their death or disability after the second anniversary of the</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59"/>
        <w:spacing w:after="0" w:line="238" w:lineRule="auto"/>
        <w:rPr>
          <w:sz w:val="20"/>
          <w:szCs w:val="20"/>
          <w:color w:val="auto"/>
        </w:rPr>
      </w:pPr>
      <w:r>
        <w:rPr>
          <w:rFonts w:ascii="Arial" w:cs="Arial" w:eastAsia="Arial" w:hAnsi="Arial"/>
          <w:sz w:val="18"/>
          <w:szCs w:val="18"/>
          <w:color w:val="auto"/>
        </w:rPr>
        <w:t>date of grant, all of their then outstanding phantom units awarded under such grants and associated DERs will be deemed nonforfeitable, and (i) 50% will vest on the next distribution date and (ii) any remaining unvested phantom units that had satisfied all of the vesting criteria as of the date of his termination but for the passage of time would also vest on the next following distribution date.</w:t>
      </w:r>
    </w:p>
    <w:p>
      <w:pPr>
        <w:spacing w:after="0" w:line="54" w:lineRule="exact"/>
        <w:rPr>
          <w:sz w:val="20"/>
          <w:szCs w:val="20"/>
          <w:color w:val="auto"/>
        </w:rPr>
      </w:pPr>
    </w:p>
    <w:p>
      <w:pPr>
        <w:ind w:left="1620" w:right="879"/>
        <w:spacing w:after="0"/>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54" w:lineRule="exact"/>
        <w:rPr>
          <w:sz w:val="20"/>
          <w:szCs w:val="20"/>
          <w:color w:val="auto"/>
        </w:rPr>
      </w:pPr>
    </w:p>
    <w:p>
      <w:pPr>
        <w:ind w:left="1620" w:right="459"/>
        <w:spacing w:after="0" w:line="234" w:lineRule="auto"/>
        <w:rPr>
          <w:sz w:val="20"/>
          <w:szCs w:val="20"/>
          <w:color w:val="auto"/>
        </w:rPr>
      </w:pPr>
      <w:r>
        <w:rPr>
          <w:rFonts w:ascii="Arial" w:cs="Arial" w:eastAsia="Arial" w:hAnsi="Arial"/>
          <w:sz w:val="18"/>
          <w:szCs w:val="18"/>
          <w:color w:val="auto"/>
        </w:rPr>
        <w:t>Assuming death or disability occurred on December 31, 2021, (A) all of the phantom units and associated DERs held by Messrs. Chiang, Swanson, McGee, Chandler and Goebel pursuant to their August 2019 and August 2020 grant letters, all of the phantom units and associated DERs held by Mr. Chandler pursuant to his May 2018 grant letter, all of the phantom units and associated DERs held by Mr. Chiang pursuant to his August 2018 grant letter, all of the phantom units and associated DERs held by Mr. Goebel pursuant to his 2017 grant letter, and 50% of the</w:t>
      </w:r>
    </w:p>
    <w:p>
      <w:pPr>
        <w:spacing w:after="0" w:line="4" w:lineRule="exact"/>
        <w:rPr>
          <w:sz w:val="20"/>
          <w:szCs w:val="20"/>
          <w:color w:val="auto"/>
        </w:rPr>
      </w:pPr>
    </w:p>
    <w:p>
      <w:pPr>
        <w:ind w:left="1620" w:right="439"/>
        <w:spacing w:after="0" w:line="236" w:lineRule="auto"/>
        <w:rPr>
          <w:sz w:val="20"/>
          <w:szCs w:val="20"/>
          <w:color w:val="auto"/>
        </w:rPr>
      </w:pPr>
      <w:r>
        <w:rPr>
          <w:rFonts w:ascii="Arial" w:cs="Arial" w:eastAsia="Arial" w:hAnsi="Arial"/>
          <w:sz w:val="18"/>
          <w:szCs w:val="18"/>
          <w:color w:val="auto"/>
        </w:rPr>
        <w:t>phantom units and associated DERs held by Messrs. Chandler and Goebel pursuant to their November 2019 grant letters would have become nonforfeitable as of such date and would have vested on the February 2022 distribution date, and (B) all of the phantom units and associated DERs held by Messrs. Chiang, Swanson, McGee, Chandler and Goebel pursuant to their August 2021 grant letters and 50% of the phantom units and associated DERs held by Messrs. Chandler and Goebel pursuant to their November 2019 grant letters would have been forfeited. The dollar value given is based on the market value of PAA’s common units on December 31, 2021 ($9.34 per unit).</w:t>
      </w:r>
    </w:p>
    <w:p>
      <w:pPr>
        <w:spacing w:after="0" w:line="140" w:lineRule="exact"/>
        <w:rPr>
          <w:sz w:val="20"/>
          <w:szCs w:val="20"/>
          <w:color w:val="auto"/>
        </w:rPr>
      </w:pPr>
    </w:p>
    <w:p>
      <w:pPr>
        <w:ind w:left="1620" w:right="499" w:hanging="360"/>
        <w:spacing w:after="0" w:line="227"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70" w:lineRule="exact"/>
        <w:rPr>
          <w:rFonts w:ascii="Arial" w:cs="Arial" w:eastAsia="Arial" w:hAnsi="Arial"/>
          <w:sz w:val="27"/>
          <w:szCs w:val="27"/>
          <w:color w:val="auto"/>
          <w:vertAlign w:val="superscript"/>
        </w:rPr>
      </w:pPr>
    </w:p>
    <w:p>
      <w:pPr>
        <w:ind w:left="1620" w:right="459"/>
        <w:spacing w:after="0" w:line="237"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provide that if their employment is terminated other than for cause (as defined in footnote 3 below),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 phantom units would be deemed nonforfeitable following a termination other than for cause on or after November 20, 2024.</w:t>
      </w:r>
    </w:p>
    <w:p>
      <w:pPr>
        <w:spacing w:after="0" w:line="67" w:lineRule="exact"/>
        <w:rPr>
          <w:rFonts w:ascii="Arial" w:cs="Arial" w:eastAsia="Arial" w:hAnsi="Arial"/>
          <w:sz w:val="27"/>
          <w:szCs w:val="27"/>
          <w:color w:val="auto"/>
          <w:vertAlign w:val="superscript"/>
        </w:rPr>
      </w:pPr>
    </w:p>
    <w:p>
      <w:pPr>
        <w:ind w:left="1620" w:right="51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2020 and August 2021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p>
    <w:p>
      <w:pPr>
        <w:spacing w:after="0" w:line="56" w:lineRule="exact"/>
        <w:rPr>
          <w:rFonts w:ascii="Arial" w:cs="Arial" w:eastAsia="Arial" w:hAnsi="Arial"/>
          <w:sz w:val="27"/>
          <w:szCs w:val="27"/>
          <w:color w:val="auto"/>
          <w:vertAlign w:val="superscript"/>
        </w:rPr>
      </w:pPr>
    </w:p>
    <w:p>
      <w:pPr>
        <w:ind w:left="1620" w:right="61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58"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2021,</w:t>
      </w:r>
    </w:p>
    <w:p>
      <w:pPr>
        <w:spacing w:after="0" w:line="9" w:lineRule="exact"/>
        <w:rPr>
          <w:rFonts w:ascii="Arial" w:cs="Arial" w:eastAsia="Arial" w:hAnsi="Arial"/>
          <w:sz w:val="27"/>
          <w:szCs w:val="27"/>
          <w:color w:val="auto"/>
          <w:vertAlign w:val="superscript"/>
        </w:rPr>
      </w:pPr>
    </w:p>
    <w:p>
      <w:pPr>
        <w:ind w:left="1620" w:right="519"/>
        <w:spacing w:after="0" w:line="271" w:lineRule="auto"/>
        <w:tabs>
          <w:tab w:leader="none" w:pos="1828"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of the phantom units covered by the August 2019 phantom unit grants held by Messrs. Chiang, Swanson, McGee, Chandler and Goebel, approximately 46% of the phantom units covered by the August 2020 phantom unit grants held by Messrs. Chiang, Swanson, McGee, Chandler and Goebel, all of the phantom units covered by the December 2017 phantom unit grant held by Mr. Goebel, all of the phantom units covered by the May 2018 phantom unit grant held by</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19"/>
        <w:spacing w:after="0" w:line="237" w:lineRule="auto"/>
        <w:rPr>
          <w:sz w:val="20"/>
          <w:szCs w:val="20"/>
          <w:color w:val="auto"/>
        </w:rPr>
      </w:pPr>
      <w:r>
        <w:rPr>
          <w:rFonts w:ascii="Arial" w:cs="Arial" w:eastAsia="Arial" w:hAnsi="Arial"/>
          <w:sz w:val="18"/>
          <w:szCs w:val="18"/>
          <w:color w:val="auto"/>
        </w:rPr>
        <w:t>Mr. Chandler, 40% of the phantom units covered by the November 2019 phantom unit grants held by Messrs. Chandler and Goebel and 100% of the phantom units covered by the August 2018 phantom unit grant held by Mr. Chiang would have vested on the February 2022 distribution date, and (ii) all remaining phantom units held by our Named Executive Officers would have become automatically forfeited as of such date of termination. The dollar value given is based on the market value of PAA’s common units on December 31, 2021 ($9.34 per unit).</w:t>
      </w:r>
    </w:p>
    <w:p>
      <w:pPr>
        <w:spacing w:after="0" w:line="56" w:lineRule="exact"/>
        <w:rPr>
          <w:sz w:val="20"/>
          <w:szCs w:val="20"/>
          <w:color w:val="auto"/>
        </w:rPr>
      </w:pPr>
    </w:p>
    <w:p>
      <w:pPr>
        <w:ind w:left="1620" w:right="459" w:hanging="360"/>
        <w:spacing w:after="0" w:line="237"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2021, all outstanding phantom units awarded under such grants and the associated DERs would have become nonforfeitable as of December 31, 2021, and such phantom units would vest on the February 2022 distribution date. The dollar value given is based on the market value of PAA’s common units on December 31, 2021 ($9.34 per unit).</w:t>
      </w:r>
    </w:p>
    <w:p>
      <w:pPr>
        <w:spacing w:after="0" w:line="70" w:lineRule="exact"/>
        <w:rPr>
          <w:sz w:val="20"/>
          <w:szCs w:val="20"/>
          <w:color w:val="auto"/>
        </w:rPr>
      </w:pPr>
    </w:p>
    <w:p>
      <w:pPr>
        <w:ind w:left="1620" w:right="459"/>
        <w:spacing w:after="0" w:line="234" w:lineRule="auto"/>
        <w:rPr>
          <w:sz w:val="20"/>
          <w:szCs w:val="20"/>
          <w:color w:val="auto"/>
        </w:rPr>
      </w:pPr>
      <w:r>
        <w:rPr>
          <w:rFonts w:ascii="Arial" w:cs="Arial" w:eastAsia="Arial" w:hAnsi="Arial"/>
          <w:sz w:val="18"/>
          <w:szCs w:val="18"/>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any material diminution in the Named Executive Officer’s authority, duties or responsibilities, (ii) any material reduction in the Named Executive Officer’s base salary or (iii) any other action or inaction that would constitute a material breach of the agreement by GP LLC, or</w:t>
      </w:r>
    </w:p>
    <w:p>
      <w:pPr>
        <w:spacing w:after="0" w:line="6" w:lineRule="exact"/>
        <w:rPr>
          <w:sz w:val="20"/>
          <w:szCs w:val="20"/>
          <w:color w:val="auto"/>
        </w:rPr>
      </w:pPr>
    </w:p>
    <w:p>
      <w:pPr>
        <w:ind w:left="1620" w:right="559"/>
        <w:spacing w:after="0" w:line="246" w:lineRule="auto"/>
        <w:tabs>
          <w:tab w:leader="none" w:pos="19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termination of employment as a result of retirement on terms and timing that are approved by the CEO (or the Board in the case of the CEO).</w:t>
      </w:r>
    </w:p>
    <w:p>
      <w:pPr>
        <w:spacing w:after="0" w:line="48" w:lineRule="exact"/>
        <w:rPr>
          <w:sz w:val="20"/>
          <w:szCs w:val="20"/>
          <w:color w:val="auto"/>
        </w:rPr>
      </w:pPr>
    </w:p>
    <w:p>
      <w:pPr>
        <w:ind w:left="1620" w:right="499"/>
        <w:spacing w:after="0" w:line="235" w:lineRule="auto"/>
        <w:rPr>
          <w:sz w:val="20"/>
          <w:szCs w:val="20"/>
          <w:color w:val="auto"/>
        </w:rPr>
      </w:pPr>
      <w:r>
        <w:rPr>
          <w:rFonts w:ascii="Arial" w:cs="Arial" w:eastAsia="Arial" w:hAnsi="Arial"/>
          <w:sz w:val="18"/>
          <w:szCs w:val="18"/>
          <w:color w:val="auto"/>
        </w:rPr>
        <w:t xml:space="preserve">The phrase “change of control” is defined in phantom unit grants awarded in 2017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8"/>
          <w:szCs w:val="18"/>
          <w:i w:val="1"/>
          <w:iCs w:val="1"/>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78" w:lineRule="exact"/>
        <w:rPr>
          <w:sz w:val="20"/>
          <w:szCs w:val="20"/>
          <w:color w:val="auto"/>
        </w:rPr>
      </w:pPr>
    </w:p>
    <w:p>
      <w:pPr>
        <w:ind w:left="1620" w:right="479"/>
        <w:spacing w:after="0" w:line="250" w:lineRule="auto"/>
        <w:rPr>
          <w:sz w:val="20"/>
          <w:szCs w:val="20"/>
          <w:color w:val="auto"/>
        </w:rPr>
      </w:pPr>
      <w:r>
        <w:rPr>
          <w:rFonts w:ascii="Arial" w:cs="Arial" w:eastAsia="Arial" w:hAnsi="Arial"/>
          <w:sz w:val="17"/>
          <w:szCs w:val="17"/>
          <w:color w:val="auto"/>
        </w:rPr>
        <w:t>The phrase “change of control” is defined in the phantom unit grants awarded in 2019, 2020, 2021 and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799"/>
        <w:spacing w:after="0" w:line="246" w:lineRule="auto"/>
        <w:rPr>
          <w:sz w:val="20"/>
          <w:szCs w:val="20"/>
          <w:color w:val="auto"/>
        </w:rPr>
      </w:pPr>
      <w:r>
        <w:rPr>
          <w:rFonts w:ascii="Arial" w:cs="Arial" w:eastAsia="Arial" w:hAnsi="Arial"/>
          <w:sz w:val="18"/>
          <w:szCs w:val="18"/>
          <w:color w:val="auto"/>
        </w:rPr>
        <w:t>meaning of such terms pursuant to Sections 13(d) and 14(d) of the Securities Exchange Act of 1934, as amended (the “Exchange Act”).</w:t>
      </w:r>
    </w:p>
    <w:p>
      <w:pPr>
        <w:spacing w:after="0" w:line="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“Cause” is defined in the 2017, 2018, 2019, 2020 and 2021 phantom unit grant agreements as</w:t>
      </w:r>
    </w:p>
    <w:p>
      <w:pPr>
        <w:ind w:left="1620" w:right="459"/>
        <w:spacing w:after="0" w:line="237" w:lineRule="auto"/>
        <w:tabs>
          <w:tab w:leader="none" w:pos="18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54" w:lineRule="exact"/>
        <w:rPr>
          <w:rFonts w:ascii="Arial" w:cs="Arial" w:eastAsia="Arial" w:hAnsi="Arial"/>
          <w:sz w:val="18"/>
          <w:szCs w:val="18"/>
          <w:color w:val="auto"/>
        </w:rPr>
      </w:pPr>
    </w:p>
    <w:p>
      <w:pPr>
        <w:ind w:left="1620" w:right="419" w:hanging="360"/>
        <w:spacing w:after="0" w:line="246"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Pursuant to the AAP Management Unit grant agreements of Messrs. Chiang and Goebel, AAP retained a call right to purchase any earned AAP Management Units at a discounted purchase price (which purchase price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2023 for Mr. Chiang’s and Mr. Goebel’s grants; such dates being referred to as the “Applicable Stated Date”); provided, however, that such call right is not applicable</w:t>
      </w:r>
    </w:p>
    <w:p>
      <w:pPr>
        <w:spacing w:after="0" w:line="3" w:lineRule="exact"/>
        <w:rPr>
          <w:rFonts w:ascii="Arial" w:cs="Arial" w:eastAsia="Arial" w:hAnsi="Arial"/>
          <w:sz w:val="26"/>
          <w:szCs w:val="26"/>
          <w:color w:val="auto"/>
          <w:vertAlign w:val="superscript"/>
        </w:rPr>
      </w:pPr>
    </w:p>
    <w:p>
      <w:pPr>
        <w:ind w:left="1620" w:right="439"/>
        <w:spacing w:after="0" w:line="251" w:lineRule="auto"/>
        <w:tabs>
          <w:tab w:leader="none" w:pos="182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If Messrs. Chiang or Goebel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2021, all of the AAP Management Units held by Messrs. Chiang and Goebel had been earned. Assuming a termination of employment without cause or for good reason on December 31, 2021, all of the AAP Management Units held by Messrs. Chiang and Goebel would become vested and would no longer be subject to the call right. The value reflected in the table is calculated by (i) assuming that the call right held by AAP is either not applicable or is waived and that the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59" w:lineRule="exact"/>
        <w:rPr>
          <w:sz w:val="20"/>
          <w:szCs w:val="20"/>
          <w:color w:val="auto"/>
        </w:rPr>
      </w:pPr>
    </w:p>
    <w:p>
      <w:pPr>
        <w:ind w:left="1620" w:right="459"/>
        <w:spacing w:after="0" w:line="236" w:lineRule="auto"/>
        <w:rPr>
          <w:sz w:val="20"/>
          <w:szCs w:val="20"/>
          <w:color w:val="auto"/>
        </w:rPr>
      </w:pPr>
      <w:r>
        <w:rPr>
          <w:rFonts w:ascii="Arial" w:cs="Arial" w:eastAsia="Arial" w:hAnsi="Arial"/>
          <w:sz w:val="18"/>
          <w:szCs w:val="18"/>
          <w:color w:val="auto"/>
        </w:rPr>
        <w:t>“Cause” is defined in Mr. Goebel’s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w:t>
      </w:r>
    </w:p>
    <w:p>
      <w:pPr>
        <w:spacing w:after="0" w:line="73" w:lineRule="exact"/>
        <w:rPr>
          <w:sz w:val="20"/>
          <w:szCs w:val="20"/>
          <w:color w:val="auto"/>
        </w:rPr>
      </w:pPr>
    </w:p>
    <w:p>
      <w:pPr>
        <w:ind w:left="1620" w:right="419"/>
        <w:spacing w:after="0" w:line="236" w:lineRule="auto"/>
        <w:rPr>
          <w:sz w:val="20"/>
          <w:szCs w:val="20"/>
          <w:color w:val="auto"/>
        </w:rPr>
      </w:pPr>
      <w:r>
        <w:rPr>
          <w:rFonts w:ascii="Arial" w:cs="Arial" w:eastAsia="Arial" w:hAnsi="Arial"/>
          <w:sz w:val="18"/>
          <w:szCs w:val="18"/>
          <w:color w:val="auto"/>
        </w:rPr>
        <w:t>“Cause” is defined in Mr. Chiang’s AAP Management Unit grant agreement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57" w:lineRule="exact"/>
        <w:rPr>
          <w:sz w:val="20"/>
          <w:szCs w:val="20"/>
          <w:color w:val="auto"/>
        </w:rPr>
      </w:pPr>
    </w:p>
    <w:p>
      <w:pPr>
        <w:ind w:left="1620" w:right="939"/>
        <w:spacing w:after="0" w:line="274" w:lineRule="auto"/>
        <w:rPr>
          <w:sz w:val="20"/>
          <w:szCs w:val="20"/>
          <w:color w:val="auto"/>
        </w:rPr>
      </w:pPr>
      <w:r>
        <w:rPr>
          <w:rFonts w:ascii="Arial" w:cs="Arial" w:eastAsia="Arial" w:hAnsi="Arial"/>
          <w:sz w:val="17"/>
          <w:szCs w:val="17"/>
          <w:color w:val="auto"/>
        </w:rPr>
        <w:t>“Good Reason” is defined in the AAP Management Unit grant agreements as (i) any material breach by AAP of executive’s AAP Management Unit grant agreement, (ii) the failure of any</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919"/>
        <w:spacing w:after="0" w:line="261" w:lineRule="auto"/>
        <w:rPr>
          <w:sz w:val="20"/>
          <w:szCs w:val="20"/>
          <w:color w:val="auto"/>
        </w:rPr>
      </w:pPr>
      <w:r>
        <w:rPr>
          <w:rFonts w:ascii="Arial" w:cs="Arial" w:eastAsia="Arial" w:hAnsi="Arial"/>
          <w:sz w:val="18"/>
          <w:szCs w:val="18"/>
          <w:color w:val="auto"/>
        </w:rPr>
        <w:t>successor of AAP to assume executive’s AAP Management Unit grant agreement, or (iii) any material overall reduction the executive’s authority, responsibilities or duties.</w:t>
      </w:r>
    </w:p>
    <w:p>
      <w:pPr>
        <w:spacing w:after="0" w:line="49" w:lineRule="exact"/>
        <w:rPr>
          <w:sz w:val="20"/>
          <w:szCs w:val="20"/>
          <w:color w:val="auto"/>
        </w:rPr>
      </w:pPr>
    </w:p>
    <w:p>
      <w:pPr>
        <w:jc w:val="both"/>
        <w:ind w:left="1620" w:right="1039"/>
        <w:spacing w:after="0" w:line="256" w:lineRule="auto"/>
        <w:rPr>
          <w:sz w:val="20"/>
          <w:szCs w:val="20"/>
          <w:color w:val="auto"/>
        </w:rPr>
      </w:pPr>
      <w:r>
        <w:rPr>
          <w:rFonts w:ascii="Arial" w:cs="Arial" w:eastAsia="Arial" w:hAnsi="Arial"/>
          <w:sz w:val="18"/>
          <w:szCs w:val="18"/>
          <w:color w:val="auto"/>
        </w:rPr>
        <w:t>“Call Value” is defined in the AAP Management Unit grant agreements as the product of the applicable conversion factor and the closing sales price of the PAGP Class A shares on the applicable date.</w:t>
      </w:r>
    </w:p>
    <w:p>
      <w:pPr>
        <w:spacing w:after="0" w:line="67" w:lineRule="exact"/>
        <w:rPr>
          <w:sz w:val="20"/>
          <w:szCs w:val="20"/>
          <w:color w:val="auto"/>
        </w:rPr>
      </w:pPr>
    </w:p>
    <w:p>
      <w:pPr>
        <w:ind w:left="1620" w:right="419" w:hanging="360"/>
        <w:spacing w:after="0" w:line="243" w:lineRule="auto"/>
        <w:tabs>
          <w:tab w:leader="none" w:pos="1620" w:val="left"/>
        </w:tabs>
        <w:numPr>
          <w:ilvl w:val="0"/>
          <w:numId w:val="63"/>
        </w:numPr>
        <w:rPr>
          <w:rFonts w:ascii="Arial" w:cs="Arial" w:eastAsia="Arial" w:hAnsi="Arial"/>
          <w:sz w:val="26"/>
          <w:szCs w:val="26"/>
          <w:color w:val="auto"/>
          <w:vertAlign w:val="superscript"/>
        </w:rPr>
      </w:pPr>
      <w:r>
        <w:rPr>
          <w:rFonts w:ascii="Arial" w:cs="Arial" w:eastAsia="Arial" w:hAnsi="Arial"/>
          <w:sz w:val="17"/>
          <w:szCs w:val="17"/>
          <w:color w:val="auto"/>
        </w:rPr>
        <w:t>Pursuant to the AAP Management Unit grant agreements, upon the occurrence of a Change in Control, any earned AAP Management Units become vested units. As of December 31, 2021, all of the AAP Management Units held by Messrs. Chiang and Goebel had been earned. Accordingly, assuming that a Change in Control occurred on December 31, 2021, all of the AAP Management Units held by Messrs. Chiang and Goebel would become vested and would no longer be subject to the call right. The value reflected in the table above for Messrs. Chiang and Goebel is calculated by</w:t>
      </w:r>
    </w:p>
    <w:p>
      <w:pPr>
        <w:spacing w:after="0" w:line="3" w:lineRule="exact"/>
        <w:rPr>
          <w:rFonts w:ascii="Arial" w:cs="Arial" w:eastAsia="Arial" w:hAnsi="Arial"/>
          <w:sz w:val="26"/>
          <w:szCs w:val="26"/>
          <w:color w:val="auto"/>
          <w:vertAlign w:val="superscript"/>
        </w:rPr>
      </w:pPr>
    </w:p>
    <w:p>
      <w:pPr>
        <w:ind w:left="1620" w:right="419"/>
        <w:spacing w:after="0" w:line="252" w:lineRule="auto"/>
        <w:rPr>
          <w:rFonts w:ascii="Arial" w:cs="Arial" w:eastAsia="Arial" w:hAnsi="Arial"/>
          <w:sz w:val="26"/>
          <w:szCs w:val="26"/>
          <w:color w:val="auto"/>
          <w:vertAlign w:val="superscript"/>
        </w:rPr>
      </w:pPr>
      <w:r>
        <w:rPr>
          <w:rFonts w:ascii="Arial" w:cs="Arial" w:eastAsia="Arial" w:hAnsi="Arial"/>
          <w:sz w:val="18"/>
          <w:szCs w:val="18"/>
          <w:color w:val="auto"/>
        </w:rPr>
        <w:t>(i) assuming that the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60" w:lineRule="exact"/>
        <w:rPr>
          <w:sz w:val="20"/>
          <w:szCs w:val="20"/>
          <w:color w:val="auto"/>
        </w:rPr>
      </w:pPr>
    </w:p>
    <w:p>
      <w:pPr>
        <w:ind w:left="1620" w:right="419"/>
        <w:spacing w:after="0" w:line="251" w:lineRule="auto"/>
        <w:rPr>
          <w:sz w:val="20"/>
          <w:szCs w:val="20"/>
          <w:color w:val="auto"/>
        </w:rPr>
      </w:pPr>
      <w:r>
        <w:rPr>
          <w:rFonts w:ascii="Arial" w:cs="Arial" w:eastAsia="Arial" w:hAnsi="Arial"/>
          <w:sz w:val="18"/>
          <w:szCs w:val="18"/>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8"/>
          <w:szCs w:val="18"/>
          <w:i w:val="1"/>
          <w:iCs w:val="1"/>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60" w:lineRule="exact"/>
        <w:rPr>
          <w:sz w:val="20"/>
          <w:szCs w:val="20"/>
          <w:color w:val="auto"/>
        </w:rPr>
      </w:pPr>
    </w:p>
    <w:p>
      <w:pPr>
        <w:ind w:left="1620" w:right="479" w:hanging="360"/>
        <w:spacing w:after="0" w:line="234" w:lineRule="auto"/>
        <w:tabs>
          <w:tab w:leader="none" w:pos="1620" w:val="left"/>
        </w:tabs>
        <w:numPr>
          <w:ilvl w:val="0"/>
          <w:numId w:val="64"/>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 the sum of his (a) highest annual base salary paid prior to his date of termination and</w:t>
      </w:r>
    </w:p>
    <w:p>
      <w:pPr>
        <w:spacing w:after="0" w:line="9" w:lineRule="exact"/>
        <w:rPr>
          <w:sz w:val="20"/>
          <w:szCs w:val="20"/>
          <w:color w:val="auto"/>
        </w:rPr>
      </w:pPr>
    </w:p>
    <w:p>
      <w:pPr>
        <w:ind w:left="1620" w:right="499"/>
        <w:spacing w:after="0" w:line="253" w:lineRule="auto"/>
        <w:tabs>
          <w:tab w:leader="none" w:pos="18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2021 with two years remaining on the term of his agreement, and also assumes a highest annual base salary of $400,000 and highest annual bonus of $1,500,000.</w:t>
      </w:r>
    </w:p>
    <w:p>
      <w:pPr>
        <w:spacing w:after="0" w:line="70" w:lineRule="exact"/>
        <w:rPr>
          <w:sz w:val="20"/>
          <w:szCs w:val="20"/>
          <w:color w:val="auto"/>
        </w:rPr>
      </w:pPr>
    </w:p>
    <w:p>
      <w:pPr>
        <w:ind w:left="1620" w:right="439"/>
        <w:spacing w:after="0" w:line="265" w:lineRule="auto"/>
        <w:rPr>
          <w:sz w:val="20"/>
          <w:szCs w:val="20"/>
          <w:color w:val="auto"/>
        </w:rPr>
      </w:pPr>
      <w:r>
        <w:rPr>
          <w:rFonts w:ascii="Arial" w:cs="Arial" w:eastAsia="Arial" w:hAnsi="Arial"/>
          <w:sz w:val="17"/>
          <w:szCs w:val="17"/>
          <w:color w:val="auto"/>
        </w:rPr>
        <w:t>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w:t>
      </w:r>
    </w:p>
    <w:p>
      <w:pPr>
        <w:spacing w:after="0" w:line="1" w:lineRule="exact"/>
        <w:rPr>
          <w:sz w:val="20"/>
          <w:szCs w:val="20"/>
          <w:color w:val="auto"/>
        </w:rPr>
      </w:pPr>
    </w:p>
    <w:p>
      <w:pPr>
        <w:ind w:left="1620" w:right="519"/>
        <w:spacing w:after="0" w:line="254" w:lineRule="auto"/>
        <w:rPr>
          <w:sz w:val="20"/>
          <w:szCs w:val="20"/>
          <w:color w:val="auto"/>
        </w:rPr>
      </w:pPr>
      <w:r>
        <w:rPr>
          <w:rFonts w:ascii="Arial" w:cs="Arial" w:eastAsia="Arial" w:hAnsi="Arial"/>
          <w:sz w:val="18"/>
          <w:szCs w:val="18"/>
          <w:color w:val="auto"/>
        </w:rPr>
        <w:t>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99"/>
        <w:spacing w:after="0" w:line="248"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unless such reduction reduces his base salary to less than 85% of his current base salary,</w:t>
      </w:r>
    </w:p>
    <w:p>
      <w:pPr>
        <w:spacing w:after="0" w:line="3" w:lineRule="exact"/>
        <w:rPr>
          <w:sz w:val="20"/>
          <w:szCs w:val="20"/>
          <w:color w:val="auto"/>
        </w:rPr>
      </w:pPr>
    </w:p>
    <w:p>
      <w:pPr>
        <w:ind w:left="1620" w:right="499"/>
        <w:spacing w:after="0" w:line="236" w:lineRule="auto"/>
        <w:tabs>
          <w:tab w:leader="none" w:pos="188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59" w:lineRule="exact"/>
        <w:rPr>
          <w:rFonts w:ascii="Arial" w:cs="Arial" w:eastAsia="Arial" w:hAnsi="Arial"/>
          <w:sz w:val="18"/>
          <w:szCs w:val="18"/>
          <w:color w:val="auto"/>
        </w:rPr>
      </w:pPr>
    </w:p>
    <w:p>
      <w:pPr>
        <w:ind w:left="1620" w:right="559" w:hanging="360"/>
        <w:spacing w:after="0" w:line="233"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2021, and also assumes a highest annual base salary of $400,000 and highest annual bonus of $1,500,000.</w:t>
      </w:r>
    </w:p>
    <w:p>
      <w:pPr>
        <w:spacing w:after="0" w:line="72" w:lineRule="exact"/>
        <w:rPr>
          <w:rFonts w:ascii="Arial" w:cs="Arial" w:eastAsia="Arial" w:hAnsi="Arial"/>
          <w:sz w:val="27"/>
          <w:szCs w:val="27"/>
          <w:color w:val="auto"/>
          <w:vertAlign w:val="superscript"/>
        </w:rPr>
      </w:pPr>
    </w:p>
    <w:p>
      <w:pPr>
        <w:ind w:left="1620" w:right="459"/>
        <w:spacing w:after="0" w:line="265" w:lineRule="auto"/>
        <w:rPr>
          <w:rFonts w:ascii="Arial" w:cs="Arial" w:eastAsia="Arial" w:hAnsi="Arial"/>
          <w:sz w:val="27"/>
          <w:szCs w:val="27"/>
          <w:color w:val="auto"/>
          <w:vertAlign w:val="superscript"/>
        </w:rPr>
      </w:pPr>
      <w:r>
        <w:rPr>
          <w:rFonts w:ascii="Arial" w:cs="Arial" w:eastAsia="Arial" w:hAnsi="Arial"/>
          <w:sz w:val="17"/>
          <w:szCs w:val="17"/>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w:t>
      </w:r>
    </w:p>
    <w:p>
      <w:pPr>
        <w:spacing w:after="0" w:line="1" w:lineRule="exact"/>
        <w:rPr>
          <w:rFonts w:ascii="Arial" w:cs="Arial" w:eastAsia="Arial" w:hAnsi="Arial"/>
          <w:sz w:val="27"/>
          <w:szCs w:val="27"/>
          <w:color w:val="auto"/>
          <w:vertAlign w:val="superscript"/>
        </w:rPr>
      </w:pPr>
    </w:p>
    <w:p>
      <w:pPr>
        <w:ind w:left="1620" w:right="479"/>
        <w:spacing w:after="0" w:line="251" w:lineRule="auto"/>
        <w:tabs>
          <w:tab w:leader="none" w:pos="1907" w:val="left"/>
        </w:tabs>
        <w:numPr>
          <w:ilvl w:val="1"/>
          <w:numId w:val="67"/>
        </w:numPr>
        <w:rPr>
          <w:rFonts w:ascii="Arial" w:cs="Arial" w:eastAsia="Arial" w:hAnsi="Arial"/>
          <w:sz w:val="18"/>
          <w:szCs w:val="18"/>
          <w:color w:val="auto"/>
        </w:rPr>
      </w:pPr>
      <w:r>
        <w:rPr>
          <w:rFonts w:ascii="Arial" w:cs="Arial" w:eastAsia="Arial" w:hAnsi="Arial"/>
          <w:sz w:val="18"/>
          <w:szCs w:val="18"/>
          <w:color w:val="auto"/>
        </w:rPr>
        <w:t>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76" w:lineRule="exact"/>
        <w:rPr>
          <w:rFonts w:ascii="Arial" w:cs="Arial" w:eastAsia="Arial" w:hAnsi="Arial"/>
          <w:sz w:val="18"/>
          <w:szCs w:val="18"/>
          <w:color w:val="auto"/>
        </w:rPr>
      </w:pPr>
    </w:p>
    <w:p>
      <w:pPr>
        <w:ind w:left="1620" w:right="419" w:hanging="360"/>
        <w:spacing w:after="0" w:line="235"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is terminated other than (i) for cause (as defined in footnote 6 above), (ii) by reason of death or (iii) by resignation (unless such resignation is due to a disability or for good reason (each as defined in footnote 6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2021 with two years remaining on the term of his agreement.</w:t>
      </w:r>
    </w:p>
    <w:p>
      <w:pPr>
        <w:spacing w:after="0" w:line="72" w:lineRule="exact"/>
        <w:rPr>
          <w:rFonts w:ascii="Arial" w:cs="Arial" w:eastAsia="Arial" w:hAnsi="Arial"/>
          <w:sz w:val="27"/>
          <w:szCs w:val="27"/>
          <w:color w:val="auto"/>
          <w:vertAlign w:val="superscript"/>
        </w:rPr>
      </w:pPr>
    </w:p>
    <w:p>
      <w:pPr>
        <w:jc w:val="both"/>
        <w:ind w:left="1620" w:right="519" w:hanging="360"/>
        <w:spacing w:after="0" w:line="214"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69" w:lineRule="exact"/>
        <w:rPr>
          <w:rFonts w:ascii="Arial" w:cs="Arial" w:eastAsia="Arial" w:hAnsi="Arial"/>
          <w:sz w:val="27"/>
          <w:szCs w:val="27"/>
          <w:color w:val="auto"/>
          <w:vertAlign w:val="superscript"/>
        </w:rPr>
      </w:pPr>
    </w:p>
    <w:p>
      <w:pPr>
        <w:ind w:left="1620" w:right="619" w:hanging="360"/>
        <w:spacing w:after="0" w:line="210" w:lineRule="auto"/>
        <w:tabs>
          <w:tab w:leader="none" w:pos="1620" w:val="left"/>
        </w:tabs>
        <w:numPr>
          <w:ilvl w:val="0"/>
          <w:numId w:val="67"/>
        </w:numPr>
        <w:rPr>
          <w:rFonts w:ascii="Arial" w:cs="Arial" w:eastAsia="Arial" w:hAnsi="Arial"/>
          <w:sz w:val="26"/>
          <w:szCs w:val="26"/>
          <w:color w:val="auto"/>
          <w:vertAlign w:val="superscript"/>
        </w:rPr>
      </w:pPr>
      <w:r>
        <w:rPr>
          <w:rFonts w:ascii="Arial" w:cs="Arial" w:eastAsia="Arial" w:hAnsi="Arial"/>
          <w:sz w:val="17"/>
          <w:szCs w:val="17"/>
          <w:color w:val="auto"/>
        </w:rPr>
        <w:t>Mr. Chiang’s AAP Management Unit grant agreement provides that in the event of his death or disability, AAP will not have a call right and all of his earned AAP Management Units will vest. As</w:t>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19"/>
        <w:spacing w:after="0" w:line="265" w:lineRule="auto"/>
        <w:rPr>
          <w:sz w:val="20"/>
          <w:szCs w:val="20"/>
          <w:color w:val="auto"/>
        </w:rPr>
      </w:pPr>
      <w:r>
        <w:rPr>
          <w:rFonts w:ascii="Arial" w:cs="Arial" w:eastAsia="Arial" w:hAnsi="Arial"/>
          <w:sz w:val="17"/>
          <w:szCs w:val="17"/>
          <w:color w:val="auto"/>
        </w:rPr>
        <w:t>of December 31, 2021, all of Mr. Chiang’s AAP Management Units had been earned. The dollar value given assumes Mr. Chiang’s death or disability on December 31, 2021 and is calculated by</w:t>
      </w:r>
    </w:p>
    <w:p>
      <w:pPr>
        <w:ind w:left="1620" w:right="419"/>
        <w:spacing w:after="0" w:line="252" w:lineRule="auto"/>
        <w:tabs>
          <w:tab w:leader="none" w:pos="18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($10.14) of PAGP’s Class A shares at December 31, 2021 (the last trading day of the fiscal year).</w:t>
      </w:r>
    </w:p>
    <w:p>
      <w:pPr>
        <w:spacing w:after="0" w:line="59" w:lineRule="exact"/>
        <w:rPr>
          <w:rFonts w:ascii="Arial" w:cs="Arial" w:eastAsia="Arial" w:hAnsi="Arial"/>
          <w:sz w:val="18"/>
          <w:szCs w:val="18"/>
          <w:color w:val="auto"/>
        </w:rPr>
      </w:pPr>
    </w:p>
    <w:p>
      <w:pPr>
        <w:ind w:left="1620" w:right="459" w:hanging="360"/>
        <w:spacing w:after="0" w:line="246" w:lineRule="auto"/>
        <w:tabs>
          <w:tab w:leader="none" w:pos="1620" w:val="left"/>
        </w:tabs>
        <w:numPr>
          <w:ilvl w:val="0"/>
          <w:numId w:val="69"/>
        </w:numPr>
        <w:rPr>
          <w:rFonts w:ascii="Arial" w:cs="Arial" w:eastAsia="Arial" w:hAnsi="Arial"/>
          <w:sz w:val="26"/>
          <w:szCs w:val="26"/>
          <w:color w:val="auto"/>
          <w:vertAlign w:val="superscript"/>
        </w:rPr>
      </w:pPr>
      <w:r>
        <w:rPr>
          <w:rFonts w:ascii="Arial" w:cs="Arial" w:eastAsia="Arial" w:hAnsi="Arial"/>
          <w:sz w:val="17"/>
          <w:szCs w:val="17"/>
          <w:color w:val="auto"/>
        </w:rPr>
        <w:t>Under the AAP Management Unit grant agreement for Mr. Goebel, his death or disability would trigger AAP’s call right, which is assumed to be waived by AAP resulting in the applicable AAP Management Units becoming vested. The value reflected in the table above for the applicable AAP Management Units is calculated by (i) assuming that Mr. Goebel’s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w:t>
      </w:r>
    </w:p>
    <w:p>
      <w:pPr>
        <w:spacing w:after="0" w:line="3" w:lineRule="exact"/>
        <w:rPr>
          <w:rFonts w:ascii="Arial" w:cs="Arial" w:eastAsia="Arial" w:hAnsi="Arial"/>
          <w:sz w:val="26"/>
          <w:szCs w:val="26"/>
          <w:color w:val="auto"/>
          <w:vertAlign w:val="superscript"/>
        </w:rPr>
      </w:pPr>
    </w:p>
    <w:p>
      <w:pPr>
        <w:ind w:left="1620" w:right="439"/>
        <w:spacing w:after="0" w:line="261" w:lineRule="auto"/>
        <w:tabs>
          <w:tab w:leader="none" w:pos="19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multiplying such resulting number of PAGP Class A shares by the closing market price ($10.14) of PAGP’s Class A shares at December 31, 2021 (the last trading day of the fiscal year).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80"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6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2021:</w:t>
      </w:r>
    </w:p>
    <w:p>
      <w:pPr>
        <w:spacing w:after="0" w:line="96" w:lineRule="exact"/>
        <w:rPr>
          <w:sz w:val="20"/>
          <w:szCs w:val="20"/>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2021 was approximately $4,392,000.</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2021 was approximately $121,000.</w:t>
      </w:r>
    </w:p>
    <w:p>
      <w:pPr>
        <w:spacing w:after="0" w:line="117" w:lineRule="exact"/>
        <w:rPr>
          <w:rFonts w:ascii="Arial" w:cs="Arial" w:eastAsia="Arial" w:hAnsi="Arial"/>
          <w:sz w:val="18"/>
          <w:szCs w:val="18"/>
          <w:color w:val="auto"/>
        </w:rPr>
      </w:pPr>
    </w:p>
    <w:p>
      <w:pPr>
        <w:ind w:left="1800" w:right="759" w:hanging="180"/>
        <w:spacing w:after="0" w:line="261" w:lineRule="auto"/>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2021 was approximately 36.3 to 1.</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2021 using the following methodology:</w:t>
      </w:r>
    </w:p>
    <w:p>
      <w:pPr>
        <w:spacing w:after="0" w:line="117" w:lineRule="exact"/>
        <w:rPr>
          <w:sz w:val="20"/>
          <w:szCs w:val="20"/>
          <w:color w:val="auto"/>
        </w:rPr>
      </w:pPr>
    </w:p>
    <w:p>
      <w:pPr>
        <w:ind w:left="1800" w:right="1079" w:hanging="180"/>
        <w:spacing w:after="0" w:line="261"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2021. We included all U.S. and Canadian employees.</w:t>
      </w:r>
    </w:p>
    <w:p>
      <w:pPr>
        <w:spacing w:after="0" w:line="89" w:lineRule="exact"/>
        <w:rPr>
          <w:rFonts w:ascii="Arial" w:cs="Arial" w:eastAsia="Arial" w:hAnsi="Arial"/>
          <w:sz w:val="18"/>
          <w:szCs w:val="18"/>
          <w:color w:val="auto"/>
        </w:rPr>
      </w:pPr>
    </w:p>
    <w:p>
      <w:pPr>
        <w:ind w:left="1800" w:right="499" w:hanging="180"/>
        <w:spacing w:after="0" w:line="253"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2021. Basic wage data for each Canadian employee was extracted from Form T4 information provided to the Canada Revenue Agency for calendar year 2021 and converted to U.S. dollars. This information was then sorted and the median employee was identified.</w:t>
      </w:r>
    </w:p>
    <w:p>
      <w:pPr>
        <w:spacing w:after="0" w:line="138"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The median employee’s annual total compensation for 2021 was determined using the same methodology we used for determining the annual total compensation for the Named Executive Officers as set forth in the 2021 Summary Compensation Table.</w:t>
      </w: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66" w:lineRule="exact"/>
        <w:rPr>
          <w:sz w:val="20"/>
          <w:szCs w:val="20"/>
          <w:color w:val="auto"/>
        </w:rPr>
      </w:pPr>
    </w:p>
    <w:p>
      <w:pPr>
        <w:ind w:left="1260" w:right="1260" w:firstLine="360"/>
        <w:spacing w:after="0" w:line="256"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2021 (other than Messrs. Chiang and Pefanis who were not compensated as directors and whose compensation is set forth in the Summary Compensation Table above):</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3940" w:type="dxa"/>
            <w:vAlign w:val="bottom"/>
            <w:tcBorders>
              <w:left w:val="single" w:sz="8" w:color="434F69"/>
              <w:right w:val="single" w:sz="8" w:color="434F69"/>
            </w:tcBorders>
            <w:shd w:val="clear" w:color="auto" w:fill="434F69"/>
          </w:tcPr>
          <w:p>
            <w:pPr>
              <w:spacing w:after="0"/>
              <w:rPr>
                <w:sz w:val="17"/>
                <w:szCs w:val="17"/>
                <w:color w:val="auto"/>
              </w:rPr>
            </w:pP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Fees</w:t>
            </w:r>
          </w:p>
        </w:tc>
        <w:tc>
          <w:tcPr>
            <w:tcW w:w="1080" w:type="dxa"/>
            <w:vAlign w:val="bottom"/>
            <w:tcBorders>
              <w:right w:val="single" w:sz="8" w:color="434F69"/>
            </w:tcBorders>
            <w:shd w:val="clear" w:color="auto" w:fill="434F69"/>
          </w:tcPr>
          <w:p>
            <w:pPr>
              <w:spacing w:after="0"/>
              <w:rPr>
                <w:sz w:val="17"/>
                <w:szCs w:val="17"/>
                <w:color w:val="auto"/>
              </w:rPr>
            </w:pPr>
          </w:p>
        </w:tc>
        <w:tc>
          <w:tcPr>
            <w:tcW w:w="1440" w:type="dxa"/>
            <w:vAlign w:val="bottom"/>
            <w:tcBorders>
              <w:right w:val="single" w:sz="8" w:color="434F69"/>
            </w:tcBorders>
            <w:shd w:val="clear" w:color="auto" w:fill="434F69"/>
          </w:tcPr>
          <w:p>
            <w:pPr>
              <w:spacing w:after="0"/>
              <w:rPr>
                <w:sz w:val="17"/>
                <w:szCs w:val="17"/>
                <w:color w:val="auto"/>
              </w:rPr>
            </w:pPr>
          </w:p>
        </w:tc>
        <w:tc>
          <w:tcPr>
            <w:tcW w:w="840" w:type="dxa"/>
            <w:vAlign w:val="bottom"/>
            <w:tcBorders>
              <w:right w:val="single" w:sz="8" w:color="434F69"/>
            </w:tcBorders>
            <w:shd w:val="clear" w:color="auto" w:fill="434F69"/>
          </w:tcPr>
          <w:p>
            <w:pPr>
              <w:spacing w:after="0"/>
              <w:rPr>
                <w:sz w:val="17"/>
                <w:szCs w:val="17"/>
                <w:color w:val="auto"/>
              </w:rPr>
            </w:pPr>
          </w:p>
        </w:tc>
      </w:tr>
      <w:tr>
        <w:trPr>
          <w:trHeight w:val="162"/>
        </w:trPr>
        <w:tc>
          <w:tcPr>
            <w:tcW w:w="3940" w:type="dxa"/>
            <w:vAlign w:val="bottom"/>
            <w:tcBorders>
              <w:left w:val="single" w:sz="8" w:color="434F69"/>
              <w:right w:val="single" w:sz="8" w:color="434F69"/>
            </w:tcBorders>
            <w:shd w:val="clear" w:color="auto" w:fill="434F69"/>
          </w:tcPr>
          <w:p>
            <w:pPr>
              <w:spacing w:after="0"/>
              <w:rPr>
                <w:sz w:val="14"/>
                <w:szCs w:val="14"/>
                <w:color w:val="auto"/>
              </w:rPr>
            </w:pP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Earned or</w:t>
            </w:r>
          </w:p>
        </w:tc>
        <w:tc>
          <w:tcPr>
            <w:tcW w:w="1080" w:type="dxa"/>
            <w:vAlign w:val="bottom"/>
            <w:tcBorders>
              <w:right w:val="single" w:sz="8" w:color="434F69"/>
            </w:tcBorders>
            <w:shd w:val="clear" w:color="auto" w:fill="434F69"/>
          </w:tcPr>
          <w:p>
            <w:pPr>
              <w:spacing w:after="0"/>
              <w:rPr>
                <w:sz w:val="14"/>
                <w:szCs w:val="14"/>
                <w:color w:val="auto"/>
              </w:rPr>
            </w:pPr>
          </w:p>
        </w:tc>
        <w:tc>
          <w:tcPr>
            <w:tcW w:w="1440" w:type="dxa"/>
            <w:vAlign w:val="bottom"/>
            <w:tcBorders>
              <w:right w:val="single" w:sz="8" w:color="434F69"/>
            </w:tcBorders>
            <w:shd w:val="clear" w:color="auto" w:fill="434F69"/>
          </w:tcPr>
          <w:p>
            <w:pPr>
              <w:spacing w:after="0"/>
              <w:rPr>
                <w:sz w:val="14"/>
                <w:szCs w:val="14"/>
                <w:color w:val="auto"/>
              </w:rPr>
            </w:pPr>
          </w:p>
        </w:tc>
        <w:tc>
          <w:tcPr>
            <w:tcW w:w="840" w:type="dxa"/>
            <w:vAlign w:val="bottom"/>
            <w:tcBorders>
              <w:right w:val="single" w:sz="8" w:color="434F69"/>
            </w:tcBorders>
            <w:shd w:val="clear" w:color="auto" w:fill="434F69"/>
          </w:tcPr>
          <w:p>
            <w:pPr>
              <w:spacing w:after="0"/>
              <w:rPr>
                <w:sz w:val="14"/>
                <w:szCs w:val="14"/>
                <w:color w:val="auto"/>
              </w:rPr>
            </w:pPr>
          </w:p>
        </w:tc>
      </w:tr>
      <w:tr>
        <w:trPr>
          <w:trHeight w:val="162"/>
        </w:trPr>
        <w:tc>
          <w:tcPr>
            <w:tcW w:w="3940" w:type="dxa"/>
            <w:vAlign w:val="bottom"/>
            <w:tcBorders>
              <w:left w:val="single" w:sz="8" w:color="434F69"/>
              <w:right w:val="single" w:sz="8" w:color="434F69"/>
            </w:tcBorders>
            <w:shd w:val="clear" w:color="auto" w:fill="434F69"/>
          </w:tcPr>
          <w:p>
            <w:pPr>
              <w:spacing w:after="0"/>
              <w:rPr>
                <w:sz w:val="14"/>
                <w:szCs w:val="14"/>
                <w:color w:val="auto"/>
              </w:rPr>
            </w:pP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Paid in</w:t>
            </w:r>
          </w:p>
        </w:tc>
        <w:tc>
          <w:tcPr>
            <w:tcW w:w="1080" w:type="dxa"/>
            <w:vAlign w:val="bottom"/>
            <w:tcBorders>
              <w:right w:val="single" w:sz="8" w:color="434F69"/>
            </w:tcBorders>
            <w:shd w:val="clear" w:color="auto" w:fill="434F69"/>
          </w:tcPr>
          <w:p>
            <w:pPr>
              <w:spacing w:after="0"/>
              <w:rPr>
                <w:sz w:val="14"/>
                <w:szCs w:val="14"/>
                <w:color w:val="auto"/>
              </w:rPr>
            </w:pPr>
          </w:p>
        </w:tc>
        <w:tc>
          <w:tcPr>
            <w:tcW w:w="1440" w:type="dxa"/>
            <w:vAlign w:val="bottom"/>
            <w:tcBorders>
              <w:right w:val="single" w:sz="8" w:color="434F69"/>
            </w:tcBorders>
            <w:shd w:val="clear" w:color="auto" w:fill="434F69"/>
          </w:tcPr>
          <w:p>
            <w:pPr>
              <w:spacing w:after="0"/>
              <w:rPr>
                <w:sz w:val="14"/>
                <w:szCs w:val="14"/>
                <w:color w:val="auto"/>
              </w:rPr>
            </w:pPr>
          </w:p>
        </w:tc>
        <w:tc>
          <w:tcPr>
            <w:tcW w:w="840" w:type="dxa"/>
            <w:vAlign w:val="bottom"/>
            <w:tcBorders>
              <w:right w:val="single" w:sz="8" w:color="434F69"/>
            </w:tcBorders>
            <w:shd w:val="clear" w:color="auto" w:fill="434F69"/>
          </w:tcPr>
          <w:p>
            <w:pPr>
              <w:spacing w:after="0"/>
              <w:rPr>
                <w:sz w:val="14"/>
                <w:szCs w:val="14"/>
                <w:color w:val="auto"/>
              </w:rPr>
            </w:pPr>
          </w:p>
        </w:tc>
      </w:tr>
      <w:tr>
        <w:trPr>
          <w:trHeight w:val="151"/>
        </w:trPr>
        <w:tc>
          <w:tcPr>
            <w:tcW w:w="3940" w:type="dxa"/>
            <w:vAlign w:val="bottom"/>
            <w:tcBorders>
              <w:left w:val="single" w:sz="8" w:color="434F69"/>
              <w:right w:val="single" w:sz="8" w:color="434F69"/>
            </w:tcBorders>
            <w:shd w:val="clear" w:color="auto" w:fill="434F69"/>
          </w:tcPr>
          <w:p>
            <w:pPr>
              <w:spacing w:after="0"/>
              <w:rPr>
                <w:sz w:val="13"/>
                <w:szCs w:val="13"/>
                <w:color w:val="auto"/>
              </w:rPr>
            </w:pPr>
          </w:p>
        </w:tc>
        <w:tc>
          <w:tcPr>
            <w:tcW w:w="9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Cash</w:t>
            </w:r>
          </w:p>
        </w:tc>
        <w:tc>
          <w:tcPr>
            <w:tcW w:w="1080" w:type="dxa"/>
            <w:vAlign w:val="bottom"/>
            <w:tcBorders>
              <w:right w:val="single" w:sz="8" w:color="434F69"/>
            </w:tcBorders>
            <w:shd w:val="clear" w:color="auto" w:fill="434F69"/>
          </w:tcPr>
          <w:p>
            <w:pPr>
              <w:jc w:val="right"/>
              <w:ind w:right="293"/>
              <w:spacing w:after="0" w:line="151" w:lineRule="exact"/>
              <w:rPr>
                <w:sz w:val="20"/>
                <w:szCs w:val="20"/>
                <w:color w:val="auto"/>
              </w:rPr>
            </w:pPr>
            <w:r>
              <w:rPr>
                <w:rFonts w:ascii="Arial" w:cs="Arial" w:eastAsia="Arial" w:hAnsi="Arial"/>
                <w:sz w:val="14"/>
                <w:szCs w:val="14"/>
                <w:b w:val="1"/>
                <w:bCs w:val="1"/>
                <w:color w:val="FFFFFF"/>
              </w:rPr>
              <w:t>Stock</w:t>
            </w:r>
          </w:p>
        </w:tc>
        <w:tc>
          <w:tcPr>
            <w:tcW w:w="1440" w:type="dxa"/>
            <w:vAlign w:val="bottom"/>
            <w:tcBorders>
              <w:right w:val="single" w:sz="8" w:color="434F69"/>
            </w:tcBorders>
            <w:shd w:val="clear" w:color="auto" w:fill="434F69"/>
          </w:tcPr>
          <w:p>
            <w:pPr>
              <w:jc w:val="right"/>
              <w:ind w:right="353"/>
              <w:spacing w:after="0" w:line="151" w:lineRule="exact"/>
              <w:rPr>
                <w:sz w:val="20"/>
                <w:szCs w:val="20"/>
                <w:color w:val="auto"/>
              </w:rPr>
            </w:pPr>
            <w:r>
              <w:rPr>
                <w:rFonts w:ascii="Arial" w:cs="Arial" w:eastAsia="Arial" w:hAnsi="Arial"/>
                <w:sz w:val="14"/>
                <w:szCs w:val="14"/>
                <w:b w:val="1"/>
                <w:bCs w:val="1"/>
                <w:color w:val="FFFFFF"/>
              </w:rPr>
              <w:t>All Other</w:t>
            </w:r>
          </w:p>
        </w:tc>
        <w:tc>
          <w:tcPr>
            <w:tcW w:w="840" w:type="dxa"/>
            <w:vAlign w:val="bottom"/>
            <w:tcBorders>
              <w:right w:val="single" w:sz="8" w:color="434F69"/>
            </w:tcBorders>
            <w:shd w:val="clear" w:color="auto" w:fill="434F69"/>
          </w:tcPr>
          <w:p>
            <w:pPr>
              <w:spacing w:after="0"/>
              <w:rPr>
                <w:sz w:val="13"/>
                <w:szCs w:val="13"/>
                <w:color w:val="auto"/>
              </w:rPr>
            </w:pPr>
          </w:p>
        </w:tc>
      </w:tr>
      <w:tr>
        <w:trPr>
          <w:trHeight w:val="226"/>
        </w:trPr>
        <w:tc>
          <w:tcPr>
            <w:tcW w:w="39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right w:val="single" w:sz="8" w:color="434F69"/>
            </w:tcBorders>
            <w:shd w:val="clear" w:color="auto" w:fill="434F69"/>
          </w:tcPr>
          <w:p>
            <w:pPr>
              <w:jc w:val="right"/>
              <w:ind w:right="33"/>
              <w:spacing w:after="0"/>
              <w:rPr>
                <w:sz w:val="20"/>
                <w:szCs w:val="20"/>
                <w:color w:val="auto"/>
              </w:rPr>
            </w:pPr>
            <w:r>
              <w:rPr>
                <w:rFonts w:ascii="Arial" w:cs="Arial" w:eastAsia="Arial" w:hAnsi="Arial"/>
                <w:sz w:val="14"/>
                <w:szCs w:val="14"/>
                <w:b w:val="1"/>
                <w:bCs w:val="1"/>
                <w:color w:val="FFFFFF"/>
              </w:rPr>
              <w:t>Awards ($)</w:t>
            </w:r>
            <w:r>
              <w:rPr>
                <w:rFonts w:ascii="Arial" w:cs="Arial" w:eastAsia="Arial" w:hAnsi="Arial"/>
                <w:sz w:val="17"/>
                <w:szCs w:val="17"/>
                <w:b w:val="1"/>
                <w:bCs w:val="1"/>
                <w:color w:val="FFFFFF"/>
                <w:vertAlign w:val="superscript"/>
              </w:rPr>
              <w:t>(1)</w:t>
            </w:r>
          </w:p>
        </w:tc>
        <w:tc>
          <w:tcPr>
            <w:tcW w:w="2280" w:type="dxa"/>
            <w:vAlign w:val="bottom"/>
            <w:tcBorders>
              <w:right w:val="single" w:sz="8" w:color="434F69"/>
            </w:tcBorders>
            <w:gridSpan w:val="2"/>
            <w:shd w:val="clear" w:color="auto" w:fill="434F69"/>
          </w:tcPr>
          <w:p>
            <w:pPr>
              <w:jc w:val="right"/>
              <w:ind w:right="50"/>
              <w:spacing w:after="0"/>
              <w:rPr>
                <w:sz w:val="20"/>
                <w:szCs w:val="20"/>
                <w:color w:val="auto"/>
              </w:rPr>
            </w:pPr>
            <w:r>
              <w:rPr>
                <w:rFonts w:ascii="Arial" w:cs="Arial" w:eastAsia="Arial" w:hAnsi="Arial"/>
                <w:sz w:val="14"/>
                <w:szCs w:val="14"/>
                <w:b w:val="1"/>
                <w:bCs w:val="1"/>
                <w:color w:val="FFFFFF"/>
              </w:rPr>
              <w:t>Compensation ($)    Total ($)</w:t>
            </w:r>
          </w:p>
        </w:tc>
      </w:tr>
      <w:tr>
        <w:trPr>
          <w:trHeight w:val="283"/>
        </w:trPr>
        <w:tc>
          <w:tcPr>
            <w:tcW w:w="3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(2)</w:t>
            </w:r>
          </w:p>
        </w:tc>
        <w:tc>
          <w:tcPr>
            <w:tcW w:w="920" w:type="dxa"/>
            <w:vAlign w:val="bottom"/>
            <w:tcBorders>
              <w:bottom w:val="single" w:sz="8" w:color="434F69"/>
              <w:right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250,000</w:t>
            </w:r>
          </w:p>
        </w:tc>
        <w:tc>
          <w:tcPr>
            <w:tcW w:w="10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434F69"/>
              <w:right w:val="single" w:sz="8" w:color="434F69"/>
            </w:tcBorders>
            <w:shd w:val="clear" w:color="auto" w:fill="D9DCE1"/>
          </w:tcPr>
          <w:p>
            <w:pPr>
              <w:jc w:val="right"/>
              <w:ind w:right="373"/>
              <w:spacing w:after="0"/>
              <w:rPr>
                <w:sz w:val="20"/>
                <w:szCs w:val="20"/>
                <w:color w:val="auto"/>
              </w:rPr>
            </w:pPr>
            <w:r>
              <w:rPr>
                <w:rFonts w:ascii="Arial" w:cs="Arial" w:eastAsia="Arial" w:hAnsi="Arial"/>
                <w:sz w:val="18"/>
                <w:szCs w:val="18"/>
                <w:color w:val="auto"/>
              </w:rPr>
              <w:t>15,960</w:t>
            </w:r>
          </w:p>
        </w:tc>
        <w:tc>
          <w:tcPr>
            <w:tcW w:w="8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265,960</w:t>
            </w:r>
          </w:p>
        </w:tc>
      </w:tr>
      <w:tr>
        <w:trPr>
          <w:trHeight w:val="244"/>
        </w:trPr>
        <w:tc>
          <w:tcPr>
            <w:tcW w:w="39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Victor Burk</w:t>
            </w:r>
          </w:p>
        </w:tc>
        <w:tc>
          <w:tcPr>
            <w:tcW w:w="920" w:type="dxa"/>
            <w:vAlign w:val="bottom"/>
            <w:tcBorders>
              <w:bottom w:val="single" w:sz="8" w:color="434F69"/>
              <w:right w:val="single" w:sz="8" w:color="434F69"/>
            </w:tcBorders>
          </w:tcPr>
          <w:p>
            <w:pPr>
              <w:jc w:val="right"/>
              <w:ind w:right="56"/>
              <w:spacing w:after="0"/>
              <w:rPr>
                <w:sz w:val="20"/>
                <w:szCs w:val="20"/>
                <w:color w:val="auto"/>
              </w:rPr>
            </w:pPr>
            <w:r>
              <w:rPr>
                <w:rFonts w:ascii="Arial" w:cs="Arial" w:eastAsia="Arial" w:hAnsi="Arial"/>
                <w:sz w:val="18"/>
                <w:szCs w:val="18"/>
                <w:color w:val="auto"/>
              </w:rPr>
              <w:t>105,000</w:t>
            </w:r>
          </w:p>
        </w:tc>
        <w:tc>
          <w:tcPr>
            <w:tcW w:w="10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219,002</w:t>
            </w:r>
          </w:p>
        </w:tc>
      </w:tr>
      <w:tr>
        <w:trPr>
          <w:trHeight w:val="283"/>
        </w:trPr>
        <w:tc>
          <w:tcPr>
            <w:tcW w:w="3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Kevin S. McCarthy</w:t>
            </w:r>
            <w:r>
              <w:rPr>
                <w:rFonts w:ascii="Arial" w:cs="Arial" w:eastAsia="Arial" w:hAnsi="Arial"/>
                <w:sz w:val="23"/>
                <w:szCs w:val="23"/>
                <w:color w:val="auto"/>
                <w:vertAlign w:val="superscript"/>
              </w:rPr>
              <w:t>(3)</w:t>
            </w:r>
          </w:p>
        </w:tc>
        <w:tc>
          <w:tcPr>
            <w:tcW w:w="920" w:type="dxa"/>
            <w:vAlign w:val="bottom"/>
            <w:tcBorders>
              <w:bottom w:val="single" w:sz="8" w:color="434F69"/>
              <w:right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76,912</w:t>
            </w:r>
          </w:p>
        </w:tc>
        <w:tc>
          <w:tcPr>
            <w:tcW w:w="10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190,914</w:t>
            </w:r>
          </w:p>
        </w:tc>
      </w:tr>
      <w:tr>
        <w:trPr>
          <w:trHeight w:val="244"/>
        </w:trPr>
        <w:tc>
          <w:tcPr>
            <w:tcW w:w="39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Gary R. Petersen</w:t>
            </w:r>
          </w:p>
        </w:tc>
        <w:tc>
          <w:tcPr>
            <w:tcW w:w="920" w:type="dxa"/>
            <w:vAlign w:val="bottom"/>
            <w:tcBorders>
              <w:bottom w:val="single" w:sz="8" w:color="434F69"/>
              <w:right w:val="single" w:sz="8" w:color="434F69"/>
            </w:tcBorders>
          </w:tcPr>
          <w:p>
            <w:pPr>
              <w:jc w:val="right"/>
              <w:ind w:right="56"/>
              <w:spacing w:after="0"/>
              <w:rPr>
                <w:sz w:val="20"/>
                <w:szCs w:val="20"/>
                <w:color w:val="auto"/>
              </w:rPr>
            </w:pPr>
            <w:r>
              <w:rPr>
                <w:rFonts w:ascii="Arial" w:cs="Arial" w:eastAsia="Arial" w:hAnsi="Arial"/>
                <w:sz w:val="18"/>
                <w:szCs w:val="18"/>
                <w:color w:val="auto"/>
              </w:rPr>
              <w:t>75,000</w:t>
            </w:r>
          </w:p>
        </w:tc>
        <w:tc>
          <w:tcPr>
            <w:tcW w:w="10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189,002</w:t>
            </w:r>
          </w:p>
        </w:tc>
      </w:tr>
      <w:tr>
        <w:trPr>
          <w:trHeight w:val="250"/>
        </w:trPr>
        <w:tc>
          <w:tcPr>
            <w:tcW w:w="3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Alexandra D. Pruner</w:t>
            </w:r>
          </w:p>
        </w:tc>
        <w:tc>
          <w:tcPr>
            <w:tcW w:w="920" w:type="dxa"/>
            <w:vAlign w:val="bottom"/>
            <w:tcBorders>
              <w:bottom w:val="single" w:sz="8" w:color="434F69"/>
              <w:right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90,000</w:t>
            </w:r>
          </w:p>
        </w:tc>
        <w:tc>
          <w:tcPr>
            <w:tcW w:w="10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204,002</w:t>
            </w:r>
          </w:p>
        </w:tc>
      </w:tr>
      <w:tr>
        <w:trPr>
          <w:trHeight w:val="250"/>
        </w:trPr>
        <w:tc>
          <w:tcPr>
            <w:tcW w:w="39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John T. Raymond</w:t>
            </w:r>
          </w:p>
        </w:tc>
        <w:tc>
          <w:tcPr>
            <w:tcW w:w="920" w:type="dxa"/>
            <w:vAlign w:val="bottom"/>
            <w:tcBorders>
              <w:bottom w:val="single" w:sz="8" w:color="434F69"/>
              <w:right w:val="single" w:sz="8" w:color="434F69"/>
            </w:tcBorders>
          </w:tcPr>
          <w:p>
            <w:pPr>
              <w:jc w:val="right"/>
              <w:ind w:right="56"/>
              <w:spacing w:after="0"/>
              <w:rPr>
                <w:sz w:val="20"/>
                <w:szCs w:val="20"/>
                <w:color w:val="auto"/>
              </w:rPr>
            </w:pPr>
            <w:r>
              <w:rPr>
                <w:rFonts w:ascii="Arial" w:cs="Arial" w:eastAsia="Arial" w:hAnsi="Arial"/>
                <w:sz w:val="18"/>
                <w:szCs w:val="18"/>
                <w:color w:val="auto"/>
              </w:rPr>
              <w:t>85,000</w:t>
            </w:r>
          </w:p>
        </w:tc>
        <w:tc>
          <w:tcPr>
            <w:tcW w:w="10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199,002</w:t>
            </w:r>
          </w:p>
        </w:tc>
      </w:tr>
      <w:tr>
        <w:trPr>
          <w:trHeight w:val="250"/>
        </w:trPr>
        <w:tc>
          <w:tcPr>
            <w:tcW w:w="3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Bobby S. Shackouls</w:t>
            </w:r>
          </w:p>
        </w:tc>
        <w:tc>
          <w:tcPr>
            <w:tcW w:w="920" w:type="dxa"/>
            <w:vAlign w:val="bottom"/>
            <w:tcBorders>
              <w:bottom w:val="single" w:sz="8" w:color="434F69"/>
              <w:right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120,000</w:t>
            </w:r>
          </w:p>
        </w:tc>
        <w:tc>
          <w:tcPr>
            <w:tcW w:w="10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234,002</w:t>
            </w:r>
          </w:p>
        </w:tc>
      </w:tr>
      <w:tr>
        <w:trPr>
          <w:trHeight w:val="250"/>
        </w:trPr>
        <w:tc>
          <w:tcPr>
            <w:tcW w:w="39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Christopher M. Temple</w:t>
            </w:r>
          </w:p>
        </w:tc>
        <w:tc>
          <w:tcPr>
            <w:tcW w:w="920" w:type="dxa"/>
            <w:vAlign w:val="bottom"/>
            <w:tcBorders>
              <w:bottom w:val="single" w:sz="8" w:color="434F69"/>
              <w:right w:val="single" w:sz="8" w:color="434F69"/>
            </w:tcBorders>
          </w:tcPr>
          <w:p>
            <w:pPr>
              <w:jc w:val="right"/>
              <w:ind w:right="56"/>
              <w:spacing w:after="0"/>
              <w:rPr>
                <w:sz w:val="20"/>
                <w:szCs w:val="20"/>
                <w:color w:val="auto"/>
              </w:rPr>
            </w:pPr>
            <w:r>
              <w:rPr>
                <w:rFonts w:ascii="Arial" w:cs="Arial" w:eastAsia="Arial" w:hAnsi="Arial"/>
                <w:sz w:val="18"/>
                <w:szCs w:val="18"/>
                <w:color w:val="auto"/>
              </w:rPr>
              <w:t>75,000</w:t>
            </w:r>
          </w:p>
        </w:tc>
        <w:tc>
          <w:tcPr>
            <w:tcW w:w="10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189,002</w:t>
            </w:r>
          </w:p>
        </w:tc>
      </w:tr>
      <w:tr>
        <w:trPr>
          <w:trHeight w:val="250"/>
        </w:trPr>
        <w:tc>
          <w:tcPr>
            <w:tcW w:w="39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Lawrence M. Ziemba</w:t>
            </w:r>
          </w:p>
        </w:tc>
        <w:tc>
          <w:tcPr>
            <w:tcW w:w="920" w:type="dxa"/>
            <w:vAlign w:val="bottom"/>
            <w:tcBorders>
              <w:bottom w:val="single" w:sz="8" w:color="434F69"/>
              <w:right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97,500</w:t>
            </w:r>
          </w:p>
        </w:tc>
        <w:tc>
          <w:tcPr>
            <w:tcW w:w="10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114,002</w:t>
            </w:r>
          </w:p>
        </w:tc>
        <w:tc>
          <w:tcPr>
            <w:tcW w:w="1440" w:type="dxa"/>
            <w:vAlign w:val="bottom"/>
            <w:tcBorders>
              <w:bottom w:val="single" w:sz="8" w:color="434F69"/>
              <w:right w:val="single" w:sz="8" w:color="434F69"/>
            </w:tcBorders>
            <w:shd w:val="clear" w:color="auto" w:fill="D9DCE1"/>
          </w:tcPr>
          <w:p>
            <w:pPr>
              <w:jc w:val="right"/>
              <w:ind w:right="37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211,502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1280" w:hanging="360"/>
        <w:spacing w:after="0" w:line="250" w:lineRule="auto"/>
        <w:tabs>
          <w:tab w:leader="none" w:pos="162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The dollar value of LTIPs granted during 2021 is based on the grant date fair value computed in accordance with FASB ASC Topic 718. See Note 18 to our Consolidated Financial Statements included in our 2021 Annual Report for additional discussion regarding the calculation of grant date fair values. In August 2021, each of Messrs. Burk, McCarthy, Petersen, Raymond, Shackouls, Temple, Ziemba and Ms. Pruner received an annual LTIP award for 11,900 PAGP phantom Class A shares. See “— Long-Term Equity Awards” below for further information regarding LTIP awards granted to our non-employee directors. The aggregate number of outstanding LTIP awards held by our non-employee directors as of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106680</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tcBorders>
              <w:right w:val="single" w:sz="8" w:color="434F69"/>
            </w:tcBorders>
          </w:tcPr>
          <w:p>
            <w:pPr>
              <w:spacing w:after="0"/>
              <w:rPr>
                <w:sz w:val="20"/>
                <w:szCs w:val="20"/>
                <w:color w:val="auto"/>
              </w:rPr>
            </w:pPr>
          </w:p>
        </w:tc>
        <w:tc>
          <w:tcPr>
            <w:tcW w:w="3600" w:type="dxa"/>
            <w:vAlign w:val="bottom"/>
            <w:tcBorders>
              <w:right w:val="single" w:sz="8" w:color="434F69"/>
            </w:tcBorders>
            <w:shd w:val="clear" w:color="auto" w:fill="434F69"/>
          </w:tcPr>
          <w:p>
            <w:pPr>
              <w:spacing w:after="0"/>
              <w:rPr>
                <w:sz w:val="20"/>
                <w:szCs w:val="20"/>
                <w:color w:val="auto"/>
              </w:rPr>
            </w:pPr>
          </w:p>
        </w:tc>
        <w:tc>
          <w:tcPr>
            <w:tcW w:w="3860" w:type="dxa"/>
            <w:vAlign w:val="bottom"/>
            <w:tcBorders>
              <w:right w:val="single" w:sz="8" w:color="434F69"/>
            </w:tcBorders>
            <w:gridSpan w:val="2"/>
            <w:shd w:val="clear" w:color="auto" w:fill="434F69"/>
          </w:tcPr>
          <w:p>
            <w:pPr>
              <w:ind w:left="100"/>
              <w:spacing w:after="0"/>
              <w:rPr>
                <w:sz w:val="20"/>
                <w:szCs w:val="20"/>
                <w:color w:val="auto"/>
              </w:rPr>
            </w:pPr>
            <w:r>
              <w:rPr>
                <w:rFonts w:ascii="Arial" w:cs="Arial" w:eastAsia="Arial" w:hAnsi="Arial"/>
                <w:sz w:val="14"/>
                <w:szCs w:val="14"/>
                <w:b w:val="1"/>
                <w:bCs w:val="1"/>
                <w:color w:val="FFFFFF"/>
              </w:rPr>
              <w:t>Number of LTIP Awards Held as of December 31, 2021</w:t>
            </w:r>
          </w:p>
        </w:tc>
        <w:tc>
          <w:tcPr>
            <w:tcW w:w="1620" w:type="dxa"/>
            <w:vAlign w:val="bottom"/>
          </w:tcPr>
          <w:p>
            <w:pPr>
              <w:spacing w:after="0"/>
              <w:rPr>
                <w:sz w:val="20"/>
                <w:szCs w:val="20"/>
                <w:color w:val="auto"/>
              </w:rPr>
            </w:pPr>
          </w:p>
        </w:tc>
      </w:tr>
      <w:tr>
        <w:trPr>
          <w:trHeight w:val="175"/>
        </w:trPr>
        <w:tc>
          <w:tcPr>
            <w:tcW w:w="1640" w:type="dxa"/>
            <w:vAlign w:val="bottom"/>
            <w:tcBorders>
              <w:right w:val="single" w:sz="8" w:color="434F69"/>
            </w:tcBorders>
          </w:tcPr>
          <w:p>
            <w:pPr>
              <w:spacing w:after="0"/>
              <w:rPr>
                <w:sz w:val="15"/>
                <w:szCs w:val="15"/>
                <w:color w:val="auto"/>
              </w:rPr>
            </w:pPr>
          </w:p>
        </w:tc>
        <w:tc>
          <w:tcPr>
            <w:tcW w:w="3600" w:type="dxa"/>
            <w:vAlign w:val="bottom"/>
            <w:tcBorders>
              <w:top w:val="single" w:sz="8" w:color="434F69"/>
              <w:right w:val="single" w:sz="8" w:color="434F69"/>
            </w:tcBorders>
            <w:shd w:val="clear" w:color="auto" w:fill="434F69"/>
          </w:tcPr>
          <w:p>
            <w:pPr>
              <w:spacing w:after="0"/>
              <w:rPr>
                <w:sz w:val="15"/>
                <w:szCs w:val="15"/>
                <w:color w:val="auto"/>
              </w:rPr>
            </w:pPr>
          </w:p>
        </w:tc>
        <w:tc>
          <w:tcPr>
            <w:tcW w:w="1840" w:type="dxa"/>
            <w:vAlign w:val="bottom"/>
            <w:tcBorders>
              <w:top w:val="single" w:sz="8" w:color="auto"/>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PAGP</w:t>
            </w:r>
          </w:p>
        </w:tc>
        <w:tc>
          <w:tcPr>
            <w:tcW w:w="2020" w:type="dxa"/>
            <w:vAlign w:val="bottom"/>
            <w:tcBorders>
              <w:top w:val="single" w:sz="8" w:color="auto"/>
              <w:right w:val="single" w:sz="8" w:color="434F69"/>
            </w:tcBorders>
            <w:shd w:val="clear" w:color="auto" w:fill="434F69"/>
          </w:tcPr>
          <w:p>
            <w:pPr>
              <w:spacing w:after="0"/>
              <w:rPr>
                <w:sz w:val="15"/>
                <w:szCs w:val="15"/>
                <w:color w:val="auto"/>
              </w:rPr>
            </w:pPr>
          </w:p>
        </w:tc>
        <w:tc>
          <w:tcPr>
            <w:tcW w:w="1620" w:type="dxa"/>
            <w:vAlign w:val="bottom"/>
          </w:tcPr>
          <w:p>
            <w:pPr>
              <w:spacing w:after="0"/>
              <w:rPr>
                <w:sz w:val="15"/>
                <w:szCs w:val="15"/>
                <w:color w:val="auto"/>
              </w:rPr>
            </w:pPr>
          </w:p>
        </w:tc>
      </w:tr>
      <w:tr>
        <w:trPr>
          <w:trHeight w:val="162"/>
        </w:trPr>
        <w:tc>
          <w:tcPr>
            <w:tcW w:w="1640" w:type="dxa"/>
            <w:vAlign w:val="bottom"/>
            <w:tcBorders>
              <w:right w:val="single" w:sz="8" w:color="434F69"/>
            </w:tcBorders>
          </w:tcPr>
          <w:p>
            <w:pPr>
              <w:spacing w:after="0"/>
              <w:rPr>
                <w:sz w:val="14"/>
                <w:szCs w:val="14"/>
                <w:color w:val="auto"/>
              </w:rPr>
            </w:pPr>
          </w:p>
        </w:tc>
        <w:tc>
          <w:tcPr>
            <w:tcW w:w="3600" w:type="dxa"/>
            <w:vAlign w:val="bottom"/>
            <w:tcBorders>
              <w:right w:val="single" w:sz="8" w:color="434F69"/>
            </w:tcBorders>
            <w:shd w:val="clear" w:color="auto" w:fill="434F69"/>
          </w:tcPr>
          <w:p>
            <w:pPr>
              <w:spacing w:after="0"/>
              <w:rPr>
                <w:sz w:val="14"/>
                <w:szCs w:val="14"/>
                <w:color w:val="auto"/>
              </w:rPr>
            </w:pPr>
          </w:p>
        </w:tc>
        <w:tc>
          <w:tcPr>
            <w:tcW w:w="1840" w:type="dxa"/>
            <w:vAlign w:val="bottom"/>
            <w:tcBorders>
              <w:right w:val="single" w:sz="8" w:color="434F69"/>
            </w:tcBorders>
            <w:shd w:val="clear" w:color="auto" w:fill="434F69"/>
          </w:tcPr>
          <w:p>
            <w:pPr>
              <w:jc w:val="center"/>
              <w:ind w:right="14"/>
              <w:spacing w:after="0"/>
              <w:rPr>
                <w:sz w:val="20"/>
                <w:szCs w:val="20"/>
                <w:color w:val="auto"/>
              </w:rPr>
            </w:pPr>
            <w:r>
              <w:rPr>
                <w:rFonts w:ascii="Arial" w:cs="Arial" w:eastAsia="Arial" w:hAnsi="Arial"/>
                <w:sz w:val="14"/>
                <w:szCs w:val="14"/>
                <w:b w:val="1"/>
                <w:bCs w:val="1"/>
                <w:color w:val="FFFFFF"/>
              </w:rPr>
              <w:t>Phantom</w:t>
            </w:r>
          </w:p>
        </w:tc>
        <w:tc>
          <w:tcPr>
            <w:tcW w:w="2020" w:type="dxa"/>
            <w:vAlign w:val="bottom"/>
            <w:tcBorders>
              <w:right w:val="single" w:sz="8" w:color="434F69"/>
            </w:tcBorders>
            <w:shd w:val="clear" w:color="auto" w:fill="434F69"/>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640" w:type="dxa"/>
            <w:vAlign w:val="bottom"/>
            <w:tcBorders>
              <w:right w:val="single" w:sz="8" w:color="434F69"/>
            </w:tcBorders>
          </w:tcPr>
          <w:p>
            <w:pPr>
              <w:spacing w:after="0"/>
              <w:rPr>
                <w:sz w:val="14"/>
                <w:szCs w:val="14"/>
                <w:color w:val="auto"/>
              </w:rPr>
            </w:pPr>
          </w:p>
        </w:tc>
        <w:tc>
          <w:tcPr>
            <w:tcW w:w="3600" w:type="dxa"/>
            <w:vAlign w:val="bottom"/>
            <w:tcBorders>
              <w:right w:val="single" w:sz="8" w:color="434F69"/>
            </w:tcBorders>
            <w:shd w:val="clear" w:color="auto" w:fill="434F69"/>
          </w:tcPr>
          <w:p>
            <w:pPr>
              <w:spacing w:after="0"/>
              <w:rPr>
                <w:sz w:val="14"/>
                <w:szCs w:val="14"/>
                <w:color w:val="auto"/>
              </w:rPr>
            </w:pPr>
          </w:p>
        </w:tc>
        <w:tc>
          <w:tcPr>
            <w:tcW w:w="18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Class A</w:t>
            </w:r>
          </w:p>
        </w:tc>
        <w:tc>
          <w:tcPr>
            <w:tcW w:w="2020" w:type="dxa"/>
            <w:vAlign w:val="bottom"/>
            <w:tcBorders>
              <w:right w:val="single" w:sz="8" w:color="434F69"/>
            </w:tcBorders>
            <w:shd w:val="clear" w:color="auto" w:fill="434F69"/>
          </w:tcPr>
          <w:p>
            <w:pPr>
              <w:spacing w:after="0"/>
              <w:rPr>
                <w:sz w:val="14"/>
                <w:szCs w:val="14"/>
                <w:color w:val="auto"/>
              </w:rPr>
            </w:pPr>
          </w:p>
        </w:tc>
        <w:tc>
          <w:tcPr>
            <w:tcW w:w="1620" w:type="dxa"/>
            <w:vAlign w:val="bottom"/>
          </w:tcPr>
          <w:p>
            <w:pPr>
              <w:spacing w:after="0"/>
              <w:rPr>
                <w:sz w:val="14"/>
                <w:szCs w:val="14"/>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shd w:val="clear" w:color="auto" w:fill="434F69"/>
          </w:tcPr>
          <w:p>
            <w:pPr>
              <w:ind w:left="40"/>
              <w:spacing w:after="0"/>
              <w:rPr>
                <w:sz w:val="20"/>
                <w:szCs w:val="20"/>
                <w:color w:val="auto"/>
              </w:rPr>
            </w:pPr>
            <w:r>
              <w:rPr>
                <w:rFonts w:ascii="Arial" w:cs="Arial" w:eastAsia="Arial" w:hAnsi="Arial"/>
                <w:sz w:val="14"/>
                <w:szCs w:val="14"/>
                <w:b w:val="1"/>
                <w:bCs w:val="1"/>
                <w:color w:val="FFFFFF"/>
              </w:rPr>
              <w:t>Director Name:</w:t>
            </w:r>
          </w:p>
        </w:tc>
        <w:tc>
          <w:tcPr>
            <w:tcW w:w="18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20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Vesting Date</w:t>
            </w:r>
          </w:p>
        </w:tc>
        <w:tc>
          <w:tcPr>
            <w:tcW w:w="1620" w:type="dxa"/>
            <w:vAlign w:val="bottom"/>
          </w:tcPr>
          <w:p>
            <w:pPr>
              <w:spacing w:after="0"/>
              <w:rPr>
                <w:sz w:val="17"/>
                <w:szCs w:val="17"/>
                <w:color w:val="auto"/>
              </w:rPr>
            </w:pPr>
          </w:p>
        </w:tc>
      </w:tr>
      <w:tr>
        <w:trPr>
          <w:trHeight w:val="230"/>
        </w:trPr>
        <w:tc>
          <w:tcPr>
            <w:tcW w:w="1640" w:type="dxa"/>
            <w:vAlign w:val="bottom"/>
            <w:tcBorders>
              <w:right w:val="single" w:sz="8" w:color="434F69"/>
            </w:tcBorders>
          </w:tcPr>
          <w:p>
            <w:pPr>
              <w:spacing w:after="0"/>
              <w:rPr>
                <w:sz w:val="19"/>
                <w:szCs w:val="19"/>
                <w:color w:val="auto"/>
              </w:rPr>
            </w:pPr>
          </w:p>
        </w:tc>
        <w:tc>
          <w:tcPr>
            <w:tcW w:w="360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Burk</w:t>
            </w:r>
          </w:p>
        </w:tc>
        <w:tc>
          <w:tcPr>
            <w:tcW w:w="1840" w:type="dxa"/>
            <w:vAlign w:val="bottom"/>
            <w:tcBorders>
              <w:bottom w:val="single" w:sz="8" w:color="434F69"/>
              <w:right w:val="single" w:sz="8" w:color="434F69"/>
            </w:tcBorders>
          </w:tcPr>
          <w:p>
            <w:pPr>
              <w:jc w:val="right"/>
              <w:ind w:right="574"/>
              <w:spacing w:after="0"/>
              <w:rPr>
                <w:sz w:val="20"/>
                <w:szCs w:val="20"/>
                <w:color w:val="auto"/>
              </w:rPr>
            </w:pPr>
            <w:r>
              <w:rPr>
                <w:rFonts w:ascii="Arial" w:cs="Arial" w:eastAsia="Arial" w:hAnsi="Arial"/>
                <w:sz w:val="18"/>
                <w:szCs w:val="18"/>
                <w:color w:val="auto"/>
              </w:rPr>
              <w:t>4,879</w:t>
            </w:r>
          </w:p>
        </w:tc>
        <w:tc>
          <w:tcPr>
            <w:tcW w:w="20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Aug 2022</w:t>
            </w:r>
          </w:p>
        </w:tc>
        <w:tc>
          <w:tcPr>
            <w:tcW w:w="1620" w:type="dxa"/>
            <w:vAlign w:val="bottom"/>
          </w:tcPr>
          <w:p>
            <w:pPr>
              <w:spacing w:after="0"/>
              <w:rPr>
                <w:sz w:val="19"/>
                <w:szCs w:val="19"/>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5,220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2023</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15,290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line="196" w:lineRule="exact"/>
              <w:rPr>
                <w:sz w:val="20"/>
                <w:szCs w:val="20"/>
                <w:color w:val="auto"/>
              </w:rPr>
            </w:pPr>
            <w:r>
              <w:rPr>
                <w:rFonts w:ascii="Arial" w:cs="Arial" w:eastAsia="Arial" w:hAnsi="Arial"/>
                <w:sz w:val="18"/>
                <w:szCs w:val="18"/>
                <w:b w:val="1"/>
                <w:bCs w:val="1"/>
                <w:color w:val="auto"/>
              </w:rPr>
              <w:t>37,289</w:t>
            </w:r>
          </w:p>
        </w:tc>
        <w:tc>
          <w:tcPr>
            <w:tcW w:w="2020" w:type="dxa"/>
            <w:vAlign w:val="bottom"/>
            <w:tcBorders>
              <w:bottom w:val="single" w:sz="8" w:color="434F69"/>
              <w:right w:val="single" w:sz="8" w:color="434F69"/>
            </w:tcBorders>
            <w:shd w:val="clear" w:color="auto" w:fill="D9DCE1"/>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ind w:left="40"/>
              <w:spacing w:after="0" w:line="196" w:lineRule="exact"/>
              <w:rPr>
                <w:sz w:val="20"/>
                <w:szCs w:val="20"/>
                <w:color w:val="auto"/>
              </w:rPr>
            </w:pPr>
            <w:r>
              <w:rPr>
                <w:rFonts w:ascii="Arial" w:cs="Arial" w:eastAsia="Arial" w:hAnsi="Arial"/>
                <w:sz w:val="18"/>
                <w:szCs w:val="18"/>
                <w:color w:val="auto"/>
              </w:rPr>
              <w:t>McCarthy</w:t>
            </w: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10,622</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line="196" w:lineRule="exact"/>
              <w:rPr>
                <w:sz w:val="20"/>
                <w:szCs w:val="20"/>
                <w:color w:val="auto"/>
              </w:rPr>
            </w:pPr>
            <w:r>
              <w:rPr>
                <w:rFonts w:ascii="Arial" w:cs="Arial" w:eastAsia="Arial" w:hAnsi="Arial"/>
                <w:sz w:val="18"/>
                <w:szCs w:val="18"/>
                <w:b w:val="1"/>
                <w:bCs w:val="1"/>
                <w:color w:val="auto"/>
              </w:rPr>
              <w:t>22,522</w:t>
            </w:r>
          </w:p>
        </w:tc>
        <w:tc>
          <w:tcPr>
            <w:tcW w:w="2020" w:type="dxa"/>
            <w:vAlign w:val="bottom"/>
            <w:tcBorders>
              <w:bottom w:val="single" w:sz="8" w:color="434F69"/>
              <w:right w:val="single" w:sz="8" w:color="434F69"/>
            </w:tcBorders>
            <w:shd w:val="clear" w:color="auto" w:fill="D9DCE1"/>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ind w:left="40"/>
              <w:spacing w:after="0" w:line="196" w:lineRule="exact"/>
              <w:rPr>
                <w:sz w:val="20"/>
                <w:szCs w:val="20"/>
                <w:color w:val="auto"/>
              </w:rPr>
            </w:pPr>
            <w:r>
              <w:rPr>
                <w:rFonts w:ascii="Arial" w:cs="Arial" w:eastAsia="Arial" w:hAnsi="Arial"/>
                <w:sz w:val="18"/>
                <w:szCs w:val="18"/>
                <w:color w:val="auto"/>
              </w:rPr>
              <w:t>Petersen</w:t>
            </w: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4,879</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2022</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5,220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2023</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15,290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line="196" w:lineRule="exact"/>
              <w:rPr>
                <w:sz w:val="20"/>
                <w:szCs w:val="20"/>
                <w:color w:val="auto"/>
              </w:rPr>
            </w:pPr>
            <w:r>
              <w:rPr>
                <w:rFonts w:ascii="Arial" w:cs="Arial" w:eastAsia="Arial" w:hAnsi="Arial"/>
                <w:sz w:val="18"/>
                <w:szCs w:val="18"/>
                <w:b w:val="1"/>
                <w:bCs w:val="1"/>
                <w:color w:val="auto"/>
              </w:rPr>
              <w:t>37,289</w:t>
            </w:r>
          </w:p>
        </w:tc>
        <w:tc>
          <w:tcPr>
            <w:tcW w:w="2020" w:type="dxa"/>
            <w:vAlign w:val="bottom"/>
            <w:tcBorders>
              <w:bottom w:val="single" w:sz="8" w:color="434F69"/>
              <w:right w:val="single" w:sz="8" w:color="434F69"/>
            </w:tcBorders>
            <w:shd w:val="clear" w:color="auto" w:fill="D9DCE1"/>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ind w:left="40"/>
              <w:spacing w:after="0" w:line="196" w:lineRule="exact"/>
              <w:rPr>
                <w:sz w:val="20"/>
                <w:szCs w:val="20"/>
                <w:color w:val="auto"/>
              </w:rPr>
            </w:pPr>
            <w:r>
              <w:rPr>
                <w:rFonts w:ascii="Arial" w:cs="Arial" w:eastAsia="Arial" w:hAnsi="Arial"/>
                <w:sz w:val="18"/>
                <w:szCs w:val="18"/>
                <w:color w:val="auto"/>
              </w:rPr>
              <w:t>Pruner</w:t>
            </w: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5,816</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2022</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5,220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2023</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15,290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c>
          <w:tcPr>
            <w:tcW w:w="1620" w:type="dxa"/>
            <w:vAlign w:val="bottom"/>
          </w:tcPr>
          <w:p>
            <w:pPr>
              <w:spacing w:after="0"/>
              <w:rPr>
                <w:sz w:val="17"/>
                <w:szCs w:val="17"/>
                <w:color w:val="auto"/>
              </w:rPr>
            </w:pPr>
          </w:p>
        </w:tc>
      </w:tr>
      <w:tr>
        <w:trPr>
          <w:trHeight w:val="196"/>
        </w:trPr>
        <w:tc>
          <w:tcPr>
            <w:tcW w:w="1640" w:type="dxa"/>
            <w:vAlign w:val="bottom"/>
            <w:tcBorders>
              <w:right w:val="single" w:sz="8" w:color="434F69"/>
            </w:tcBorders>
          </w:tcPr>
          <w:p>
            <w:pPr>
              <w:spacing w:after="0"/>
              <w:rPr>
                <w:sz w:val="17"/>
                <w:szCs w:val="17"/>
                <w:color w:val="auto"/>
              </w:rPr>
            </w:pPr>
          </w:p>
        </w:tc>
        <w:tc>
          <w:tcPr>
            <w:tcW w:w="3600" w:type="dxa"/>
            <w:vAlign w:val="bottom"/>
            <w:tcBorders>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c>
          <w:tcPr>
            <w:tcW w:w="1620" w:type="dxa"/>
            <w:vAlign w:val="bottom"/>
          </w:tcPr>
          <w:p>
            <w:pPr>
              <w:spacing w:after="0"/>
              <w:rPr>
                <w:sz w:val="17"/>
                <w:szCs w:val="17"/>
                <w:color w:val="auto"/>
              </w:rPr>
            </w:pPr>
          </w:p>
        </w:tc>
      </w:tr>
      <w:tr>
        <w:trPr>
          <w:trHeight w:val="210"/>
        </w:trPr>
        <w:tc>
          <w:tcPr>
            <w:tcW w:w="1640" w:type="dxa"/>
            <w:vAlign w:val="bottom"/>
            <w:tcBorders>
              <w:right w:val="single" w:sz="8" w:color="434F69"/>
            </w:tcBorders>
          </w:tcPr>
          <w:p>
            <w:pPr>
              <w:spacing w:after="0"/>
              <w:rPr>
                <w:sz w:val="18"/>
                <w:szCs w:val="18"/>
                <w:color w:val="auto"/>
              </w:rPr>
            </w:pPr>
          </w:p>
        </w:tc>
        <w:tc>
          <w:tcPr>
            <w:tcW w:w="3600" w:type="dxa"/>
            <w:vAlign w:val="bottom"/>
            <w:tcBorders>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rPr>
                <w:sz w:val="20"/>
                <w:szCs w:val="20"/>
                <w:color w:val="auto"/>
              </w:rPr>
            </w:pPr>
            <w:r>
              <w:rPr>
                <w:rFonts w:ascii="Arial" w:cs="Arial" w:eastAsia="Arial" w:hAnsi="Arial"/>
                <w:sz w:val="18"/>
                <w:szCs w:val="18"/>
                <w:b w:val="1"/>
                <w:bCs w:val="1"/>
                <w:color w:val="auto"/>
              </w:rPr>
              <w:t>38,226</w:t>
            </w:r>
          </w:p>
        </w:tc>
        <w:tc>
          <w:tcPr>
            <w:tcW w:w="2020" w:type="dxa"/>
            <w:vAlign w:val="bottom"/>
            <w:tcBorders>
              <w:bottom w:val="single" w:sz="8" w:color="434F69"/>
              <w:right w:val="single" w:sz="8" w:color="434F69"/>
            </w:tcBorders>
            <w:shd w:val="clear" w:color="auto" w:fill="D9DCE1"/>
          </w:tcPr>
          <w:p>
            <w:pPr>
              <w:spacing w:after="0"/>
              <w:rPr>
                <w:sz w:val="18"/>
                <w:szCs w:val="18"/>
                <w:color w:val="auto"/>
              </w:rPr>
            </w:pPr>
          </w:p>
        </w:tc>
        <w:tc>
          <w:tcPr>
            <w:tcW w:w="1620" w:type="dxa"/>
            <w:vAlign w:val="bottom"/>
          </w:tcPr>
          <w:p>
            <w:pPr>
              <w:spacing w:after="0"/>
              <w:rPr>
                <w:sz w:val="18"/>
                <w:szCs w:val="18"/>
                <w:color w:val="auto"/>
              </w:rPr>
            </w:pPr>
          </w:p>
        </w:tc>
      </w:tr>
      <w:tr>
        <w:trPr>
          <w:trHeight w:val="601"/>
        </w:trPr>
        <w:tc>
          <w:tcPr>
            <w:tcW w:w="1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40" w:type="dxa"/>
            <w:vAlign w:val="bottom"/>
          </w:tcPr>
          <w:p>
            <w:pPr>
              <w:jc w:val="right"/>
              <w:ind w:right="1554"/>
              <w:spacing w:after="0"/>
              <w:rPr>
                <w:sz w:val="20"/>
                <w:szCs w:val="20"/>
                <w:color w:val="auto"/>
              </w:rPr>
            </w:pPr>
            <w:r>
              <w:rPr>
                <w:rFonts w:ascii="Arial" w:cs="Arial" w:eastAsia="Arial" w:hAnsi="Arial"/>
                <w:sz w:val="18"/>
                <w:szCs w:val="18"/>
                <w:color w:val="auto"/>
                <w:w w:val="89"/>
              </w:rPr>
              <w:t>55</w:t>
            </w: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528955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630" w:type="dxa"/>
        <w:tblCellMar>
          <w:top w:w="0" w:type="dxa"/>
          <w:left w:w="0" w:type="dxa"/>
          <w:bottom w:w="0" w:type="dxa"/>
          <w:right w:w="0" w:type="dxa"/>
        </w:tblCellMar>
      </w:tblPr>
      <w:tr>
        <w:trPr>
          <w:trHeight w:val="237"/>
        </w:trPr>
        <w:tc>
          <w:tcPr>
            <w:tcW w:w="3620" w:type="dxa"/>
            <w:vAlign w:val="bottom"/>
            <w:tcBorders>
              <w:left w:val="single" w:sz="8" w:color="434F69"/>
              <w:right w:val="single" w:sz="8" w:color="434F69"/>
            </w:tcBorders>
            <w:shd w:val="clear" w:color="auto" w:fill="434F69"/>
          </w:tcPr>
          <w:p>
            <w:pPr>
              <w:spacing w:after="0"/>
              <w:rPr>
                <w:sz w:val="20"/>
                <w:szCs w:val="20"/>
                <w:color w:val="auto"/>
              </w:rPr>
            </w:pPr>
          </w:p>
        </w:tc>
        <w:tc>
          <w:tcPr>
            <w:tcW w:w="3860" w:type="dxa"/>
            <w:vAlign w:val="bottom"/>
            <w:tcBorders>
              <w:right w:val="single" w:sz="8" w:color="434F69"/>
            </w:tcBorders>
            <w:gridSpan w:val="2"/>
            <w:shd w:val="clear" w:color="auto" w:fill="434F69"/>
          </w:tcPr>
          <w:p>
            <w:pPr>
              <w:ind w:left="100"/>
              <w:spacing w:after="0"/>
              <w:rPr>
                <w:sz w:val="20"/>
                <w:szCs w:val="20"/>
                <w:color w:val="auto"/>
              </w:rPr>
            </w:pPr>
            <w:r>
              <w:rPr>
                <w:rFonts w:ascii="Arial" w:cs="Arial" w:eastAsia="Arial" w:hAnsi="Arial"/>
                <w:sz w:val="14"/>
                <w:szCs w:val="14"/>
                <w:b w:val="1"/>
                <w:bCs w:val="1"/>
                <w:color w:val="FFFFFF"/>
              </w:rPr>
              <w:t>Number of LTIP Awards Held as of December 31, 2021</w:t>
            </w:r>
          </w:p>
        </w:tc>
      </w:tr>
      <w:tr>
        <w:trPr>
          <w:trHeight w:val="175"/>
        </w:trPr>
        <w:tc>
          <w:tcPr>
            <w:tcW w:w="3620" w:type="dxa"/>
            <w:vAlign w:val="bottom"/>
            <w:tcBorders>
              <w:top w:val="single" w:sz="8" w:color="434F69"/>
              <w:left w:val="single" w:sz="8" w:color="434F69"/>
              <w:right w:val="single" w:sz="8" w:color="434F69"/>
            </w:tcBorders>
            <w:shd w:val="clear" w:color="auto" w:fill="434F69"/>
          </w:tcPr>
          <w:p>
            <w:pPr>
              <w:spacing w:after="0"/>
              <w:rPr>
                <w:sz w:val="15"/>
                <w:szCs w:val="15"/>
                <w:color w:val="auto"/>
              </w:rPr>
            </w:pPr>
          </w:p>
        </w:tc>
        <w:tc>
          <w:tcPr>
            <w:tcW w:w="1840" w:type="dxa"/>
            <w:vAlign w:val="bottom"/>
            <w:tcBorders>
              <w:top w:val="single" w:sz="8" w:color="auto"/>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PAGP</w:t>
            </w:r>
          </w:p>
        </w:tc>
        <w:tc>
          <w:tcPr>
            <w:tcW w:w="2020" w:type="dxa"/>
            <w:vAlign w:val="bottom"/>
            <w:tcBorders>
              <w:top w:val="single" w:sz="8" w:color="auto"/>
              <w:right w:val="single" w:sz="8" w:color="434F69"/>
            </w:tcBorders>
            <w:shd w:val="clear" w:color="auto" w:fill="434F69"/>
          </w:tcPr>
          <w:p>
            <w:pPr>
              <w:spacing w:after="0"/>
              <w:rPr>
                <w:sz w:val="15"/>
                <w:szCs w:val="15"/>
                <w:color w:val="auto"/>
              </w:rPr>
            </w:pPr>
          </w:p>
        </w:tc>
      </w:tr>
      <w:tr>
        <w:trPr>
          <w:trHeight w:val="162"/>
        </w:trPr>
        <w:tc>
          <w:tcPr>
            <w:tcW w:w="3620" w:type="dxa"/>
            <w:vAlign w:val="bottom"/>
            <w:tcBorders>
              <w:left w:val="single" w:sz="8" w:color="434F69"/>
              <w:right w:val="single" w:sz="8" w:color="434F69"/>
            </w:tcBorders>
            <w:shd w:val="clear" w:color="auto" w:fill="434F69"/>
          </w:tcPr>
          <w:p>
            <w:pPr>
              <w:spacing w:after="0"/>
              <w:rPr>
                <w:sz w:val="14"/>
                <w:szCs w:val="14"/>
                <w:color w:val="auto"/>
              </w:rPr>
            </w:pPr>
          </w:p>
        </w:tc>
        <w:tc>
          <w:tcPr>
            <w:tcW w:w="1840" w:type="dxa"/>
            <w:vAlign w:val="bottom"/>
            <w:tcBorders>
              <w:right w:val="single" w:sz="8" w:color="434F69"/>
            </w:tcBorders>
            <w:shd w:val="clear" w:color="auto" w:fill="434F69"/>
          </w:tcPr>
          <w:p>
            <w:pPr>
              <w:jc w:val="center"/>
              <w:ind w:right="14"/>
              <w:spacing w:after="0"/>
              <w:rPr>
                <w:sz w:val="20"/>
                <w:szCs w:val="20"/>
                <w:color w:val="auto"/>
              </w:rPr>
            </w:pPr>
            <w:r>
              <w:rPr>
                <w:rFonts w:ascii="Arial" w:cs="Arial" w:eastAsia="Arial" w:hAnsi="Arial"/>
                <w:sz w:val="14"/>
                <w:szCs w:val="14"/>
                <w:b w:val="1"/>
                <w:bCs w:val="1"/>
                <w:color w:val="FFFFFF"/>
              </w:rPr>
              <w:t>Phantom</w:t>
            </w:r>
          </w:p>
        </w:tc>
        <w:tc>
          <w:tcPr>
            <w:tcW w:w="2020" w:type="dxa"/>
            <w:vAlign w:val="bottom"/>
            <w:tcBorders>
              <w:right w:val="single" w:sz="8" w:color="434F69"/>
            </w:tcBorders>
            <w:shd w:val="clear" w:color="auto" w:fill="434F69"/>
          </w:tcPr>
          <w:p>
            <w:pPr>
              <w:spacing w:after="0"/>
              <w:rPr>
                <w:sz w:val="14"/>
                <w:szCs w:val="14"/>
                <w:color w:val="auto"/>
              </w:rPr>
            </w:pPr>
          </w:p>
        </w:tc>
      </w:tr>
      <w:tr>
        <w:trPr>
          <w:trHeight w:val="162"/>
        </w:trPr>
        <w:tc>
          <w:tcPr>
            <w:tcW w:w="3620" w:type="dxa"/>
            <w:vAlign w:val="bottom"/>
            <w:tcBorders>
              <w:left w:val="single" w:sz="8" w:color="434F69"/>
              <w:right w:val="single" w:sz="8" w:color="434F69"/>
            </w:tcBorders>
            <w:shd w:val="clear" w:color="auto" w:fill="434F69"/>
          </w:tcPr>
          <w:p>
            <w:pPr>
              <w:spacing w:after="0"/>
              <w:rPr>
                <w:sz w:val="14"/>
                <w:szCs w:val="14"/>
                <w:color w:val="auto"/>
              </w:rPr>
            </w:pPr>
          </w:p>
        </w:tc>
        <w:tc>
          <w:tcPr>
            <w:tcW w:w="18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Class A</w:t>
            </w:r>
          </w:p>
        </w:tc>
        <w:tc>
          <w:tcPr>
            <w:tcW w:w="2020" w:type="dxa"/>
            <w:vAlign w:val="bottom"/>
            <w:tcBorders>
              <w:right w:val="single" w:sz="8" w:color="434F69"/>
            </w:tcBorders>
            <w:shd w:val="clear" w:color="auto" w:fill="434F69"/>
          </w:tcPr>
          <w:p>
            <w:pPr>
              <w:spacing w:after="0"/>
              <w:rPr>
                <w:sz w:val="14"/>
                <w:szCs w:val="14"/>
                <w:color w:val="auto"/>
              </w:rPr>
            </w:pPr>
          </w:p>
        </w:tc>
      </w:tr>
      <w:tr>
        <w:trPr>
          <w:trHeight w:val="196"/>
        </w:trPr>
        <w:tc>
          <w:tcPr>
            <w:tcW w:w="362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Director Name:</w:t>
            </w:r>
          </w:p>
        </w:tc>
        <w:tc>
          <w:tcPr>
            <w:tcW w:w="18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20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Vesting Date</w:t>
            </w:r>
          </w:p>
        </w:tc>
      </w:tr>
      <w:tr>
        <w:trPr>
          <w:trHeight w:val="229"/>
        </w:trPr>
        <w:tc>
          <w:tcPr>
            <w:tcW w:w="36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Raymond</w:t>
            </w:r>
          </w:p>
        </w:tc>
        <w:tc>
          <w:tcPr>
            <w:tcW w:w="1840" w:type="dxa"/>
            <w:vAlign w:val="bottom"/>
            <w:tcBorders>
              <w:bottom w:val="single" w:sz="8" w:color="434F69"/>
              <w:right w:val="single" w:sz="8" w:color="434F69"/>
            </w:tcBorders>
          </w:tcPr>
          <w:p>
            <w:pPr>
              <w:jc w:val="right"/>
              <w:ind w:right="574"/>
              <w:spacing w:after="0"/>
              <w:rPr>
                <w:sz w:val="20"/>
                <w:szCs w:val="20"/>
                <w:color w:val="auto"/>
              </w:rPr>
            </w:pPr>
            <w:r>
              <w:rPr>
                <w:rFonts w:ascii="Arial" w:cs="Arial" w:eastAsia="Arial" w:hAnsi="Arial"/>
                <w:sz w:val="18"/>
                <w:szCs w:val="18"/>
                <w:color w:val="auto"/>
              </w:rPr>
              <w:t>3,903</w:t>
            </w:r>
          </w:p>
        </w:tc>
        <w:tc>
          <w:tcPr>
            <w:tcW w:w="20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Aug 2022</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4,170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2023</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15,290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r>
      <w:tr>
        <w:trPr>
          <w:trHeight w:val="196"/>
        </w:trPr>
        <w:tc>
          <w:tcPr>
            <w:tcW w:w="3620" w:type="dxa"/>
            <w:vAlign w:val="bottom"/>
            <w:tcBorders>
              <w:left w:val="single" w:sz="8" w:color="434F69"/>
              <w:bottom w:val="single" w:sz="8" w:color="434F69"/>
              <w:right w:val="single" w:sz="8" w:color="434F69"/>
            </w:tcBorders>
            <w:shd w:val="clear" w:color="auto" w:fill="D9DCE1"/>
          </w:tcPr>
          <w:p>
            <w:pPr>
              <w:jc w:val="right"/>
              <w:ind w:right="2892"/>
              <w:spacing w:after="0" w:line="196"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line="196" w:lineRule="exact"/>
              <w:rPr>
                <w:sz w:val="20"/>
                <w:szCs w:val="20"/>
                <w:color w:val="auto"/>
              </w:rPr>
            </w:pPr>
            <w:r>
              <w:rPr>
                <w:rFonts w:ascii="Arial" w:cs="Arial" w:eastAsia="Arial" w:hAnsi="Arial"/>
                <w:sz w:val="18"/>
                <w:szCs w:val="18"/>
                <w:b w:val="1"/>
                <w:bCs w:val="1"/>
                <w:color w:val="auto"/>
              </w:rPr>
              <w:t>35,263</w:t>
            </w:r>
          </w:p>
        </w:tc>
        <w:tc>
          <w:tcPr>
            <w:tcW w:w="202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620" w:type="dxa"/>
            <w:vAlign w:val="bottom"/>
            <w:tcBorders>
              <w:left w:val="single" w:sz="8" w:color="434F69"/>
              <w:bottom w:val="single" w:sz="8" w:color="434F69"/>
              <w:right w:val="single" w:sz="8" w:color="434F69"/>
            </w:tcBorders>
          </w:tcPr>
          <w:p>
            <w:pPr>
              <w:ind w:left="60"/>
              <w:spacing w:after="0" w:line="196" w:lineRule="exact"/>
              <w:rPr>
                <w:sz w:val="20"/>
                <w:szCs w:val="20"/>
                <w:color w:val="auto"/>
              </w:rPr>
            </w:pPr>
            <w:r>
              <w:rPr>
                <w:rFonts w:ascii="Arial" w:cs="Arial" w:eastAsia="Arial" w:hAnsi="Arial"/>
                <w:sz w:val="18"/>
                <w:szCs w:val="18"/>
                <w:color w:val="auto"/>
              </w:rPr>
              <w:t>Shackouls</w:t>
            </w: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4,879</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2022</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5,220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2023</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15,290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r>
      <w:tr>
        <w:trPr>
          <w:trHeight w:val="196"/>
        </w:trPr>
        <w:tc>
          <w:tcPr>
            <w:tcW w:w="3620" w:type="dxa"/>
            <w:vAlign w:val="bottom"/>
            <w:tcBorders>
              <w:left w:val="single" w:sz="8" w:color="434F69"/>
              <w:bottom w:val="single" w:sz="8" w:color="434F69"/>
              <w:right w:val="single" w:sz="8" w:color="434F69"/>
            </w:tcBorders>
            <w:shd w:val="clear" w:color="auto" w:fill="D9DCE1"/>
          </w:tcPr>
          <w:p>
            <w:pPr>
              <w:jc w:val="right"/>
              <w:ind w:right="2892"/>
              <w:spacing w:after="0" w:line="196"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line="196" w:lineRule="exact"/>
              <w:rPr>
                <w:sz w:val="20"/>
                <w:szCs w:val="20"/>
                <w:color w:val="auto"/>
              </w:rPr>
            </w:pPr>
            <w:r>
              <w:rPr>
                <w:rFonts w:ascii="Arial" w:cs="Arial" w:eastAsia="Arial" w:hAnsi="Arial"/>
                <w:sz w:val="18"/>
                <w:szCs w:val="18"/>
                <w:b w:val="1"/>
                <w:bCs w:val="1"/>
                <w:color w:val="auto"/>
              </w:rPr>
              <w:t>37,289</w:t>
            </w:r>
          </w:p>
        </w:tc>
        <w:tc>
          <w:tcPr>
            <w:tcW w:w="202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620" w:type="dxa"/>
            <w:vAlign w:val="bottom"/>
            <w:tcBorders>
              <w:left w:val="single" w:sz="8" w:color="434F69"/>
              <w:bottom w:val="single" w:sz="8" w:color="434F69"/>
              <w:right w:val="single" w:sz="8" w:color="434F69"/>
            </w:tcBorders>
          </w:tcPr>
          <w:p>
            <w:pPr>
              <w:jc w:val="right"/>
              <w:ind w:right="2892"/>
              <w:spacing w:after="0" w:line="196" w:lineRule="exact"/>
              <w:rPr>
                <w:sz w:val="20"/>
                <w:szCs w:val="20"/>
                <w:color w:val="auto"/>
              </w:rPr>
            </w:pPr>
            <w:r>
              <w:rPr>
                <w:rFonts w:ascii="Arial" w:cs="Arial" w:eastAsia="Arial" w:hAnsi="Arial"/>
                <w:sz w:val="18"/>
                <w:szCs w:val="18"/>
                <w:color w:val="auto"/>
              </w:rPr>
              <w:t>Temple</w:t>
            </w: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4,879</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2022</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5,220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2023</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15,290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r>
      <w:tr>
        <w:trPr>
          <w:trHeight w:val="196"/>
        </w:trPr>
        <w:tc>
          <w:tcPr>
            <w:tcW w:w="3620" w:type="dxa"/>
            <w:vAlign w:val="bottom"/>
            <w:tcBorders>
              <w:left w:val="single" w:sz="8" w:color="434F69"/>
              <w:bottom w:val="single" w:sz="8" w:color="434F69"/>
              <w:right w:val="single" w:sz="8" w:color="434F69"/>
            </w:tcBorders>
            <w:shd w:val="clear" w:color="auto" w:fill="D9DCE1"/>
          </w:tcPr>
          <w:p>
            <w:pPr>
              <w:jc w:val="right"/>
              <w:ind w:right="2892"/>
              <w:spacing w:after="0" w:line="196" w:lineRule="exact"/>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line="196" w:lineRule="exact"/>
              <w:rPr>
                <w:sz w:val="20"/>
                <w:szCs w:val="20"/>
                <w:color w:val="auto"/>
              </w:rPr>
            </w:pPr>
            <w:r>
              <w:rPr>
                <w:rFonts w:ascii="Arial" w:cs="Arial" w:eastAsia="Arial" w:hAnsi="Arial"/>
                <w:sz w:val="18"/>
                <w:szCs w:val="18"/>
                <w:b w:val="1"/>
                <w:bCs w:val="1"/>
                <w:color w:val="auto"/>
              </w:rPr>
              <w:t>37,289</w:t>
            </w:r>
          </w:p>
        </w:tc>
        <w:tc>
          <w:tcPr>
            <w:tcW w:w="202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620" w:type="dxa"/>
            <w:vAlign w:val="bottom"/>
            <w:tcBorders>
              <w:left w:val="single" w:sz="8" w:color="434F69"/>
              <w:bottom w:val="single" w:sz="8" w:color="434F69"/>
              <w:right w:val="single" w:sz="8" w:color="434F69"/>
            </w:tcBorders>
          </w:tcPr>
          <w:p>
            <w:pPr>
              <w:jc w:val="right"/>
              <w:ind w:right="2872"/>
              <w:spacing w:after="0" w:line="196" w:lineRule="exact"/>
              <w:rPr>
                <w:sz w:val="20"/>
                <w:szCs w:val="20"/>
                <w:color w:val="auto"/>
              </w:rPr>
            </w:pPr>
            <w:r>
              <w:rPr>
                <w:rFonts w:ascii="Arial" w:cs="Arial" w:eastAsia="Arial" w:hAnsi="Arial"/>
                <w:sz w:val="18"/>
                <w:szCs w:val="18"/>
                <w:color w:val="auto"/>
              </w:rPr>
              <w:t>Ziemba</w:t>
            </w: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6,480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2022</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6,480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2023</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15,290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2024</w:t>
            </w:r>
          </w:p>
        </w:tc>
      </w:tr>
      <w:tr>
        <w:trPr>
          <w:trHeight w:val="196"/>
        </w:trPr>
        <w:tc>
          <w:tcPr>
            <w:tcW w:w="3620" w:type="dxa"/>
            <w:vAlign w:val="bottom"/>
            <w:tcBorders>
              <w:left w:val="single" w:sz="8" w:color="434F69"/>
              <w:bottom w:val="single" w:sz="8" w:color="434F69"/>
              <w:right w:val="single" w:sz="8" w:color="434F69"/>
            </w:tcBorders>
          </w:tcPr>
          <w:p>
            <w:pPr>
              <w:spacing w:after="0"/>
              <w:rPr>
                <w:sz w:val="17"/>
                <w:szCs w:val="17"/>
                <w:color w:val="auto"/>
              </w:rPr>
            </w:pPr>
          </w:p>
        </w:tc>
        <w:tc>
          <w:tcPr>
            <w:tcW w:w="1840" w:type="dxa"/>
            <w:vAlign w:val="bottom"/>
            <w:tcBorders>
              <w:bottom w:val="single" w:sz="8" w:color="434F69"/>
              <w:right w:val="single" w:sz="8" w:color="434F69"/>
            </w:tcBorders>
          </w:tcPr>
          <w:p>
            <w:pPr>
              <w:jc w:val="right"/>
              <w:ind w:right="574"/>
              <w:spacing w:after="0" w:line="196" w:lineRule="exact"/>
              <w:rPr>
                <w:sz w:val="20"/>
                <w:szCs w:val="20"/>
                <w:color w:val="auto"/>
              </w:rPr>
            </w:pPr>
            <w:r>
              <w:rPr>
                <w:rFonts w:ascii="Arial" w:cs="Arial" w:eastAsia="Arial" w:hAnsi="Arial"/>
                <w:sz w:val="18"/>
                <w:szCs w:val="18"/>
                <w:color w:val="auto"/>
              </w:rPr>
              <w:t>11,900</w:t>
            </w:r>
          </w:p>
        </w:tc>
        <w:tc>
          <w:tcPr>
            <w:tcW w:w="202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rPr>
              <w:t>Aug 2025</w:t>
            </w:r>
          </w:p>
        </w:tc>
      </w:tr>
      <w:tr>
        <w:trPr>
          <w:trHeight w:val="209"/>
        </w:trPr>
        <w:tc>
          <w:tcPr>
            <w:tcW w:w="3620" w:type="dxa"/>
            <w:vAlign w:val="bottom"/>
            <w:tcBorders>
              <w:left w:val="single" w:sz="8" w:color="434F69"/>
              <w:bottom w:val="single" w:sz="8" w:color="434F69"/>
              <w:right w:val="single" w:sz="8" w:color="434F69"/>
            </w:tcBorders>
            <w:shd w:val="clear" w:color="auto" w:fill="D9DCE1"/>
          </w:tcPr>
          <w:p>
            <w:pPr>
              <w:jc w:val="right"/>
              <w:ind w:right="2892"/>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434F69"/>
              <w:right w:val="single" w:sz="8" w:color="434F69"/>
            </w:tcBorders>
            <w:shd w:val="clear" w:color="auto" w:fill="D9DCE1"/>
          </w:tcPr>
          <w:p>
            <w:pPr>
              <w:jc w:val="right"/>
              <w:ind w:right="574"/>
              <w:spacing w:after="0"/>
              <w:rPr>
                <w:sz w:val="20"/>
                <w:szCs w:val="20"/>
                <w:color w:val="auto"/>
              </w:rPr>
            </w:pPr>
            <w:r>
              <w:rPr>
                <w:rFonts w:ascii="Arial" w:cs="Arial" w:eastAsia="Arial" w:hAnsi="Arial"/>
                <w:sz w:val="18"/>
                <w:szCs w:val="18"/>
                <w:b w:val="1"/>
                <w:bCs w:val="1"/>
                <w:color w:val="auto"/>
              </w:rPr>
              <w:t>40,150</w:t>
            </w:r>
          </w:p>
        </w:tc>
        <w:tc>
          <w:tcPr>
            <w:tcW w:w="2020" w:type="dxa"/>
            <w:vAlign w:val="bottom"/>
            <w:tcBorders>
              <w:bottom w:val="single" w:sz="8" w:color="434F69"/>
              <w:right w:val="single" w:sz="8" w:color="434F69"/>
            </w:tcBorders>
            <w:shd w:val="clear" w:color="auto" w:fill="D9DCE1"/>
          </w:tcPr>
          <w:p>
            <w:pPr>
              <w:spacing w:after="0"/>
              <w:rPr>
                <w:sz w:val="18"/>
                <w:szCs w:val="18"/>
                <w:color w:val="auto"/>
              </w:rPr>
            </w:pPr>
          </w:p>
        </w:tc>
      </w:tr>
    </w:tbl>
    <w:p>
      <w:pPr>
        <w:spacing w:after="0" w:line="202" w:lineRule="exact"/>
        <w:rPr>
          <w:sz w:val="20"/>
          <w:szCs w:val="20"/>
          <w:color w:val="auto"/>
        </w:rPr>
      </w:pPr>
    </w:p>
    <w:p>
      <w:pPr>
        <w:ind w:left="1620" w:right="439" w:hanging="360"/>
        <w:spacing w:after="0" w:line="231"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Mr. Armstrong served as Senior Advisor to the CEO during 2021 and received a salary of $250,000 and other compensation of $15,960 (comprising 401(k) plan matching contributions and premium payments for group term life insurance) for his services as an employee. Pursuant to his employment agreement, Mr. Armstrong will serve as a director and will also serve as Senior Advisor to the CEO until the date of the 2024 annual meeting and will receive an annual salary of $250,000 for these services. Mr. Armstrong does not hold any LTIP Awards.</w:t>
      </w:r>
    </w:p>
    <w:p>
      <w:pPr>
        <w:spacing w:after="0" w:line="1" w:lineRule="exact"/>
        <w:rPr>
          <w:rFonts w:ascii="Arial" w:cs="Arial" w:eastAsia="Arial" w:hAnsi="Arial"/>
          <w:sz w:val="27"/>
          <w:szCs w:val="27"/>
          <w:color w:val="auto"/>
          <w:vertAlign w:val="superscript"/>
        </w:rPr>
      </w:pPr>
    </w:p>
    <w:p>
      <w:pPr>
        <w:ind w:left="1620" w:hanging="360"/>
        <w:spacing w:after="0" w:line="219"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Fees paid to Mr. McCarthy in 2021 included $1,912 earned in the prior year.</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During 2021, each non-employee director received an annual retainer fee of $75,000. In addition to their annual retainer, each committee chairman (other than the audit committee chairman) received an additional retainer of $10,000, the audit committee chairman received an additional retainer of $30,000, each other member of the audit committee received an additional retainer of $15,000, and the Lead Director received an additional retainer of $35,000.</w:t>
      </w:r>
    </w:p>
    <w:p>
      <w:pPr>
        <w:spacing w:after="0" w:line="135"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pacing w:after="0" w:line="135" w:lineRule="exact"/>
        <w:rPr>
          <w:sz w:val="20"/>
          <w:szCs w:val="20"/>
          <w:color w:val="auto"/>
        </w:rPr>
      </w:pPr>
    </w:p>
    <w:p>
      <w:pPr>
        <w:ind w:left="1260" w:right="1239" w:firstLine="360"/>
        <w:spacing w:after="0" w:line="274" w:lineRule="auto"/>
        <w:rPr>
          <w:sz w:val="20"/>
          <w:szCs w:val="20"/>
          <w:color w:val="auto"/>
        </w:rPr>
      </w:pPr>
      <w:r>
        <w:rPr>
          <w:rFonts w:ascii="Arial" w:cs="Arial" w:eastAsia="Arial" w:hAnsi="Arial"/>
          <w:sz w:val="17"/>
          <w:szCs w:val="17"/>
          <w:color w:val="auto"/>
        </w:rPr>
        <w:t>Messrs. Armstrong, Chiang and Pefanis are otherwise compensated for their services as employees and therefore receive no separate compensation for their services as directors.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Our non-employee directors receive annual LTIP awards as part of their compensation. Such LTIP awards consist of PAGP phantom Class A shares having a market value on the date of grant equal to approximately $125,000 (based on a volume weighted average price for the 10-trading day period beginning five days before and ending five days after the ex-dividend date immediately preceding the date of grant). The annual LTIP awards granted in 2021 will vest (become payable in PAGP Class A shares on a one-for-one basis) on the August 2025 distribution date, and include associated DERs.</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166"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PAA does not pay its general partner a management fee, but it does reimburse its general partner for all direct and indirect costs of services provided to PAA, incurred on PAA’s behalf, including the costs of employee, officer and director compensation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w:t>
      </w:r>
    </w:p>
    <w:p>
      <w:pPr>
        <w:spacing w:after="0" w:line="166" w:lineRule="exact"/>
        <w:rPr>
          <w:sz w:val="20"/>
          <w:szCs w:val="20"/>
          <w:color w:val="auto"/>
        </w:rPr>
      </w:pPr>
    </w:p>
    <w:p>
      <w:pPr>
        <w:ind w:left="1260" w:right="780" w:firstLine="360"/>
        <w:spacing w:after="0" w:line="252" w:lineRule="auto"/>
        <w:rPr>
          <w:sz w:val="20"/>
          <w:szCs w:val="20"/>
          <w:color w:val="auto"/>
        </w:rPr>
      </w:pPr>
      <w:r>
        <w:rPr>
          <w:rFonts w:ascii="Arial" w:cs="Arial" w:eastAsia="Arial" w:hAnsi="Arial"/>
          <w:sz w:val="18"/>
          <w:szCs w:val="18"/>
          <w:color w:val="auto"/>
        </w:rPr>
        <w:t>Our Class A, Class B and Class C shares outstanding represent 100% of our voting securities. The following table sets forth certain information regarding the beneficial ownership of our Class A, Class B and Class C shares as of March 28, 2022 (unless otherwise noted) by each person who is known to us to beneficially own more than 5% of our Class A shares, each person who is known to us to beneficially own more than 5% of our Class B shares, each person who is known to us to beneficially own more than 5% of our Class C shares, the Named Executive Officers, our directors, and all directors and executive officers as a group.</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480" w:type="dxa"/>
            <w:vAlign w:val="bottom"/>
            <w:shd w:val="clear" w:color="auto" w:fill="434F69"/>
          </w:tcPr>
          <w:p>
            <w:pPr>
              <w:spacing w:after="0"/>
              <w:rPr>
                <w:sz w:val="17"/>
                <w:szCs w:val="17"/>
                <w:color w:val="auto"/>
              </w:rPr>
            </w:pPr>
          </w:p>
        </w:tc>
        <w:tc>
          <w:tcPr>
            <w:tcW w:w="1080" w:type="dxa"/>
            <w:vAlign w:val="bottom"/>
            <w:shd w:val="clear" w:color="auto" w:fill="434F69"/>
          </w:tcPr>
          <w:p>
            <w:pPr>
              <w:spacing w:after="0"/>
              <w:rPr>
                <w:sz w:val="17"/>
                <w:szCs w:val="17"/>
                <w:color w:val="auto"/>
              </w:rPr>
            </w:pPr>
          </w:p>
        </w:tc>
        <w:tc>
          <w:tcPr>
            <w:tcW w:w="1040" w:type="dxa"/>
            <w:vAlign w:val="bottom"/>
            <w:shd w:val="clear" w:color="auto" w:fill="434F69"/>
          </w:tcPr>
          <w:p>
            <w:pPr>
              <w:spacing w:after="0"/>
              <w:rPr>
                <w:sz w:val="17"/>
                <w:szCs w:val="17"/>
                <w:color w:val="auto"/>
              </w:rPr>
            </w:pPr>
          </w:p>
        </w:tc>
        <w:tc>
          <w:tcPr>
            <w:tcW w:w="1020" w:type="dxa"/>
            <w:vAlign w:val="bottom"/>
            <w:shd w:val="clear" w:color="auto" w:fill="434F69"/>
          </w:tcPr>
          <w:p>
            <w:pPr>
              <w:spacing w:after="0"/>
              <w:rPr>
                <w:sz w:val="17"/>
                <w:szCs w:val="17"/>
                <w:color w:val="auto"/>
              </w:rPr>
            </w:pPr>
          </w:p>
        </w:tc>
        <w:tc>
          <w:tcPr>
            <w:tcW w:w="1020" w:type="dxa"/>
            <w:vAlign w:val="bottom"/>
            <w:shd w:val="clear" w:color="auto" w:fill="434F69"/>
          </w:tcPr>
          <w:p>
            <w:pPr>
              <w:spacing w:after="0"/>
              <w:rPr>
                <w:sz w:val="17"/>
                <w:szCs w:val="17"/>
                <w:color w:val="auto"/>
              </w:rPr>
            </w:pPr>
          </w:p>
        </w:tc>
        <w:tc>
          <w:tcPr>
            <w:tcW w:w="1060" w:type="dxa"/>
            <w:vAlign w:val="bottom"/>
            <w:shd w:val="clear" w:color="auto" w:fill="434F69"/>
          </w:tcPr>
          <w:p>
            <w:pPr>
              <w:spacing w:after="0"/>
              <w:rPr>
                <w:sz w:val="17"/>
                <w:szCs w:val="17"/>
                <w:color w:val="auto"/>
              </w:rPr>
            </w:pPr>
          </w:p>
        </w:tc>
        <w:tc>
          <w:tcPr>
            <w:tcW w:w="1000" w:type="dxa"/>
            <w:vAlign w:val="bottom"/>
            <w:shd w:val="clear" w:color="auto" w:fill="434F69"/>
          </w:tcPr>
          <w:p>
            <w:pPr>
              <w:spacing w:after="0"/>
              <w:rPr>
                <w:sz w:val="17"/>
                <w:szCs w:val="17"/>
                <w:color w:val="auto"/>
              </w:rPr>
            </w:pP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r>
      <w:tr>
        <w:trPr>
          <w:trHeight w:val="162"/>
        </w:trPr>
        <w:tc>
          <w:tcPr>
            <w:tcW w:w="2480" w:type="dxa"/>
            <w:vAlign w:val="bottom"/>
            <w:shd w:val="clear" w:color="auto" w:fill="434F69"/>
          </w:tcPr>
          <w:p>
            <w:pPr>
              <w:spacing w:after="0"/>
              <w:rPr>
                <w:sz w:val="14"/>
                <w:szCs w:val="14"/>
                <w:color w:val="auto"/>
              </w:rPr>
            </w:pPr>
          </w:p>
        </w:tc>
        <w:tc>
          <w:tcPr>
            <w:tcW w:w="1080" w:type="dxa"/>
            <w:vAlign w:val="bottom"/>
            <w:shd w:val="clear" w:color="auto" w:fill="434F69"/>
          </w:tcPr>
          <w:p>
            <w:pPr>
              <w:spacing w:after="0"/>
              <w:rPr>
                <w:sz w:val="14"/>
                <w:szCs w:val="14"/>
                <w:color w:val="auto"/>
              </w:rPr>
            </w:pPr>
          </w:p>
        </w:tc>
        <w:tc>
          <w:tcPr>
            <w:tcW w:w="10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c>
          <w:tcPr>
            <w:tcW w:w="1020" w:type="dxa"/>
            <w:vAlign w:val="bottom"/>
            <w:shd w:val="clear" w:color="auto" w:fill="434F69"/>
          </w:tcPr>
          <w:p>
            <w:pPr>
              <w:spacing w:after="0"/>
              <w:rPr>
                <w:sz w:val="14"/>
                <w:szCs w:val="14"/>
                <w:color w:val="auto"/>
              </w:rPr>
            </w:pP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c>
          <w:tcPr>
            <w:tcW w:w="1060" w:type="dxa"/>
            <w:vAlign w:val="bottom"/>
            <w:shd w:val="clear" w:color="auto" w:fill="434F69"/>
          </w:tcPr>
          <w:p>
            <w:pPr>
              <w:spacing w:after="0"/>
              <w:rPr>
                <w:sz w:val="14"/>
                <w:szCs w:val="14"/>
                <w:color w:val="auto"/>
              </w:rPr>
            </w:pPr>
          </w:p>
        </w:tc>
        <w:tc>
          <w:tcPr>
            <w:tcW w:w="10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of</w:t>
            </w:r>
          </w:p>
        </w:tc>
      </w:tr>
      <w:tr>
        <w:trPr>
          <w:trHeight w:val="162"/>
        </w:trPr>
        <w:tc>
          <w:tcPr>
            <w:tcW w:w="2480" w:type="dxa"/>
            <w:vAlign w:val="bottom"/>
            <w:shd w:val="clear" w:color="auto" w:fill="434F69"/>
          </w:tcPr>
          <w:p>
            <w:pPr>
              <w:spacing w:after="0"/>
              <w:rPr>
                <w:sz w:val="14"/>
                <w:szCs w:val="14"/>
                <w:color w:val="auto"/>
              </w:rPr>
            </w:pPr>
          </w:p>
        </w:tc>
        <w:tc>
          <w:tcPr>
            <w:tcW w:w="1080" w:type="dxa"/>
            <w:vAlign w:val="bottom"/>
            <w:shd w:val="clear" w:color="auto" w:fill="434F69"/>
          </w:tcPr>
          <w:p>
            <w:pPr>
              <w:jc w:val="center"/>
              <w:ind w:left="8"/>
              <w:spacing w:after="0"/>
              <w:rPr>
                <w:sz w:val="20"/>
                <w:szCs w:val="20"/>
                <w:color w:val="auto"/>
              </w:rPr>
            </w:pPr>
            <w:r>
              <w:rPr>
                <w:rFonts w:ascii="Arial" w:cs="Arial" w:eastAsia="Arial" w:hAnsi="Arial"/>
                <w:sz w:val="14"/>
                <w:szCs w:val="14"/>
                <w:b w:val="1"/>
                <w:bCs w:val="1"/>
                <w:color w:val="FFFFFF"/>
              </w:rPr>
              <w:t>Class A</w:t>
            </w:r>
          </w:p>
        </w:tc>
        <w:tc>
          <w:tcPr>
            <w:tcW w:w="10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of Class A</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Class B</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of Class B</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Class C</w:t>
            </w:r>
          </w:p>
        </w:tc>
        <w:tc>
          <w:tcPr>
            <w:tcW w:w="10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of Class C</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Class A,</w:t>
            </w:r>
          </w:p>
        </w:tc>
      </w:tr>
      <w:tr>
        <w:trPr>
          <w:trHeight w:val="162"/>
        </w:trPr>
        <w:tc>
          <w:tcPr>
            <w:tcW w:w="2480" w:type="dxa"/>
            <w:vAlign w:val="bottom"/>
            <w:shd w:val="clear" w:color="auto" w:fill="434F69"/>
          </w:tcPr>
          <w:p>
            <w:pPr>
              <w:ind w:left="60"/>
              <w:spacing w:after="0"/>
              <w:rPr>
                <w:sz w:val="20"/>
                <w:szCs w:val="20"/>
                <w:color w:val="auto"/>
              </w:rPr>
            </w:pPr>
            <w:r>
              <w:rPr>
                <w:rFonts w:ascii="Arial" w:cs="Arial" w:eastAsia="Arial" w:hAnsi="Arial"/>
                <w:sz w:val="14"/>
                <w:szCs w:val="14"/>
                <w:b w:val="1"/>
                <w:bCs w:val="1"/>
                <w:color w:val="FFFFFF"/>
              </w:rPr>
              <w:t>Name of Beneficial Owner and</w:t>
            </w:r>
          </w:p>
        </w:tc>
        <w:tc>
          <w:tcPr>
            <w:tcW w:w="1080" w:type="dxa"/>
            <w:vAlign w:val="bottom"/>
            <w:shd w:val="clear" w:color="auto" w:fill="434F69"/>
          </w:tcPr>
          <w:p>
            <w:pPr>
              <w:jc w:val="center"/>
              <w:ind w:left="8"/>
              <w:spacing w:after="0"/>
              <w:rPr>
                <w:sz w:val="20"/>
                <w:szCs w:val="20"/>
                <w:color w:val="auto"/>
              </w:rPr>
            </w:pPr>
            <w:r>
              <w:rPr>
                <w:rFonts w:ascii="Arial" w:cs="Arial" w:eastAsia="Arial" w:hAnsi="Arial"/>
                <w:sz w:val="14"/>
                <w:szCs w:val="14"/>
                <w:b w:val="1"/>
                <w:bCs w:val="1"/>
                <w:color w:val="FFFFFF"/>
              </w:rPr>
              <w:t>Shares</w:t>
            </w:r>
          </w:p>
        </w:tc>
        <w:tc>
          <w:tcPr>
            <w:tcW w:w="10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10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B and C</w:t>
            </w:r>
          </w:p>
        </w:tc>
      </w:tr>
      <w:tr>
        <w:trPr>
          <w:trHeight w:val="162"/>
        </w:trPr>
        <w:tc>
          <w:tcPr>
            <w:tcW w:w="2480" w:type="dxa"/>
            <w:vAlign w:val="bottom"/>
            <w:shd w:val="clear" w:color="auto" w:fill="434F69"/>
          </w:tcPr>
          <w:p>
            <w:pPr>
              <w:ind w:left="60"/>
              <w:spacing w:after="0"/>
              <w:rPr>
                <w:sz w:val="20"/>
                <w:szCs w:val="20"/>
                <w:color w:val="auto"/>
              </w:rPr>
            </w:pPr>
            <w:r>
              <w:rPr>
                <w:rFonts w:ascii="Arial" w:cs="Arial" w:eastAsia="Arial" w:hAnsi="Arial"/>
                <w:sz w:val="14"/>
                <w:szCs w:val="14"/>
                <w:b w:val="1"/>
                <w:bCs w:val="1"/>
                <w:color w:val="FFFFFF"/>
              </w:rPr>
              <w:t>Address (in the case</w:t>
            </w:r>
          </w:p>
        </w:tc>
        <w:tc>
          <w:tcPr>
            <w:tcW w:w="1080" w:type="dxa"/>
            <w:vAlign w:val="bottom"/>
            <w:shd w:val="clear" w:color="auto" w:fill="434F69"/>
          </w:tcPr>
          <w:p>
            <w:pPr>
              <w:jc w:val="center"/>
              <w:ind w:left="8"/>
              <w:spacing w:after="0"/>
              <w:rPr>
                <w:sz w:val="20"/>
                <w:szCs w:val="20"/>
                <w:color w:val="auto"/>
              </w:rPr>
            </w:pPr>
            <w:r>
              <w:rPr>
                <w:rFonts w:ascii="Arial" w:cs="Arial" w:eastAsia="Arial" w:hAnsi="Arial"/>
                <w:sz w:val="14"/>
                <w:szCs w:val="14"/>
                <w:b w:val="1"/>
                <w:bCs w:val="1"/>
                <w:color w:val="FFFFFF"/>
              </w:rPr>
              <w:t>Beneficially</w:t>
            </w:r>
          </w:p>
        </w:tc>
        <w:tc>
          <w:tcPr>
            <w:tcW w:w="10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Beneficially</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Beneficially</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Beneficially</w:t>
            </w:r>
          </w:p>
        </w:tc>
        <w:tc>
          <w:tcPr>
            <w:tcW w:w="10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Beneficially</w:t>
            </w:r>
          </w:p>
        </w:tc>
        <w:tc>
          <w:tcPr>
            <w:tcW w:w="10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Beneficially</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Shares</w:t>
            </w:r>
          </w:p>
        </w:tc>
      </w:tr>
      <w:tr>
        <w:trPr>
          <w:trHeight w:val="175"/>
        </w:trPr>
        <w:tc>
          <w:tcPr>
            <w:tcW w:w="2480" w:type="dxa"/>
            <w:vAlign w:val="bottom"/>
            <w:shd w:val="clear" w:color="auto" w:fill="434F69"/>
          </w:tcPr>
          <w:p>
            <w:pPr>
              <w:ind w:left="60"/>
              <w:spacing w:after="0"/>
              <w:rPr>
                <w:sz w:val="20"/>
                <w:szCs w:val="20"/>
                <w:color w:val="auto"/>
              </w:rPr>
            </w:pPr>
            <w:r>
              <w:rPr>
                <w:rFonts w:ascii="Arial" w:cs="Arial" w:eastAsia="Arial" w:hAnsi="Arial"/>
                <w:sz w:val="14"/>
                <w:szCs w:val="14"/>
                <w:b w:val="1"/>
                <w:bCs w:val="1"/>
                <w:color w:val="FFFFFF"/>
              </w:rPr>
              <w:t>of Owners of more than 5%)</w:t>
            </w:r>
          </w:p>
        </w:tc>
        <w:tc>
          <w:tcPr>
            <w:tcW w:w="1080" w:type="dxa"/>
            <w:vAlign w:val="bottom"/>
            <w:shd w:val="clear" w:color="auto" w:fill="434F69"/>
          </w:tcPr>
          <w:p>
            <w:pPr>
              <w:jc w:val="center"/>
              <w:ind w:left="28"/>
              <w:spacing w:after="0" w:line="176" w:lineRule="exact"/>
              <w:rPr>
                <w:sz w:val="20"/>
                <w:szCs w:val="20"/>
                <w:color w:val="auto"/>
              </w:rPr>
            </w:pPr>
            <w:r>
              <w:rPr>
                <w:rFonts w:ascii="Arial" w:cs="Arial" w:eastAsia="Arial" w:hAnsi="Arial"/>
                <w:sz w:val="14"/>
                <w:szCs w:val="14"/>
                <w:b w:val="1"/>
                <w:bCs w:val="1"/>
                <w:color w:val="FFFFFF"/>
                <w:w w:val="95"/>
              </w:rPr>
              <w:t>Owned</w:t>
            </w:r>
            <w:r>
              <w:rPr>
                <w:rFonts w:ascii="Arial" w:cs="Arial" w:eastAsia="Arial" w:hAnsi="Arial"/>
                <w:sz w:val="17"/>
                <w:szCs w:val="17"/>
                <w:b w:val="1"/>
                <w:bCs w:val="1"/>
                <w:color w:val="FFFFFF"/>
                <w:w w:val="95"/>
                <w:vertAlign w:val="superscript"/>
              </w:rPr>
              <w:t>(1)</w:t>
            </w:r>
          </w:p>
        </w:tc>
        <w:tc>
          <w:tcPr>
            <w:tcW w:w="10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Owned</w:t>
            </w:r>
          </w:p>
        </w:tc>
        <w:tc>
          <w:tcPr>
            <w:tcW w:w="1020" w:type="dxa"/>
            <w:vAlign w:val="bottom"/>
            <w:shd w:val="clear" w:color="auto" w:fill="434F69"/>
          </w:tcPr>
          <w:p>
            <w:pPr>
              <w:jc w:val="center"/>
              <w:spacing w:after="0" w:line="175" w:lineRule="exact"/>
              <w:rPr>
                <w:sz w:val="20"/>
                <w:szCs w:val="20"/>
                <w:color w:val="auto"/>
              </w:rPr>
            </w:pPr>
            <w:r>
              <w:rPr>
                <w:rFonts w:ascii="Arial" w:cs="Arial" w:eastAsia="Arial" w:hAnsi="Arial"/>
                <w:sz w:val="20"/>
                <w:szCs w:val="20"/>
                <w:b w:val="1"/>
                <w:bCs w:val="1"/>
                <w:color w:val="FFFFFF"/>
                <w:vertAlign w:val="subscript"/>
              </w:rPr>
              <w:t>Owned</w:t>
            </w:r>
            <w:r>
              <w:rPr>
                <w:rFonts w:ascii="Arial" w:cs="Arial" w:eastAsia="Arial" w:hAnsi="Arial"/>
                <w:sz w:val="8"/>
                <w:szCs w:val="8"/>
                <w:b w:val="1"/>
                <w:bCs w:val="1"/>
                <w:color w:val="FFFFFF"/>
              </w:rPr>
              <w:t>(1)(2)</w:t>
            </w:r>
          </w:p>
        </w:tc>
        <w:tc>
          <w:tcPr>
            <w:tcW w:w="1020" w:type="dxa"/>
            <w:vAlign w:val="bottom"/>
            <w:shd w:val="clear" w:color="auto" w:fill="434F69"/>
          </w:tcPr>
          <w:p>
            <w:pPr>
              <w:jc w:val="center"/>
              <w:spacing w:after="0" w:line="176" w:lineRule="exact"/>
              <w:rPr>
                <w:sz w:val="20"/>
                <w:szCs w:val="20"/>
                <w:color w:val="auto"/>
              </w:rPr>
            </w:pPr>
            <w:r>
              <w:rPr>
                <w:rFonts w:ascii="Arial" w:cs="Arial" w:eastAsia="Arial" w:hAnsi="Arial"/>
                <w:sz w:val="14"/>
                <w:szCs w:val="14"/>
                <w:b w:val="1"/>
                <w:bCs w:val="1"/>
                <w:color w:val="FFFFFF"/>
                <w:w w:val="95"/>
              </w:rPr>
              <w:t>Owned</w:t>
            </w:r>
            <w:r>
              <w:rPr>
                <w:rFonts w:ascii="Arial" w:cs="Arial" w:eastAsia="Arial" w:hAnsi="Arial"/>
                <w:sz w:val="17"/>
                <w:szCs w:val="17"/>
                <w:b w:val="1"/>
                <w:bCs w:val="1"/>
                <w:color w:val="FFFFFF"/>
                <w:w w:val="95"/>
                <w:vertAlign w:val="superscript"/>
              </w:rPr>
              <w:t>(2)</w:t>
            </w:r>
          </w:p>
        </w:tc>
        <w:tc>
          <w:tcPr>
            <w:tcW w:w="1060" w:type="dxa"/>
            <w:vAlign w:val="bottom"/>
            <w:shd w:val="clear" w:color="auto" w:fill="434F69"/>
          </w:tcPr>
          <w:p>
            <w:pPr>
              <w:jc w:val="center"/>
              <w:spacing w:after="0" w:line="176" w:lineRule="exact"/>
              <w:rPr>
                <w:sz w:val="20"/>
                <w:szCs w:val="20"/>
                <w:color w:val="auto"/>
              </w:rPr>
            </w:pPr>
            <w:r>
              <w:rPr>
                <w:rFonts w:ascii="Arial" w:cs="Arial" w:eastAsia="Arial" w:hAnsi="Arial"/>
                <w:sz w:val="14"/>
                <w:szCs w:val="14"/>
                <w:b w:val="1"/>
                <w:bCs w:val="1"/>
                <w:color w:val="FFFFFF"/>
                <w:w w:val="99"/>
              </w:rPr>
              <w:t>Owned</w:t>
            </w:r>
            <w:r>
              <w:rPr>
                <w:rFonts w:ascii="Arial" w:cs="Arial" w:eastAsia="Arial" w:hAnsi="Arial"/>
                <w:sz w:val="17"/>
                <w:szCs w:val="17"/>
                <w:b w:val="1"/>
                <w:bCs w:val="1"/>
                <w:color w:val="FFFFFF"/>
                <w:w w:val="99"/>
                <w:vertAlign w:val="superscript"/>
              </w:rPr>
              <w:t>(3)</w:t>
            </w:r>
          </w:p>
        </w:tc>
        <w:tc>
          <w:tcPr>
            <w:tcW w:w="10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Owned</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rPr>
              <w:t>Combined</w:t>
            </w:r>
          </w:p>
        </w:tc>
      </w:tr>
      <w:tr>
        <w:trPr>
          <w:trHeight w:val="176"/>
        </w:trPr>
        <w:tc>
          <w:tcPr>
            <w:tcW w:w="2480" w:type="dxa"/>
            <w:vAlign w:val="bottom"/>
            <w:shd w:val="clear" w:color="auto" w:fill="D9DCE1"/>
          </w:tcPr>
          <w:p>
            <w:pPr>
              <w:ind w:left="60"/>
              <w:spacing w:after="0"/>
              <w:rPr>
                <w:sz w:val="20"/>
                <w:szCs w:val="20"/>
                <w:color w:val="auto"/>
              </w:rPr>
            </w:pPr>
            <w:r>
              <w:rPr>
                <w:rFonts w:ascii="Arial" w:cs="Arial" w:eastAsia="Arial" w:hAnsi="Arial"/>
                <w:sz w:val="14"/>
                <w:szCs w:val="14"/>
                <w:color w:val="auto"/>
              </w:rPr>
              <w:t>Massachusetts Financial Services</w:t>
            </w:r>
          </w:p>
        </w:tc>
        <w:tc>
          <w:tcPr>
            <w:tcW w:w="1080" w:type="dxa"/>
            <w:vAlign w:val="bottom"/>
            <w:shd w:val="clear" w:color="auto" w:fill="D9DCE1"/>
          </w:tcPr>
          <w:p>
            <w:pPr>
              <w:spacing w:after="0"/>
              <w:rPr>
                <w:sz w:val="15"/>
                <w:szCs w:val="15"/>
                <w:color w:val="auto"/>
              </w:rPr>
            </w:pPr>
          </w:p>
        </w:tc>
        <w:tc>
          <w:tcPr>
            <w:tcW w:w="1040" w:type="dxa"/>
            <w:vAlign w:val="bottom"/>
            <w:shd w:val="clear" w:color="auto" w:fill="D9DCE1"/>
          </w:tcPr>
          <w:p>
            <w:pPr>
              <w:spacing w:after="0"/>
              <w:rPr>
                <w:sz w:val="15"/>
                <w:szCs w:val="15"/>
                <w:color w:val="auto"/>
              </w:rPr>
            </w:pPr>
          </w:p>
        </w:tc>
        <w:tc>
          <w:tcPr>
            <w:tcW w:w="1020" w:type="dxa"/>
            <w:vAlign w:val="bottom"/>
            <w:shd w:val="clear" w:color="auto" w:fill="D9DCE1"/>
          </w:tcPr>
          <w:p>
            <w:pPr>
              <w:spacing w:after="0"/>
              <w:rPr>
                <w:sz w:val="15"/>
                <w:szCs w:val="15"/>
                <w:color w:val="auto"/>
              </w:rPr>
            </w:pPr>
          </w:p>
        </w:tc>
        <w:tc>
          <w:tcPr>
            <w:tcW w:w="1020" w:type="dxa"/>
            <w:vAlign w:val="bottom"/>
            <w:shd w:val="clear" w:color="auto" w:fill="D9DCE1"/>
          </w:tcPr>
          <w:p>
            <w:pPr>
              <w:spacing w:after="0"/>
              <w:rPr>
                <w:sz w:val="15"/>
                <w:szCs w:val="15"/>
                <w:color w:val="auto"/>
              </w:rPr>
            </w:pPr>
          </w:p>
        </w:tc>
        <w:tc>
          <w:tcPr>
            <w:tcW w:w="1060" w:type="dxa"/>
            <w:vAlign w:val="bottom"/>
            <w:shd w:val="clear" w:color="auto" w:fill="D9DCE1"/>
          </w:tcPr>
          <w:p>
            <w:pPr>
              <w:spacing w:after="0"/>
              <w:rPr>
                <w:sz w:val="15"/>
                <w:szCs w:val="15"/>
                <w:color w:val="auto"/>
              </w:rPr>
            </w:pPr>
          </w:p>
        </w:tc>
        <w:tc>
          <w:tcPr>
            <w:tcW w:w="1000" w:type="dxa"/>
            <w:vAlign w:val="bottom"/>
            <w:shd w:val="clear" w:color="auto" w:fill="D9DCE1"/>
          </w:tcPr>
          <w:p>
            <w:pPr>
              <w:spacing w:after="0"/>
              <w:rPr>
                <w:sz w:val="15"/>
                <w:szCs w:val="15"/>
                <w:color w:val="auto"/>
              </w:rPr>
            </w:pPr>
          </w:p>
        </w:tc>
        <w:tc>
          <w:tcPr>
            <w:tcW w:w="1020" w:type="dxa"/>
            <w:vAlign w:val="bottom"/>
            <w:shd w:val="clear" w:color="auto" w:fill="D9DCE1"/>
          </w:tcPr>
          <w:p>
            <w:pPr>
              <w:spacing w:after="0"/>
              <w:rPr>
                <w:sz w:val="15"/>
                <w:szCs w:val="15"/>
                <w:color w:val="auto"/>
              </w:rPr>
            </w:pPr>
          </w:p>
        </w:tc>
      </w:tr>
      <w:tr>
        <w:trPr>
          <w:trHeight w:val="176"/>
        </w:trPr>
        <w:tc>
          <w:tcPr>
            <w:tcW w:w="2480" w:type="dxa"/>
            <w:vAlign w:val="bottom"/>
            <w:shd w:val="clear" w:color="auto" w:fill="D9DCE1"/>
          </w:tcPr>
          <w:p>
            <w:pPr>
              <w:ind w:left="200"/>
              <w:spacing w:after="0" w:line="176" w:lineRule="exact"/>
              <w:rPr>
                <w:sz w:val="20"/>
                <w:szCs w:val="20"/>
                <w:color w:val="auto"/>
              </w:rPr>
            </w:pPr>
            <w:r>
              <w:rPr>
                <w:rFonts w:ascii="Arial" w:cs="Arial" w:eastAsia="Arial" w:hAnsi="Arial"/>
                <w:sz w:val="14"/>
                <w:szCs w:val="14"/>
                <w:color w:val="auto"/>
              </w:rPr>
              <w:t>Company</w:t>
            </w:r>
            <w:r>
              <w:rPr>
                <w:rFonts w:ascii="Arial" w:cs="Arial" w:eastAsia="Arial" w:hAnsi="Arial"/>
                <w:sz w:val="17"/>
                <w:szCs w:val="17"/>
                <w:color w:val="auto"/>
                <w:vertAlign w:val="superscript"/>
              </w:rPr>
              <w:t>(4)</w:t>
            </w:r>
          </w:p>
        </w:tc>
        <w:tc>
          <w:tcPr>
            <w:tcW w:w="1080" w:type="dxa"/>
            <w:vAlign w:val="bottom"/>
            <w:shd w:val="clear" w:color="auto" w:fill="D9DCE1"/>
          </w:tcPr>
          <w:p>
            <w:pPr>
              <w:jc w:val="right"/>
              <w:ind w:right="48"/>
              <w:spacing w:after="0"/>
              <w:rPr>
                <w:sz w:val="20"/>
                <w:szCs w:val="20"/>
                <w:color w:val="auto"/>
              </w:rPr>
            </w:pPr>
            <w:r>
              <w:rPr>
                <w:rFonts w:ascii="Arial" w:cs="Arial" w:eastAsia="Arial" w:hAnsi="Arial"/>
                <w:sz w:val="14"/>
                <w:szCs w:val="14"/>
                <w:color w:val="auto"/>
              </w:rPr>
              <w:t>13,516,001</w:t>
            </w:r>
          </w:p>
        </w:tc>
        <w:tc>
          <w:tcPr>
            <w:tcW w:w="10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7.0%</w:t>
            </w:r>
          </w:p>
        </w:tc>
        <w:tc>
          <w:tcPr>
            <w:tcW w:w="1020" w:type="dxa"/>
            <w:vAlign w:val="bottom"/>
            <w:shd w:val="clear" w:color="auto" w:fill="D9DCE1"/>
          </w:tcPr>
          <w:p>
            <w:pPr>
              <w:ind w:left="7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CE1"/>
          </w:tcPr>
          <w:p>
            <w:pPr>
              <w:ind w:left="5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9DCE1"/>
          </w:tcPr>
          <w:p>
            <w:pPr>
              <w:ind w:left="8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CE1"/>
          </w:tcPr>
          <w:p>
            <w:pPr>
              <w:jc w:val="right"/>
              <w:ind w:right="148"/>
              <w:spacing w:after="0"/>
              <w:rPr>
                <w:sz w:val="20"/>
                <w:szCs w:val="20"/>
                <w:color w:val="auto"/>
              </w:rPr>
            </w:pPr>
            <w:r>
              <w:rPr>
                <w:rFonts w:ascii="Arial" w:cs="Arial" w:eastAsia="Arial" w:hAnsi="Arial"/>
                <w:sz w:val="14"/>
                <w:szCs w:val="14"/>
                <w:color w:val="auto"/>
              </w:rPr>
              <w:t>1.7%</w:t>
            </w:r>
          </w:p>
        </w:tc>
      </w:tr>
      <w:tr>
        <w:trPr>
          <w:trHeight w:val="217"/>
        </w:trPr>
        <w:tc>
          <w:tcPr>
            <w:tcW w:w="2480" w:type="dxa"/>
            <w:vAlign w:val="bottom"/>
          </w:tcPr>
          <w:p>
            <w:pPr>
              <w:ind w:left="200"/>
              <w:spacing w:after="0"/>
              <w:rPr>
                <w:sz w:val="20"/>
                <w:szCs w:val="20"/>
                <w:color w:val="auto"/>
              </w:rPr>
            </w:pPr>
            <w:r>
              <w:rPr>
                <w:rFonts w:ascii="Arial" w:cs="Arial" w:eastAsia="Arial" w:hAnsi="Arial"/>
                <w:sz w:val="14"/>
                <w:szCs w:val="14"/>
                <w:color w:val="auto"/>
              </w:rPr>
              <w:t>111 Huntington Avenue</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1"/>
        </w:trPr>
        <w:tc>
          <w:tcPr>
            <w:tcW w:w="2480" w:type="dxa"/>
            <w:vAlign w:val="bottom"/>
          </w:tcPr>
          <w:p>
            <w:pPr>
              <w:ind w:left="200"/>
              <w:spacing w:after="0"/>
              <w:rPr>
                <w:sz w:val="20"/>
                <w:szCs w:val="20"/>
                <w:color w:val="auto"/>
              </w:rPr>
            </w:pPr>
            <w:r>
              <w:rPr>
                <w:rFonts w:ascii="Arial" w:cs="Arial" w:eastAsia="Arial" w:hAnsi="Arial"/>
                <w:sz w:val="14"/>
                <w:szCs w:val="14"/>
                <w:color w:val="auto"/>
              </w:rPr>
              <w:t>Boston, MA 02199</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6"/>
        </w:trPr>
        <w:tc>
          <w:tcPr>
            <w:tcW w:w="2480" w:type="dxa"/>
            <w:vAlign w:val="bottom"/>
            <w:shd w:val="clear" w:color="auto" w:fill="D9DCE1"/>
          </w:tcPr>
          <w:p>
            <w:pPr>
              <w:ind w:left="60"/>
              <w:spacing w:after="0"/>
              <w:rPr>
                <w:sz w:val="20"/>
                <w:szCs w:val="20"/>
                <w:color w:val="auto"/>
              </w:rPr>
            </w:pPr>
            <w:r>
              <w:rPr>
                <w:rFonts w:ascii="Arial" w:cs="Arial" w:eastAsia="Arial" w:hAnsi="Arial"/>
                <w:sz w:val="14"/>
                <w:szCs w:val="14"/>
                <w:color w:val="auto"/>
              </w:rPr>
              <w:t>First Trust Advisors L.P.</w:t>
            </w:r>
            <w:r>
              <w:rPr>
                <w:rFonts w:ascii="Arial" w:cs="Arial" w:eastAsia="Arial" w:hAnsi="Arial"/>
                <w:sz w:val="17"/>
                <w:szCs w:val="17"/>
                <w:color w:val="auto"/>
                <w:vertAlign w:val="superscript"/>
              </w:rPr>
              <w:t>(5)</w:t>
            </w:r>
          </w:p>
        </w:tc>
        <w:tc>
          <w:tcPr>
            <w:tcW w:w="1080" w:type="dxa"/>
            <w:vAlign w:val="bottom"/>
            <w:shd w:val="clear" w:color="auto" w:fill="D9DCE1"/>
          </w:tcPr>
          <w:p>
            <w:pPr>
              <w:jc w:val="right"/>
              <w:ind w:right="48"/>
              <w:spacing w:after="0"/>
              <w:rPr>
                <w:sz w:val="20"/>
                <w:szCs w:val="20"/>
                <w:color w:val="auto"/>
              </w:rPr>
            </w:pPr>
            <w:r>
              <w:rPr>
                <w:rFonts w:ascii="Arial" w:cs="Arial" w:eastAsia="Arial" w:hAnsi="Arial"/>
                <w:sz w:val="14"/>
                <w:szCs w:val="14"/>
                <w:color w:val="auto"/>
              </w:rPr>
              <w:t>10,497,965</w:t>
            </w:r>
          </w:p>
        </w:tc>
        <w:tc>
          <w:tcPr>
            <w:tcW w:w="10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5.4%</w:t>
            </w:r>
          </w:p>
        </w:tc>
        <w:tc>
          <w:tcPr>
            <w:tcW w:w="1020" w:type="dxa"/>
            <w:vAlign w:val="bottom"/>
            <w:shd w:val="clear" w:color="auto" w:fill="D9DCE1"/>
          </w:tcPr>
          <w:p>
            <w:pPr>
              <w:ind w:left="7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CE1"/>
          </w:tcPr>
          <w:p>
            <w:pPr>
              <w:ind w:left="5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9DCE1"/>
          </w:tcPr>
          <w:p>
            <w:pPr>
              <w:ind w:left="8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CE1"/>
          </w:tcPr>
          <w:p>
            <w:pPr>
              <w:jc w:val="right"/>
              <w:ind w:right="148"/>
              <w:spacing w:after="0"/>
              <w:rPr>
                <w:sz w:val="20"/>
                <w:szCs w:val="20"/>
                <w:color w:val="auto"/>
              </w:rPr>
            </w:pPr>
            <w:r>
              <w:rPr>
                <w:rFonts w:ascii="Arial" w:cs="Arial" w:eastAsia="Arial" w:hAnsi="Arial"/>
                <w:sz w:val="14"/>
                <w:szCs w:val="14"/>
                <w:color w:val="auto"/>
              </w:rPr>
              <w:t>1.4%</w:t>
            </w:r>
          </w:p>
        </w:tc>
      </w:tr>
      <w:tr>
        <w:trPr>
          <w:trHeight w:val="218"/>
        </w:trPr>
        <w:tc>
          <w:tcPr>
            <w:tcW w:w="2480" w:type="dxa"/>
            <w:vAlign w:val="bottom"/>
          </w:tcPr>
          <w:p>
            <w:pPr>
              <w:ind w:left="200"/>
              <w:spacing w:after="0"/>
              <w:rPr>
                <w:sz w:val="20"/>
                <w:szCs w:val="20"/>
                <w:color w:val="auto"/>
              </w:rPr>
            </w:pPr>
            <w:r>
              <w:rPr>
                <w:rFonts w:ascii="Arial" w:cs="Arial" w:eastAsia="Arial" w:hAnsi="Arial"/>
                <w:sz w:val="14"/>
                <w:szCs w:val="14"/>
                <w:color w:val="auto"/>
              </w:rPr>
              <w:t>120 East Liberty Drive, Suite 400</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61"/>
        </w:trPr>
        <w:tc>
          <w:tcPr>
            <w:tcW w:w="2480" w:type="dxa"/>
            <w:vAlign w:val="bottom"/>
          </w:tcPr>
          <w:p>
            <w:pPr>
              <w:ind w:left="200"/>
              <w:spacing w:after="0"/>
              <w:rPr>
                <w:sz w:val="20"/>
                <w:szCs w:val="20"/>
                <w:color w:val="auto"/>
              </w:rPr>
            </w:pPr>
            <w:r>
              <w:rPr>
                <w:rFonts w:ascii="Arial" w:cs="Arial" w:eastAsia="Arial" w:hAnsi="Arial"/>
                <w:sz w:val="14"/>
                <w:szCs w:val="14"/>
                <w:color w:val="auto"/>
              </w:rPr>
              <w:t>Wheaton, IL 60187</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6"/>
        </w:trPr>
        <w:tc>
          <w:tcPr>
            <w:tcW w:w="2480" w:type="dxa"/>
            <w:vAlign w:val="bottom"/>
            <w:shd w:val="clear" w:color="auto" w:fill="D9DCE1"/>
          </w:tcPr>
          <w:p>
            <w:pPr>
              <w:ind w:left="60"/>
              <w:spacing w:after="0"/>
              <w:rPr>
                <w:sz w:val="20"/>
                <w:szCs w:val="20"/>
                <w:color w:val="auto"/>
              </w:rPr>
            </w:pPr>
            <w:r>
              <w:rPr>
                <w:rFonts w:ascii="Arial" w:cs="Arial" w:eastAsia="Arial" w:hAnsi="Arial"/>
                <w:sz w:val="14"/>
                <w:szCs w:val="14"/>
                <w:color w:val="auto"/>
              </w:rPr>
              <w:t>Tortoise Capital Advisors, L.L.C.</w:t>
            </w:r>
            <w:r>
              <w:rPr>
                <w:rFonts w:ascii="Arial" w:cs="Arial" w:eastAsia="Arial" w:hAnsi="Arial"/>
                <w:sz w:val="17"/>
                <w:szCs w:val="17"/>
                <w:color w:val="auto"/>
                <w:vertAlign w:val="superscript"/>
              </w:rPr>
              <w:t>(6)</w:t>
            </w:r>
          </w:p>
        </w:tc>
        <w:tc>
          <w:tcPr>
            <w:tcW w:w="1080" w:type="dxa"/>
            <w:vAlign w:val="bottom"/>
            <w:shd w:val="clear" w:color="auto" w:fill="D9DCE1"/>
          </w:tcPr>
          <w:p>
            <w:pPr>
              <w:jc w:val="right"/>
              <w:ind w:right="48"/>
              <w:spacing w:after="0"/>
              <w:rPr>
                <w:sz w:val="20"/>
                <w:szCs w:val="20"/>
                <w:color w:val="auto"/>
              </w:rPr>
            </w:pPr>
            <w:r>
              <w:rPr>
                <w:rFonts w:ascii="Arial" w:cs="Arial" w:eastAsia="Arial" w:hAnsi="Arial"/>
                <w:sz w:val="14"/>
                <w:szCs w:val="14"/>
                <w:color w:val="auto"/>
              </w:rPr>
              <w:t>14,236,334</w:t>
            </w:r>
          </w:p>
        </w:tc>
        <w:tc>
          <w:tcPr>
            <w:tcW w:w="10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7.3%</w:t>
            </w:r>
          </w:p>
        </w:tc>
        <w:tc>
          <w:tcPr>
            <w:tcW w:w="1020" w:type="dxa"/>
            <w:vAlign w:val="bottom"/>
            <w:shd w:val="clear" w:color="auto" w:fill="D9DCE1"/>
          </w:tcPr>
          <w:p>
            <w:pPr>
              <w:ind w:left="7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CE1"/>
          </w:tcPr>
          <w:p>
            <w:pPr>
              <w:ind w:left="5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9DCE1"/>
          </w:tcPr>
          <w:p>
            <w:pPr>
              <w:ind w:left="8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ind w:left="4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9DCE1"/>
          </w:tcPr>
          <w:p>
            <w:pPr>
              <w:jc w:val="right"/>
              <w:ind w:right="148"/>
              <w:spacing w:after="0"/>
              <w:rPr>
                <w:sz w:val="20"/>
                <w:szCs w:val="20"/>
                <w:color w:val="auto"/>
              </w:rPr>
            </w:pPr>
            <w:r>
              <w:rPr>
                <w:rFonts w:ascii="Arial" w:cs="Arial" w:eastAsia="Arial" w:hAnsi="Arial"/>
                <w:sz w:val="14"/>
                <w:szCs w:val="14"/>
                <w:color w:val="auto"/>
              </w:rPr>
              <w:t>1.8%</w:t>
            </w:r>
          </w:p>
        </w:tc>
      </w:tr>
      <w:tr>
        <w:trPr>
          <w:trHeight w:val="218"/>
        </w:trPr>
        <w:tc>
          <w:tcPr>
            <w:tcW w:w="2480" w:type="dxa"/>
            <w:vAlign w:val="bottom"/>
          </w:tcPr>
          <w:p>
            <w:pPr>
              <w:ind w:left="200"/>
              <w:spacing w:after="0"/>
              <w:rPr>
                <w:sz w:val="20"/>
                <w:szCs w:val="20"/>
                <w:color w:val="auto"/>
              </w:rPr>
            </w:pPr>
            <w:r>
              <w:rPr>
                <w:rFonts w:ascii="Arial" w:cs="Arial" w:eastAsia="Arial" w:hAnsi="Arial"/>
                <w:sz w:val="14"/>
                <w:szCs w:val="14"/>
                <w:color w:val="auto"/>
              </w:rPr>
              <w:t>6363 College Blvd., Suite 100A</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2480" w:type="dxa"/>
            <w:vAlign w:val="bottom"/>
          </w:tcPr>
          <w:p>
            <w:pPr>
              <w:ind w:left="200"/>
              <w:spacing w:after="0"/>
              <w:rPr>
                <w:sz w:val="20"/>
                <w:szCs w:val="20"/>
                <w:color w:val="auto"/>
              </w:rPr>
            </w:pPr>
            <w:r>
              <w:rPr>
                <w:rFonts w:ascii="Arial" w:cs="Arial" w:eastAsia="Arial" w:hAnsi="Arial"/>
                <w:sz w:val="14"/>
                <w:szCs w:val="14"/>
                <w:color w:val="auto"/>
              </w:rPr>
              <w:t>Overland Park, KS 66211</w:t>
            </w: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-17780</wp:posOffset>
            </wp:positionV>
            <wp:extent cx="618045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p>
      <w:pPr>
        <w:spacing w:after="0" w:line="1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Energy Income Partners, LLC et al</w:t>
      </w:r>
      <w:r>
        <w:rPr>
          <w:rFonts w:ascii="Arial" w:cs="Arial" w:eastAsia="Arial" w:hAnsi="Arial"/>
          <w:sz w:val="17"/>
          <w:szCs w:val="17"/>
          <w:color w:val="auto"/>
          <w:vertAlign w:val="superscript"/>
        </w:rPr>
        <w:t>(7)</w:t>
      </w:r>
    </w:p>
    <w:p>
      <w:pPr>
        <w:spacing w:after="0" w:line="2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10 Wright Street</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Westport, CT 06880</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KAFU Holdings (QP), L.P. et al</w:t>
      </w:r>
    </w:p>
    <w:p>
      <w:pPr>
        <w:spacing w:after="0" w:line="28" w:lineRule="exact"/>
        <w:rPr>
          <w:sz w:val="20"/>
          <w:szCs w:val="20"/>
          <w:color w:val="auto"/>
        </w:rPr>
      </w:pPr>
    </w:p>
    <w:p>
      <w:pPr>
        <w:ind w:left="700"/>
        <w:spacing w:after="0" w:line="256" w:lineRule="auto"/>
        <w:rPr>
          <w:sz w:val="20"/>
          <w:szCs w:val="20"/>
          <w:color w:val="auto"/>
        </w:rPr>
      </w:pPr>
      <w:r>
        <w:rPr>
          <w:rFonts w:ascii="Arial" w:cs="Arial" w:eastAsia="Arial" w:hAnsi="Arial"/>
          <w:sz w:val="14"/>
          <w:szCs w:val="14"/>
          <w:color w:val="auto"/>
        </w:rPr>
        <w:t>1800 Avenue of the Stars, 3rd Floor Los Angeles, CA 90067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12,307,943</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6.3%</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860" w:type="dxa"/>
            <w:vAlign w:val="bottom"/>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567"/>
        </w:trPr>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14,034,036</w:t>
            </w:r>
          </w:p>
        </w:tc>
        <w:tc>
          <w:tcPr>
            <w:tcW w:w="1200" w:type="dxa"/>
            <w:vAlign w:val="bottom"/>
          </w:tcPr>
          <w:p>
            <w:pPr>
              <w:jc w:val="right"/>
              <w:ind w:right="448"/>
              <w:spacing w:after="0"/>
              <w:rPr>
                <w:sz w:val="20"/>
                <w:szCs w:val="20"/>
                <w:color w:val="auto"/>
              </w:rPr>
            </w:pPr>
            <w:r>
              <w:rPr>
                <w:rFonts w:ascii="Arial" w:cs="Arial" w:eastAsia="Arial" w:hAnsi="Arial"/>
                <w:sz w:val="14"/>
                <w:szCs w:val="14"/>
                <w:color w:val="auto"/>
              </w:rPr>
              <w:t>30.0%</w:t>
            </w:r>
          </w:p>
        </w:tc>
        <w:tc>
          <w:tcPr>
            <w:tcW w:w="940" w:type="dxa"/>
            <w:vAlign w:val="bottom"/>
          </w:tcPr>
          <w:p>
            <w:pPr>
              <w:ind w:left="520"/>
              <w:spacing w:after="0"/>
              <w:rPr>
                <w:sz w:val="20"/>
                <w:szCs w:val="20"/>
                <w:color w:val="auto"/>
              </w:rPr>
            </w:pPr>
            <w:r>
              <w:rPr>
                <w:rFonts w:ascii="Arial" w:cs="Arial" w:eastAsia="Arial" w:hAnsi="Arial"/>
                <w:sz w:val="14"/>
                <w:szCs w:val="14"/>
                <w:color w:val="auto"/>
              </w:rPr>
              <w:t>—</w:t>
            </w:r>
          </w:p>
        </w:tc>
        <w:tc>
          <w:tcPr>
            <w:tcW w:w="860" w:type="dxa"/>
            <w:vAlign w:val="bottom"/>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-137795</wp:posOffset>
            </wp:positionV>
            <wp:extent cx="6180455"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80455" cy="120015"/>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2980" w:space="240"/>
            <w:col w:w="7000"/>
          </w:cols>
          <w:pgMar w:left="580" w:top="132" w:right="1099" w:bottom="1440" w:gutter="0" w:footer="0" w:header="0"/>
          <w:type w:val="continuous"/>
        </w:sectPr>
      </w:pPr>
    </w:p>
    <w:tbl>
      <w:tblPr>
        <w:tblLayout w:type="fixed"/>
        <w:tblInd w:w="500" w:type="dxa"/>
        <w:tblCellMar>
          <w:top w:w="0" w:type="dxa"/>
          <w:left w:w="0" w:type="dxa"/>
          <w:bottom w:w="0" w:type="dxa"/>
          <w:right w:w="0" w:type="dxa"/>
        </w:tblCellMar>
      </w:tblPr>
      <w:tr>
        <w:trPr>
          <w:trHeight w:val="196"/>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Plains All American Pipeline, L.P.</w:t>
            </w:r>
            <w:r>
              <w:rPr>
                <w:rFonts w:ascii="Arial" w:cs="Arial" w:eastAsia="Arial" w:hAnsi="Arial"/>
                <w:sz w:val="17"/>
                <w:szCs w:val="17"/>
                <w:color w:val="auto"/>
                <w:vertAlign w:val="superscript"/>
              </w:rPr>
              <w:t>(3)</w:t>
            </w:r>
          </w:p>
        </w:tc>
        <w:tc>
          <w:tcPr>
            <w:tcW w:w="128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532,273,469</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100%</w:t>
            </w:r>
          </w:p>
        </w:tc>
        <w:tc>
          <w:tcPr>
            <w:tcW w:w="960" w:type="dxa"/>
            <w:vAlign w:val="bottom"/>
            <w:shd w:val="clear" w:color="auto" w:fill="D9DCE1"/>
          </w:tcPr>
          <w:p>
            <w:pPr>
              <w:jc w:val="right"/>
              <w:ind w:right="148"/>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18"/>
        </w:trPr>
        <w:tc>
          <w:tcPr>
            <w:tcW w:w="2600" w:type="dxa"/>
            <w:vAlign w:val="bottom"/>
          </w:tcPr>
          <w:p>
            <w:pPr>
              <w:ind w:left="200"/>
              <w:spacing w:after="0"/>
              <w:rPr>
                <w:sz w:val="20"/>
                <w:szCs w:val="20"/>
                <w:color w:val="auto"/>
              </w:rPr>
            </w:pPr>
            <w:r>
              <w:rPr>
                <w:rFonts w:ascii="Arial" w:cs="Arial" w:eastAsia="Arial" w:hAnsi="Arial"/>
                <w:sz w:val="14"/>
                <w:szCs w:val="14"/>
                <w:color w:val="auto"/>
              </w:rPr>
              <w:t>333 Clay Street, Suite 1600</w:t>
            </w: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600" w:type="dxa"/>
            <w:vAlign w:val="bottom"/>
          </w:tcPr>
          <w:p>
            <w:pPr>
              <w:ind w:left="200"/>
              <w:spacing w:after="0"/>
              <w:rPr>
                <w:sz w:val="20"/>
                <w:szCs w:val="20"/>
                <w:color w:val="auto"/>
              </w:rPr>
            </w:pPr>
            <w:r>
              <w:rPr>
                <w:rFonts w:ascii="Arial" w:cs="Arial" w:eastAsia="Arial" w:hAnsi="Arial"/>
                <w:sz w:val="14"/>
                <w:szCs w:val="14"/>
                <w:color w:val="auto"/>
              </w:rPr>
              <w:t>Houston, TX 77002</w:t>
            </w: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Willie Chiang</w:t>
            </w:r>
          </w:p>
        </w:tc>
        <w:tc>
          <w:tcPr>
            <w:tcW w:w="128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241,704</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152"/>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8"/>
                <w:szCs w:val="8"/>
                <w:color w:val="auto"/>
              </w:rPr>
              <w:t>(8)</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293,654</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tcPr>
          <w:p>
            <w:pPr>
              <w:ind w:left="60"/>
              <w:spacing w:after="0"/>
              <w:rPr>
                <w:sz w:val="20"/>
                <w:szCs w:val="20"/>
                <w:color w:val="auto"/>
              </w:rPr>
            </w:pPr>
            <w:r>
              <w:rPr>
                <w:rFonts w:ascii="Arial" w:cs="Arial" w:eastAsia="Arial" w:hAnsi="Arial"/>
                <w:sz w:val="14"/>
                <w:szCs w:val="14"/>
                <w:color w:val="auto"/>
              </w:rPr>
              <w:t>Harry N. Pefanis</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1,108,653</w:t>
            </w: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2,268,988</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4.8%</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420,194</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Al Swanson</w:t>
            </w:r>
          </w:p>
        </w:tc>
        <w:tc>
          <w:tcPr>
            <w:tcW w:w="128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1,351,839</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273,602</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tcPr>
          <w:p>
            <w:pPr>
              <w:ind w:left="60"/>
              <w:spacing w:after="0"/>
              <w:rPr>
                <w:sz w:val="20"/>
                <w:szCs w:val="20"/>
                <w:color w:val="auto"/>
              </w:rPr>
            </w:pPr>
            <w:r>
              <w:rPr>
                <w:rFonts w:ascii="Arial" w:cs="Arial" w:eastAsia="Arial" w:hAnsi="Arial"/>
                <w:sz w:val="14"/>
                <w:szCs w:val="14"/>
                <w:color w:val="auto"/>
              </w:rPr>
              <w:t>Richard McGee</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2,500</w:t>
            </w: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429,346</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278,054</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Chris Chandler</w:t>
            </w:r>
          </w:p>
        </w:tc>
        <w:tc>
          <w:tcPr>
            <w:tcW w:w="128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107,301</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tcPr>
          <w:p>
            <w:pPr>
              <w:ind w:left="60"/>
              <w:spacing w:after="0"/>
              <w:rPr>
                <w:sz w:val="20"/>
                <w:szCs w:val="20"/>
                <w:color w:val="auto"/>
              </w:rPr>
            </w:pPr>
            <w:r>
              <w:rPr>
                <w:rFonts w:ascii="Arial" w:cs="Arial" w:eastAsia="Arial" w:hAnsi="Arial"/>
                <w:sz w:val="14"/>
                <w:szCs w:val="14"/>
                <w:color w:val="auto"/>
              </w:rPr>
              <w:t>Jeremy Goebel</w:t>
            </w:r>
          </w:p>
        </w:tc>
        <w:tc>
          <w:tcPr>
            <w:tcW w:w="1280" w:type="dxa"/>
            <w:vAlign w:val="bottom"/>
          </w:tcPr>
          <w:p>
            <w:pPr>
              <w:jc w:val="right"/>
              <w:ind w:right="368"/>
              <w:spacing w:after="0"/>
              <w:rPr>
                <w:sz w:val="20"/>
                <w:szCs w:val="20"/>
                <w:color w:val="auto"/>
              </w:rPr>
            </w:pPr>
            <w:r>
              <w:rPr>
                <w:rFonts w:ascii="Arial" w:cs="Arial" w:eastAsia="Arial" w:hAnsi="Arial"/>
                <w:sz w:val="14"/>
                <w:szCs w:val="14"/>
                <w:color w:val="auto"/>
              </w:rPr>
              <w:t>1,314</w:t>
            </w: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52"/>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8"/>
                <w:szCs w:val="8"/>
                <w:color w:val="auto"/>
              </w:rPr>
              <w:t>(9)</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172,622</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Greg L. Armstrong</w:t>
            </w:r>
          </w:p>
        </w:tc>
        <w:tc>
          <w:tcPr>
            <w:tcW w:w="128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1,865,812</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4,492,268</w:t>
            </w:r>
          </w:p>
        </w:tc>
        <w:tc>
          <w:tcPr>
            <w:tcW w:w="780" w:type="dxa"/>
            <w:vAlign w:val="bottom"/>
            <w:shd w:val="clear" w:color="auto" w:fill="D9DCE1"/>
          </w:tcPr>
          <w:p>
            <w:pPr>
              <w:jc w:val="right"/>
              <w:ind w:right="108"/>
              <w:spacing w:after="0"/>
              <w:rPr>
                <w:sz w:val="20"/>
                <w:szCs w:val="20"/>
                <w:color w:val="auto"/>
              </w:rPr>
            </w:pPr>
            <w:r>
              <w:rPr>
                <w:rFonts w:ascii="Arial" w:cs="Arial" w:eastAsia="Arial" w:hAnsi="Arial"/>
                <w:sz w:val="14"/>
                <w:szCs w:val="14"/>
                <w:color w:val="auto"/>
              </w:rPr>
              <w:t>9.6%</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1,508,418</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1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Arial" w:cs="Arial" w:eastAsia="Arial" w:hAnsi="Arial"/>
                <w:sz w:val="14"/>
                <w:szCs w:val="14"/>
                <w:color w:val="auto"/>
              </w:rPr>
              <w:t>Victor Burk</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7,134</w:t>
            </w:r>
            <w:r>
              <w:rPr>
                <w:rFonts w:ascii="Arial" w:cs="Arial" w:eastAsia="Arial" w:hAnsi="Arial"/>
                <w:sz w:val="17"/>
                <w:szCs w:val="17"/>
                <w:color w:val="auto"/>
                <w:vertAlign w:val="superscript"/>
              </w:rPr>
              <w:t>(10)</w:t>
            </w: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37,043</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Kevin S. McCarthy</w:t>
            </w:r>
          </w:p>
        </w:tc>
        <w:tc>
          <w:tcPr>
            <w:tcW w:w="128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99,069</w:t>
            </w:r>
            <w:r>
              <w:rPr>
                <w:rFonts w:ascii="Arial" w:cs="Arial" w:eastAsia="Arial" w:hAnsi="Arial"/>
                <w:sz w:val="17"/>
                <w:szCs w:val="17"/>
                <w:color w:val="auto"/>
                <w:vertAlign w:val="superscript"/>
              </w:rPr>
              <w:t>(10)</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Arial" w:cs="Arial" w:eastAsia="Arial" w:hAnsi="Arial"/>
                <w:sz w:val="14"/>
                <w:szCs w:val="14"/>
                <w:color w:val="auto"/>
              </w:rPr>
              <w:t>Gary R. Petersen</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3,755</w:t>
            </w:r>
            <w:r>
              <w:rPr>
                <w:rFonts w:ascii="Arial" w:cs="Arial" w:eastAsia="Arial" w:hAnsi="Arial"/>
                <w:sz w:val="17"/>
                <w:szCs w:val="17"/>
                <w:color w:val="auto"/>
                <w:vertAlign w:val="superscript"/>
              </w:rPr>
              <w:t>(10)</w:t>
            </w: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25,425,320</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4.8%</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3"/>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Alexandra D. Pruner</w:t>
            </w:r>
          </w:p>
        </w:tc>
        <w:tc>
          <w:tcPr>
            <w:tcW w:w="128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15,568</w:t>
            </w:r>
            <w:r>
              <w:rPr>
                <w:rFonts w:ascii="Arial" w:cs="Arial" w:eastAsia="Arial" w:hAnsi="Arial"/>
                <w:sz w:val="17"/>
                <w:szCs w:val="17"/>
                <w:color w:val="auto"/>
                <w:vertAlign w:val="superscript"/>
              </w:rPr>
              <w:t>(10)</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Arial" w:cs="Arial" w:eastAsia="Arial" w:hAnsi="Arial"/>
                <w:sz w:val="14"/>
                <w:szCs w:val="14"/>
                <w:color w:val="auto"/>
              </w:rPr>
              <w:t>John T. Raymond</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253,031</w:t>
            </w:r>
            <w:r>
              <w:rPr>
                <w:rFonts w:ascii="Arial" w:cs="Arial" w:eastAsia="Arial" w:hAnsi="Arial"/>
                <w:sz w:val="17"/>
                <w:szCs w:val="17"/>
                <w:color w:val="auto"/>
                <w:vertAlign w:val="superscript"/>
              </w:rPr>
              <w:t>(10)</w:t>
            </w: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12"/>
              <w:spacing w:after="0"/>
              <w:rPr>
                <w:sz w:val="20"/>
                <w:szCs w:val="20"/>
                <w:color w:val="auto"/>
              </w:rPr>
            </w:pPr>
            <w:r>
              <w:rPr>
                <w:rFonts w:ascii="Arial" w:cs="Arial" w:eastAsia="Arial" w:hAnsi="Arial"/>
                <w:sz w:val="14"/>
                <w:szCs w:val="14"/>
                <w:color w:val="auto"/>
              </w:rPr>
              <w:t>11,458,736</w:t>
            </w:r>
            <w:r>
              <w:rPr>
                <w:rFonts w:ascii="Arial" w:cs="Arial" w:eastAsia="Arial" w:hAnsi="Arial"/>
                <w:sz w:val="17"/>
                <w:szCs w:val="17"/>
                <w:color w:val="auto"/>
                <w:vertAlign w:val="superscript"/>
              </w:rPr>
              <w:t>(11)</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24.5%</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21,978,875</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4.1%</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3"/>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Bobby S. Shackouls</w:t>
            </w:r>
          </w:p>
        </w:tc>
        <w:tc>
          <w:tcPr>
            <w:tcW w:w="128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9,012</w:t>
            </w:r>
            <w:r>
              <w:rPr>
                <w:rFonts w:ascii="Arial" w:cs="Arial" w:eastAsia="Arial" w:hAnsi="Arial"/>
                <w:sz w:val="17"/>
                <w:szCs w:val="17"/>
                <w:color w:val="auto"/>
                <w:vertAlign w:val="superscript"/>
              </w:rPr>
              <w:t>(10)</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35,033</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Arial" w:cs="Arial" w:eastAsia="Arial" w:hAnsi="Arial"/>
                <w:sz w:val="14"/>
                <w:szCs w:val="14"/>
                <w:color w:val="auto"/>
              </w:rPr>
              <w:t>Christopher M. Temple</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18,750</w:t>
            </w:r>
            <w:r>
              <w:rPr>
                <w:rFonts w:ascii="Arial" w:cs="Arial" w:eastAsia="Arial" w:hAnsi="Arial"/>
                <w:sz w:val="17"/>
                <w:szCs w:val="17"/>
                <w:color w:val="auto"/>
                <w:vertAlign w:val="superscript"/>
              </w:rPr>
              <w:t>(10)</w:t>
            </w: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600" w:type="dxa"/>
            <w:vAlign w:val="bottom"/>
            <w:shd w:val="clear" w:color="auto" w:fill="D9DCE1"/>
          </w:tcPr>
          <w:p>
            <w:pPr>
              <w:ind w:left="60"/>
              <w:spacing w:after="0"/>
              <w:rPr>
                <w:sz w:val="20"/>
                <w:szCs w:val="20"/>
                <w:color w:val="auto"/>
              </w:rPr>
            </w:pPr>
            <w:r>
              <w:rPr>
                <w:rFonts w:ascii="Arial" w:cs="Arial" w:eastAsia="Arial" w:hAnsi="Arial"/>
                <w:sz w:val="14"/>
                <w:szCs w:val="14"/>
                <w:color w:val="auto"/>
              </w:rPr>
              <w:t>Lawrence M. Ziemba</w:t>
            </w:r>
          </w:p>
        </w:tc>
        <w:tc>
          <w:tcPr>
            <w:tcW w:w="128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20,530</w:t>
            </w:r>
            <w:r>
              <w:rPr>
                <w:rFonts w:ascii="Arial" w:cs="Arial" w:eastAsia="Arial" w:hAnsi="Arial"/>
                <w:sz w:val="17"/>
                <w:szCs w:val="17"/>
                <w:color w:val="auto"/>
                <w:vertAlign w:val="superscript"/>
              </w:rPr>
              <w:t>(10)</w:t>
            </w:r>
          </w:p>
        </w:tc>
        <w:tc>
          <w:tcPr>
            <w:tcW w:w="660" w:type="dxa"/>
            <w:vAlign w:val="bottom"/>
            <w:shd w:val="clear" w:color="auto" w:fill="D9DCE1"/>
          </w:tcPr>
          <w:p>
            <w:pPr>
              <w:jc w:val="right"/>
              <w:ind w:right="2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9DCE1"/>
          </w:tcPr>
          <w:p>
            <w:pPr>
              <w:jc w:val="right"/>
              <w:ind w:right="272"/>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2,346</w:t>
            </w:r>
          </w:p>
        </w:tc>
        <w:tc>
          <w:tcPr>
            <w:tcW w:w="920" w:type="dxa"/>
            <w:vAlign w:val="bottom"/>
            <w:shd w:val="clear" w:color="auto" w:fill="D9DCE1"/>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600" w:type="dxa"/>
            <w:vAlign w:val="bottom"/>
          </w:tcPr>
          <w:p>
            <w:pPr>
              <w:ind w:left="60"/>
              <w:spacing w:after="0"/>
              <w:rPr>
                <w:sz w:val="20"/>
                <w:szCs w:val="20"/>
                <w:color w:val="auto"/>
              </w:rPr>
            </w:pPr>
            <w:r>
              <w:rPr>
                <w:rFonts w:ascii="Arial" w:cs="Arial" w:eastAsia="Arial" w:hAnsi="Arial"/>
                <w:sz w:val="14"/>
                <w:szCs w:val="14"/>
                <w:color w:val="auto"/>
              </w:rPr>
              <w:t>All directors and executive officers as</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4,998,671</w:t>
            </w:r>
            <w:r>
              <w:rPr>
                <w:rFonts w:ascii="Arial" w:cs="Arial" w:eastAsia="Arial" w:hAnsi="Arial"/>
                <w:sz w:val="17"/>
                <w:szCs w:val="17"/>
                <w:color w:val="auto"/>
                <w:vertAlign w:val="superscript"/>
              </w:rPr>
              <w:t>(10)(12)</w:t>
            </w: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color w:val="auto"/>
              </w:rPr>
              <w:t>2.6%</w:t>
            </w:r>
          </w:p>
        </w:tc>
        <w:tc>
          <w:tcPr>
            <w:tcW w:w="1280" w:type="dxa"/>
            <w:vAlign w:val="bottom"/>
            <w:vMerge w:val="restart"/>
          </w:tcPr>
          <w:p>
            <w:pPr>
              <w:jc w:val="right"/>
              <w:ind w:right="112"/>
              <w:spacing w:after="0"/>
              <w:rPr>
                <w:sz w:val="20"/>
                <w:szCs w:val="20"/>
                <w:color w:val="auto"/>
              </w:rPr>
            </w:pPr>
            <w:r>
              <w:rPr>
                <w:rFonts w:ascii="Arial" w:cs="Arial" w:eastAsia="Arial" w:hAnsi="Arial"/>
                <w:sz w:val="14"/>
                <w:szCs w:val="14"/>
                <w:color w:val="auto"/>
              </w:rPr>
              <w:t>18,795,742</w:t>
            </w:r>
            <w:r>
              <w:rPr>
                <w:rFonts w:ascii="Arial" w:cs="Arial" w:eastAsia="Arial" w:hAnsi="Arial"/>
                <w:sz w:val="17"/>
                <w:szCs w:val="17"/>
                <w:color w:val="auto"/>
                <w:vertAlign w:val="superscript"/>
              </w:rPr>
              <w:t>(12)</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40.1%</w:t>
            </w: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color w:val="auto"/>
              </w:rPr>
              <w:t>50,606,434</w:t>
            </w:r>
          </w:p>
        </w:tc>
        <w:tc>
          <w:tcPr>
            <w:tcW w:w="920" w:type="dxa"/>
            <w:vAlign w:val="bottom"/>
            <w:vMerge w:val="restart"/>
          </w:tcPr>
          <w:p>
            <w:pPr>
              <w:jc w:val="right"/>
              <w:ind w:right="248"/>
              <w:spacing w:after="0"/>
              <w:rPr>
                <w:sz w:val="20"/>
                <w:szCs w:val="20"/>
                <w:color w:val="auto"/>
              </w:rPr>
            </w:pPr>
            <w:r>
              <w:rPr>
                <w:rFonts w:ascii="Arial" w:cs="Arial" w:eastAsia="Arial" w:hAnsi="Arial"/>
                <w:sz w:val="14"/>
                <w:szCs w:val="14"/>
                <w:color w:val="auto"/>
              </w:rPr>
              <w:t>9.5%</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11"/>
        </w:trPr>
        <w:tc>
          <w:tcPr>
            <w:tcW w:w="2600" w:type="dxa"/>
            <w:vAlign w:val="bottom"/>
          </w:tcPr>
          <w:p>
            <w:pPr>
              <w:ind w:left="200"/>
              <w:spacing w:after="0"/>
              <w:rPr>
                <w:sz w:val="20"/>
                <w:szCs w:val="20"/>
                <w:color w:val="auto"/>
              </w:rPr>
            </w:pPr>
            <w:r>
              <w:rPr>
                <w:rFonts w:ascii="Arial" w:cs="Arial" w:eastAsia="Arial" w:hAnsi="Arial"/>
                <w:sz w:val="14"/>
                <w:szCs w:val="14"/>
                <w:color w:val="auto"/>
              </w:rPr>
              <w:t>a group (16 persons)</w:t>
            </w:r>
          </w:p>
        </w:tc>
        <w:tc>
          <w:tcPr>
            <w:tcW w:w="12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4" w:lineRule="exact"/>
        <w:rPr>
          <w:sz w:val="20"/>
          <w:szCs w:val="20"/>
          <w:color w:val="auto"/>
        </w:rPr>
      </w:pPr>
    </w:p>
    <w:p>
      <w:pPr>
        <w:ind w:left="1620" w:hanging="360"/>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880" w:hanging="360"/>
        <w:spacing w:after="0" w:line="278" w:lineRule="auto"/>
        <w:tabs>
          <w:tab w:leader="none" w:pos="16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w:t>
      </w:r>
    </w:p>
    <w:p>
      <w:pPr>
        <w:sectPr>
          <w:pgSz w:w="11900" w:h="16838" w:orient="portrait"/>
          <w:cols w:equalWidth="0" w:num="1">
            <w:col w:w="10220"/>
          </w:cols>
          <w:pgMar w:left="580" w:top="132" w:right="1099" w:bottom="1440" w:gutter="0" w:footer="0" w:header="0"/>
          <w:type w:val="continuous"/>
        </w:sectPr>
      </w:pPr>
    </w:p>
    <w:p>
      <w:pPr>
        <w:spacing w:after="0" w:line="36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39"/>
        <w:spacing w:after="0" w:line="253" w:lineRule="auto"/>
        <w:rPr>
          <w:sz w:val="20"/>
          <w:szCs w:val="20"/>
          <w:color w:val="auto"/>
        </w:rPr>
      </w:pPr>
      <w:r>
        <w:rPr>
          <w:rFonts w:ascii="Arial" w:cs="Arial" w:eastAsia="Arial" w:hAnsi="Arial"/>
          <w:sz w:val="18"/>
          <w:szCs w:val="18"/>
          <w:color w:val="auto"/>
        </w:rPr>
        <w:t>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57" w:lineRule="exact"/>
        <w:rPr>
          <w:sz w:val="20"/>
          <w:szCs w:val="20"/>
          <w:color w:val="auto"/>
        </w:rPr>
      </w:pPr>
    </w:p>
    <w:p>
      <w:pPr>
        <w:ind w:left="1620" w:right="499" w:hanging="360"/>
        <w:spacing w:after="0" w:line="252"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Holders of vested AAP Management Units will be entitled to convert such AAP Management Units into Class B shares and a like number of AAP units based on a conversion ratio of approximately 0.941 AAP units (and Class B shares) for each AAP Management Unit. Figures presented for Class B shares beneficially owned and percentage of Class B shares beneficially owned do not include Class B shares to be issued upon the conversion of all outstanding AAP Management Units.</w:t>
      </w:r>
    </w:p>
    <w:p>
      <w:pPr>
        <w:spacing w:after="0" w:line="59" w:lineRule="exact"/>
        <w:rPr>
          <w:rFonts w:ascii="Arial" w:cs="Arial" w:eastAsia="Arial" w:hAnsi="Arial"/>
          <w:sz w:val="18"/>
          <w:szCs w:val="18"/>
          <w:color w:val="auto"/>
        </w:rPr>
      </w:pPr>
    </w:p>
    <w:p>
      <w:pPr>
        <w:ind w:left="1620" w:right="419" w:hanging="360"/>
        <w:spacing w:after="0" w:line="251"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Class C share represents a non-economic limited partner interest in PAGP. The number of Class C shares owned by PAA is equal to the number of outstanding PAA common units and PAA Series A preferred units that are entitled to vote, pro rata with the holders of PAGP Class A and Class B shares, for the election of eligible PAGP GP directors. Thus, the Class C shares function as a “pass-through” voting mechanism through which PAA votes at the direction of and as proxy for holders of PAA common units (other than AAP) and holders of PAA Series A preferred units on the election of directors.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75" w:lineRule="exact"/>
        <w:rPr>
          <w:rFonts w:ascii="Arial" w:cs="Arial" w:eastAsia="Arial" w:hAnsi="Arial"/>
          <w:sz w:val="18"/>
          <w:szCs w:val="18"/>
          <w:color w:val="auto"/>
        </w:rPr>
      </w:pPr>
    </w:p>
    <w:p>
      <w:pPr>
        <w:ind w:left="1620" w:right="659" w:hanging="360"/>
        <w:spacing w:after="0" w:line="261"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beneficial ownership as of December 31, 2021 as reported in a Schedule 13G filed with the SEC on February 2, 2022.</w:t>
      </w:r>
    </w:p>
    <w:p>
      <w:pPr>
        <w:spacing w:after="0" w:line="49" w:lineRule="exact"/>
        <w:rPr>
          <w:rFonts w:ascii="Arial" w:cs="Arial" w:eastAsia="Arial" w:hAnsi="Arial"/>
          <w:sz w:val="18"/>
          <w:szCs w:val="18"/>
          <w:color w:val="auto"/>
        </w:rPr>
      </w:pPr>
    </w:p>
    <w:p>
      <w:pPr>
        <w:ind w:left="1620" w:right="659" w:hanging="360"/>
        <w:spacing w:after="0" w:line="261"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beneficial ownership as of December 31, 2021 as reported in a Schedule 13G filed with the SEC on January 28, 2022.</w:t>
      </w:r>
    </w:p>
    <w:p>
      <w:pPr>
        <w:spacing w:after="0" w:line="49" w:lineRule="exact"/>
        <w:rPr>
          <w:rFonts w:ascii="Arial" w:cs="Arial" w:eastAsia="Arial" w:hAnsi="Arial"/>
          <w:sz w:val="18"/>
          <w:szCs w:val="18"/>
          <w:color w:val="auto"/>
        </w:rPr>
      </w:pPr>
    </w:p>
    <w:p>
      <w:pPr>
        <w:ind w:left="1620" w:right="659" w:hanging="360"/>
        <w:spacing w:after="0" w:line="261"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beneficial ownership as of December 31, 2021 as reported in a Schedule 13G filed with the SEC on February 11, 2022.</w:t>
      </w:r>
    </w:p>
    <w:p>
      <w:pPr>
        <w:spacing w:after="0" w:line="62" w:lineRule="exact"/>
        <w:rPr>
          <w:rFonts w:ascii="Arial" w:cs="Arial" w:eastAsia="Arial" w:hAnsi="Arial"/>
          <w:sz w:val="18"/>
          <w:szCs w:val="18"/>
          <w:color w:val="auto"/>
        </w:rPr>
      </w:pPr>
    </w:p>
    <w:p>
      <w:pPr>
        <w:ind w:left="1620" w:right="659" w:hanging="360"/>
        <w:spacing w:after="0" w:line="261"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beneficial ownership as of December 31, 2021 as reported in a Schedule 13G filed with the SEC on February 14, 2022.</w:t>
      </w:r>
    </w:p>
    <w:p>
      <w:pPr>
        <w:spacing w:after="0" w:line="49" w:lineRule="exact"/>
        <w:rPr>
          <w:rFonts w:ascii="Arial" w:cs="Arial" w:eastAsia="Arial" w:hAnsi="Arial"/>
          <w:sz w:val="18"/>
          <w:szCs w:val="18"/>
          <w:color w:val="auto"/>
        </w:rPr>
      </w:pPr>
    </w:p>
    <w:p>
      <w:pPr>
        <w:ind w:left="1620" w:right="519" w:hanging="360"/>
        <w:spacing w:after="0" w:line="253"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include 375,521 unvested AAP Management Units owned by Mr. Chiang, which are convertible, upon vesting, into 353,489 AAP units and Class B shares based on a conversion ratio of 0.941 AAP units and Class B shares for each AAP Management Unit. Mr. Chiang’s AAP Management Units are scheduled to vest in December 2022 subject to satisfaction of vesting conditions.</w:t>
      </w:r>
    </w:p>
    <w:p>
      <w:pPr>
        <w:spacing w:after="0" w:line="56" w:lineRule="exact"/>
        <w:rPr>
          <w:rFonts w:ascii="Arial" w:cs="Arial" w:eastAsia="Arial" w:hAnsi="Arial"/>
          <w:sz w:val="18"/>
          <w:szCs w:val="18"/>
          <w:color w:val="auto"/>
        </w:rPr>
      </w:pPr>
    </w:p>
    <w:p>
      <w:pPr>
        <w:ind w:left="1620" w:right="559" w:hanging="360"/>
        <w:spacing w:after="0" w:line="253"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include 37,552 unvested AAP Management Units owned by Mr. Goebel, which are convertible, upon vesting, into 35,350 AAP units and Class B shares, based on a conversion ratio of 0.941 AAP units and Class B shares for each AAP Management Unit. Mr. Goebel’s AAP Management Units are scheduled to vest in December 2022 subject to satisfaction of vesting conditions.</w:t>
      </w:r>
    </w:p>
    <w:p>
      <w:pPr>
        <w:spacing w:after="0" w:line="70" w:lineRule="exact"/>
        <w:rPr>
          <w:rFonts w:ascii="Arial" w:cs="Arial" w:eastAsia="Arial" w:hAnsi="Arial"/>
          <w:sz w:val="18"/>
          <w:szCs w:val="18"/>
          <w:color w:val="auto"/>
        </w:rPr>
      </w:pPr>
    </w:p>
    <w:p>
      <w:pPr>
        <w:ind w:left="1620" w:right="559" w:hanging="360"/>
        <w:spacing w:after="0" w:line="261"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include unvested phantom Class A shares granted under our Long-Term Incentive Plan. See “Director Compensation.”</w:t>
      </w:r>
    </w:p>
    <w:p>
      <w:pPr>
        <w:spacing w:after="0" w:line="49" w:lineRule="exact"/>
        <w:rPr>
          <w:rFonts w:ascii="Arial" w:cs="Arial" w:eastAsia="Arial" w:hAnsi="Arial"/>
          <w:sz w:val="18"/>
          <w:szCs w:val="18"/>
          <w:color w:val="auto"/>
        </w:rPr>
      </w:pPr>
    </w:p>
    <w:p>
      <w:pPr>
        <w:ind w:left="1620" w:right="719" w:hanging="360"/>
        <w:spacing w:after="0" w:line="256"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Raymond is the sole member of Lynx Holdings I, LLC, which entity owns 3,183,216 Class B shares. As such, Mr. Raymond has sole voting and dispositive power over the Class B shares owned by Lynx Holdings I, LLC.</w:t>
      </w:r>
    </w:p>
    <w:p>
      <w:pPr>
        <w:spacing w:after="0" w:line="53" w:lineRule="exact"/>
        <w:rPr>
          <w:rFonts w:ascii="Arial" w:cs="Arial" w:eastAsia="Arial" w:hAnsi="Arial"/>
          <w:sz w:val="18"/>
          <w:szCs w:val="18"/>
          <w:color w:val="auto"/>
        </w:rPr>
      </w:pPr>
    </w:p>
    <w:p>
      <w:pPr>
        <w:ind w:left="1620" w:right="739" w:hanging="360"/>
        <w:spacing w:after="0" w:line="256"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Consistent with our policies that prohibit pledging of company securities, to our knowledge no Class A shares or Class B shares were pledged by directors or Named Executive Officers as of March 28, 2022.</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166"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The following table sets forth the percentage ownership of the Class A limited partners of AAP, including our directors and Named Executive Officers, and the resulting economic interest of such limited partners and the holders of the AAP Management Units as a group, in each case as of March 28, 2022:</w:t>
      </w:r>
    </w:p>
    <w:p>
      <w:pPr>
        <w:spacing w:after="0" w:line="178"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5540" w:type="dxa"/>
            <w:vAlign w:val="bottom"/>
            <w:tcBorders>
              <w:left w:val="single" w:sz="8" w:color="434F69"/>
              <w:right w:val="single" w:sz="8" w:color="434F69"/>
            </w:tcBorders>
            <w:shd w:val="clear" w:color="auto" w:fill="434F69"/>
          </w:tcPr>
          <w:p>
            <w:pPr>
              <w:spacing w:after="0"/>
              <w:rPr>
                <w:sz w:val="17"/>
                <w:szCs w:val="17"/>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Percentage</w:t>
            </w:r>
          </w:p>
        </w:tc>
        <w:tc>
          <w:tcPr>
            <w:tcW w:w="1360" w:type="dxa"/>
            <w:vAlign w:val="bottom"/>
            <w:tcBorders>
              <w:right w:val="single" w:sz="8" w:color="434F69"/>
            </w:tcBorders>
            <w:shd w:val="clear" w:color="auto" w:fill="434F69"/>
          </w:tcPr>
          <w:p>
            <w:pPr>
              <w:spacing w:after="0"/>
              <w:rPr>
                <w:sz w:val="17"/>
                <w:szCs w:val="17"/>
                <w:color w:val="auto"/>
              </w:rPr>
            </w:pPr>
          </w:p>
        </w:tc>
      </w:tr>
      <w:tr>
        <w:trPr>
          <w:trHeight w:val="162"/>
        </w:trPr>
        <w:tc>
          <w:tcPr>
            <w:tcW w:w="554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Ownership of</w:t>
            </w:r>
          </w:p>
        </w:tc>
        <w:tc>
          <w:tcPr>
            <w:tcW w:w="1360" w:type="dxa"/>
            <w:vAlign w:val="bottom"/>
            <w:tcBorders>
              <w:right w:val="single" w:sz="8" w:color="434F69"/>
            </w:tcBorders>
            <w:shd w:val="clear" w:color="auto" w:fill="434F69"/>
          </w:tcPr>
          <w:p>
            <w:pPr>
              <w:spacing w:after="0"/>
              <w:rPr>
                <w:sz w:val="14"/>
                <w:szCs w:val="14"/>
                <w:color w:val="auto"/>
              </w:rPr>
            </w:pPr>
          </w:p>
        </w:tc>
      </w:tr>
      <w:tr>
        <w:trPr>
          <w:trHeight w:val="162"/>
        </w:trPr>
        <w:tc>
          <w:tcPr>
            <w:tcW w:w="5540" w:type="dxa"/>
            <w:vAlign w:val="bottom"/>
            <w:tcBorders>
              <w:left w:val="single" w:sz="8" w:color="434F69"/>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Plains AAP, L.P.</w:t>
            </w: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Economic</w:t>
            </w:r>
          </w:p>
        </w:tc>
      </w:tr>
      <w:tr>
        <w:trPr>
          <w:trHeight w:val="151"/>
        </w:trPr>
        <w:tc>
          <w:tcPr>
            <w:tcW w:w="5540" w:type="dxa"/>
            <w:vAlign w:val="bottom"/>
            <w:tcBorders>
              <w:left w:val="single" w:sz="8" w:color="434F69"/>
              <w:right w:val="single" w:sz="8" w:color="434F69"/>
            </w:tcBorders>
            <w:shd w:val="clear" w:color="auto" w:fill="434F69"/>
          </w:tcPr>
          <w:p>
            <w:pPr>
              <w:spacing w:after="0"/>
              <w:rPr>
                <w:sz w:val="13"/>
                <w:szCs w:val="13"/>
                <w:color w:val="auto"/>
              </w:rPr>
            </w:pPr>
          </w:p>
        </w:tc>
        <w:tc>
          <w:tcPr>
            <w:tcW w:w="132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Class A LP</w:t>
            </w:r>
          </w:p>
        </w:tc>
        <w:tc>
          <w:tcPr>
            <w:tcW w:w="1360" w:type="dxa"/>
            <w:vAlign w:val="bottom"/>
            <w:tcBorders>
              <w:right w:val="single" w:sz="8" w:color="434F69"/>
            </w:tcBorders>
            <w:shd w:val="clear" w:color="auto" w:fill="434F69"/>
          </w:tcPr>
          <w:p>
            <w:pPr>
              <w:jc w:val="center"/>
              <w:spacing w:after="0" w:line="151" w:lineRule="exact"/>
              <w:rPr>
                <w:sz w:val="20"/>
                <w:szCs w:val="20"/>
                <w:color w:val="auto"/>
              </w:rPr>
            </w:pPr>
            <w:r>
              <w:rPr>
                <w:rFonts w:ascii="Arial" w:cs="Arial" w:eastAsia="Arial" w:hAnsi="Arial"/>
                <w:sz w:val="14"/>
                <w:szCs w:val="14"/>
                <w:b w:val="1"/>
                <w:bCs w:val="1"/>
                <w:color w:val="FFFFFF"/>
              </w:rPr>
              <w:t>Interest in</w:t>
            </w:r>
          </w:p>
        </w:tc>
      </w:tr>
      <w:tr>
        <w:trPr>
          <w:trHeight w:val="213"/>
        </w:trPr>
        <w:tc>
          <w:tcPr>
            <w:tcW w:w="554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 of Owner and Address (in the case of Owners of more than 5%)</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Interest</w:t>
            </w:r>
          </w:p>
        </w:tc>
        <w:tc>
          <w:tcPr>
            <w:tcW w:w="13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Plains AAP, L.P.</w:t>
            </w:r>
            <w:r>
              <w:rPr>
                <w:rFonts w:ascii="Arial" w:cs="Arial" w:eastAsia="Arial" w:hAnsi="Arial"/>
                <w:sz w:val="17"/>
                <w:szCs w:val="17"/>
                <w:b w:val="1"/>
                <w:bCs w:val="1"/>
                <w:color w:val="FFFFFF"/>
                <w:w w:val="96"/>
                <w:vertAlign w:val="superscript"/>
              </w:rPr>
              <w:t>(1)</w:t>
            </w:r>
          </w:p>
        </w:tc>
      </w:tr>
      <w:tr>
        <w:trPr>
          <w:trHeight w:val="250"/>
        </w:trPr>
        <w:tc>
          <w:tcPr>
            <w:tcW w:w="5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Plains GP Holdings, L.P. and Plains All American GP LLC</w:t>
            </w:r>
          </w:p>
        </w:tc>
        <w:tc>
          <w:tcPr>
            <w:tcW w:w="132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80.6%</w:t>
            </w:r>
          </w:p>
        </w:tc>
        <w:tc>
          <w:tcPr>
            <w:tcW w:w="136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80.4%</w:t>
            </w:r>
          </w:p>
        </w:tc>
      </w:tr>
      <w:tr>
        <w:trPr>
          <w:trHeight w:val="250"/>
        </w:trPr>
        <w:tc>
          <w:tcPr>
            <w:tcW w:w="554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333 Clay Street, Suite 1600</w:t>
            </w:r>
          </w:p>
        </w:tc>
        <w:tc>
          <w:tcPr>
            <w:tcW w:w="1320" w:type="dxa"/>
            <w:vAlign w:val="bottom"/>
            <w:tcBorders>
              <w:bottom w:val="single" w:sz="8" w:color="434F69"/>
              <w:right w:val="single" w:sz="8" w:color="434F69"/>
            </w:tcBorders>
          </w:tcPr>
          <w:p>
            <w:pPr>
              <w:spacing w:after="0"/>
              <w:rPr>
                <w:sz w:val="21"/>
                <w:szCs w:val="21"/>
                <w:color w:val="auto"/>
              </w:rPr>
            </w:pPr>
          </w:p>
        </w:tc>
        <w:tc>
          <w:tcPr>
            <w:tcW w:w="1360" w:type="dxa"/>
            <w:vAlign w:val="bottom"/>
            <w:tcBorders>
              <w:bottom w:val="single" w:sz="8" w:color="434F69"/>
              <w:right w:val="single" w:sz="8" w:color="434F69"/>
            </w:tcBorders>
          </w:tcPr>
          <w:p>
            <w:pPr>
              <w:spacing w:after="0"/>
              <w:rPr>
                <w:sz w:val="21"/>
                <w:szCs w:val="21"/>
                <w:color w:val="auto"/>
              </w:rPr>
            </w:pPr>
          </w:p>
        </w:tc>
      </w:tr>
      <w:tr>
        <w:trPr>
          <w:trHeight w:val="250"/>
        </w:trPr>
        <w:tc>
          <w:tcPr>
            <w:tcW w:w="554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Houston, TX 77002</w:t>
            </w:r>
          </w:p>
        </w:tc>
        <w:tc>
          <w:tcPr>
            <w:tcW w:w="1320" w:type="dxa"/>
            <w:vAlign w:val="bottom"/>
            <w:tcBorders>
              <w:bottom w:val="single" w:sz="8" w:color="434F69"/>
              <w:right w:val="single" w:sz="8" w:color="434F69"/>
            </w:tcBorders>
          </w:tcPr>
          <w:p>
            <w:pPr>
              <w:spacing w:after="0"/>
              <w:rPr>
                <w:sz w:val="21"/>
                <w:szCs w:val="21"/>
                <w:color w:val="auto"/>
              </w:rPr>
            </w:pPr>
          </w:p>
        </w:tc>
        <w:tc>
          <w:tcPr>
            <w:tcW w:w="1360" w:type="dxa"/>
            <w:vAlign w:val="bottom"/>
            <w:tcBorders>
              <w:bottom w:val="single" w:sz="8" w:color="434F69"/>
              <w:right w:val="single" w:sz="8" w:color="434F69"/>
            </w:tcBorders>
          </w:tcPr>
          <w:p>
            <w:pPr>
              <w:spacing w:after="0"/>
              <w:rPr>
                <w:sz w:val="21"/>
                <w:szCs w:val="21"/>
                <w:color w:val="auto"/>
              </w:rPr>
            </w:pPr>
          </w:p>
        </w:tc>
      </w:tr>
      <w:tr>
        <w:trPr>
          <w:trHeight w:val="250"/>
        </w:trPr>
        <w:tc>
          <w:tcPr>
            <w:tcW w:w="5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KAFU Holdings (QP), L.P. and Affiliates</w:t>
            </w:r>
          </w:p>
        </w:tc>
        <w:tc>
          <w:tcPr>
            <w:tcW w:w="132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5.8%</w:t>
            </w:r>
          </w:p>
        </w:tc>
        <w:tc>
          <w:tcPr>
            <w:tcW w:w="136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5.8%</w:t>
            </w:r>
          </w:p>
        </w:tc>
      </w:tr>
      <w:tr>
        <w:trPr>
          <w:trHeight w:val="250"/>
        </w:trPr>
        <w:tc>
          <w:tcPr>
            <w:tcW w:w="554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1800 Avenue of the Stars, 3rd Floor</w:t>
            </w:r>
          </w:p>
        </w:tc>
        <w:tc>
          <w:tcPr>
            <w:tcW w:w="1320" w:type="dxa"/>
            <w:vAlign w:val="bottom"/>
            <w:tcBorders>
              <w:bottom w:val="single" w:sz="8" w:color="434F69"/>
              <w:right w:val="single" w:sz="8" w:color="434F69"/>
            </w:tcBorders>
          </w:tcPr>
          <w:p>
            <w:pPr>
              <w:spacing w:after="0"/>
              <w:rPr>
                <w:sz w:val="21"/>
                <w:szCs w:val="21"/>
                <w:color w:val="auto"/>
              </w:rPr>
            </w:pPr>
          </w:p>
        </w:tc>
        <w:tc>
          <w:tcPr>
            <w:tcW w:w="1360" w:type="dxa"/>
            <w:vAlign w:val="bottom"/>
            <w:tcBorders>
              <w:bottom w:val="single" w:sz="8" w:color="434F69"/>
              <w:right w:val="single" w:sz="8" w:color="434F69"/>
            </w:tcBorders>
          </w:tcPr>
          <w:p>
            <w:pPr>
              <w:spacing w:after="0"/>
              <w:rPr>
                <w:sz w:val="21"/>
                <w:szCs w:val="21"/>
                <w:color w:val="auto"/>
              </w:rPr>
            </w:pPr>
          </w:p>
        </w:tc>
      </w:tr>
      <w:tr>
        <w:trPr>
          <w:trHeight w:val="250"/>
        </w:trPr>
        <w:tc>
          <w:tcPr>
            <w:tcW w:w="554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Los Angeles, CA 90067</w:t>
            </w:r>
          </w:p>
        </w:tc>
        <w:tc>
          <w:tcPr>
            <w:tcW w:w="1320" w:type="dxa"/>
            <w:vAlign w:val="bottom"/>
            <w:tcBorders>
              <w:bottom w:val="single" w:sz="8" w:color="434F69"/>
              <w:right w:val="single" w:sz="8" w:color="434F69"/>
            </w:tcBorders>
          </w:tcPr>
          <w:p>
            <w:pPr>
              <w:spacing w:after="0"/>
              <w:rPr>
                <w:sz w:val="21"/>
                <w:szCs w:val="21"/>
                <w:color w:val="auto"/>
              </w:rPr>
            </w:pPr>
          </w:p>
        </w:tc>
        <w:tc>
          <w:tcPr>
            <w:tcW w:w="1360" w:type="dxa"/>
            <w:vAlign w:val="bottom"/>
            <w:tcBorders>
              <w:bottom w:val="single" w:sz="8" w:color="434F69"/>
              <w:right w:val="single" w:sz="8" w:color="434F69"/>
            </w:tcBorders>
          </w:tcPr>
          <w:p>
            <w:pPr>
              <w:spacing w:after="0"/>
              <w:rPr>
                <w:sz w:val="21"/>
                <w:szCs w:val="21"/>
                <w:color w:val="auto"/>
              </w:rPr>
            </w:pPr>
          </w:p>
        </w:tc>
      </w:tr>
      <w:tr>
        <w:trPr>
          <w:trHeight w:val="250"/>
        </w:trPr>
        <w:tc>
          <w:tcPr>
            <w:tcW w:w="5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Lynx Holdings I, LLC</w:t>
            </w:r>
          </w:p>
        </w:tc>
        <w:tc>
          <w:tcPr>
            <w:tcW w:w="132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1.3%</w:t>
            </w:r>
          </w:p>
        </w:tc>
      </w:tr>
      <w:tr>
        <w:trPr>
          <w:trHeight w:val="250"/>
        </w:trPr>
        <w:tc>
          <w:tcPr>
            <w:tcW w:w="5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John T. Raymond</w:t>
            </w:r>
          </w:p>
        </w:tc>
        <w:tc>
          <w:tcPr>
            <w:tcW w:w="1320" w:type="dxa"/>
            <w:vAlign w:val="bottom"/>
            <w:tcBorders>
              <w:bottom w:val="single" w:sz="8" w:color="434F69"/>
              <w:right w:val="single" w:sz="8" w:color="434F69"/>
            </w:tcBorders>
          </w:tcPr>
          <w:p>
            <w:pPr>
              <w:jc w:val="right"/>
              <w:ind w:right="236"/>
              <w:spacing w:after="0"/>
              <w:rPr>
                <w:sz w:val="20"/>
                <w:szCs w:val="20"/>
                <w:color w:val="auto"/>
              </w:rPr>
            </w:pPr>
            <w:r>
              <w:rPr>
                <w:rFonts w:ascii="Arial" w:cs="Arial" w:eastAsia="Arial" w:hAnsi="Arial"/>
                <w:sz w:val="18"/>
                <w:szCs w:val="18"/>
                <w:color w:val="auto"/>
              </w:rPr>
              <w:t>3.4%</w:t>
            </w:r>
          </w:p>
        </w:tc>
        <w:tc>
          <w:tcPr>
            <w:tcW w:w="136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3.4%</w:t>
            </w:r>
          </w:p>
        </w:tc>
      </w:tr>
      <w:tr>
        <w:trPr>
          <w:trHeight w:val="250"/>
        </w:trPr>
        <w:tc>
          <w:tcPr>
            <w:tcW w:w="5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Greg L. Armstrong</w:t>
            </w:r>
          </w:p>
        </w:tc>
        <w:tc>
          <w:tcPr>
            <w:tcW w:w="132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1.9%</w:t>
            </w:r>
          </w:p>
        </w:tc>
      </w:tr>
      <w:tr>
        <w:trPr>
          <w:trHeight w:val="250"/>
        </w:trPr>
        <w:tc>
          <w:tcPr>
            <w:tcW w:w="5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320" w:type="dxa"/>
            <w:vAlign w:val="bottom"/>
            <w:tcBorders>
              <w:bottom w:val="single" w:sz="8" w:color="434F69"/>
              <w:right w:val="single" w:sz="8" w:color="434F69"/>
            </w:tcBorders>
          </w:tcPr>
          <w:p>
            <w:pPr>
              <w:jc w:val="right"/>
              <w:ind w:right="236"/>
              <w:spacing w:after="0"/>
              <w:rPr>
                <w:sz w:val="20"/>
                <w:szCs w:val="20"/>
                <w:color w:val="auto"/>
              </w:rPr>
            </w:pPr>
            <w:r>
              <w:rPr>
                <w:rFonts w:ascii="Arial" w:cs="Arial" w:eastAsia="Arial" w:hAnsi="Arial"/>
                <w:sz w:val="18"/>
                <w:szCs w:val="18"/>
                <w:color w:val="auto"/>
              </w:rPr>
              <w:t>0.9%</w:t>
            </w:r>
          </w:p>
        </w:tc>
        <w:tc>
          <w:tcPr>
            <w:tcW w:w="136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0.9%</w:t>
            </w:r>
          </w:p>
        </w:tc>
      </w:tr>
      <w:tr>
        <w:trPr>
          <w:trHeight w:val="250"/>
        </w:trPr>
        <w:tc>
          <w:tcPr>
            <w:tcW w:w="5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132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0.2%</w:t>
            </w:r>
          </w:p>
        </w:tc>
      </w:tr>
      <w:tr>
        <w:trPr>
          <w:trHeight w:val="250"/>
        </w:trPr>
        <w:tc>
          <w:tcPr>
            <w:tcW w:w="5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Various Individual Investors</w:t>
            </w:r>
          </w:p>
        </w:tc>
        <w:tc>
          <w:tcPr>
            <w:tcW w:w="1320" w:type="dxa"/>
            <w:vAlign w:val="bottom"/>
            <w:tcBorders>
              <w:bottom w:val="single" w:sz="8" w:color="434F69"/>
              <w:right w:val="single" w:sz="8" w:color="434F69"/>
            </w:tcBorders>
          </w:tcPr>
          <w:p>
            <w:pPr>
              <w:jc w:val="right"/>
              <w:ind w:right="236"/>
              <w:spacing w:after="0"/>
              <w:rPr>
                <w:sz w:val="20"/>
                <w:szCs w:val="20"/>
                <w:color w:val="auto"/>
              </w:rPr>
            </w:pPr>
            <w:r>
              <w:rPr>
                <w:rFonts w:ascii="Arial" w:cs="Arial" w:eastAsia="Arial" w:hAnsi="Arial"/>
                <w:sz w:val="18"/>
                <w:szCs w:val="18"/>
                <w:color w:val="auto"/>
              </w:rPr>
              <w:t>5.9%</w:t>
            </w:r>
          </w:p>
        </w:tc>
        <w:tc>
          <w:tcPr>
            <w:tcW w:w="136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5.9%</w:t>
            </w:r>
          </w:p>
        </w:tc>
      </w:tr>
      <w:tr>
        <w:trPr>
          <w:trHeight w:val="283"/>
        </w:trPr>
        <w:tc>
          <w:tcPr>
            <w:tcW w:w="5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AAP Management Unitholders</w:t>
            </w:r>
            <w:r>
              <w:rPr>
                <w:rFonts w:ascii="Arial" w:cs="Arial" w:eastAsia="Arial" w:hAnsi="Arial"/>
                <w:sz w:val="23"/>
                <w:szCs w:val="23"/>
                <w:color w:val="auto"/>
                <w:vertAlign w:val="superscript"/>
              </w:rPr>
              <w:t>(2)</w:t>
            </w:r>
          </w:p>
        </w:tc>
        <w:tc>
          <w:tcPr>
            <w:tcW w:w="1320" w:type="dxa"/>
            <w:vAlign w:val="bottom"/>
            <w:tcBorders>
              <w:bottom w:val="single" w:sz="8" w:color="434F69"/>
              <w:right w:val="single" w:sz="8" w:color="434F69"/>
            </w:tcBorders>
            <w:shd w:val="clear" w:color="auto" w:fill="D9DCE1"/>
          </w:tcPr>
          <w:p>
            <w:pPr>
              <w:jc w:val="right"/>
              <w:ind w:right="39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434F69"/>
              <w:right w:val="single" w:sz="8" w:color="434F69"/>
            </w:tcBorders>
            <w:shd w:val="clear" w:color="auto" w:fill="D9DCE1"/>
          </w:tcPr>
          <w:p>
            <w:pPr>
              <w:jc w:val="right"/>
              <w:ind w:right="255"/>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419" w:hanging="360"/>
        <w:spacing w:after="0" w:line="200"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AAP owns approximately 241.5 million PAA common units and a 100% member interest in PAA GP LLC, which owns PAA’s non-economic general partner interest.</w:t>
      </w:r>
    </w:p>
    <w:p>
      <w:pPr>
        <w:spacing w:after="0" w:line="68" w:lineRule="exact"/>
        <w:rPr>
          <w:rFonts w:ascii="Arial" w:cs="Arial" w:eastAsia="Arial" w:hAnsi="Arial"/>
          <w:sz w:val="27"/>
          <w:szCs w:val="27"/>
          <w:color w:val="auto"/>
          <w:vertAlign w:val="superscript"/>
        </w:rPr>
      </w:pPr>
    </w:p>
    <w:p>
      <w:pPr>
        <w:ind w:left="1620" w:right="959" w:hanging="360"/>
        <w:spacing w:after="0" w:line="200"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Represents a profits interest in AAP in the form of AAP Management Units owned by certain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66"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The following table sets forth certain information with respect to our equity compensation plan as of December 31, 2021. For a description of this plan, see “Certain Relationships and Related Transactions — Plains GP Holdings, L.P. Long Term Incentive Plan.”</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3800" w:type="dxa"/>
            <w:vAlign w:val="bottom"/>
            <w:tcBorders>
              <w:left w:val="single" w:sz="8" w:color="434F69"/>
              <w:right w:val="single" w:sz="8" w:color="434F69"/>
            </w:tcBorders>
            <w:shd w:val="clear" w:color="auto" w:fill="434F69"/>
          </w:tcPr>
          <w:p>
            <w:pPr>
              <w:spacing w:after="0"/>
              <w:rPr>
                <w:sz w:val="17"/>
                <w:szCs w:val="17"/>
                <w:color w:val="auto"/>
              </w:rPr>
            </w:pP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480" w:type="dxa"/>
            <w:vAlign w:val="bottom"/>
            <w:tcBorders>
              <w:right w:val="single" w:sz="8" w:color="434F69"/>
            </w:tcBorders>
            <w:shd w:val="clear" w:color="auto" w:fill="434F69"/>
          </w:tcPr>
          <w:p>
            <w:pPr>
              <w:spacing w:after="0"/>
              <w:rPr>
                <w:sz w:val="17"/>
                <w:szCs w:val="17"/>
                <w:color w:val="auto"/>
              </w:rPr>
            </w:pP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Number of Shares</w:t>
            </w:r>
          </w:p>
        </w:tc>
      </w:tr>
      <w:tr>
        <w:trPr>
          <w:trHeight w:val="162"/>
        </w:trPr>
        <w:tc>
          <w:tcPr>
            <w:tcW w:w="3800" w:type="dxa"/>
            <w:vAlign w:val="bottom"/>
            <w:tcBorders>
              <w:left w:val="single" w:sz="8" w:color="434F69"/>
              <w:right w:val="single" w:sz="8" w:color="434F69"/>
            </w:tcBorders>
            <w:shd w:val="clear" w:color="auto" w:fill="434F69"/>
          </w:tcPr>
          <w:p>
            <w:pPr>
              <w:spacing w:after="0"/>
              <w:rPr>
                <w:sz w:val="14"/>
                <w:szCs w:val="14"/>
                <w:color w:val="auto"/>
              </w:rPr>
            </w:pP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3800" w:type="dxa"/>
            <w:vAlign w:val="bottom"/>
            <w:tcBorders>
              <w:left w:val="single" w:sz="8" w:color="434F69"/>
              <w:right w:val="single" w:sz="8" w:color="434F69"/>
            </w:tcBorders>
            <w:shd w:val="clear" w:color="auto" w:fill="434F69"/>
          </w:tcPr>
          <w:p>
            <w:pPr>
              <w:spacing w:after="0"/>
              <w:rPr>
                <w:sz w:val="14"/>
                <w:szCs w:val="14"/>
                <w:color w:val="auto"/>
              </w:rPr>
            </w:pP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Exercise/Vesting</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Available for</w:t>
            </w:r>
          </w:p>
        </w:tc>
      </w:tr>
      <w:tr>
        <w:trPr>
          <w:trHeight w:val="162"/>
        </w:trPr>
        <w:tc>
          <w:tcPr>
            <w:tcW w:w="3800" w:type="dxa"/>
            <w:vAlign w:val="bottom"/>
            <w:tcBorders>
              <w:left w:val="single" w:sz="8" w:color="434F69"/>
              <w:right w:val="single" w:sz="8" w:color="434F69"/>
            </w:tcBorders>
            <w:shd w:val="clear" w:color="auto" w:fill="434F69"/>
          </w:tcPr>
          <w:p>
            <w:pPr>
              <w:spacing w:after="0"/>
              <w:rPr>
                <w:sz w:val="14"/>
                <w:szCs w:val="14"/>
                <w:color w:val="auto"/>
              </w:rPr>
            </w:pP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Outstanding</w:t>
            </w: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3800" w:type="dxa"/>
            <w:vAlign w:val="bottom"/>
            <w:tcBorders>
              <w:left w:val="single" w:sz="8" w:color="434F69"/>
              <w:right w:val="single" w:sz="8" w:color="434F69"/>
            </w:tcBorders>
            <w:shd w:val="clear" w:color="auto" w:fill="434F69"/>
          </w:tcPr>
          <w:p>
            <w:pPr>
              <w:spacing w:after="0"/>
              <w:rPr>
                <w:sz w:val="14"/>
                <w:szCs w:val="14"/>
                <w:color w:val="auto"/>
              </w:rPr>
            </w:pP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Options,</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Options,</w:t>
            </w: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3800" w:type="dxa"/>
            <w:vAlign w:val="bottom"/>
            <w:tcBorders>
              <w:left w:val="single" w:sz="8" w:color="434F69"/>
              <w:right w:val="single" w:sz="8" w:color="434F69"/>
            </w:tcBorders>
            <w:shd w:val="clear" w:color="auto" w:fill="434F69"/>
          </w:tcPr>
          <w:p>
            <w:pPr>
              <w:spacing w:after="0"/>
              <w:rPr>
                <w:sz w:val="14"/>
                <w:szCs w:val="14"/>
                <w:color w:val="auto"/>
              </w:rPr>
            </w:pP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Warrants and</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Warrants and</w:t>
            </w: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3800" w:type="dxa"/>
            <w:vAlign w:val="bottom"/>
            <w:tcBorders>
              <w:left w:val="single" w:sz="8" w:color="434F69"/>
              <w:right w:val="single" w:sz="8" w:color="434F69"/>
            </w:tcBorders>
            <w:shd w:val="clear" w:color="auto" w:fill="434F69"/>
          </w:tcPr>
          <w:p>
            <w:pPr>
              <w:spacing w:after="0"/>
              <w:rPr>
                <w:sz w:val="14"/>
                <w:szCs w:val="14"/>
                <w:color w:val="auto"/>
              </w:rPr>
            </w:pP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Rights</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Rights</w:t>
            </w: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Plans</w:t>
            </w:r>
          </w:p>
        </w:tc>
      </w:tr>
      <w:tr>
        <w:trPr>
          <w:trHeight w:val="202"/>
        </w:trPr>
        <w:tc>
          <w:tcPr>
            <w:tcW w:w="380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Plan Category</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w:t>
            </w:r>
          </w:p>
        </w:tc>
        <w:tc>
          <w:tcPr>
            <w:tcW w:w="14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w:t>
            </w:r>
          </w:p>
        </w:tc>
        <w:tc>
          <w:tcPr>
            <w:tcW w:w="14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(c)</w:t>
            </w:r>
          </w:p>
        </w:tc>
      </w:tr>
      <w:tr>
        <w:trPr>
          <w:trHeight w:val="229"/>
        </w:trPr>
        <w:tc>
          <w:tcPr>
            <w:tcW w:w="3800" w:type="dxa"/>
            <w:vAlign w:val="bottom"/>
            <w:tcBorders>
              <w:left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approved by</w:t>
            </w:r>
          </w:p>
        </w:tc>
        <w:tc>
          <w:tcPr>
            <w:tcW w:w="1480" w:type="dxa"/>
            <w:vAlign w:val="bottom"/>
            <w:tcBorders>
              <w:right w:val="single" w:sz="8" w:color="434F69"/>
            </w:tcBorders>
            <w:shd w:val="clear" w:color="auto" w:fill="D9DCE1"/>
          </w:tcPr>
          <w:p>
            <w:pPr>
              <w:spacing w:after="0"/>
              <w:rPr>
                <w:sz w:val="19"/>
                <w:szCs w:val="19"/>
                <w:color w:val="auto"/>
              </w:rPr>
            </w:pPr>
          </w:p>
        </w:tc>
        <w:tc>
          <w:tcPr>
            <w:tcW w:w="1480" w:type="dxa"/>
            <w:vAlign w:val="bottom"/>
            <w:tcBorders>
              <w:right w:val="single" w:sz="8" w:color="434F69"/>
            </w:tcBorders>
            <w:shd w:val="clear" w:color="auto" w:fill="D9DCE1"/>
          </w:tcPr>
          <w:p>
            <w:pPr>
              <w:spacing w:after="0"/>
              <w:rPr>
                <w:sz w:val="19"/>
                <w:szCs w:val="19"/>
                <w:color w:val="auto"/>
              </w:rPr>
            </w:pPr>
          </w:p>
        </w:tc>
        <w:tc>
          <w:tcPr>
            <w:tcW w:w="1460" w:type="dxa"/>
            <w:vAlign w:val="bottom"/>
            <w:tcBorders>
              <w:right w:val="single" w:sz="8" w:color="434F69"/>
            </w:tcBorders>
            <w:shd w:val="clear" w:color="auto" w:fill="D9DCE1"/>
          </w:tcPr>
          <w:p>
            <w:pPr>
              <w:spacing w:after="0"/>
              <w:rPr>
                <w:sz w:val="19"/>
                <w:szCs w:val="19"/>
                <w:color w:val="auto"/>
              </w:rPr>
            </w:pPr>
          </w:p>
        </w:tc>
      </w:tr>
      <w:tr>
        <w:trPr>
          <w:trHeight w:val="249"/>
        </w:trPr>
        <w:tc>
          <w:tcPr>
            <w:tcW w:w="3800" w:type="dxa"/>
            <w:vAlign w:val="bottom"/>
            <w:tcBorders>
              <w:left w:val="single" w:sz="8" w:color="434F69"/>
              <w:bottom w:val="single" w:sz="8" w:color="D9DCE1"/>
              <w:righ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shareholders:</w:t>
            </w:r>
          </w:p>
        </w:tc>
        <w:tc>
          <w:tcPr>
            <w:tcW w:w="1480" w:type="dxa"/>
            <w:vAlign w:val="bottom"/>
            <w:tcBorders>
              <w:bottom w:val="single" w:sz="8" w:color="D9DCE1"/>
              <w:right w:val="single" w:sz="8" w:color="434F69"/>
            </w:tcBorders>
            <w:shd w:val="clear" w:color="auto" w:fill="D9DCE1"/>
          </w:tcPr>
          <w:p>
            <w:pPr>
              <w:spacing w:after="0"/>
              <w:rPr>
                <w:sz w:val="21"/>
                <w:szCs w:val="21"/>
                <w:color w:val="auto"/>
              </w:rPr>
            </w:pPr>
          </w:p>
        </w:tc>
        <w:tc>
          <w:tcPr>
            <w:tcW w:w="1480" w:type="dxa"/>
            <w:vAlign w:val="bottom"/>
            <w:tcBorders>
              <w:bottom w:val="single" w:sz="8" w:color="D9DCE1"/>
              <w:right w:val="single" w:sz="8" w:color="434F69"/>
            </w:tcBorders>
            <w:shd w:val="clear" w:color="auto" w:fill="D9DCE1"/>
          </w:tcPr>
          <w:p>
            <w:pPr>
              <w:spacing w:after="0"/>
              <w:rPr>
                <w:sz w:val="21"/>
                <w:szCs w:val="21"/>
                <w:color w:val="auto"/>
              </w:rPr>
            </w:pPr>
          </w:p>
        </w:tc>
        <w:tc>
          <w:tcPr>
            <w:tcW w:w="1460" w:type="dxa"/>
            <w:vAlign w:val="bottom"/>
            <w:tcBorders>
              <w:bottom w:val="single" w:sz="8" w:color="D9DCE1"/>
              <w:right w:val="single" w:sz="8" w:color="434F69"/>
            </w:tcBorders>
            <w:shd w:val="clear" w:color="auto" w:fill="D9DCE1"/>
          </w:tcPr>
          <w:p>
            <w:pPr>
              <w:spacing w:after="0"/>
              <w:rPr>
                <w:sz w:val="21"/>
                <w:szCs w:val="21"/>
                <w:color w:val="auto"/>
              </w:rPr>
            </w:pPr>
          </w:p>
        </w:tc>
      </w:tr>
      <w:tr>
        <w:trPr>
          <w:trHeight w:val="250"/>
        </w:trPr>
        <w:tc>
          <w:tcPr>
            <w:tcW w:w="3800" w:type="dxa"/>
            <w:vAlign w:val="bottom"/>
            <w:tcBorders>
              <w:top w:val="single" w:sz="8" w:color="434F69"/>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Long Term Incentive Plan</w:t>
            </w:r>
          </w:p>
        </w:tc>
        <w:tc>
          <w:tcPr>
            <w:tcW w:w="1480" w:type="dxa"/>
            <w:vAlign w:val="bottom"/>
            <w:tcBorders>
              <w:top w:val="single" w:sz="8" w:color="434F69"/>
              <w:bottom w:val="single" w:sz="8" w:color="434F69"/>
              <w:right w:val="single" w:sz="8" w:color="434F69"/>
            </w:tcBorders>
          </w:tcPr>
          <w:p>
            <w:pPr>
              <w:jc w:val="right"/>
              <w:ind w:right="204"/>
              <w:spacing w:after="0" w:line="250" w:lineRule="exact"/>
              <w:rPr>
                <w:sz w:val="20"/>
                <w:szCs w:val="20"/>
                <w:color w:val="auto"/>
              </w:rPr>
            </w:pPr>
            <w:r>
              <w:rPr>
                <w:rFonts w:ascii="Arial" w:cs="Arial" w:eastAsia="Arial" w:hAnsi="Arial"/>
                <w:sz w:val="18"/>
                <w:szCs w:val="18"/>
                <w:color w:val="auto"/>
              </w:rPr>
              <w:t>285,317</w:t>
            </w:r>
            <w:r>
              <w:rPr>
                <w:rFonts w:ascii="Arial" w:cs="Arial" w:eastAsia="Arial" w:hAnsi="Arial"/>
                <w:sz w:val="23"/>
                <w:szCs w:val="23"/>
                <w:color w:val="auto"/>
                <w:vertAlign w:val="superscript"/>
              </w:rPr>
              <w:t>(1)</w:t>
            </w:r>
          </w:p>
        </w:tc>
        <w:tc>
          <w:tcPr>
            <w:tcW w:w="1480" w:type="dxa"/>
            <w:vAlign w:val="bottom"/>
            <w:tcBorders>
              <w:top w:val="single" w:sz="8" w:color="434F69"/>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N/A</w:t>
            </w:r>
          </w:p>
        </w:tc>
        <w:tc>
          <w:tcPr>
            <w:tcW w:w="1460" w:type="dxa"/>
            <w:vAlign w:val="bottom"/>
            <w:tcBorders>
              <w:top w:val="single" w:sz="8" w:color="434F69"/>
              <w:bottom w:val="single" w:sz="8" w:color="434F69"/>
              <w:right w:val="single" w:sz="8" w:color="434F69"/>
            </w:tcBorders>
          </w:tcPr>
          <w:p>
            <w:pPr>
              <w:jc w:val="right"/>
              <w:ind w:right="104"/>
              <w:spacing w:after="0" w:line="250" w:lineRule="exact"/>
              <w:rPr>
                <w:sz w:val="20"/>
                <w:szCs w:val="20"/>
                <w:color w:val="auto"/>
              </w:rPr>
            </w:pPr>
            <w:r>
              <w:rPr>
                <w:rFonts w:ascii="Arial" w:cs="Arial" w:eastAsia="Arial" w:hAnsi="Arial"/>
                <w:sz w:val="18"/>
                <w:szCs w:val="18"/>
                <w:color w:val="auto"/>
              </w:rPr>
              <w:t>3,335,841</w:t>
            </w:r>
            <w:r>
              <w:rPr>
                <w:rFonts w:ascii="Arial" w:cs="Arial" w:eastAsia="Arial" w:hAnsi="Arial"/>
                <w:sz w:val="23"/>
                <w:szCs w:val="23"/>
                <w:color w:val="auto"/>
                <w:vertAlign w:val="superscript"/>
              </w:rPr>
              <w:t>(1)</w:t>
            </w:r>
          </w:p>
        </w:tc>
      </w:tr>
      <w:tr>
        <w:trPr>
          <w:trHeight w:val="222"/>
        </w:trPr>
        <w:tc>
          <w:tcPr>
            <w:tcW w:w="3800" w:type="dxa"/>
            <w:vAlign w:val="bottom"/>
            <w:tcBorders>
              <w:left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Equity compensation plans not approved by</w:t>
            </w:r>
          </w:p>
        </w:tc>
        <w:tc>
          <w:tcPr>
            <w:tcW w:w="1480" w:type="dxa"/>
            <w:vAlign w:val="bottom"/>
            <w:tcBorders>
              <w:right w:val="single" w:sz="8" w:color="434F69"/>
            </w:tcBorders>
            <w:shd w:val="clear" w:color="auto" w:fill="D9DCE1"/>
          </w:tcPr>
          <w:p>
            <w:pPr>
              <w:spacing w:after="0"/>
              <w:rPr>
                <w:sz w:val="19"/>
                <w:szCs w:val="19"/>
                <w:color w:val="auto"/>
              </w:rPr>
            </w:pPr>
          </w:p>
        </w:tc>
        <w:tc>
          <w:tcPr>
            <w:tcW w:w="1480" w:type="dxa"/>
            <w:vAlign w:val="bottom"/>
            <w:tcBorders>
              <w:right w:val="single" w:sz="8" w:color="434F69"/>
            </w:tcBorders>
            <w:shd w:val="clear" w:color="auto" w:fill="D9DCE1"/>
          </w:tcPr>
          <w:p>
            <w:pPr>
              <w:spacing w:after="0"/>
              <w:rPr>
                <w:sz w:val="19"/>
                <w:szCs w:val="19"/>
                <w:color w:val="auto"/>
              </w:rPr>
            </w:pPr>
          </w:p>
        </w:tc>
        <w:tc>
          <w:tcPr>
            <w:tcW w:w="1460" w:type="dxa"/>
            <w:vAlign w:val="bottom"/>
            <w:tcBorders>
              <w:right w:val="single" w:sz="8" w:color="434F69"/>
            </w:tcBorders>
            <w:shd w:val="clear" w:color="auto" w:fill="D9DCE1"/>
          </w:tcPr>
          <w:p>
            <w:pPr>
              <w:spacing w:after="0"/>
              <w:rPr>
                <w:sz w:val="19"/>
                <w:szCs w:val="19"/>
                <w:color w:val="auto"/>
              </w:rPr>
            </w:pPr>
          </w:p>
        </w:tc>
      </w:tr>
      <w:tr>
        <w:trPr>
          <w:trHeight w:val="237"/>
        </w:trPr>
        <w:tc>
          <w:tcPr>
            <w:tcW w:w="3800" w:type="dxa"/>
            <w:vAlign w:val="bottom"/>
            <w:tcBorders>
              <w:left w:val="single" w:sz="8" w:color="434F69"/>
              <w:bottom w:val="single" w:sz="8" w:color="D9DCE1"/>
              <w:righ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shareholders:</w:t>
            </w:r>
          </w:p>
        </w:tc>
        <w:tc>
          <w:tcPr>
            <w:tcW w:w="1480" w:type="dxa"/>
            <w:vAlign w:val="bottom"/>
            <w:tcBorders>
              <w:bottom w:val="single" w:sz="8" w:color="D9DCE1"/>
              <w:right w:val="single" w:sz="8" w:color="434F69"/>
            </w:tcBorders>
            <w:shd w:val="clear" w:color="auto" w:fill="D9DCE1"/>
          </w:tcPr>
          <w:p>
            <w:pPr>
              <w:jc w:val="right"/>
              <w:ind w:right="344"/>
              <w:spacing w:after="0"/>
              <w:rPr>
                <w:sz w:val="20"/>
                <w:szCs w:val="20"/>
                <w:color w:val="auto"/>
              </w:rPr>
            </w:pPr>
            <w:r>
              <w:rPr>
                <w:rFonts w:ascii="Arial" w:cs="Arial" w:eastAsia="Arial" w:hAnsi="Arial"/>
                <w:sz w:val="18"/>
                <w:szCs w:val="18"/>
                <w:color w:val="auto"/>
              </w:rPr>
              <w:t>N/A</w:t>
            </w:r>
          </w:p>
        </w:tc>
        <w:tc>
          <w:tcPr>
            <w:tcW w:w="148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D9DCE1"/>
              <w:right w:val="single" w:sz="8" w:color="434F69"/>
            </w:tcBorders>
            <w:shd w:val="clear" w:color="auto" w:fill="D9DCE1"/>
          </w:tcPr>
          <w:p>
            <w:pPr>
              <w:jc w:val="right"/>
              <w:ind w:right="244"/>
              <w:spacing w:after="0"/>
              <w:rPr>
                <w:sz w:val="20"/>
                <w:szCs w:val="20"/>
                <w:color w:val="auto"/>
              </w:rPr>
            </w:pPr>
            <w:r>
              <w:rPr>
                <w:rFonts w:ascii="Arial" w:cs="Arial" w:eastAsia="Arial" w:hAnsi="Arial"/>
                <w:sz w:val="18"/>
                <w:szCs w:val="18"/>
                <w:color w:val="auto"/>
              </w:rPr>
              <w:t>N/A</w:t>
            </w:r>
          </w:p>
        </w:tc>
      </w:tr>
      <w:tr>
        <w:trPr>
          <w:trHeight w:val="20"/>
        </w:trPr>
        <w:tc>
          <w:tcPr>
            <w:tcW w:w="3800" w:type="dxa"/>
            <w:vAlign w:val="bottom"/>
            <w:tcBorders>
              <w:left w:val="single" w:sz="8" w:color="434F69"/>
              <w:right w:val="single" w:sz="8" w:color="434F69"/>
            </w:tcBorders>
            <w:shd w:val="clear" w:color="auto" w:fill="434F69"/>
          </w:tcPr>
          <w:p>
            <w:pPr>
              <w:spacing w:after="0" w:line="20" w:lineRule="exact"/>
              <w:rPr>
                <w:sz w:val="1"/>
                <w:szCs w:val="1"/>
                <w:color w:val="auto"/>
              </w:rPr>
            </w:pPr>
          </w:p>
        </w:tc>
        <w:tc>
          <w:tcPr>
            <w:tcW w:w="1480" w:type="dxa"/>
            <w:vAlign w:val="bottom"/>
            <w:tcBorders>
              <w:right w:val="single" w:sz="8" w:color="434F69"/>
            </w:tcBorders>
            <w:shd w:val="clear" w:color="auto" w:fill="434F69"/>
          </w:tcPr>
          <w:p>
            <w:pPr>
              <w:spacing w:after="0" w:line="20" w:lineRule="exact"/>
              <w:rPr>
                <w:sz w:val="1"/>
                <w:szCs w:val="1"/>
                <w:color w:val="auto"/>
              </w:rPr>
            </w:pPr>
          </w:p>
        </w:tc>
        <w:tc>
          <w:tcPr>
            <w:tcW w:w="1480" w:type="dxa"/>
            <w:vAlign w:val="bottom"/>
            <w:tcBorders>
              <w:right w:val="single" w:sz="8" w:color="434F69"/>
            </w:tcBorders>
            <w:shd w:val="clear" w:color="auto" w:fill="434F69"/>
          </w:tcPr>
          <w:p>
            <w:pPr>
              <w:spacing w:after="0" w:line="20" w:lineRule="exact"/>
              <w:rPr>
                <w:sz w:val="1"/>
                <w:szCs w:val="1"/>
                <w:color w:val="auto"/>
              </w:rPr>
            </w:pPr>
          </w:p>
        </w:tc>
        <w:tc>
          <w:tcPr>
            <w:tcW w:w="1460" w:type="dxa"/>
            <w:vAlign w:val="bottom"/>
            <w:tcBorders>
              <w:right w:val="single" w:sz="8" w:color="434F69"/>
            </w:tcBorders>
            <w:shd w:val="clear" w:color="auto" w:fill="434F69"/>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0"/>
          <w:szCs w:val="20"/>
          <w:color w:val="auto"/>
        </w:rPr>
      </w:pPr>
    </w:p>
    <w:p>
      <w:pPr>
        <w:ind w:left="1620" w:right="639" w:hanging="360"/>
        <w:spacing w:after="0" w:line="239" w:lineRule="auto"/>
        <w:tabs>
          <w:tab w:leader="none" w:pos="1620" w:val="left"/>
        </w:tabs>
        <w:numPr>
          <w:ilvl w:val="0"/>
          <w:numId w:val="78"/>
        </w:numPr>
        <w:rPr>
          <w:rFonts w:ascii="Arial" w:cs="Arial" w:eastAsia="Arial" w:hAnsi="Arial"/>
          <w:sz w:val="26"/>
          <w:szCs w:val="26"/>
          <w:color w:val="auto"/>
          <w:vertAlign w:val="superscript"/>
        </w:rPr>
      </w:pPr>
      <w:r>
        <w:rPr>
          <w:rFonts w:ascii="Arial" w:cs="Arial" w:eastAsia="Arial" w:hAnsi="Arial"/>
          <w:sz w:val="17"/>
          <w:szCs w:val="17"/>
          <w:color w:val="auto"/>
        </w:rPr>
        <w:t>The Plains GP Holdings, L.P. Long Term Incentive Plan (the “PAGP Plan”) was adopted by our general partner in connection with our initial public offering in October 2013. The PAGP Plan contemplates the issuance or delivery of up to 3,755,208 Class A shares to satisfy awards under the PAGP Plan. In accordance with Item 201(d) of Regulation S-K, column (c) excludes the securities disclosed in column (a). However, any phantom Class A shares represented in column</w:t>
      </w:r>
    </w:p>
    <w:p>
      <w:pPr>
        <w:spacing w:after="0" w:line="3" w:lineRule="exact"/>
        <w:rPr>
          <w:rFonts w:ascii="Arial" w:cs="Arial" w:eastAsia="Arial" w:hAnsi="Arial"/>
          <w:sz w:val="26"/>
          <w:szCs w:val="26"/>
          <w:color w:val="auto"/>
          <w:vertAlign w:val="superscript"/>
        </w:rPr>
      </w:pPr>
    </w:p>
    <w:p>
      <w:pPr>
        <w:ind w:left="1620"/>
        <w:spacing w:after="0"/>
        <w:rPr>
          <w:rFonts w:ascii="Arial" w:cs="Arial" w:eastAsia="Arial" w:hAnsi="Arial"/>
          <w:sz w:val="26"/>
          <w:szCs w:val="26"/>
          <w:color w:val="auto"/>
          <w:vertAlign w:val="superscript"/>
        </w:rPr>
      </w:pPr>
      <w:r>
        <w:rPr>
          <w:rFonts w:ascii="Arial" w:cs="Arial" w:eastAsia="Arial" w:hAnsi="Arial"/>
          <w:sz w:val="18"/>
          <w:szCs w:val="18"/>
          <w:color w:val="auto"/>
        </w:rPr>
        <w:t>(a) that are not satisfied by the issuance of Class A shares become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66"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 Omnibus Agreement,” all of our direct or indirect expenses, other than income taxes, if any, will be paid by PAA. These direct or indirect expenses include, but are not limited to (i) compensation for the non-employee directors of PAGP GP, (ii) director and officer liability insurance, (iii) listing exchange fees, (iv) investor relations expenses, and (v) fees related to legal, tax, financial advisory and accounting services.</w:t>
      </w:r>
    </w:p>
    <w:p>
      <w:pPr>
        <w:spacing w:after="0" w:line="140"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 Long Term Incentive Plan</w:t>
      </w:r>
    </w:p>
    <w:p>
      <w:pPr>
        <w:spacing w:after="0" w:line="180"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7"/>
          <w:szCs w:val="17"/>
          <w:color w:val="auto"/>
        </w:rPr>
        <w:t>In connection with our initial public offering, our general partner adopted the PAGP Plan on our behalf for (i) the employees of our general partner and its affiliates who perform services for us and</w:t>
      </w:r>
    </w:p>
    <w:p>
      <w:pPr>
        <w:spacing w:after="0" w:line="1" w:lineRule="exact"/>
        <w:rPr>
          <w:sz w:val="20"/>
          <w:szCs w:val="20"/>
          <w:color w:val="auto"/>
        </w:rPr>
      </w:pPr>
    </w:p>
    <w:p>
      <w:pPr>
        <w:ind w:left="1260" w:right="479"/>
        <w:spacing w:after="0" w:line="253" w:lineRule="auto"/>
        <w:tabs>
          <w:tab w:leader="none" w:pos="150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non-employee directors of our general partner. Awards that may be granted under the PAGP Plan include restricted shares, phantom shares, options and share appreciation rights. The PAGP Plan limits the number of shares that may be delivered pursuant to awards to 3,755,208 Class A shares (subject to any adjustment due to recapitalization, reorganization or a similar event permitted under the PAGP Plan). Shares (other than restricted shares) that are forfeited or withheld to satisfy exercise price or tax withholding obligations are available for delivery pursuant to other awards. As of December 31, 2021, grants of 285,317 unvested phantom Class A shares were outstanding under the PAGP Plan.</w:t>
      </w:r>
    </w:p>
    <w:p>
      <w:pPr>
        <w:spacing w:after="0" w:line="110"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The PAGP Plan is administered by the Board. The Board has the right to terminate or amend the PAGP Plan or any part of the PAGP Plan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PAGP Plan will expire upon the earlier of the termination of the PAGP Plan by the Board or the date that no shares remain available under the PAGP Plan for awards. Upon termination of the PAGP Plan, awards then outstanding will continue pursuant to the terms of their grants.</w:t>
      </w:r>
    </w:p>
    <w:p>
      <w:pPr>
        <w:spacing w:after="0" w:line="140"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Class A shares to be delivered in settlement of awards under the PAGP Plan may be newly issued Class A shares, Class A shares acquired in the open market, Class A shares acquired from any other person, or any combination of the foregoing.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62"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A restricted share is a Class A share that vests over a period of time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such time is subject to forfeiture. The Board will determine the period over which restricted shares granted to participants will vest. The Board,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terms of the award agreement provide otherwise.</w:t>
      </w:r>
    </w:p>
    <w:p>
      <w:pPr>
        <w:spacing w:after="0" w:line="122" w:lineRule="exact"/>
        <w:rPr>
          <w:sz w:val="20"/>
          <w:szCs w:val="20"/>
          <w:color w:val="auto"/>
        </w:rPr>
      </w:pPr>
    </w:p>
    <w:p>
      <w:pPr>
        <w:ind w:left="1260" w:right="1059" w:firstLine="360"/>
        <w:spacing w:after="0" w:line="238" w:lineRule="auto"/>
        <w:rPr>
          <w:sz w:val="20"/>
          <w:szCs w:val="20"/>
          <w:color w:val="auto"/>
        </w:rPr>
      </w:pPr>
      <w:r>
        <w:rPr>
          <w:rFonts w:ascii="Arial" w:cs="Arial" w:eastAsia="Arial" w:hAnsi="Arial"/>
          <w:sz w:val="18"/>
          <w:szCs w:val="18"/>
          <w:color w:val="auto"/>
        </w:rPr>
        <w:t>We intend the restricted shares under the PAGP Plan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19"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phantom share or, in the discretion of the Board, cash equivalent to the value of a Class A share. The Board will determine the period over which phantom shares granted to participants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will vest. The Board, in its discretion, may base its determination upon the achievement of performance metrics. If a grantee’s employment or membership on the Board terminates for any reason, the grantee’s phantom shares will be automatically forfeited unless, and to the extent, the Board or the terms of the award agreement provide otherwise.</w:t>
      </w:r>
    </w:p>
    <w:p>
      <w:pPr>
        <w:spacing w:after="0" w:line="124" w:lineRule="exact"/>
        <w:rPr>
          <w:sz w:val="20"/>
          <w:szCs w:val="20"/>
          <w:color w:val="auto"/>
        </w:rPr>
      </w:pPr>
    </w:p>
    <w:p>
      <w:pPr>
        <w:ind w:left="1260" w:right="659" w:firstLine="360"/>
        <w:spacing w:after="0" w:line="238" w:lineRule="auto"/>
        <w:rPr>
          <w:sz w:val="20"/>
          <w:szCs w:val="20"/>
          <w:color w:val="auto"/>
        </w:rPr>
      </w:pPr>
      <w:r>
        <w:rPr>
          <w:rFonts w:ascii="Arial" w:cs="Arial" w:eastAsia="Arial" w:hAnsi="Arial"/>
          <w:sz w:val="18"/>
          <w:szCs w:val="18"/>
          <w:color w:val="auto"/>
        </w:rPr>
        <w:t>The Board, in its discretion, may grant DERs with respect to a phantom share. DERs entitle the grantee to receive an amount in cash equal to the cash distributions made on a Class A share during the period the related award is outstanding. The Board will establish whether the DERs are paid currently, when the tandem phantom share vests or on some other basis.</w:t>
      </w:r>
    </w:p>
    <w:p>
      <w:pPr>
        <w:spacing w:after="0" w:line="137"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We intend the issuance of any Class A shares upon vesting of the phantom shares under the PAGP Plan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17"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An option provides a participant with the option to acquire Class A shares at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PAGP Plan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determines for each option. The Board will determine the methods and form of payment for the exercise price of an option and the methods and forms in which Class A shares will be delivered to a participant. The Board, in its discretion, may grant DERs with respect to an option.</w:t>
      </w:r>
    </w:p>
    <w:p>
      <w:pPr>
        <w:spacing w:after="0" w:line="106"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A share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Class A share on the exercise date over the grant price of the share appreciation right. The excess may be paid in cash and/or in Class A shares, as determined by the Board in its discretion. The Board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at the time the share appreciation right is granted, but each share appreciation right must have an exercise price that is not less than the fair market value of the Class A shares on the date of grant. The Board will determine the time or times at which a share appreciation right may be exercised in whole or in part. Unless otherwise waived by the Board, or set forth in an award agreement, outstanding share appreciation rights awarded to a participant will be automatically forfeited upon a termination of the individual’s employment or membership on the Board terminates for any reason. The Board, in its discretion, may grant DERs with respect to a share appreciation right.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PAGP Plan Provisions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Unless other arrangements are made, our general partner and its affiliates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06"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Anti -Dilution Adjustments. </w:t>
      </w:r>
      <w:r>
        <w:rPr>
          <w:rFonts w:ascii="Arial" w:cs="Arial" w:eastAsia="Arial" w:hAnsi="Arial"/>
          <w:sz w:val="18"/>
          <w:szCs w:val="18"/>
          <w:color w:val="auto"/>
        </w:rPr>
        <w:t>Upon the occurrence of any “equity restructuring” event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an additional compensation expense under FASB ASC Topic 718 if adjustments to awards with respect to such event were discretionary, the Board will equitably adjust the number and type of shares covered by each outstanding award and the terms and conditions of such award to equitably reflect the restructuring event, and the Board will adjust the number and type of shares with respect to which future awards may be granted. With respect to a similar event that would not result in a FASB ASC Topic 718 accounting charge if adjustment to awards were discretionary, the Board shall have complete discretion to adjust awards in the manner it deems appropriate.</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99" w:firstLine="360"/>
        <w:spacing w:after="0" w:line="266"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award agreement), the award may automatically vest and be payable or become exercisable in full, as the case may be.</w:t>
      </w:r>
    </w:p>
    <w:p>
      <w:pPr>
        <w:spacing w:after="0" w:line="9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participant’s lifetime, or by the person to whom the participant’s rights pass by will or the laws of descent and distribution. No award or right granted under the PAGP Plan may be assigned, alienated, pledged, attached, sold or otherwise transferred or encumbered and any such purported transfer shall be void and unenforceable. Notwithstanding the foregoing, the Board may, in its discretion, allow a participant to transfer an option or a share appreciation right without consideration to an immediate family member or a related family trust, limited partnership, or similar entity on the terms and conditions established by the Board from time to time.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AAP Management Units</w:t>
      </w:r>
    </w:p>
    <w:p>
      <w:pPr>
        <w:spacing w:after="0" w:line="180"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additional long-term incentives for our management designed to attract talent and encourage retention over an extended period of time. Each AAP Management Unit represents a “profits interest” in AAP, which entitles the holder to participate in future profits and losses from operations, current distributions from operations, and an interest in future appreciation or depreciation in AAP’s asset values. As of March 28, 2022, 469,401 AAP Management Units were issued and outstanding. The compensation committee does not plan to issue any additional AAP Management Units.</w:t>
      </w:r>
    </w:p>
    <w:p>
      <w:pPr>
        <w:spacing w:after="0" w:line="138"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AAP Management Units are subject to restrictions on transfer and generally become “earned” (entitled to receive distributions) in percentage increments upon achievement of certain performance thresholds that are aligned with the interests of PAA’s common unitholders, such as DCF per common unit. As of March 28, 2022, all outstanding AAP Management Units had been earned.</w:t>
      </w:r>
    </w:p>
    <w:p>
      <w:pPr>
        <w:spacing w:after="0" w:line="123"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currently outstanding AAP Management Unit grants will vest on January 1, 2023. All earned AAP Management Units will also vest if AAP does not timely exercise its call right or in the event of a change of control.</w:t>
      </w:r>
    </w:p>
    <w:p>
      <w:pPr>
        <w:spacing w:after="0" w:line="14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As long as our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PAA common units, in each case on a one-for-one basis as provided in the AAP limited partnership agreement.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8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In connection with the Simplification Transactions completed in November 2016, we entered into an omnibus agreement (the “Omnibus Agreement”) with PAA, PAGP GP, AAP, PAA GP LLC and GP LLC (collectively with us, the “Plains Entities”), which provides, among other things, that all direct or indirect expenses of any of the Plains Entities will be paid by PAA, other than income taxes, if any, of PAGP GP, PAGP, GP LLC, AAP and PAA GP LLC. Such direct or indirect expenses include, but are not limited to (i) compensation for the directors of PAGP GP, (ii) director and officer liability insurance,</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61" w:lineRule="auto"/>
        <w:tabs>
          <w:tab w:leader="none" w:pos="15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listing exchange fees, (iv) investor relations expenses, and (v) fees related to legal, tax, financial advisory and accounting services. PAA paid $5 million of such expenses in 2021.</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66"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During 2021, we purchased approximately $6.1 million of petroleum products from companies affiliated with EMG. These ordinary course transactions were conducted at prices that we believe approximate market. Based on our knowledge, the amounts received during 2021 from PAA by companies affiliated with EMG ($6.1 million) did not exceed 5% of EMG’s consolidated gross revenues.</w:t>
      </w:r>
    </w:p>
    <w:p>
      <w:pPr>
        <w:spacing w:after="0" w:line="123"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An employee in PAA’s marketing department, who has been with PAA for over 10 years, is the daughter of Willie Chiang, our Chief Executive Officer. Mr. Chiang’s daughter’s total compensation for 2021 was approximately $174,500.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8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144"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pacing w:after="0" w:line="13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REPORT OF THE AUDIT COMMITTEE</w:t>
      </w:r>
    </w:p>
    <w:p>
      <w:pPr>
        <w:spacing w:after="0" w:line="166" w:lineRule="exact"/>
        <w:rPr>
          <w:sz w:val="20"/>
          <w:szCs w:val="20"/>
          <w:color w:val="auto"/>
        </w:rPr>
      </w:pPr>
    </w:p>
    <w:p>
      <w:pPr>
        <w:jc w:val="both"/>
        <w:ind w:left="1260" w:right="519" w:firstLine="360"/>
        <w:spacing w:after="0" w:line="256"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34" w:lineRule="exact"/>
        <w:rPr>
          <w:sz w:val="20"/>
          <w:szCs w:val="20"/>
          <w:color w:val="auto"/>
        </w:rPr>
      </w:pPr>
    </w:p>
    <w:p>
      <w:pPr>
        <w:ind w:left="1260" w:right="799" w:firstLine="360"/>
        <w:spacing w:after="0" w:line="256"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2021.</w:t>
      </w:r>
    </w:p>
    <w:p>
      <w:pPr>
        <w:spacing w:after="0" w:line="134"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27"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39" w:lineRule="exact"/>
        <w:rPr>
          <w:sz w:val="20"/>
          <w:szCs w:val="20"/>
          <w:color w:val="auto"/>
        </w:rPr>
      </w:pPr>
    </w:p>
    <w:p>
      <w:pPr>
        <w:jc w:val="both"/>
        <w:ind w:left="1260" w:right="459" w:firstLine="360"/>
        <w:spacing w:after="0" w:line="256"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2021 for filing with the SEC.</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Chairman</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66"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3980" w:type="dxa"/>
            <w:vAlign w:val="bottom"/>
            <w:shd w:val="clear" w:color="auto" w:fill="434F69"/>
          </w:tcPr>
          <w:p>
            <w:pPr>
              <w:spacing w:after="0"/>
              <w:rPr>
                <w:sz w:val="18"/>
                <w:szCs w:val="18"/>
                <w:color w:val="auto"/>
              </w:rPr>
            </w:pPr>
          </w:p>
        </w:tc>
        <w:tc>
          <w:tcPr>
            <w:tcW w:w="4220" w:type="dxa"/>
            <w:vAlign w:val="bottom"/>
            <w:gridSpan w:val="5"/>
            <w:shd w:val="clear" w:color="auto" w:fill="434F69"/>
          </w:tcPr>
          <w:p>
            <w:pPr>
              <w:jc w:val="right"/>
              <w:ind w:right="120"/>
              <w:spacing w:after="0"/>
              <w:rPr>
                <w:sz w:val="20"/>
                <w:szCs w:val="20"/>
                <w:color w:val="auto"/>
              </w:rPr>
            </w:pPr>
            <w:r>
              <w:rPr>
                <w:rFonts w:ascii="Arial" w:cs="Arial" w:eastAsia="Arial" w:hAnsi="Arial"/>
                <w:sz w:val="14"/>
                <w:szCs w:val="14"/>
                <w:b w:val="1"/>
                <w:bCs w:val="1"/>
                <w:color w:val="FFFFFF"/>
              </w:rPr>
              <w:t>Year Ended December 31,</w:t>
            </w:r>
          </w:p>
        </w:tc>
      </w:tr>
      <w:tr>
        <w:trPr>
          <w:trHeight w:val="242"/>
        </w:trPr>
        <w:tc>
          <w:tcPr>
            <w:tcW w:w="3980" w:type="dxa"/>
            <w:vAlign w:val="bottom"/>
            <w:shd w:val="clear" w:color="auto" w:fill="434F69"/>
          </w:tcPr>
          <w:p>
            <w:pPr>
              <w:spacing w:after="0"/>
              <w:rPr>
                <w:sz w:val="21"/>
                <w:szCs w:val="21"/>
                <w:color w:val="auto"/>
              </w:rPr>
            </w:pPr>
          </w:p>
        </w:tc>
        <w:tc>
          <w:tcPr>
            <w:tcW w:w="2900" w:type="dxa"/>
            <w:vAlign w:val="bottom"/>
            <w:gridSpan w:val="2"/>
            <w:shd w:val="clear" w:color="auto" w:fill="434F69"/>
          </w:tcPr>
          <w:p>
            <w:pPr>
              <w:jc w:val="right"/>
              <w:spacing w:after="0"/>
              <w:rPr>
                <w:sz w:val="20"/>
                <w:szCs w:val="20"/>
                <w:color w:val="auto"/>
              </w:rPr>
            </w:pPr>
            <w:r>
              <w:rPr>
                <w:rFonts w:ascii="Arial" w:cs="Arial" w:eastAsia="Arial" w:hAnsi="Arial"/>
                <w:sz w:val="14"/>
                <w:szCs w:val="14"/>
                <w:b w:val="1"/>
                <w:bCs w:val="1"/>
                <w:color w:val="FFFFFF"/>
              </w:rPr>
              <w:t>2021</w:t>
            </w:r>
          </w:p>
        </w:tc>
        <w:tc>
          <w:tcPr>
            <w:tcW w:w="640" w:type="dxa"/>
            <w:vAlign w:val="bottom"/>
            <w:shd w:val="clear" w:color="auto" w:fill="434F69"/>
          </w:tcPr>
          <w:p>
            <w:pPr>
              <w:spacing w:after="0"/>
              <w:rPr>
                <w:sz w:val="21"/>
                <w:szCs w:val="21"/>
                <w:color w:val="auto"/>
              </w:rPr>
            </w:pPr>
          </w:p>
        </w:tc>
        <w:tc>
          <w:tcPr>
            <w:tcW w:w="36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rPr>
              <w:t>2020</w:t>
            </w:r>
          </w:p>
        </w:tc>
        <w:tc>
          <w:tcPr>
            <w:tcW w:w="320" w:type="dxa"/>
            <w:vAlign w:val="bottom"/>
            <w:shd w:val="clear" w:color="auto" w:fill="434F69"/>
          </w:tcPr>
          <w:p>
            <w:pPr>
              <w:spacing w:after="0"/>
              <w:rPr>
                <w:sz w:val="21"/>
                <w:szCs w:val="21"/>
                <w:color w:val="auto"/>
              </w:rPr>
            </w:pPr>
          </w:p>
        </w:tc>
      </w:tr>
      <w:tr>
        <w:trPr>
          <w:trHeight w:val="283"/>
        </w:trPr>
        <w:tc>
          <w:tcPr>
            <w:tcW w:w="3980" w:type="dxa"/>
            <w:vAlign w:val="bottom"/>
            <w:shd w:val="clear" w:color="auto" w:fill="D9DCE1"/>
          </w:tcPr>
          <w:p>
            <w:pPr>
              <w:ind w:left="10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540" w:type="dxa"/>
            <w:vAlign w:val="bottom"/>
            <w:gridSpan w:val="3"/>
            <w:shd w:val="clear" w:color="auto" w:fill="D9DCE1"/>
          </w:tcPr>
          <w:p>
            <w:pPr>
              <w:jc w:val="right"/>
              <w:ind w:right="64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D9DCE1"/>
          </w:tcPr>
          <w:p>
            <w:pPr>
              <w:jc w:val="right"/>
              <w:spacing w:after="0"/>
              <w:rPr>
                <w:sz w:val="20"/>
                <w:szCs w:val="20"/>
                <w:color w:val="auto"/>
              </w:rPr>
            </w:pPr>
            <w:r>
              <w:rPr>
                <w:rFonts w:ascii="Arial" w:cs="Arial" w:eastAsia="Arial" w:hAnsi="Arial"/>
                <w:sz w:val="18"/>
                <w:szCs w:val="18"/>
                <w:color w:val="auto"/>
                <w:w w:val="96"/>
              </w:rPr>
              <w:t>$4.9</w:t>
            </w:r>
          </w:p>
        </w:tc>
        <w:tc>
          <w:tcPr>
            <w:tcW w:w="320" w:type="dxa"/>
            <w:vAlign w:val="bottom"/>
            <w:shd w:val="clear" w:color="auto" w:fill="D9DCE1"/>
          </w:tcPr>
          <w:p>
            <w:pPr>
              <w:spacing w:after="0"/>
              <w:rPr>
                <w:sz w:val="24"/>
                <w:szCs w:val="24"/>
                <w:color w:val="auto"/>
              </w:rPr>
            </w:pPr>
          </w:p>
        </w:tc>
      </w:tr>
      <w:tr>
        <w:trPr>
          <w:trHeight w:val="284"/>
        </w:trPr>
        <w:tc>
          <w:tcPr>
            <w:tcW w:w="3980" w:type="dxa"/>
            <w:vAlign w:val="bottom"/>
          </w:tcPr>
          <w:p>
            <w:pPr>
              <w:ind w:left="10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3540" w:type="dxa"/>
            <w:vAlign w:val="bottom"/>
            <w:gridSpan w:val="3"/>
          </w:tcPr>
          <w:p>
            <w:pPr>
              <w:jc w:val="right"/>
              <w:ind w:right="640"/>
              <w:spacing w:after="0"/>
              <w:rPr>
                <w:sz w:val="20"/>
                <w:szCs w:val="20"/>
                <w:color w:val="auto"/>
              </w:rPr>
            </w:pPr>
            <w:r>
              <w:rPr>
                <w:rFonts w:ascii="Arial" w:cs="Arial" w:eastAsia="Arial" w:hAnsi="Arial"/>
                <w:sz w:val="18"/>
                <w:szCs w:val="18"/>
                <w:color w:val="auto"/>
              </w:rPr>
              <w:t>0.9</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97"/>
        </w:trPr>
        <w:tc>
          <w:tcPr>
            <w:tcW w:w="3980" w:type="dxa"/>
            <w:vAlign w:val="bottom"/>
            <w:tcBorders>
              <w:bottom w:val="single" w:sz="8" w:color="D9DCE1"/>
            </w:tcBorders>
            <w:shd w:val="clear" w:color="auto" w:fill="D9DCE1"/>
          </w:tcPr>
          <w:p>
            <w:pPr>
              <w:ind w:left="100"/>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520" w:type="dxa"/>
            <w:vAlign w:val="bottom"/>
            <w:tcBorders>
              <w:bottom w:val="single" w:sz="8" w:color="D9DCE1"/>
            </w:tcBorders>
            <w:shd w:val="clear" w:color="auto" w:fill="D9DCE1"/>
          </w:tcPr>
          <w:p>
            <w:pPr>
              <w:spacing w:after="0"/>
              <w:rPr>
                <w:sz w:val="24"/>
                <w:szCs w:val="24"/>
                <w:color w:val="auto"/>
              </w:rPr>
            </w:pPr>
          </w:p>
        </w:tc>
        <w:tc>
          <w:tcPr>
            <w:tcW w:w="38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D9DCE1"/>
            </w:tcBorders>
            <w:shd w:val="clear" w:color="auto" w:fill="D9DCE1"/>
          </w:tcPr>
          <w:p>
            <w:pPr>
              <w:spacing w:after="0"/>
              <w:rPr>
                <w:sz w:val="24"/>
                <w:szCs w:val="24"/>
                <w:color w:val="auto"/>
              </w:rPr>
            </w:pPr>
          </w:p>
        </w:tc>
        <w:tc>
          <w:tcPr>
            <w:tcW w:w="36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D9DCE1"/>
            </w:tcBorders>
            <w:shd w:val="clear" w:color="auto" w:fill="D9DCE1"/>
          </w:tcPr>
          <w:p>
            <w:pPr>
              <w:spacing w:after="0"/>
              <w:rPr>
                <w:sz w:val="24"/>
                <w:szCs w:val="24"/>
                <w:color w:val="auto"/>
              </w:rPr>
            </w:pPr>
          </w:p>
        </w:tc>
      </w:tr>
      <w:tr>
        <w:trPr>
          <w:trHeight w:val="263"/>
        </w:trPr>
        <w:tc>
          <w:tcPr>
            <w:tcW w:w="3980" w:type="dxa"/>
            <w:vAlign w:val="bottom"/>
          </w:tcPr>
          <w:p>
            <w:pPr>
              <w:ind w:left="100"/>
              <w:spacing w:after="0"/>
              <w:rPr>
                <w:sz w:val="20"/>
                <w:szCs w:val="20"/>
                <w:color w:val="auto"/>
              </w:rPr>
            </w:pPr>
            <w:r>
              <w:rPr>
                <w:rFonts w:ascii="Arial" w:cs="Arial" w:eastAsia="Arial" w:hAnsi="Arial"/>
                <w:sz w:val="18"/>
                <w:szCs w:val="18"/>
                <w:color w:val="auto"/>
              </w:rPr>
              <w:t>Total</w:t>
            </w:r>
          </w:p>
        </w:tc>
        <w:tc>
          <w:tcPr>
            <w:tcW w:w="3540" w:type="dxa"/>
            <w:vAlign w:val="bottom"/>
            <w:gridSpan w:val="3"/>
          </w:tcPr>
          <w:p>
            <w:pPr>
              <w:jc w:val="right"/>
              <w:ind w:right="640"/>
              <w:spacing w:after="0"/>
              <w:rPr>
                <w:sz w:val="20"/>
                <w:szCs w:val="20"/>
                <w:color w:val="auto"/>
              </w:rPr>
            </w:pPr>
            <w:r>
              <w:rPr>
                <w:rFonts w:ascii="Arial" w:cs="Arial" w:eastAsia="Arial" w:hAnsi="Arial"/>
                <w:sz w:val="18"/>
                <w:szCs w:val="18"/>
                <w:color w:val="auto"/>
              </w:rPr>
              <w:t>$7.6</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$6.7</w:t>
            </w:r>
          </w:p>
        </w:tc>
        <w:tc>
          <w:tcPr>
            <w:tcW w:w="320" w:type="dxa"/>
            <w:vAlign w:val="bottom"/>
          </w:tcPr>
          <w:p>
            <w:pPr>
              <w:spacing w:after="0"/>
              <w:rPr>
                <w:sz w:val="22"/>
                <w:szCs w:val="22"/>
                <w:color w:val="auto"/>
              </w:rPr>
            </w:pPr>
          </w:p>
        </w:tc>
      </w:tr>
      <w:tr>
        <w:trPr>
          <w:trHeight w:val="21"/>
        </w:trPr>
        <w:tc>
          <w:tcPr>
            <w:tcW w:w="3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719" w:hanging="360"/>
        <w:spacing w:after="0" w:line="214"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PAA is the operator, and (c) work performed in connection with the registration of publicly held debt and equity.</w:t>
      </w:r>
    </w:p>
    <w:p>
      <w:pPr>
        <w:spacing w:after="0" w:line="69" w:lineRule="exact"/>
        <w:rPr>
          <w:rFonts w:ascii="Arial" w:cs="Arial" w:eastAsia="Arial" w:hAnsi="Arial"/>
          <w:sz w:val="27"/>
          <w:szCs w:val="27"/>
          <w:color w:val="auto"/>
          <w:vertAlign w:val="superscript"/>
        </w:rPr>
      </w:pPr>
    </w:p>
    <w:p>
      <w:pPr>
        <w:ind w:left="1620" w:right="739" w:hanging="360"/>
        <w:spacing w:after="0" w:line="200"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an audit of financial statements prepared on a “carve-out” basis in connection with a business combination.</w:t>
      </w:r>
    </w:p>
    <w:p>
      <w:pPr>
        <w:spacing w:after="0" w:line="81" w:lineRule="exact"/>
        <w:rPr>
          <w:rFonts w:ascii="Arial" w:cs="Arial" w:eastAsia="Arial" w:hAnsi="Arial"/>
          <w:sz w:val="27"/>
          <w:szCs w:val="27"/>
          <w:color w:val="auto"/>
          <w:vertAlign w:val="superscript"/>
        </w:rPr>
      </w:pPr>
    </w:p>
    <w:p>
      <w:pPr>
        <w:ind w:left="1620" w:right="739" w:hanging="360"/>
        <w:spacing w:after="0" w:line="214"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PAA unitholders and international tax planning work associated with the structure of our Canadian investment.</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66"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2021 and 2020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ACCOUNTING FIRM</w:t>
      </w:r>
    </w:p>
    <w:p>
      <w:pPr>
        <w:spacing w:after="0" w:line="203" w:lineRule="exact"/>
        <w:rPr>
          <w:sz w:val="20"/>
          <w:szCs w:val="20"/>
          <w:color w:val="auto"/>
        </w:rPr>
      </w:pPr>
    </w:p>
    <w:p>
      <w:pPr>
        <w:jc w:val="center"/>
        <w:ind w:left="1880" w:right="100"/>
        <w:spacing w:after="0" w:line="262"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AND PAA’S INDEPENDENT REGISTERED PUBLIC ACCOUNTING FIRM FOR THE FISCAL YEAR ENDING DECEMBER 31, 2022.</w:t>
      </w:r>
    </w:p>
    <w:p>
      <w:pPr>
        <w:spacing w:after="0" w:line="117" w:lineRule="exact"/>
        <w:rPr>
          <w:sz w:val="20"/>
          <w:szCs w:val="20"/>
          <w:color w:val="auto"/>
        </w:rPr>
      </w:pPr>
    </w:p>
    <w:p>
      <w:pPr>
        <w:jc w:val="both"/>
        <w:ind w:left="1260" w:right="1159" w:firstLine="360"/>
        <w:spacing w:after="0" w:line="256" w:lineRule="auto"/>
        <w:rPr>
          <w:sz w:val="20"/>
          <w:szCs w:val="20"/>
          <w:color w:val="auto"/>
        </w:rPr>
      </w:pPr>
      <w:r>
        <w:rPr>
          <w:rFonts w:ascii="Arial" w:cs="Arial" w:eastAsia="Arial" w:hAnsi="Arial"/>
          <w:sz w:val="18"/>
          <w:szCs w:val="18"/>
          <w:color w:val="auto"/>
        </w:rPr>
        <w:t>The second proposal item to be voted on at the PAGP Annual Meeting is ratification of the appointment of PricewaterhouseCoopers LLP as our and PAA’s independent registered public accounting firm for the fiscal year ending December 31, 2022.</w:t>
      </w:r>
    </w:p>
    <w:p>
      <w:pPr>
        <w:spacing w:after="0" w:line="13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audit committee of the Board has appointed PricewaterhouseCoopers LLP to continue to act as our and PAA’s independent registered public accounting firm for the fiscal year ending December 31, 2022. The Board has directed that such appointment be submitted to our Shareholders for ratification at the PAGP Annual Meeting.</w:t>
      </w:r>
    </w:p>
    <w:p>
      <w:pPr>
        <w:spacing w:after="0" w:line="136"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PAGP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3 — ADVISORY VOTE TO APPROVE OUR 2021 NAMED EXECUTIVE OFFICER</w:t>
      </w:r>
    </w:p>
    <w:p>
      <w:pPr>
        <w:spacing w:after="0" w:line="1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COMPENSATION</w:t>
      </w:r>
    </w:p>
    <w:p>
      <w:pPr>
        <w:spacing w:after="0" w:line="190" w:lineRule="exact"/>
        <w:rPr>
          <w:sz w:val="20"/>
          <w:szCs w:val="20"/>
          <w:color w:val="auto"/>
        </w:rPr>
      </w:pPr>
    </w:p>
    <w:p>
      <w:pPr>
        <w:jc w:val="center"/>
        <w:ind w:left="1840" w:right="60"/>
        <w:spacing w:after="0" w:line="253"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2021 COMPENSATION OF THE NAMED EXECUTIVE OFFICERS AS DESCRIBED IN THIS PROXY STATEMENT.</w:t>
      </w:r>
    </w:p>
    <w:p>
      <w:pPr>
        <w:spacing w:after="0" w:line="110" w:lineRule="exact"/>
        <w:rPr>
          <w:sz w:val="20"/>
          <w:szCs w:val="20"/>
          <w:color w:val="auto"/>
        </w:rPr>
      </w:pPr>
    </w:p>
    <w:p>
      <w:pPr>
        <w:ind w:left="1260" w:right="659" w:firstLine="360"/>
        <w:spacing w:after="0"/>
        <w:rPr>
          <w:sz w:val="20"/>
          <w:szCs w:val="20"/>
          <w:color w:val="auto"/>
        </w:rPr>
      </w:pPr>
      <w:r>
        <w:rPr>
          <w:rFonts w:ascii="Arial" w:cs="Arial" w:eastAsia="Arial" w:hAnsi="Arial"/>
          <w:sz w:val="18"/>
          <w:szCs w:val="18"/>
          <w:color w:val="auto"/>
        </w:rPr>
        <w:t>This proposal, commonly known as a “say-on-pay” proposal, provides our Shareholders with the opportunity to cast an advisory vote on the approval of the compensation of our Named Executive Officers.</w:t>
      </w:r>
    </w:p>
    <w:p>
      <w:pPr>
        <w:spacing w:after="0" w:line="135"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136"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26" w:lineRule="exact"/>
        <w:rPr>
          <w:sz w:val="20"/>
          <w:szCs w:val="20"/>
          <w:color w:val="auto"/>
        </w:rPr>
      </w:pPr>
    </w:p>
    <w:p>
      <w:pPr>
        <w:jc w:val="both"/>
        <w:ind w:left="1260" w:right="459" w:firstLine="360"/>
        <w:spacing w:after="0" w:line="265" w:lineRule="auto"/>
        <w:rPr>
          <w:sz w:val="20"/>
          <w:szCs w:val="20"/>
          <w:color w:val="auto"/>
        </w:rPr>
      </w:pPr>
      <w:r>
        <w:rPr>
          <w:rFonts w:ascii="Arial" w:cs="Arial" w:eastAsia="Arial" w:hAnsi="Arial"/>
          <w:sz w:val="17"/>
          <w:szCs w:val="17"/>
          <w:color w:val="auto"/>
        </w:rPr>
        <w:t>The Dodd-Frank Wall Street Reform and Consumer Protection Act of 2012, as well as Section 14A of the Exchange Act, and the rules promulgated thereunder, enables our Shareholders the opportunity to express their views, on an advisory basis, on the compensation of the Named Executive Officers.</w:t>
      </w:r>
    </w:p>
    <w:p>
      <w:pPr>
        <w:ind w:left="1260" w:right="519"/>
        <w:spacing w:after="0" w:line="256"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the Named Executive Officers and the philosophy, policies and practices described in this proxy statement.</w:t>
      </w:r>
    </w:p>
    <w:p>
      <w:pPr>
        <w:spacing w:after="0" w:line="134"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30"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For the reasons set forth above, the following resolution will be submitted for approval at the PAGP Annual Meeting:</w:t>
      </w:r>
    </w:p>
    <w:p>
      <w:pPr>
        <w:spacing w:after="0" w:line="95"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2021, as disclosed pursuant to Item 402 of Regulation S-K in PAGP’s proxy statement for its 2022 Annual Meeting of Shareholders, including the Compensation Discussion and Analysis, compensation tables and accompanying narrative discussion, is hereby approved.”</w:t>
      </w: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 FOR THE PAGP ANNUAL MEETING</w:t>
      </w:r>
    </w:p>
    <w:p>
      <w:pPr>
        <w:spacing w:after="0" w:line="16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know of no matters to be acted upon at the PAGP Annual Meeting other than the proposals included in the accompanying notice and described in this proxy statement. If any other matter requiring a vote of Shareholders arises, including a question of adjourning the PAGP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SHAREHOLDER PROPOSALS FOR THE 2023 ANNUAL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Section 13.4(c)(ii) of our partnership agreement, any eligible Shareholder who owns</w:t>
      </w:r>
    </w:p>
    <w:p>
      <w:pPr>
        <w:ind w:left="1260" w:right="459"/>
        <w:spacing w:after="0" w:line="251" w:lineRule="auto"/>
        <w:rPr>
          <w:sz w:val="20"/>
          <w:szCs w:val="20"/>
          <w:color w:val="auto"/>
        </w:rPr>
      </w:pPr>
      <w:r>
        <w:rPr>
          <w:rFonts w:ascii="Arial" w:cs="Arial" w:eastAsia="Arial" w:hAnsi="Arial"/>
          <w:sz w:val="17"/>
          <w:szCs w:val="17"/>
          <w:color w:val="auto"/>
        </w:rPr>
        <w:t>10% or more of our outstanding Class A, Class B and Class C shares, taken together as a single class, is entitled to nominate one person for election as an Eligible Director. Eligible Shareholders who wish to submit a director nomination for our 2023 annual meeting must deliver written notice thereof to our principal executive offices in care of the Corporate Secretary by mail to 333 Clay Street, Suite 1600, Houston, Texas 77002 no later than the close of business on February 24, 2023, nor earlier than the close of business on January 25, 2023. In the event that the date of the 2023 annual meeting is changed by more than 30 days before or more than 60 days after the one-year anniversary of the 2022 annual meeting, Shareholder notice of a director nomination must be received no earlier than the close of business on the 120th day prior to the 2023 annual meeting and not later than the close of business on the date that is the later of the (i) 90th day prior to the 2023 annual meeting or (ii) if the first public announcement of the 2023 annual meeting is less than 100 days prior to such meeting, the 10th day following the day on which public announcement of the date of the 2023 annual meeting is first made.</w:t>
      </w:r>
    </w:p>
    <w:p>
      <w:pPr>
        <w:spacing w:after="0" w:line="125"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written notice must comply with the procedures set forth in Section 13.4(c)(ii) of our partnership agreement, including the informational requirements included in Section 13.4(c)(ii)(A)(3). We will not entertain any nomination at the PAGP Annual Meeting that does not meet the requirements set forth in our partnership agreement. Our partnership agreement is filed as Exhibit 3.2 to our Current Report on Form 8-K filed on November 21, 2016.</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w:t>
      </w:r>
    </w:p>
    <w:p>
      <w:pPr>
        <w:spacing w:after="0" w:line="16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Any Shareholder who, in accordance with Rule 14a-8 under the Exchange Act, wishes to submit a proposal for inclusion in our proxy statement for the 2023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15, 2022,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HOUSEHOLDING MATTERS</w:t>
      </w:r>
    </w:p>
    <w:p>
      <w:pPr>
        <w:spacing w:after="0" w:line="18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855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88855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816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881697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31115</wp:posOffset>
            </wp:positionV>
            <wp:extent cx="6831965" cy="84308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843089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3"/>
    </w:lvl>
  </w:abstractNum>
  <w:abstractNum w:abstractNumId="6">
    <w:nsid w:val="725A06FB"/>
    <w:multiLevelType w:val="hybridMultilevel"/>
    <w:lvl w:ilvl="0">
      <w:lvlJc w:val="left"/>
      <w:lvlText w:val="%1:"/>
      <w:numFmt w:val="upperLetter"/>
      <w:start w:val="1"/>
    </w:lvl>
  </w:abstractNum>
  <w:abstractNum w:abstractNumId="7">
    <w:nsid w:val="2CD89A32"/>
    <w:multiLevelType w:val="hybridMultilevel"/>
    <w:lvl w:ilvl="0">
      <w:lvlJc w:val="left"/>
      <w:lvlText w:val="%1:"/>
      <w:numFmt w:val="upperLetter"/>
      <w:start w:val="1"/>
    </w:lvl>
    <w:lvl w:ilvl="1">
      <w:lvlJc w:val="left"/>
      <w:lvlText w:val="•"/>
      <w:numFmt w:val="bullet"/>
      <w:start w:val="1"/>
    </w:lvl>
  </w:abstractNum>
  <w:abstractNum w:abstractNumId="8">
    <w:nsid w:val="57E4CCAF"/>
    <w:multiLevelType w:val="hybridMultilevel"/>
    <w:lvl w:ilvl="0">
      <w:lvlJc w:val="left"/>
      <w:lvlText w:val="%1:"/>
      <w:numFmt w:val="upperLetter"/>
      <w:start w:val="1"/>
    </w:lvl>
  </w:abstractNum>
  <w:abstractNum w:abstractNumId="9">
    <w:nsid w:val="7A6D8D3C"/>
    <w:multiLevelType w:val="hybridMultilevel"/>
    <w:lvl w:ilvl="0">
      <w:lvlJc w:val="left"/>
      <w:lvlText w:val="%1:"/>
      <w:numFmt w:val="upperLetter"/>
      <w:start w:val="1"/>
    </w:lvl>
  </w:abstractNum>
  <w:abstractNum w:abstractNumId="10">
    <w:nsid w:val="4B588F54"/>
    <w:multiLevelType w:val="hybridMultilevel"/>
    <w:lvl w:ilvl="0">
      <w:lvlJc w:val="left"/>
      <w:lvlText w:val="%1:"/>
      <w:numFmt w:val="upperLetter"/>
      <w:start w:val="1"/>
    </w:lvl>
  </w:abstractNum>
  <w:abstractNum w:abstractNumId="11">
    <w:nsid w:val="542289EC"/>
    <w:multiLevelType w:val="hybridMultilevel"/>
    <w:lvl w:ilvl="0">
      <w:lvlJc w:val="left"/>
      <w:lvlText w:val="%1:"/>
      <w:numFmt w:val="upperLetter"/>
      <w:start w:val="1"/>
    </w:lvl>
  </w:abstractNum>
  <w:abstractNum w:abstractNumId="12">
    <w:nsid w:val="6DE91B18"/>
    <w:multiLevelType w:val="hybridMultilevel"/>
    <w:lvl w:ilvl="0">
      <w:lvlJc w:val="left"/>
      <w:lvlText w:val="%1:"/>
      <w:numFmt w:val="upperLetter"/>
      <w:start w:val="1"/>
    </w:lvl>
    <w:lvl w:ilvl="1">
      <w:lvlJc w:val="left"/>
      <w:lvlText w:val="•"/>
      <w:numFmt w:val="bullet"/>
      <w:start w:val="1"/>
    </w:lvl>
  </w:abstractNum>
  <w:abstractNum w:abstractNumId="13">
    <w:nsid w:val="38437FDB"/>
    <w:multiLevelType w:val="hybridMultilevel"/>
    <w:lvl w:ilvl="0">
      <w:lvlJc w:val="left"/>
      <w:lvlText w:val="%1:"/>
      <w:numFmt w:val="upperLetter"/>
      <w:start w:val="1"/>
    </w:lvl>
    <w:lvl w:ilvl="1">
      <w:lvlJc w:val="left"/>
      <w:lvlText w:val="•"/>
      <w:numFmt w:val="bullet"/>
      <w:start w:val="1"/>
    </w:lvl>
  </w:abstractNum>
  <w:abstractNum w:abstractNumId="14">
    <w:nsid w:val="7644A45C"/>
    <w:multiLevelType w:val="hybridMultilevel"/>
    <w:lvl w:ilvl="0">
      <w:lvlJc w:val="left"/>
      <w:lvlText w:val="%1:"/>
      <w:numFmt w:val="upperLetter"/>
      <w:start w:val="1"/>
    </w:lvl>
  </w:abstractNum>
  <w:abstractNum w:abstractNumId="15">
    <w:nsid w:val="32FFF902"/>
    <w:multiLevelType w:val="hybridMultilevel"/>
    <w:lvl w:ilvl="0">
      <w:lvlJc w:val="left"/>
      <w:lvlText w:val="%1:"/>
      <w:numFmt w:val="upperLetter"/>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upperLetter"/>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2"/>
    </w:lvl>
  </w:abstractNum>
  <w:abstractNum w:abstractNumId="20">
    <w:nsid w:val="1BA026FA"/>
    <w:multiLevelType w:val="hybridMultilevel"/>
    <w:lvl w:ilvl="0">
      <w:lvlJc w:val="left"/>
      <w:lvlText w:val="%1."/>
      <w:numFmt w:val="decimal"/>
      <w:start w:val="3"/>
    </w:lvl>
  </w:abstractNum>
  <w:abstractNum w:abstractNumId="21">
    <w:nsid w:val="79A1DEAA"/>
    <w:multiLevelType w:val="hybridMultilevel"/>
    <w:lvl w:ilvl="0">
      <w:lvlJc w:val="left"/>
      <w:lvlText w:val="%1:"/>
      <w:numFmt w:val="upperLetter"/>
      <w:start w:val="1"/>
    </w:lvl>
  </w:abstractNum>
  <w:abstractNum w:abstractNumId="22">
    <w:nsid w:val="75C6C33A"/>
    <w:multiLevelType w:val="hybridMultilevel"/>
    <w:lvl w:ilvl="0">
      <w:lvlJc w:val="left"/>
      <w:lvlText w:val="%1:"/>
      <w:numFmt w:val="upperLetter"/>
      <w:start w:val="1"/>
    </w:lvl>
  </w:abstractNum>
  <w:abstractNum w:abstractNumId="23">
    <w:nsid w:val="12E685FB"/>
    <w:multiLevelType w:val="hybridMultilevel"/>
    <w:lvl w:ilvl="0">
      <w:lvlJc w:val="left"/>
      <w:lvlText w:val="%1:"/>
      <w:numFmt w:val="upperLetter"/>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lowerRoman"/>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lvl w:ilvl="1">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lvl w:ilvl="1">
      <w:lvlJc w:val="left"/>
      <w:lvlText w:val="%2."/>
      <w:numFmt w:val="decimal"/>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lowerRoman"/>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3"/>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2"/>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2"/>
    </w:lvl>
  </w:abstractNum>
  <w:abstractNum w:abstractNumId="54">
    <w:nsid w:val="5DB70AE5"/>
    <w:multiLevelType w:val="hybridMultilevel"/>
    <w:lvl w:ilvl="0">
      <w:lvlJc w:val="left"/>
      <w:lvlText w:val="(%1)"/>
      <w:numFmt w:val="decimal"/>
      <w:start w:val="7"/>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2"/>
    </w:lvl>
    <w:lvl w:ilvl="1">
      <w:lvlJc w:val="left"/>
      <w:lvlText w:val="(%2)"/>
      <w:numFmt w:val="lowerRoman"/>
      <w:start w:val="1"/>
    </w:lvl>
  </w:abstractNum>
  <w:abstractNum w:abstractNumId="58">
    <w:nsid w:val="5F5E7FD0"/>
    <w:multiLevelType w:val="hybridMultilevel"/>
    <w:lvl w:ilvl="0">
      <w:lvlJc w:val="left"/>
      <w:lvlText w:val="(%1)"/>
      <w:numFmt w:val="decimal"/>
      <w:start w:val="3"/>
    </w:lvl>
  </w:abstractNum>
  <w:abstractNum w:abstractNumId="59">
    <w:nsid w:val="98A3148"/>
    <w:multiLevelType w:val="hybridMultilevel"/>
    <w:lvl w:ilvl="0">
      <w:lvlJc w:val="left"/>
      <w:lvlText w:val="(%1)"/>
      <w:numFmt w:val="upperLetter"/>
      <w:start w:val="3"/>
    </w:lvl>
  </w:abstractNum>
  <w:abstractNum w:abstractNumId="60">
    <w:nsid w:val="799D0247"/>
    <w:multiLevelType w:val="hybridMultilevel"/>
    <w:lvl w:ilvl="0">
      <w:lvlJc w:val="left"/>
      <w:lvlText w:val="%1"/>
      <w:numFmt w:val="decimal"/>
      <w:start w:val="1"/>
    </w:lvl>
    <w:lvl w:ilvl="1">
      <w:lvlJc w:val="left"/>
      <w:lvlText w:val="(%2)"/>
      <w:numFmt w:val="lowerRoman"/>
      <w:start w:val="1"/>
    </w:lvl>
  </w:abstractNum>
  <w:abstractNum w:abstractNumId="61">
    <w:nsid w:val="6B94764"/>
    <w:multiLevelType w:val="hybridMultilevel"/>
    <w:lvl w:ilvl="0">
      <w:lvlJc w:val="left"/>
      <w:lvlText w:val="(%1)"/>
      <w:numFmt w:val="decimal"/>
      <w:start w:val="4"/>
    </w:lvl>
    <w:lvl w:ilvl="1">
      <w:lvlJc w:val="left"/>
      <w:lvlText w:val="(%2)"/>
      <w:numFmt w:val="lowerRoman"/>
      <w:start w:val="1"/>
    </w:lvl>
  </w:abstractNum>
  <w:abstractNum w:abstractNumId="62">
    <w:nsid w:val="42C296BD"/>
    <w:multiLevelType w:val="hybridMultilevel"/>
    <w:lvl w:ilvl="0">
      <w:lvlJc w:val="left"/>
      <w:lvlText w:val="(%1)"/>
      <w:numFmt w:val="decimal"/>
      <w:start w:val="5"/>
    </w:lvl>
  </w:abstractNum>
  <w:abstractNum w:abstractNumId="63">
    <w:nsid w:val="168E121F"/>
    <w:multiLevelType w:val="hybridMultilevel"/>
    <w:lvl w:ilvl="0">
      <w:lvlJc w:val="left"/>
      <w:lvlText w:val="(%1)"/>
      <w:numFmt w:val="decimal"/>
      <w:start w:val="6"/>
    </w:lvl>
  </w:abstractNum>
  <w:abstractNum w:abstractNumId="64">
    <w:nsid w:val="1EBA5D23"/>
    <w:multiLevelType w:val="hybridMultilevel"/>
    <w:lvl w:ilvl="0">
      <w:lvlJc w:val="left"/>
      <w:lvlText w:val="(%1)"/>
      <w:numFmt w:val="lowerLetter"/>
      <w:start w:val="2"/>
    </w:lvl>
  </w:abstractNum>
  <w:abstractNum w:abstractNumId="65">
    <w:nsid w:val="661E3F1E"/>
    <w:multiLevelType w:val="hybridMultilevel"/>
    <w:lvl w:ilvl="0">
      <w:lvlJc w:val="left"/>
      <w:lvlText w:val="%1"/>
      <w:numFmt w:val="decimal"/>
      <w:start w:val="1"/>
    </w:lvl>
    <w:lvl w:ilvl="1">
      <w:lvlJc w:val="left"/>
      <w:lvlText w:val="(%2)"/>
      <w:numFmt w:val="lowerLetter"/>
      <w:start w:val="2"/>
    </w:lvl>
  </w:abstractNum>
  <w:abstractNum w:abstractNumId="66">
    <w:nsid w:val="5DC79EA8"/>
    <w:multiLevelType w:val="hybridMultilevel"/>
    <w:lvl w:ilvl="0">
      <w:lvlJc w:val="left"/>
      <w:lvlText w:val="(%1)"/>
      <w:numFmt w:val="decimal"/>
      <w:start w:val="7"/>
    </w:lvl>
    <w:lvl w:ilvl="1">
      <w:lvlJc w:val="left"/>
      <w:lvlText w:val="(%2)"/>
      <w:numFmt w:val="lowerLetter"/>
      <w:start w:val="61"/>
    </w:lvl>
  </w:abstractNum>
  <w:abstractNum w:abstractNumId="67">
    <w:nsid w:val="540A471C"/>
    <w:multiLevelType w:val="hybridMultilevel"/>
    <w:lvl w:ilvl="0">
      <w:lvlJc w:val="left"/>
      <w:lvlText w:val="%1"/>
      <w:numFmt w:val="decimal"/>
      <w:start w:val="1"/>
    </w:lvl>
    <w:lvl w:ilvl="1">
      <w:lvlJc w:val="left"/>
      <w:lvlText w:val="(%2)"/>
      <w:numFmt w:val="lowerRoman"/>
      <w:start w:val="1"/>
    </w:lvl>
  </w:abstractNum>
  <w:abstractNum w:abstractNumId="68">
    <w:nsid w:val="7BD3EE7B"/>
    <w:multiLevelType w:val="hybridMultilevel"/>
    <w:lvl w:ilvl="0">
      <w:lvlJc w:val="left"/>
      <w:lvlText w:val="(%1)"/>
      <w:numFmt w:val="decimal"/>
      <w:start w:val="11"/>
    </w:lvl>
    <w:lvl w:ilvl="1">
      <w:lvlJc w:val="left"/>
      <w:lvlText w:val="(%2)"/>
      <w:numFmt w:val="lowerRoman"/>
      <w:start w:val="3"/>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2"/>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2"/>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lowerRoman"/>
      <w:start w:val="2"/>
    </w:lvl>
  </w:abstractNum>
  <w:abstractNum w:abstractNumId="79">
    <w:nsid w:val="4962813B"/>
    <w:multiLevelType w:val="hybridMultilevel"/>
    <w:lvl w:ilvl="0">
      <w:lvlJc w:val="left"/>
      <w:lvlText w:val="(%1)"/>
      <w:numFmt w:val="lowerRoman"/>
      <w:start w:val="3"/>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2022-04-14T05:18:55Z</dcterms:created>
  <dcterms:modified xsi:type="dcterms:W3CDTF">2022-04-14T05:18:55Z</dcterms:modified>
</cp:coreProperties>
</file>