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ARMSTRONG GREG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Chairman of the Board &amp; CEO</w:t>
      </w:r>
    </w:p>
    <w:p>
      <w:pPr>
        <w:spacing w:after="0" w:line="267" w:lineRule="exact"/>
        <w:rPr>
          <w:sz w:val="24"/>
          <w:szCs w:val="24"/>
          <w:color w:val="auto"/>
        </w:rPr>
      </w:pPr>
    </w:p>
    <w:p>
      <w:pPr>
        <w:sectPr>
          <w:pgSz w:w="11900" w:h="16838" w:orient="portrait"/>
          <w:cols w:equalWidth="0" w:num="3">
            <w:col w:w="3360" w:space="720"/>
            <w:col w:w="3280" w:space="6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77002</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11/19/2015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100,000</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11.0864</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200,000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shares were purchased in multiple transactions at prices ranging from $10.90 to $11.27. Reporting Person undertakes to provide to the SEC staff, the Issuer or any shareholder of the Issuer, upon request, full information regarding the number of shares purchased at each separate price.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Greg L. Armstrong</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11/19/2015</w:t>
            </w:r>
          </w:p>
        </w:tc>
      </w:tr>
      <w:tr>
        <w:trPr>
          <w:trHeight w:val="20"/>
        </w:trPr>
        <w:tc>
          <w:tcPr>
            <w:tcW w:w="1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537"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2020-01-22T11:27:03Z</dcterms:created>
  <dcterms:modified xsi:type="dcterms:W3CDTF">2020-01-22T11:27:03Z</dcterms:modified>
</cp:coreProperties>
</file>