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317068d1_8k.htm"/>
      <w:bookmarkStart w:id="1" w:name="kstm2317068d1_8k"/>
      <w:bookmarkEnd w:id="0"/>
      <w:bookmarkEnd w:id="1"/>
      <w:r>
        <w:rPr/>
        <w:t> </w:t>
      </w:r>
    </w:p>
    <w:p>
      <w:pPr>
        <w:pStyle w:val="TextBody"/>
        <w:bidi w:val="0"/>
        <w:jc w:val="center"/>
        <w:rPr/>
      </w:pPr>
      <w:bookmarkStart w:id="2" w:name="xdx_902_edei--EntityRegistrantName_dxL_c"/>
      <w:bookmarkEnd w:id="2"/>
      <w:r>
        <w:rPr/>
        <w:t>PLAINS GP HOLDINGS LP</w:t>
      </w:r>
    </w:p>
    <w:p>
      <w:pPr>
        <w:pStyle w:val="TextBody"/>
        <w:bidi w:val="0"/>
        <w:jc w:val="center"/>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3" w:name="xdx_903_edei--DocumentType_c20230524__20"/>
      <w:bookmarkEnd w:id="3"/>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 </w:t>
      </w:r>
      <w:bookmarkStart w:id="4" w:name="xdx_900_edei--DocumentPeriodEndDate_c202"/>
      <w:bookmarkEnd w:id="4"/>
      <w:r>
        <w:rPr>
          <w:rFonts w:ascii="Times New Roman;Times;Serif" w:hAnsi="Times New Roman;Times;Serif"/>
          <w:b/>
          <w:i w:val="false"/>
          <w:caps w:val="false"/>
          <w:smallCaps w:val="false"/>
          <w:sz w:val="20"/>
        </w:rPr>
        <w:t>May 24,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Plains GP Holdings,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410" w:type="dxa"/>
        <w:jc w:val="left"/>
        <w:tblInd w:w="0" w:type="dxa"/>
        <w:tblLayout w:type="fixed"/>
        <w:tblCellMar>
          <w:top w:w="0" w:type="dxa"/>
          <w:left w:w="0" w:type="dxa"/>
          <w:bottom w:w="0" w:type="dxa"/>
          <w:right w:w="0" w:type="dxa"/>
        </w:tblCellMar>
      </w:tblPr>
      <w:tblGrid>
        <w:gridCol w:w="2420"/>
        <w:gridCol w:w="2210"/>
        <w:gridCol w:w="2780"/>
      </w:tblGrid>
      <w:tr>
        <w:trPr/>
        <w:tc>
          <w:tcPr>
            <w:tcW w:w="24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22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7_edei--EntityFileNumber_c20230524"/>
            <w:bookmarkEnd w:id="6"/>
            <w:r>
              <w:rPr>
                <w:rFonts w:ascii="Times New Roman;Times;Serif" w:hAnsi="Times New Roman;Times;Serif"/>
                <w:b/>
                <w:i w:val="false"/>
                <w:caps w:val="false"/>
                <w:smallCaps w:val="false"/>
                <w:sz w:val="20"/>
              </w:rPr>
              <w:t>1-36132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90-1005472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333 Clay Street, </w:t>
      </w:r>
      <w:bookmarkStart w:id="9" w:name="xdx_900_edei--EntityAddressAddressLine2_"/>
      <w:bookmarkEnd w:id="9"/>
      <w:r>
        <w:rPr>
          <w:rFonts w:ascii="Times New Roman;Times;Serif" w:hAnsi="Times New Roman;Times;Serif"/>
          <w:b/>
          <w:i w:val="false"/>
          <w:caps w:val="false"/>
          <w:smallCaps w:val="false"/>
          <w:sz w:val="20"/>
        </w:rPr>
        <w:t xml:space="preserve">Suite 1600, </w:t>
      </w:r>
      <w:bookmarkStart w:id="10" w:name="xdx_90A_edei--EntityAddressCityOrTown_c2"/>
      <w:bookmarkEnd w:id="10"/>
      <w:r>
        <w:rPr>
          <w:rFonts w:ascii="Times New Roman;Times;Serif" w:hAnsi="Times New Roman;Times;Serif"/>
          <w:b/>
          <w:i w:val="false"/>
          <w:caps w:val="false"/>
          <w:smallCaps w:val="false"/>
          <w:sz w:val="20"/>
        </w:rPr>
        <w:t xml:space="preserve">Houston, </w:t>
      </w:r>
      <w:bookmarkStart w:id="11" w:name="xdx_90E_edei--EntityAddressStateOrProvin"/>
      <w:bookmarkEnd w:id="11"/>
      <w:r>
        <w:rPr>
          <w:rFonts w:ascii="Times New Roman;Times;Serif" w:hAnsi="Times New Roman;Times;Serif"/>
          <w:b/>
          <w:i w:val="false"/>
          <w:caps w:val="false"/>
          <w:smallCaps w:val="false"/>
          <w:sz w:val="20"/>
        </w:rPr>
        <w:t xml:space="preserve">Texas </w:t>
      </w:r>
      <w:bookmarkStart w:id="12" w:name="xdx_901_edei--EntityAddressPostalZipCode"/>
      <w:bookmarkEnd w:id="12"/>
      <w:r>
        <w:rPr>
          <w:rFonts w:ascii="Times New Roman;Times;Serif" w:hAnsi="Times New Roman;Times;Serif"/>
          <w:b/>
          <w:i w:val="false"/>
          <w:caps w:val="false"/>
          <w:smallCaps w:val="false"/>
          <w:sz w:val="20"/>
        </w:rPr>
        <w:t>77002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3_edei--CityAreaCode_c20230524__20"/>
      <w:bookmarkEnd w:id="13"/>
      <w:r>
        <w:rPr>
          <w:rFonts w:ascii="Times New Roman;Times;Serif" w:hAnsi="Times New Roman;Times;Serif"/>
          <w:b/>
          <w:i w:val="false"/>
          <w:caps w:val="false"/>
          <w:smallCaps w:val="false"/>
          <w:sz w:val="20"/>
        </w:rPr>
        <w:t>713-</w:t>
      </w:r>
      <w:bookmarkStart w:id="14" w:name="xdx_903_edei--LocalPhoneNumber_c20230524"/>
      <w:bookmarkEnd w:id="14"/>
      <w:r>
        <w:rPr>
          <w:rFonts w:ascii="Times New Roman;Times;Serif" w:hAnsi="Times New Roman;Times;Serif"/>
          <w:b/>
          <w:i w:val="false"/>
          <w:caps w:val="false"/>
          <w:smallCaps w:val="false"/>
          <w:sz w:val="20"/>
        </w:rPr>
        <w:t>646-4100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 w:name="xdx_903_edei--WrittenCommunications_c202"/>
      <w:bookmarkEnd w:id="15"/>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 w:name="xdx_90D_edei--SolicitingMaterial_c202305"/>
      <w:bookmarkEnd w:id="16"/>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Soliciting material pursuant to Rule 14a-12 under the Exchange Act (17 CFR 240.14a-12)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 w:name="xdx_908_edei--PreCommencementTenderOffer"/>
      <w:bookmarkEnd w:id="17"/>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14d-2(b) under the Exchange Act (17 CFR 240.14d-2(b))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 w:name="xdx_90D_edei--PreCommencementIssuerTende"/>
      <w:bookmarkEnd w:id="18"/>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110" w:type="dxa"/>
        <w:jc w:val="left"/>
        <w:tblInd w:w="0" w:type="dxa"/>
        <w:tblLayout w:type="fixed"/>
        <w:tblCellMar>
          <w:top w:w="0" w:type="dxa"/>
          <w:left w:w="0" w:type="dxa"/>
          <w:bottom w:w="28" w:type="dxa"/>
          <w:right w:w="0" w:type="dxa"/>
        </w:tblCellMar>
      </w:tblPr>
      <w:tblGrid>
        <w:gridCol w:w="1580"/>
        <w:gridCol w:w="60"/>
        <w:gridCol w:w="1655"/>
        <w:gridCol w:w="60"/>
        <w:gridCol w:w="3755"/>
      </w:tblGrid>
      <w:tr>
        <w:trPr/>
        <w:tc>
          <w:tcPr>
            <w:tcW w:w="1580" w:type="dxa"/>
            <w:tcBorders>
              <w:bottom w:val="single" w:sz="8" w:space="0" w:color="000000"/>
            </w:tcBorders>
            <w:vAlign w:val="center"/>
          </w:tcPr>
          <w:p>
            <w:pPr>
              <w:pStyle w:val="TableContents"/>
              <w:bidi w:val="0"/>
              <w:spacing w:before="0" w:after="283"/>
              <w:jc w:val="center"/>
              <w:rPr>
                <w:b/>
                <w:sz w:val="20"/>
              </w:rPr>
            </w:pPr>
            <w:r>
              <w:rPr>
                <w:b/>
                <w:sz w:val="20"/>
              </w:rPr>
              <w:t xml:space="preserve">Title of each class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bottom w:val="single" w:sz="8" w:space="0" w:color="000000"/>
            </w:tcBorders>
            <w:vAlign w:val="center"/>
          </w:tcPr>
          <w:p>
            <w:pPr>
              <w:pStyle w:val="TableContents"/>
              <w:bidi w:val="0"/>
              <w:spacing w:before="0" w:after="283"/>
              <w:jc w:val="center"/>
              <w:rPr>
                <w:b/>
                <w:sz w:val="20"/>
              </w:rPr>
            </w:pPr>
            <w:r>
              <w:rPr>
                <w:b/>
                <w:sz w:val="20"/>
              </w:rPr>
              <w:t xml:space="preserve">Trading Symbol(s) </w:t>
            </w:r>
          </w:p>
        </w:tc>
        <w:tc>
          <w:tcPr>
            <w:tcW w:w="60" w:type="dxa"/>
            <w:tcBorders/>
            <w:tcMar>
              <w:bottom w:w="0" w:type="dxa"/>
            </w:tcMar>
            <w:vAlign w:val="center"/>
          </w:tcPr>
          <w:p>
            <w:pPr>
              <w:pStyle w:val="TableContents"/>
              <w:bidi w:val="0"/>
              <w:spacing w:before="0" w:after="283"/>
              <w:jc w:val="center"/>
              <w:rPr/>
            </w:pPr>
            <w:r>
              <w:rPr/>
              <w:t> </w:t>
            </w:r>
          </w:p>
        </w:tc>
        <w:tc>
          <w:tcPr>
            <w:tcW w:w="37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registered </w:t>
            </w:r>
          </w:p>
        </w:tc>
      </w:tr>
      <w:tr>
        <w:trPr/>
        <w:tc>
          <w:tcPr>
            <w:tcW w:w="1580" w:type="dxa"/>
            <w:tcBorders/>
            <w:tcMar>
              <w:bottom w:w="0" w:type="dxa"/>
            </w:tcMar>
            <w:vAlign w:val="center"/>
          </w:tcPr>
          <w:p>
            <w:pPr>
              <w:pStyle w:val="TableContents"/>
              <w:bidi w:val="0"/>
              <w:spacing w:before="0" w:after="283"/>
              <w:jc w:val="center"/>
              <w:rPr>
                <w:sz w:val="20"/>
              </w:rPr>
            </w:pPr>
            <w:bookmarkStart w:id="19" w:name="xdx_907_edei--Security12bTitle_c20230524"/>
            <w:bookmarkEnd w:id="19"/>
            <w:r>
              <w:rPr>
                <w:sz w:val="20"/>
              </w:rPr>
              <w:t xml:space="preserve">Class A Shares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bookmarkStart w:id="20" w:name="xdx_90C_edei--TradingSymbol_c20230524__2"/>
            <w:bookmarkEnd w:id="20"/>
            <w:r>
              <w:rPr>
                <w:sz w:val="20"/>
              </w:rPr>
              <w:t xml:space="preserve">PAGP </w:t>
            </w:r>
          </w:p>
        </w:tc>
        <w:tc>
          <w:tcPr>
            <w:tcW w:w="60" w:type="dxa"/>
            <w:tcBorders/>
            <w:tcMar>
              <w:bottom w:w="0" w:type="dxa"/>
            </w:tcMar>
            <w:vAlign w:val="center"/>
          </w:tcPr>
          <w:p>
            <w:pPr>
              <w:pStyle w:val="TableContents"/>
              <w:bidi w:val="0"/>
              <w:spacing w:before="0" w:after="283"/>
              <w:jc w:val="left"/>
              <w:rPr/>
            </w:pPr>
            <w:r>
              <w:rPr/>
              <w:t> </w:t>
            </w:r>
          </w:p>
        </w:tc>
        <w:tc>
          <w:tcPr>
            <w:tcW w:w="3755" w:type="dxa"/>
            <w:tcBorders/>
            <w:tcMar>
              <w:bottom w:w="0" w:type="dxa"/>
            </w:tcMar>
            <w:vAlign w:val="center"/>
          </w:tcPr>
          <w:p>
            <w:pPr>
              <w:pStyle w:val="TableContents"/>
              <w:bidi w:val="0"/>
              <w:spacing w:before="0" w:after="283"/>
              <w:jc w:val="center"/>
              <w:rPr>
                <w:sz w:val="20"/>
              </w:rPr>
            </w:pPr>
            <w:bookmarkStart w:id="21" w:name="xdx_902_edei--SecurityExchangeName_c2023"/>
            <w:bookmarkEnd w:id="21"/>
            <w:r>
              <w:rPr>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2_edei--EntityEmergingGrowthCompan"/>
      <w:bookmarkEnd w:id="22"/>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830"/>
        <w:gridCol w:w="443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5.07</w:t>
            </w:r>
          </w:p>
        </w:tc>
        <w:tc>
          <w:tcPr>
            <w:tcW w:w="44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Submission of Matters to a Vote of Security Holders.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annual meeting of Class A, Class B and Class C shareholders (collectively, the “Shareholders”) of Plains GP Holdings, L.P. (“PAGP” or the “Partnership”) was held on May 24, 2023. At the annual meeting, the Shareholders considered and voted on the following matters, each of which is described in greater detail in PAGP’s Proxy Statement dated April 14, 2023 (the “Proxy Statement”): (i) the election of four Class I directors to serve on the board of directors of PAA GP Holdings LLC until the 2026 annual meeting; (ii) the ratification of the appointment of PricewaterhouseCoopers LLP as PAGP’s and Plains All American Pipeline, L.P.’s (“PAA”) independent registered public accounting firm for the fiscal year ending December 31, 2023; and (iii) the approval, on a non-binding advisory basis, of our 2022 named executive officer compensation.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results for each matter presented at the PAGP annual meeting were as follows (Note, for Items 1 and 3 below, which are considered non-routine matters, broker non-votes are not considered votes cast and have no impact on the outcome. Out of the 769,480,474 Class A, Class B and Class C shares eligible to vote on Items 1, 2 and 3, approximately 83.3%, or 640,973,888 shares, were represented in person or by proxy at the PAGP annual meeting):</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both"/>
              <w:rPr/>
            </w:pPr>
            <w:r>
              <w:rPr/>
              <w:t> </w:t>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Class B and Class C shareholders voted on the election of four Class I directors to serve on the board of directors of PAA GP Holdings LLC until the 2026 annual meeting as follows: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28" w:type="dxa"/>
          <w:right w:w="0" w:type="dxa"/>
        </w:tblCellMar>
      </w:tblPr>
      <w:tblGrid>
        <w:gridCol w:w="1640"/>
        <w:gridCol w:w="60"/>
        <w:gridCol w:w="1055"/>
        <w:gridCol w:w="60"/>
        <w:gridCol w:w="950"/>
        <w:gridCol w:w="60"/>
        <w:gridCol w:w="1730"/>
        <w:gridCol w:w="60"/>
        <w:gridCol w:w="1565"/>
      </w:tblGrid>
      <w:tr>
        <w:trPr/>
        <w:tc>
          <w:tcPr>
            <w:tcW w:w="16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Withheld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Votes </w:t>
              <w:br/>
              <w:t>Cast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ind w:left="0" w:right="0" w:hanging="20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Willie Chiang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485,936,901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3,758,692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ind w:left="0" w:right="0" w:hanging="202"/>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151,278,295</w:t>
            </w:r>
          </w:p>
        </w:tc>
      </w:tr>
      <w:tr>
        <w:trPr/>
        <w:tc>
          <w:tcPr>
            <w:tcW w:w="16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Ellen DeSanctis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487,771,809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1,923,784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FFFFFF" w:val="clear"/>
            <w:tcMar>
              <w:bottom w:w="0" w:type="dxa"/>
            </w:tcMar>
            <w:vAlign w:val="center"/>
          </w:tcPr>
          <w:p>
            <w:pPr>
              <w:pStyle w:val="TableContents"/>
              <w:bidi w:val="0"/>
              <w:spacing w:before="0" w:after="283"/>
              <w:ind w:left="0" w:right="0" w:hanging="202"/>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151,278,295</w:t>
            </w:r>
          </w:p>
        </w:tc>
      </w:tr>
      <w:tr>
        <w:trPr/>
        <w:tc>
          <w:tcPr>
            <w:tcW w:w="16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Alexandra Pruner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462,953,076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26,742,517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ind w:left="0" w:right="0" w:hanging="202"/>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151,278,295</w:t>
            </w:r>
          </w:p>
        </w:tc>
      </w:tr>
      <w:tr>
        <w:trPr/>
        <w:tc>
          <w:tcPr>
            <w:tcW w:w="16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Larry Ziemba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484,733,703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4,961,890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151,278,295</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both"/>
              <w:rPr/>
            </w:pPr>
            <w:r>
              <w:rPr/>
              <w:t> </w:t>
            </w:r>
          </w:p>
        </w:tc>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Class B and Class C shareholders voted on the ratification of the appointment of PricewaterhouseCoopers LLP as PAGP’s and PAA’s independent registered public accounting firm for the fiscal year ending December 31, 2023 as follows: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28" w:type="dxa"/>
          <w:right w:w="0" w:type="dxa"/>
        </w:tblCellMar>
      </w:tblPr>
      <w:tblGrid>
        <w:gridCol w:w="1070"/>
        <w:gridCol w:w="60"/>
        <w:gridCol w:w="845"/>
        <w:gridCol w:w="60"/>
        <w:gridCol w:w="860"/>
        <w:gridCol w:w="60"/>
        <w:gridCol w:w="1730"/>
        <w:gridCol w:w="60"/>
        <w:gridCol w:w="1565"/>
      </w:tblGrid>
      <w:tr>
        <w:trPr/>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Votes </w:t>
              <w:br/>
              <w:t>Cast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633,208,162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6,174,081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1,591,645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0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both"/>
              <w:rPr/>
            </w:pPr>
            <w:r>
              <w:rPr/>
              <w:t> </w:t>
            </w:r>
          </w:p>
        </w:tc>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Class B and Class C shareholders voted on the approval, on a non-binding advisory basis, of our 2022 named executive officer compensation as follows: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28" w:type="dxa"/>
          <w:right w:w="0" w:type="dxa"/>
        </w:tblCellMar>
      </w:tblPr>
      <w:tblGrid>
        <w:gridCol w:w="1070"/>
        <w:gridCol w:w="60"/>
        <w:gridCol w:w="845"/>
        <w:gridCol w:w="60"/>
        <w:gridCol w:w="860"/>
        <w:gridCol w:w="60"/>
        <w:gridCol w:w="1730"/>
        <w:gridCol w:w="60"/>
        <w:gridCol w:w="1565"/>
      </w:tblGrid>
      <w:tr>
        <w:trPr/>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Votes </w:t>
              <w:br/>
              <w:t>Cast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482,894,611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4,290,311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2,510,670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151,278,296</w:t>
            </w:r>
          </w:p>
        </w:tc>
      </w:tr>
      <w:tr>
        <w:trPr/>
        <w:tc>
          <w:tcPr>
            <w:tcW w:w="10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7160" w:type="dxa"/>
        <w:jc w:val="left"/>
        <w:tblInd w:w="0" w:type="dxa"/>
        <w:tblLayout w:type="fixed"/>
        <w:tblCellMar>
          <w:top w:w="0" w:type="dxa"/>
          <w:left w:w="0" w:type="dxa"/>
          <w:bottom w:w="0" w:type="dxa"/>
          <w:right w:w="0" w:type="dxa"/>
        </w:tblCellMar>
      </w:tblPr>
      <w:tblGrid>
        <w:gridCol w:w="1745"/>
        <w:gridCol w:w="365"/>
        <w:gridCol w:w="545"/>
        <w:gridCol w:w="4505"/>
      </w:tblGrid>
      <w:tr>
        <w:trPr/>
        <w:tc>
          <w:tcPr>
            <w:tcW w:w="1745" w:type="dxa"/>
            <w:tcBorders/>
            <w:vAlign w:val="center"/>
          </w:tcPr>
          <w:p>
            <w:pPr>
              <w:pStyle w:val="TableContents"/>
              <w:bidi w:val="0"/>
              <w:spacing w:before="0" w:after="283"/>
              <w:jc w:val="left"/>
              <w:rPr/>
            </w:pPr>
            <w:r>
              <w:rPr/>
              <w:t> </w:t>
            </w:r>
          </w:p>
        </w:tc>
        <w:tc>
          <w:tcPr>
            <w:tcW w:w="541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GP HOLDINGS, L.P.</w:t>
            </w:r>
          </w:p>
        </w:tc>
      </w:tr>
      <w:tr>
        <w:trPr/>
        <w:tc>
          <w:tcPr>
            <w:tcW w:w="1745" w:type="dxa"/>
            <w:tcBorders/>
            <w:vAlign w:val="center"/>
          </w:tcPr>
          <w:p>
            <w:pPr>
              <w:pStyle w:val="TableContents"/>
              <w:bidi w:val="0"/>
              <w:spacing w:before="0" w:after="283"/>
              <w:jc w:val="left"/>
              <w:rPr/>
            </w:pPr>
            <w:r>
              <w:rPr/>
              <w:t> </w:t>
            </w:r>
          </w:p>
        </w:tc>
        <w:tc>
          <w:tcPr>
            <w:tcW w:w="5415" w:type="dxa"/>
            <w:gridSpan w:val="3"/>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26, 2023</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PAA GP Holdings LLC, its general partner</w:t>
            </w:r>
          </w:p>
        </w:tc>
      </w:tr>
      <w:tr>
        <w:trPr/>
        <w:tc>
          <w:tcPr>
            <w:tcW w:w="1745" w:type="dxa"/>
            <w:tcBorders/>
            <w:vAlign w:val="center"/>
          </w:tcPr>
          <w:p>
            <w:pPr>
              <w:pStyle w:val="TableContents"/>
              <w:bidi w:val="0"/>
              <w:spacing w:before="0" w:after="283"/>
              <w:jc w:val="left"/>
              <w:rPr/>
            </w:pPr>
            <w:r>
              <w:rPr/>
              <w:t> </w:t>
            </w:r>
          </w:p>
        </w:tc>
        <w:tc>
          <w:tcPr>
            <w:tcW w:w="5415" w:type="dxa"/>
            <w:gridSpan w:val="3"/>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0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McGee</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McGee</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 &amp; Secretary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4022</Characters>
  <CharactersWithSpaces>4816</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