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STE. 1600</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ind w:left="9"/>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p>
      <w:pPr>
        <w:spacing w:after="0" w:line="24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Chairman and CEO</w:t>
      </w:r>
    </w:p>
    <w:p>
      <w:pPr>
        <w:spacing w:after="0" w:line="280" w:lineRule="exact"/>
        <w:rPr>
          <w:sz w:val="24"/>
          <w:szCs w:val="24"/>
          <w:color w:val="auto"/>
        </w:rPr>
      </w:pPr>
    </w:p>
    <w:p>
      <w:pPr>
        <w:sectPr>
          <w:pgSz w:w="11900" w:h="16838" w:orient="portrait"/>
          <w:cols w:equalWidth="0" w:num="3">
            <w:col w:w="3191" w:space="720"/>
            <w:col w:w="3689" w:space="135"/>
            <w:col w:w="3345"/>
          </w:cols>
          <w:pgMar w:left="460" w:top="225" w:right="359" w:bottom="1440" w:gutter="0" w:footer="0" w:header="0"/>
          <w:type w:val="continuous"/>
        </w:sectPr>
      </w:pPr>
    </w:p>
    <w:p>
      <w:pPr>
        <w:spacing w:after="0" w:line="14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7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Units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03/16/2020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45,400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5.4522</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223,302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7"/>
        <w:spacing w:after="0" w:line="292"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common units. The units were purchased in multiple transactions at prices ranging from $5.39 to $5.50. The reporting person will provide upon request by the SEC staff, the issuer or any security holder of the issuer full information regarding the number of units purchased at each separate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Ann F. Gullion,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38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Willie CW 03/18/2020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2020-03-18T17:46:32Z</dcterms:created>
  <dcterms:modified xsi:type="dcterms:W3CDTF">2020-03-18T17:46:32Z</dcterms:modified>
</cp:coreProperties>
</file>