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4, 2015</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460" w:space="720"/>
            <w:col w:w="2680" w:space="720"/>
            <w:col w:w="272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4, 2015, the Registrant issued a press release reporting its fourth-quarter and full year 2014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February 4, 2015.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720" w:val="left"/>
        </w:tabs>
        <w:rPr>
          <w:sz w:val="20"/>
          <w:szCs w:val="20"/>
          <w:color w:val="auto"/>
        </w:rPr>
      </w:pPr>
      <w:r>
        <w:rPr>
          <w:rFonts w:ascii="Arial" w:cs="Arial" w:eastAsia="Arial" w:hAnsi="Arial"/>
          <w:sz w:val="18"/>
          <w:szCs w:val="18"/>
          <w:color w:val="auto"/>
        </w:rPr>
        <w:t>Date: February 4, 2015</w:t>
      </w:r>
      <w:r>
        <w:rPr>
          <w:sz w:val="20"/>
          <w:szCs w:val="20"/>
          <w:color w:val="auto"/>
        </w:rPr>
        <w:tab/>
      </w:r>
      <w:r>
        <w:rPr>
          <w:rFonts w:ascii="Arial" w:cs="Arial" w:eastAsia="Arial" w:hAnsi="Arial"/>
          <w:sz w:val="16"/>
          <w:szCs w:val="16"/>
          <w:color w:val="auto"/>
        </w:rPr>
        <w:t>By:  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4920"/>
        <w:spacing w:after="0"/>
        <w:tabs>
          <w:tab w:leader="none" w:pos="560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4920"/>
        <w:spacing w:after="0"/>
        <w:tabs>
          <w:tab w:leader="none" w:pos="56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146050</wp:posOffset>
            </wp:positionV>
            <wp:extent cx="6346190" cy="866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619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2014 Results</w:t>
      </w:r>
    </w:p>
    <w:p>
      <w:pPr>
        <w:spacing w:after="0" w:line="216" w:lineRule="exact"/>
        <w:rPr>
          <w:sz w:val="20"/>
          <w:szCs w:val="20"/>
          <w:color w:val="auto"/>
        </w:rPr>
      </w:pPr>
    </w:p>
    <w:p>
      <w:pPr>
        <w:ind w:right="300" w:firstLine="702"/>
        <w:spacing w:after="0" w:line="277" w:lineRule="auto"/>
        <w:rPr>
          <w:sz w:val="20"/>
          <w:szCs w:val="20"/>
          <w:color w:val="auto"/>
        </w:rPr>
      </w:pPr>
      <w:r>
        <w:rPr>
          <w:rFonts w:ascii="Arial" w:cs="Arial" w:eastAsia="Arial" w:hAnsi="Arial"/>
          <w:sz w:val="18"/>
          <w:szCs w:val="18"/>
          <w:color w:val="auto"/>
        </w:rPr>
        <w:t>(Houston — February 4, 2015) Plains All American Pipeline, L.P. (NYSE: PAA) and Plains GP Holdings (NYSE: PAGP) today reported fourth-quarter and full-year 2014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Diluted adjusted net income per limited partner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unit declared for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0.6750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0.6150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left="660" w:right="200" w:hanging="652"/>
        <w:spacing w:after="0"/>
        <w:tabs>
          <w:tab w:leader="none" w:pos="6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19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“2014 represents another year of solid execution for PAA, as we delivered results in line with to slightly ahead of the midpoint of our guidance for both the fourth quarter and full year, excluding the impact of a fourth quarter acquisition,” stated Greg L. Armstrong, Chairman and CEO of Plains All American. “These results were underpinned by solid performance in our Transportation and Supply and Logistics segments.”</w:t>
      </w:r>
    </w:p>
    <w:p>
      <w:pPr>
        <w:spacing w:after="0" w:line="15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Armstrong noted that following PAA’s November earnings conference call, crude oil and natural gas liquids prices decreased approximately 40%, which resulted in significant reductions in the outlook for producer drilling activities in 2015 — in many cases ranging from 30% to 40% below 2014 levels.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 is well positioned to manage through industry down cycles; however, we are not immune to the adverse impacts of a major step change in commodity prices that is accompanied by a similar change in producers’ activity levels. Accordingly, we have reduced the midpoint of our acquisition adjusted EBITDA guidance for 2015 by 6.5%, from just over $2.5 billion, as furnished on November 5th, to $2.35 billion and revised our distribution growth target for 2015. We are currently targeting distribution growth for PAA of 7% for 2015, which would equate to a distribution increase for PAGP of approximately 21%.”</w:t>
      </w:r>
    </w:p>
    <w:p>
      <w:pPr>
        <w:spacing w:after="0" w:line="17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Armstrong stated that the updated guidance midpoint represented an increase of approximately 7% over 2014 results and is based on 2015 WTI oil prices hovering around $50 per barrel for all of 2015 and the expectation that producer drilling activities will be materially reduced relative to 2014. WTI prices averaged approximately $93 per barrel in 2014.</w:t>
      </w:r>
    </w:p>
    <w:p>
      <w:pPr>
        <w:spacing w:after="0" w:line="16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“While the duration of the current down-cycle is unknown, our confidence in the North American crude oil resource base and its ultimate development remains high. As we look ahead, PAA remains well positioned to continue to grow and strengthen its business through organic growth projects and also to actively pursue attractive acquisition opportunities. For 2015, we are targeting an expansion capital plan of $1.85 billion, down approximately 9% from the $2.03 billion spent in 2014. Importantly, PAA enters 2015 with a strong balance sheet, credit metrics that are consistent with or favorable to our targeted levels and $3.6 billion of committed liquidity.”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49"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fourth quarter and full year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center"/>
              <w:ind w:left="818"/>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jc w:val="center"/>
              <w:ind w:left="839"/>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798"/>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4"/>
                <w:szCs w:val="14"/>
                <w:b w:val="1"/>
                <w:bCs w:val="1"/>
                <w:color w:val="auto"/>
                <w:w w:val="91"/>
              </w:rPr>
              <w:t>December 31,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Transportation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0"/>
                <w:szCs w:val="10"/>
                <w:color w:val="auto"/>
              </w:rPr>
            </w:pPr>
          </w:p>
        </w:tc>
        <w:tc>
          <w:tcPr>
            <w:tcW w:w="90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270</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i w:val="1"/>
                <w:iCs w:val="1"/>
                <w:color w:val="auto"/>
              </w:rPr>
              <w:t>173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Percentage change in adjusted</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-11%</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-17%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w w:val="98"/>
              </w:rPr>
              <w:t>segment profit versus 2013 period</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center"/>
              <w:ind w:left="818"/>
              <w:spacing w:after="0"/>
              <w:rPr>
                <w:sz w:val="20"/>
                <w:szCs w:val="20"/>
                <w:color w:val="auto"/>
              </w:rPr>
            </w:pPr>
            <w:r>
              <w:rPr>
                <w:rFonts w:ascii="Arial" w:cs="Arial" w:eastAsia="Arial" w:hAnsi="Arial"/>
                <w:sz w:val="14"/>
                <w:szCs w:val="14"/>
                <w:b w:val="1"/>
                <w:bCs w:val="1"/>
                <w:color w:val="auto"/>
                <w:w w:val="93"/>
              </w:rPr>
              <w:t>Twelve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center"/>
              <w:ind w:left="839"/>
              <w:spacing w:after="0"/>
              <w:rPr>
                <w:sz w:val="20"/>
                <w:szCs w:val="20"/>
                <w:color w:val="auto"/>
              </w:rPr>
            </w:pPr>
            <w:r>
              <w:rPr>
                <w:rFonts w:ascii="Arial" w:cs="Arial" w:eastAsia="Arial" w:hAnsi="Arial"/>
                <w:sz w:val="14"/>
                <w:szCs w:val="14"/>
                <w:b w:val="1"/>
                <w:bCs w:val="1"/>
                <w:color w:val="auto"/>
                <w:w w:val="92"/>
              </w:rPr>
              <w:t>Twelve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798"/>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4"/>
                <w:szCs w:val="14"/>
                <w:b w:val="1"/>
                <w:bCs w:val="1"/>
                <w:color w:val="auto"/>
                <w:w w:val="91"/>
              </w:rPr>
              <w:t>December 31,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Transportation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0"/>
                <w:szCs w:val="10"/>
                <w:color w:val="auto"/>
              </w:rPr>
            </w:pPr>
          </w:p>
        </w:tc>
        <w:tc>
          <w:tcPr>
            <w:tcW w:w="90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950</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597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i w:val="1"/>
                <w:iCs w:val="1"/>
                <w:color w:val="auto"/>
              </w:rPr>
              <w:t>651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760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629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Percentage change in adjusted</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-5%</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-27%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w w:val="98"/>
              </w:rPr>
              <w:t>segment profit versus 2013 period</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9"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25"/>
        <w:spacing w:after="0" w:line="259"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0" w:lineRule="exact"/>
        <w:rPr>
          <w:sz w:val="20"/>
          <w:szCs w:val="20"/>
          <w:color w:val="auto"/>
        </w:rPr>
      </w:pPr>
    </w:p>
    <w:p>
      <w:pPr>
        <w:sectPr>
          <w:pgSz w:w="11900" w:h="16838" w:orient="portrait"/>
          <w:cols w:equalWidth="0" w:num="2">
            <w:col w:w="140" w:space="500"/>
            <w:col w:w="10780"/>
          </w:cols>
          <w:pgMar w:left="240" w:top="125" w:right="239" w:bottom="9" w:gutter="0" w:footer="0" w:header="0"/>
          <w:type w:val="continuous"/>
        </w:sectPr>
      </w:pPr>
    </w:p>
    <w:p>
      <w:pPr>
        <w:spacing w:after="0" w:line="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Fourth-quarter 2014 Transportation adjusted segment profit increased 26% versus comparable 2013 results. This increase was primarily driven by higher crude oil pipeline volumes associated with North American crude oil production and recently completed organic growth projects, increased tariff rates on certain of our crude oil pipelines and the acquisition of a 50% interest in the BridgeTex pipeline completed in November 2014.</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Fourth-quarter 2014 Facilities adjusted segment profit decreased 11% versus comparable 2013 results. This decrease was primarily due to the impact of recontracting capacity originally contracted at higher rates within our natural gas storage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Fourth-quarter 2014 Supply and Logistics adjusted segment profit decreased by approximately 17% relative to comparable 2013 results. This decrease was primarily related to less favorable NGL and crude oil market conditions in the fourth quarter of 2014 compared to the same 2013 period. These impacts were partially offset by growth in crude oil lease gathering volumes.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Q4 2014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Q3 2014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Q4 2013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(non-prorated)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Distribution per share declared for the period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0.20300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0.19075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0.15979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w w:val="95"/>
              </w:rPr>
              <w:t>Q4 2014 distribution percentage growth over previous benchmarks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9" w:gutter="0" w:footer="0" w:header="0"/>
          <w:type w:val="continuous"/>
        </w:sectPr>
      </w:pPr>
    </w:p>
    <w:bookmarkStart w:id="4" w:name="page5"/>
    <w:bookmarkEnd w:id="4"/>
    <w:p>
      <w:pPr>
        <w:ind w:left="660" w:right="260" w:hanging="652"/>
        <w:spacing w:after="0" w:line="227" w:lineRule="auto"/>
        <w:tabs>
          <w:tab w:leader="none" w:pos="6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Reflects a full fourth quarter 2013 distribution per Class A share (before proration), assuming PAGP’s ownership interest in PAA’s general partner was for the full fourth quarter of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PAA and PAGP will hold a conference call on February 5, 2015 (see details below). Prior to this conference call, PAA will furnish a current report on Form 8-K, which will include material in this news release as well as PAA’s financial and operational guidance for the first quarter and full year of 2015.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10:00 a.m. EST on Thursday, February 5,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fourth-quarter and full-year 2014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guidance for the first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230-1085. International callers should dial (612) 288-0340.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349000. The replay will be available beginning Thursday, February 5, 2015, at approximately 12:00 p.m. EST and will continue until 11:59 p.m. EST on March 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inventory valuation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spacing w:after="0" w:line="15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52" w:gutter="0" w:footer="0" w:header="0"/>
        </w:sectPr>
      </w:pPr>
    </w:p>
    <w:bookmarkStart w:id="5" w:name="page6"/>
    <w:bookmarkEnd w:id="5"/>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effects of competition;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weather interference with business operations or project construction, including the impact of extreme weather events or conditions; continued creditworthiness of, and performance by, our counterparties, including financial institutions and trading companies with which we do business; maintenance of our credit rating and ability to receive open credit from our suppliers and trade counterparties;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non-utilization of our assets and facilities;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4.1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0"/>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9,459</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43,464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8,384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39,500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16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8,929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584"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1,791</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b w:val="1"/>
                <w:bCs w:val="1"/>
                <w:color w:val="auto"/>
              </w:rPr>
              <w:t>LIMITED PARTNERS</w:t>
            </w:r>
          </w:p>
        </w:tc>
        <w:tc>
          <w:tcPr>
            <w:tcW w:w="700" w:type="dxa"/>
            <w:vAlign w:val="bottom"/>
          </w:tcPr>
          <w:p>
            <w:pPr>
              <w:spacing w:after="0"/>
              <w:rPr>
                <w:sz w:val="22"/>
                <w:szCs w:val="22"/>
                <w:color w:val="auto"/>
              </w:rPr>
            </w:pPr>
          </w:p>
        </w:tc>
        <w:tc>
          <w:tcPr>
            <w:tcW w:w="13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884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tcBorders>
              <w:top w:val="single" w:sz="8" w:color="CCEEFF"/>
              <w:bottom w:val="single" w:sz="8" w:color="CCEEFF"/>
            </w:tcBorders>
            <w:gridSpan w:val="2"/>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GENERAL PARTNER</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0.67</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0.59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32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0.67</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0.58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gridSpan w:val="3"/>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gridSpan w:val="3"/>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w:t>
            </w: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6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4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ADJUSTED NET INCOME PER LIMITED PARTNER</w:t>
            </w:r>
          </w:p>
        </w:tc>
        <w:tc>
          <w:tcPr>
            <w:tcW w:w="540" w:type="dxa"/>
            <w:vAlign w:val="bottom"/>
            <w:vMerge w:val="restart"/>
            <w:shd w:val="clear" w:color="auto" w:fill="CCEEFF"/>
          </w:tcPr>
          <w:p>
            <w:pPr>
              <w:spacing w:after="0"/>
              <w:rPr>
                <w:sz w:val="17"/>
                <w:szCs w:val="17"/>
                <w:color w:val="auto"/>
              </w:rPr>
            </w:pPr>
          </w:p>
        </w:tc>
        <w:tc>
          <w:tcPr>
            <w:tcW w:w="780" w:type="dxa"/>
            <w:vAlign w:val="bottom"/>
            <w:vMerge w:val="restart"/>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vMerge w:val="restart"/>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6"/>
              </w:rPr>
              <w:t>0.76</w:t>
            </w:r>
          </w:p>
        </w:tc>
        <w:tc>
          <w:tcPr>
            <w:tcW w:w="3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UNIT</w:t>
            </w:r>
          </w:p>
        </w:tc>
        <w:tc>
          <w:tcPr>
            <w:tcW w:w="7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8"/>
                <w:szCs w:val="18"/>
                <w:color w:val="auto"/>
                <w:w w:val="92"/>
              </w:rPr>
              <w:t>– more –</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b w:val="1"/>
                <w:bCs w:val="1"/>
                <w:color w:val="auto"/>
              </w:rPr>
              <w:t>333 Clay Street, Suite 1600</w:t>
            </w:r>
          </w:p>
        </w:tc>
        <w:tc>
          <w:tcPr>
            <w:tcW w:w="2020" w:type="dxa"/>
            <w:vAlign w:val="bottom"/>
            <w:gridSpan w:val="3"/>
          </w:tcPr>
          <w:p>
            <w:pPr>
              <w:jc w:val="right"/>
              <w:ind w:right="216"/>
              <w:spacing w:after="0"/>
              <w:rPr>
                <w:sz w:val="20"/>
                <w:szCs w:val="20"/>
                <w:color w:val="auto"/>
              </w:rPr>
            </w:pPr>
            <w:r>
              <w:rPr>
                <w:rFonts w:ascii="Arial" w:cs="Arial" w:eastAsia="Arial" w:hAnsi="Arial"/>
                <w:sz w:val="18"/>
                <w:szCs w:val="18"/>
                <w:b w:val="1"/>
                <w:bCs w:val="1"/>
                <w:color w:val="auto"/>
                <w:w w:val="89"/>
              </w:rPr>
              <w:t>Houston, Texas 77002</w:t>
            </w:r>
          </w:p>
        </w:tc>
        <w:tc>
          <w:tcPr>
            <w:tcW w:w="3220" w:type="dxa"/>
            <w:vAlign w:val="bottom"/>
            <w:gridSpan w:val="9"/>
          </w:tcPr>
          <w:p>
            <w:pPr>
              <w:jc w:val="right"/>
              <w:ind w:right="592"/>
              <w:spacing w:after="0"/>
              <w:rPr>
                <w:sz w:val="20"/>
                <w:szCs w:val="20"/>
                <w:color w:val="auto"/>
              </w:rPr>
            </w:pPr>
            <w:r>
              <w:rPr>
                <w:rFonts w:ascii="Arial" w:cs="Arial" w:eastAsia="Arial" w:hAnsi="Arial"/>
                <w:sz w:val="18"/>
                <w:szCs w:val="18"/>
                <w:b w:val="1"/>
                <w:bCs w:val="1"/>
                <w:color w:val="auto"/>
                <w:w w:val="96"/>
              </w:rPr>
              <w:t>(713) 646-4100 / (866) 809-1291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Linefill and base gas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net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long-term debt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4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14,065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1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8,133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8,191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8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8,762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8,191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3"/>
            <w:vMerge w:val="continue"/>
          </w:tcPr>
          <w:p>
            <w:pPr>
              <w:spacing w:after="0"/>
              <w:rPr>
                <w:sz w:val="20"/>
                <w:szCs w:val="20"/>
                <w:color w:val="auto"/>
              </w:rPr>
            </w:pPr>
          </w:p>
        </w:tc>
        <w:tc>
          <w:tcPr>
            <w:tcW w:w="19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15,531</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 more –</w:t>
            </w: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218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40"/>
              <w:spacing w:after="0"/>
              <w:rPr>
                <w:sz w:val="20"/>
                <w:szCs w:val="20"/>
                <w:color w:val="auto"/>
              </w:rPr>
            </w:pPr>
            <w:r>
              <w:rPr>
                <w:rFonts w:ascii="Arial" w:cs="Arial" w:eastAsia="Arial" w:hAnsi="Arial"/>
                <w:sz w:val="18"/>
                <w:szCs w:val="18"/>
                <w:b w:val="1"/>
                <w:bCs w:val="1"/>
                <w:color w:val="auto"/>
                <w:w w:val="98"/>
              </w:rPr>
              <w:t>Houston, Texas 77002</w:t>
            </w:r>
          </w:p>
        </w:tc>
        <w:tc>
          <w:tcPr>
            <w:tcW w:w="302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w w:val="99"/>
              </w:rPr>
              <w:t>(713) 646-4100 / (866) 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center"/>
              <w:ind w:left="774"/>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left="69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left="794"/>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Facilities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gridSpan w:val="3"/>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center"/>
              <w:ind w:left="774"/>
              <w:spacing w:after="0"/>
              <w:rPr>
                <w:sz w:val="20"/>
                <w:szCs w:val="20"/>
                <w:color w:val="auto"/>
              </w:rPr>
            </w:pPr>
            <w:r>
              <w:rPr>
                <w:rFonts w:ascii="Arial" w:cs="Arial" w:eastAsia="Arial" w:hAnsi="Arial"/>
                <w:sz w:val="14"/>
                <w:szCs w:val="14"/>
                <w:b w:val="1"/>
                <w:bCs w:val="1"/>
                <w:color w:val="auto"/>
                <w:w w:val="93"/>
              </w:rPr>
              <w:t>Twelve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left="794"/>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Transportation</w:t>
            </w:r>
          </w:p>
        </w:tc>
        <w:tc>
          <w:tcPr>
            <w:tcW w:w="12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Facilities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gridSpan w:val="3"/>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8" w:name="page9"/>
    <w:bookmarkEnd w:id="8"/>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3" w:lineRule="exact"/>
        <w:rPr>
          <w:sz w:val="20"/>
          <w:szCs w:val="20"/>
          <w:color w:val="auto"/>
        </w:rPr>
      </w:pPr>
    </w:p>
    <w:p>
      <w:pPr>
        <w:ind w:left="20" w:right="40" w:hanging="11"/>
        <w:spacing w:after="0" w:line="250"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90" w:orient="portrait"/>
          <w:cols w:equalWidth="0" w:num="2">
            <w:col w:w="140" w:space="500"/>
            <w:col w:w="1078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 barrels</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Basin / Mesa / Sunrise</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732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737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Capline</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Eagle Ford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Line 63 / Line 2000</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Manito</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Mid-Continent Area Systems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Permian Basin Area Systems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Rainbow</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Rangeland</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Salt Lake City Area Systems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 Saskatchewan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White Cliffs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Co-Ed</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Refined Products Pipelines</w:t>
            </w:r>
          </w:p>
        </w:tc>
        <w:tc>
          <w:tcPr>
            <w:tcW w:w="142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Tariff activities total</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4,192</w:t>
            </w: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3,730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Trucking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0"/>
        </w:trPr>
        <w:tc>
          <w:tcPr>
            <w:tcW w:w="5900" w:type="dxa"/>
            <w:vAlign w:val="bottom"/>
            <w:gridSpan w:val="2"/>
          </w:tcPr>
          <w:p>
            <w:pPr>
              <w:spacing w:after="0"/>
              <w:rPr>
                <w:sz w:val="20"/>
                <w:szCs w:val="20"/>
                <w:color w:val="auto"/>
              </w:rPr>
            </w:pPr>
            <w:r>
              <w:rPr>
                <w:rFonts w:ascii="Arial" w:cs="Arial" w:eastAsia="Arial" w:hAnsi="Arial"/>
                <w:sz w:val="18"/>
                <w:szCs w:val="18"/>
                <w:color w:val="auto"/>
              </w:rPr>
              <w:t>Transportation activities total</w:t>
            </w:r>
          </w:p>
        </w:tc>
        <w:tc>
          <w:tcPr>
            <w:tcW w:w="7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4,314</w:t>
            </w:r>
          </w:p>
        </w:tc>
        <w:tc>
          <w:tcPr>
            <w:tcW w:w="280" w:type="dxa"/>
            <w:vAlign w:val="bottom"/>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3,859</w:t>
            </w:r>
          </w:p>
        </w:tc>
        <w:tc>
          <w:tcPr>
            <w:tcW w:w="28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7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8"/>
              </w:rPr>
              <w:t>Rail load / unload volumes (average volumes in thousands of barrels per</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28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80" w:type="dxa"/>
            <w:vAlign w:val="bottom"/>
            <w:vMerge w:val="restart"/>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28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day)</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Natural gas storage (average monthly working capacity in billions of cubic</w:t>
            </w:r>
          </w:p>
        </w:tc>
        <w:tc>
          <w:tcPr>
            <w:tcW w:w="7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vMerge w:val="restart"/>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vMerge w:val="restart"/>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feet)</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NGL fractionation (average volumes in thousands of barrels per day)</w:t>
            </w:r>
          </w:p>
        </w:tc>
        <w:tc>
          <w:tcPr>
            <w:tcW w:w="7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w:t>
            </w:r>
          </w:p>
        </w:tc>
        <w:tc>
          <w:tcPr>
            <w:tcW w:w="2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80" w:type="dxa"/>
            <w:vAlign w:val="bottom"/>
            <w:shd w:val="clear" w:color="auto" w:fill="CCEEFF"/>
          </w:tcPr>
          <w:p>
            <w:pPr>
              <w:ind w:left="160"/>
              <w:spacing w:after="0" w:line="116" w:lineRule="exact"/>
              <w:rPr>
                <w:sz w:val="20"/>
                <w:szCs w:val="20"/>
                <w:color w:val="auto"/>
              </w:rPr>
            </w:pPr>
            <w:r>
              <w:rPr>
                <w:rFonts w:ascii="Arial" w:cs="Arial" w:eastAsia="Arial" w:hAnsi="Arial"/>
                <w:sz w:val="13"/>
                <w:szCs w:val="13"/>
                <w:color w:val="auto"/>
              </w:rPr>
              <w:t>Facilities activities total (average monthly volumes in millions of barrels)</w:t>
            </w:r>
          </w:p>
        </w:tc>
        <w:tc>
          <w:tcPr>
            <w:tcW w:w="7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7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(2)</w:t>
            </w:r>
          </w:p>
        </w:tc>
        <w:tc>
          <w:tcPr>
            <w:tcW w:w="7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activities (average daily volumes in thousands of</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999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870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Waterborne cargos</w:t>
            </w:r>
          </w:p>
        </w:tc>
        <w:tc>
          <w:tcPr>
            <w:tcW w:w="142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Supply and Logistics activities 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0"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0" w:hanging="11"/>
        <w:spacing w:after="0" w:line="258" w:lineRule="auto"/>
        <w:rPr>
          <w:sz w:val="20"/>
          <w:szCs w:val="20"/>
          <w:color w:val="auto"/>
        </w:rPr>
      </w:pPr>
      <w:r>
        <w:rPr>
          <w:rFonts w:ascii="Arial" w:cs="Arial" w:eastAsia="Arial" w:hAnsi="Arial"/>
          <w:sz w:val="18"/>
          <w:szCs w:val="18"/>
          <w:color w:val="auto"/>
        </w:rPr>
        <w:t>Volumes associated with assets employed through acquisitions and expansion capital represent total volumes (attributable to our interest) for the number of days or months we employed the assets divided by the number of days or months in the period.</w:t>
      </w:r>
    </w:p>
    <w:p>
      <w:pPr>
        <w:spacing w:after="0" w:line="1" w:lineRule="exact"/>
        <w:rPr>
          <w:sz w:val="20"/>
          <w:szCs w:val="20"/>
          <w:color w:val="auto"/>
        </w:rPr>
      </w:pPr>
    </w:p>
    <w:p>
      <w:pPr>
        <w:ind w:right="120" w:hanging="11"/>
        <w:spacing w:after="0" w:line="302" w:lineRule="auto"/>
        <w:rPr>
          <w:sz w:val="20"/>
          <w:szCs w:val="20"/>
          <w:color w:val="auto"/>
        </w:rPr>
      </w:pPr>
      <w:r>
        <w:rPr>
          <w:rFonts w:ascii="Arial" w:cs="Arial" w:eastAsia="Arial" w:hAnsi="Arial"/>
          <w:sz w:val="16"/>
          <w:szCs w:val="16"/>
          <w:color w:val="auto"/>
        </w:rPr>
        <w:t>Facilities activities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w:t>
      </w:r>
    </w:p>
    <w:p>
      <w:pPr>
        <w:sectPr>
          <w:pgSz w:w="11900" w:h="16890" w:orient="portrait"/>
          <w:cols w:equalWidth="0" w:num="2">
            <w:col w:w="140" w:space="520"/>
            <w:col w:w="10760"/>
          </w:cols>
          <w:pgMar w:left="240" w:top="125" w:right="239" w:bottom="0" w:gutter="0" w:footer="0" w:header="0"/>
          <w:type w:val="continuous"/>
        </w:sectPr>
      </w:pPr>
    </w:p>
    <w:bookmarkStart w:id="9" w:name="page10"/>
    <w:bookmarkEnd w:id="9"/>
    <w:p>
      <w:pPr>
        <w:ind w:left="660" w:right="60"/>
        <w:spacing w:after="0" w:line="277" w:lineRule="auto"/>
        <w:rPr>
          <w:sz w:val="20"/>
          <w:szCs w:val="20"/>
          <w:color w:val="auto"/>
        </w:rPr>
      </w:pPr>
      <w:r>
        <w:rPr>
          <w:rFonts w:ascii="Arial" w:cs="Arial" w:eastAsia="Arial" w:hAnsi="Arial"/>
          <w:sz w:val="18"/>
          <w:szCs w:val="18"/>
          <w:color w:val="auto"/>
        </w:rPr>
        <w:t>volumes in millions; and (iv) NGL fractionation volumes multiplied by the number of days in the period and divided by the number of months in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1,384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884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 participating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vMerge w:val="restart"/>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878</w:t>
            </w: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92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0.67</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1,384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884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 participating</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vMerge w:val="restart"/>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878</w:t>
            </w: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369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92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0.67</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80" w:hanging="11"/>
        <w:spacing w:after="0" w:line="254" w:lineRule="auto"/>
        <w:rPr>
          <w:sz w:val="20"/>
          <w:szCs w:val="20"/>
          <w:color w:val="auto"/>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ectPr>
          <w:pgSz w:w="11900" w:h="16838" w:orient="portrait"/>
          <w:cols w:equalWidth="0" w:num="1">
            <w:col w:w="11420"/>
          </w:cols>
          <w:pgMar w:left="240" w:top="125" w:right="239" w:bottom="0" w:gutter="0" w:footer="0" w:header="0"/>
          <w:type w:val="continuous"/>
        </w:sectPr>
      </w:pPr>
    </w:p>
    <w:p>
      <w:pPr>
        <w:spacing w:after="0" w:line="202" w:lineRule="exact"/>
        <w:rPr>
          <w:sz w:val="20"/>
          <w:szCs w:val="20"/>
          <w:color w:val="auto"/>
        </w:rPr>
      </w:pPr>
    </w:p>
    <w:p>
      <w:pPr>
        <w:ind w:left="6540"/>
        <w:spacing w:after="0"/>
        <w:tabs>
          <w:tab w:leader="none" w:pos="93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Twelve Months Ended</w:t>
      </w:r>
    </w:p>
    <w:p>
      <w:pPr>
        <w:sectPr>
          <w:pgSz w:w="11900" w:h="16838" w:orient="portrait"/>
          <w:cols w:equalWidth="0" w:num="1">
            <w:col w:w="11420"/>
          </w:cols>
          <w:pgMar w:left="240" w:top="125"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valuation adjustments </w:t>
            </w:r>
            <w:r>
              <w:rPr>
                <w:rFonts w:ascii="Arial" w:cs="Arial" w:eastAsia="Arial" w:hAnsi="Arial"/>
                <w:sz w:val="23"/>
                <w:szCs w:val="23"/>
                <w:color w:val="auto"/>
                <w:vertAlign w:val="superscript"/>
              </w:rPr>
              <w:t>(3)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on foreign currency revaluation</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Selected items impacting comparability of net income attributable to</w:t>
            </w: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880" w:type="dxa"/>
            <w:vAlign w:val="bottom"/>
            <w:vMerge w:val="continue"/>
          </w:tcPr>
          <w:p>
            <w:pPr>
              <w:spacing w:after="0"/>
              <w:rPr>
                <w:sz w:val="15"/>
                <w:szCs w:val="15"/>
                <w:color w:val="auto"/>
              </w:rPr>
            </w:pPr>
          </w:p>
        </w:tc>
        <w:tc>
          <w:tcPr>
            <w:tcW w:w="780" w:type="dxa"/>
            <w:vAlign w:val="bottom"/>
            <w:vMerge w:val="restart"/>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3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37</w:t>
            </w:r>
          </w:p>
        </w:tc>
        <w:tc>
          <w:tcPr>
            <w:tcW w:w="340" w:type="dxa"/>
            <w:vAlign w:val="bottom"/>
            <w:vMerge w:val="restart"/>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PAA</w:t>
            </w:r>
          </w:p>
        </w:tc>
        <w:tc>
          <w:tcPr>
            <w:tcW w:w="78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Impact to basic net income per limited partner unit</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0.07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Impact to diluted net income per limited partner unit</w:t>
            </w: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0.07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560" w:hanging="11"/>
        <w:spacing w:after="0" w:line="265" w:lineRule="auto"/>
        <w:rPr>
          <w:sz w:val="20"/>
          <w:szCs w:val="20"/>
          <w:color w:val="auto"/>
        </w:rPr>
      </w:pPr>
      <w:r>
        <w:rPr>
          <w:rFonts w:ascii="Arial" w:cs="Arial" w:eastAsia="Arial" w:hAnsi="Arial"/>
          <w:sz w:val="17"/>
          <w:szCs w:val="17"/>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ind w:left="20" w:right="460" w:hanging="11"/>
        <w:spacing w:after="0" w:line="281" w:lineRule="auto"/>
        <w:rPr>
          <w:sz w:val="20"/>
          <w:szCs w:val="20"/>
          <w:color w:val="auto"/>
        </w:rPr>
      </w:pPr>
      <w:r>
        <w:rPr>
          <w:rFonts w:ascii="Arial" w:cs="Arial" w:eastAsia="Arial" w:hAnsi="Arial"/>
          <w:sz w:val="16"/>
          <w:szCs w:val="16"/>
          <w:color w:val="auto"/>
        </w:rPr>
        <w:t>Includes changes in the average cost of long-term inventory that result from fluctuations in market prices. Long-term inventory is comprised of minimum inventory requirements in third-party assets and other working inventory that is needed for our commercial operations.</w:t>
      </w:r>
    </w:p>
    <w:p>
      <w:pPr>
        <w:spacing w:after="0" w:line="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 Includes other immaterial selected items impacting comparability, as well as the noncontrolling interests’ portion of selected items.</w:t>
      </w:r>
    </w:p>
    <w:p>
      <w:pPr>
        <w:spacing w:after="0" w:line="15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18"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680" w:type="dxa"/>
            <w:vAlign w:val="bottom"/>
          </w:tcPr>
          <w:p>
            <w:pPr>
              <w:jc w:val="right"/>
              <w:ind w:right="493"/>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1,384</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w w:val="92"/>
              </w:rPr>
              <w:t xml:space="preserve">Less: Undistributed earnings allocated and distributions to participating securities </w:t>
            </w:r>
            <w:r>
              <w:rPr>
                <w:rFonts w:ascii="Arial" w:cs="Arial" w:eastAsia="Arial" w:hAnsi="Arial"/>
                <w:sz w:val="23"/>
                <w:szCs w:val="23"/>
                <w:color w:val="auto"/>
                <w:w w:val="92"/>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8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0.60</w:t>
            </w: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0.76</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8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680" w:type="dxa"/>
            <w:vAlign w:val="bottom"/>
          </w:tcPr>
          <w:p>
            <w:pPr>
              <w:jc w:val="right"/>
              <w:ind w:right="493"/>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1,384</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line="216" w:lineRule="exact"/>
              <w:rPr>
                <w:sz w:val="20"/>
                <w:szCs w:val="20"/>
                <w:color w:val="auto"/>
              </w:rPr>
            </w:pPr>
            <w:r>
              <w:rPr>
                <w:rFonts w:ascii="Arial" w:cs="Arial" w:eastAsia="Arial" w:hAnsi="Arial"/>
                <w:sz w:val="18"/>
                <w:szCs w:val="18"/>
                <w:color w:val="auto"/>
                <w:w w:val="92"/>
              </w:rPr>
              <w:t xml:space="preserve">Less: Undistributed earnings allocated and distributions to participating securities </w:t>
            </w:r>
            <w:r>
              <w:rPr>
                <w:rFonts w:ascii="Arial" w:cs="Arial" w:eastAsia="Arial" w:hAnsi="Arial"/>
                <w:sz w:val="23"/>
                <w:szCs w:val="23"/>
                <w:color w:val="auto"/>
                <w:w w:val="92"/>
                <w:vertAlign w:val="superscript"/>
              </w:rPr>
              <w:t>(2)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8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0.60</w:t>
            </w: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0.76</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60" w:hanging="23"/>
        <w:spacing w:after="0" w:line="323" w:lineRule="auto"/>
        <w:rPr>
          <w:sz w:val="20"/>
          <w:szCs w:val="20"/>
          <w:color w:val="auto"/>
        </w:rPr>
      </w:pPr>
      <w:r>
        <w:rPr>
          <w:rFonts w:ascii="Arial" w:cs="Arial" w:eastAsia="Arial" w:hAnsi="Arial"/>
          <w:sz w:val="16"/>
          <w:szCs w:val="16"/>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w:t>
      </w:r>
    </w:p>
    <w:p>
      <w:pPr>
        <w:sectPr>
          <w:pgSz w:w="11900" w:h="16838" w:orient="portrait"/>
          <w:cols w:equalWidth="0" w:num="2">
            <w:col w:w="140" w:space="500"/>
            <w:col w:w="10780"/>
          </w:cols>
          <w:pgMar w:left="240" w:top="118" w:right="239" w:bottom="0" w:gutter="0" w:footer="0" w:header="0"/>
          <w:type w:val="continuous"/>
        </w:sectPr>
      </w:pPr>
    </w:p>
    <w:bookmarkStart w:id="11" w:name="page12"/>
    <w:bookmarkEnd w:id="11"/>
    <w:p>
      <w:pPr>
        <w:spacing w:after="0" w:line="62"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general partner, limited partners and participating securities in accordance with the contractual terms of the partnership agreement and as further prescribed under the two-class method.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ind w:left="2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6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w:t>
            </w: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 and Excluding Selected Items Impacting Comparability</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Reconciliations</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318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EBITDA</w:t>
            </w:r>
          </w:p>
        </w:tc>
        <w:tc>
          <w:tcPr>
            <w:tcW w:w="700" w:type="dxa"/>
            <w:vAlign w:val="bottom"/>
            <w:tcBorders>
              <w:top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526</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6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595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2,200</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7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7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Implied DCF</w:t>
            </w: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429</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EBITDA</w:t>
            </w:r>
          </w:p>
        </w:tc>
        <w:tc>
          <w:tcPr>
            <w:tcW w:w="18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2,289</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2"/>
              </w:rPr>
              <w:t>Other items to reconcile to cash flows from operating activities: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60" w:type="dxa"/>
            <w:vAlign w:val="bottom"/>
            <w:vMerge w:val="restart"/>
          </w:tcPr>
          <w:p>
            <w:pPr>
              <w:ind w:left="740"/>
              <w:spacing w:after="0"/>
              <w:rPr>
                <w:sz w:val="20"/>
                <w:szCs w:val="20"/>
                <w:color w:val="auto"/>
              </w:rPr>
            </w:pPr>
            <w:r>
              <w:rPr>
                <w:rFonts w:ascii="Arial" w:cs="Arial" w:eastAsia="Arial" w:hAnsi="Arial"/>
                <w:sz w:val="18"/>
                <w:szCs w:val="18"/>
                <w:color w:val="auto"/>
              </w:rPr>
              <w:t>– more –</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1860" w:type="dxa"/>
            <w:vAlign w:val="bottom"/>
          </w:tcPr>
          <w:p>
            <w:pPr>
              <w:ind w:left="60"/>
              <w:spacing w:after="0"/>
              <w:rPr>
                <w:sz w:val="20"/>
                <w:szCs w:val="20"/>
                <w:color w:val="auto"/>
              </w:rPr>
            </w:pPr>
            <w:r>
              <w:rPr>
                <w:rFonts w:ascii="Arial" w:cs="Arial" w:eastAsia="Arial" w:hAnsi="Arial"/>
                <w:sz w:val="18"/>
                <w:szCs w:val="18"/>
                <w:b w:val="1"/>
                <w:bCs w:val="1"/>
                <w:color w:val="auto"/>
                <w:w w:val="94"/>
              </w:rPr>
              <w:t>Houston, Texas 77002</w:t>
            </w:r>
          </w:p>
        </w:tc>
        <w:tc>
          <w:tcPr>
            <w:tcW w:w="200" w:type="dxa"/>
            <w:vAlign w:val="bottom"/>
          </w:tcPr>
          <w:p>
            <w:pPr>
              <w:spacing w:after="0"/>
              <w:rPr>
                <w:sz w:val="19"/>
                <w:szCs w:val="19"/>
                <w:color w:val="auto"/>
              </w:rPr>
            </w:pPr>
          </w:p>
        </w:tc>
        <w:tc>
          <w:tcPr>
            <w:tcW w:w="2600" w:type="dxa"/>
            <w:vAlign w:val="bottom"/>
            <w:gridSpan w:val="7"/>
          </w:tcPr>
          <w:p>
            <w:pPr>
              <w:jc w:val="right"/>
              <w:ind w:right="25"/>
              <w:spacing w:after="0"/>
              <w:rPr>
                <w:sz w:val="20"/>
                <w:szCs w:val="20"/>
                <w:color w:val="auto"/>
              </w:rPr>
            </w:pPr>
            <w:r>
              <w:rPr>
                <w:rFonts w:ascii="Arial" w:cs="Arial" w:eastAsia="Arial" w:hAnsi="Arial"/>
                <w:sz w:val="18"/>
                <w:szCs w:val="18"/>
                <w:b w:val="1"/>
                <w:bCs w:val="1"/>
                <w:color w:val="auto"/>
                <w:w w:val="94"/>
              </w:rPr>
              <w:t>(713) 646-4100 / (866) 809-1291</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466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960" w:type="dxa"/>
            <w:vAlign w:val="bottom"/>
          </w:tcPr>
          <w:p>
            <w:pPr>
              <w:spacing w:after="0"/>
              <w:rPr>
                <w:sz w:val="13"/>
                <w:szCs w:val="13"/>
                <w:color w:val="auto"/>
              </w:rPr>
            </w:pPr>
          </w:p>
        </w:tc>
      </w:tr>
      <w:tr>
        <w:trPr>
          <w:trHeight w:val="171"/>
        </w:trPr>
        <w:tc>
          <w:tcPr>
            <w:tcW w:w="9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960" w:type="dxa"/>
            <w:vAlign w:val="bottom"/>
            <w:tcBorders>
              <w:bottom w:val="single" w:sz="8" w:color="auto"/>
            </w:tcBorders>
          </w:tcPr>
          <w:p>
            <w:pPr>
              <w:spacing w:after="0"/>
              <w:rPr>
                <w:sz w:val="14"/>
                <w:szCs w:val="14"/>
                <w:color w:val="auto"/>
              </w:rPr>
            </w:pPr>
          </w:p>
        </w:tc>
      </w:tr>
      <w:tr>
        <w:trPr>
          <w:trHeight w:val="172"/>
        </w:trPr>
        <w:tc>
          <w:tcPr>
            <w:tcW w:w="980" w:type="dxa"/>
            <w:vAlign w:val="bottom"/>
          </w:tcPr>
          <w:p>
            <w:pPr>
              <w:ind w:left="380"/>
              <w:spacing w:after="0"/>
              <w:rPr>
                <w:sz w:val="20"/>
                <w:szCs w:val="20"/>
                <w:color w:val="auto"/>
              </w:rPr>
            </w:pPr>
            <w:r>
              <w:rPr>
                <w:rFonts w:ascii="Arial" w:cs="Arial" w:eastAsia="Arial" w:hAnsi="Arial"/>
                <w:sz w:val="14"/>
                <w:szCs w:val="14"/>
                <w:b w:val="1"/>
                <w:bCs w:val="1"/>
                <w:color w:val="auto"/>
              </w:rPr>
              <w:t>PAA</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Consolidating</w:t>
            </w: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PAGP</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380"/>
              <w:spacing w:after="0"/>
              <w:rPr>
                <w:sz w:val="20"/>
                <w:szCs w:val="20"/>
                <w:color w:val="auto"/>
              </w:rPr>
            </w:pPr>
            <w:r>
              <w:rPr>
                <w:rFonts w:ascii="Arial" w:cs="Arial" w:eastAsia="Arial" w:hAnsi="Arial"/>
                <w:sz w:val="14"/>
                <w:szCs w:val="14"/>
                <w:b w:val="1"/>
                <w:bCs w:val="1"/>
                <w:color w:val="auto"/>
              </w:rPr>
              <w:t>PAA</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Consolidating</w:t>
            </w: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PAGP</w:t>
            </w:r>
          </w:p>
        </w:tc>
      </w:tr>
    </w:tbl>
    <w:p>
      <w:pPr>
        <w:sectPr>
          <w:pgSz w:w="11900" w:h="16900" w:orient="portrait"/>
          <w:cols w:equalWidth="0" w:num="1">
            <w:col w:w="11460"/>
          </w:cols>
          <w:pgMar w:left="240" w:top="125" w:right="19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9,459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8,384</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8,384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General and administrative expenses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8,929</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w:t>
            </w: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92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62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389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(1,314)</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PAGP</w:t>
            </w:r>
          </w:p>
        </w:tc>
        <w:tc>
          <w:tcPr>
            <w:tcW w:w="2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74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8"/>
              </w:rPr>
              <w:t>BASIC NET INCOME PER CLASS A SHARE</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gridSpan w:val="5"/>
          </w:tcPr>
          <w:p>
            <w:pPr>
              <w:ind w:left="160"/>
              <w:spacing w:after="0"/>
              <w:rPr>
                <w:sz w:val="20"/>
                <w:szCs w:val="20"/>
                <w:color w:val="auto"/>
              </w:rPr>
            </w:pPr>
            <w:r>
              <w:rPr>
                <w:rFonts w:ascii="Arial" w:cs="Arial" w:eastAsia="Arial" w:hAnsi="Arial"/>
                <w:sz w:val="18"/>
                <w:szCs w:val="18"/>
                <w:b w:val="1"/>
                <w:bCs w:val="1"/>
                <w:color w:val="auto"/>
              </w:rPr>
              <w:t>DILUTED NET INCOME PER CLASS A SHARE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8"/>
          </w:tcPr>
          <w:p>
            <w:pPr>
              <w:ind w:left="16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gridSpan w:val="5"/>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 CLASS A SHARES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ind w:left="34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4,179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12,272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tax asset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22,256</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Senior notes, net of unamortized discount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8,757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14,065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 excluding noncontrolling interests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7,666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2014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Q4 2014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1/30/15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(68.2%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(31.8%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1/30/15</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recalculate due to rounding.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AAP, L.P. (“AAP”) is the general partner of PAA.</w:t>
      </w:r>
    </w:p>
    <w:p>
      <w:pPr>
        <w:spacing w:after="0" w:line="21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jc w:val="right"/>
        <w:ind w:right="2200"/>
        <w:spacing w:after="0"/>
        <w:tabs>
          <w:tab w:leader="none" w:pos="4480" w:val="left"/>
          <w:tab w:leader="none" w:pos="23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60"/>
            <w:col w:w="10720"/>
          </w:cols>
          <w:pgMar w:left="240" w:top="140"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December 31, 2014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income attributable to PAGP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Numerator for diluted net income per Class A share:</w:t>
            </w: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PAGP</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02"/>
        </w:trPr>
        <w:tc>
          <w:tcPr>
            <w:tcW w:w="7660" w:type="dxa"/>
            <w:vAlign w:val="bottom"/>
          </w:tcPr>
          <w:p>
            <w:pPr>
              <w:ind w:left="360"/>
              <w:spacing w:after="0" w:line="201" w:lineRule="exact"/>
              <w:rPr>
                <w:sz w:val="20"/>
                <w:szCs w:val="20"/>
                <w:color w:val="auto"/>
              </w:rPr>
            </w:pPr>
            <w:r>
              <w:rPr>
                <w:rFonts w:ascii="Arial" w:cs="Arial" w:eastAsia="Arial" w:hAnsi="Arial"/>
                <w:sz w:val="18"/>
                <w:szCs w:val="18"/>
                <w:color w:val="auto"/>
                <w:w w:val="97"/>
              </w:rPr>
              <w:t>Incremental net income attributable to PAGP resulting from assumed conversion of AAP units</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60" w:type="dxa"/>
            <w:vAlign w:val="bottom"/>
          </w:tcPr>
          <w:p>
            <w:pPr>
              <w:ind w:left="540"/>
              <w:spacing w:after="0"/>
              <w:rPr>
                <w:sz w:val="20"/>
                <w:szCs w:val="20"/>
                <w:color w:val="auto"/>
              </w:rPr>
            </w:pPr>
            <w:r>
              <w:rPr>
                <w:rFonts w:ascii="Arial" w:cs="Arial" w:eastAsia="Arial" w:hAnsi="Arial"/>
                <w:sz w:val="18"/>
                <w:szCs w:val="18"/>
                <w:color w:val="auto"/>
              </w:rPr>
              <w:t>and AAP Management units</w:t>
            </w:r>
          </w:p>
        </w:tc>
        <w:tc>
          <w:tcPr>
            <w:tcW w:w="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0"/>
        </w:trPr>
        <w:tc>
          <w:tcPr>
            <w:tcW w:w="7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for diluted net income per Class A share:</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Basic weighted average number of Class A shares outstanding</w:t>
            </w:r>
          </w:p>
        </w:tc>
        <w:tc>
          <w:tcPr>
            <w:tcW w:w="7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Dilutive shares resulting from assumed conversion of AAP units and AAP Management units</w:t>
            </w:r>
          </w:p>
        </w:tc>
        <w:tc>
          <w:tcPr>
            <w:tcW w:w="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766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Effect of dilutive securities: Weighted average LTIP shares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number of Class A shares outstanding</w:t>
            </w:r>
          </w:p>
        </w:tc>
        <w:tc>
          <w:tcPr>
            <w:tcW w:w="7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per Class A share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 of December 31, 2014, there were less than 0.1 million weighted average dilutive LTIP shares outstanding.</w:t>
      </w:r>
    </w:p>
    <w:p>
      <w:pPr>
        <w:spacing w:after="0" w:line="20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Ryan Smith</w:t>
            </w:r>
          </w:p>
        </w:tc>
        <w:tc>
          <w:tcPr>
            <w:tcW w:w="2220" w:type="dxa"/>
            <w:vAlign w:val="bottom"/>
          </w:tcPr>
          <w:p>
            <w:pPr>
              <w:ind w:left="1220"/>
              <w:spacing w:after="0"/>
              <w:rPr>
                <w:sz w:val="20"/>
                <w:szCs w:val="20"/>
                <w:color w:val="auto"/>
              </w:rPr>
            </w:pPr>
            <w:r>
              <w:rPr>
                <w:rFonts w:ascii="Arial" w:cs="Arial" w:eastAsia="Arial" w:hAnsi="Arial"/>
                <w:sz w:val="18"/>
                <w:szCs w:val="18"/>
                <w:color w:val="auto"/>
              </w:rPr>
              <w:t>Al Swanson</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Director, Investor Relations</w:t>
            </w:r>
          </w:p>
        </w:tc>
        <w:tc>
          <w:tcPr>
            <w:tcW w:w="6920" w:type="dxa"/>
            <w:vAlign w:val="bottom"/>
            <w:gridSpan w:val="2"/>
          </w:tcPr>
          <w:p>
            <w:pPr>
              <w:ind w:left="12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(866) 809-1291</w:t>
            </w:r>
          </w:p>
        </w:tc>
        <w:tc>
          <w:tcPr>
            <w:tcW w:w="6920" w:type="dxa"/>
            <w:vAlign w:val="bottom"/>
            <w:gridSpan w:val="2"/>
          </w:tcPr>
          <w:p>
            <w:pPr>
              <w:ind w:left="122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500" w:type="dxa"/>
            <w:vAlign w:val="bottom"/>
          </w:tcPr>
          <w:p>
            <w:pPr>
              <w:ind w:left="220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700" w:type="dxa"/>
            <w:vAlign w:val="bottom"/>
          </w:tcPr>
          <w:p>
            <w:pPr>
              <w:jc w:val="right"/>
              <w:ind w:right="2110"/>
              <w:spacing w:after="0"/>
              <w:rPr>
                <w:sz w:val="20"/>
                <w:szCs w:val="20"/>
                <w:color w:val="auto"/>
              </w:rPr>
            </w:pPr>
            <w:r>
              <w:rPr>
                <w:rFonts w:ascii="Arial" w:cs="Arial" w:eastAsia="Arial" w:hAnsi="Arial"/>
                <w:sz w:val="18"/>
                <w:szCs w:val="18"/>
                <w:b w:val="1"/>
                <w:bCs w:val="1"/>
                <w:color w:val="auto"/>
                <w:w w:val="94"/>
              </w:rPr>
              <w:t>(713) 646-4100 / (866) 809-1291</w:t>
            </w:r>
          </w:p>
        </w:tc>
        <w:tc>
          <w:tcPr>
            <w:tcW w:w="40" w:type="dxa"/>
            <w:vAlign w:val="bottom"/>
          </w:tcPr>
          <w:p>
            <w:pPr>
              <w:spacing w:after="0"/>
              <w:rPr>
                <w:sz w:val="19"/>
                <w:szCs w:val="19"/>
                <w:color w:val="auto"/>
              </w:rPr>
            </w:pPr>
          </w:p>
        </w:tc>
      </w:tr>
      <w:tr>
        <w:trPr>
          <w:trHeight w:val="330"/>
        </w:trPr>
        <w:tc>
          <w:tcPr>
            <w:tcW w:w="450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2020-01-22T12:30:55Z</dcterms:created>
  <dcterms:modified xsi:type="dcterms:W3CDTF">2020-01-22T12:30:55Z</dcterms:modified>
</cp:coreProperties>
</file>