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333-184137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August 17, 2015</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11400" w:type="dxa"/>
            <w:vAlign w:val="bottom"/>
            <w:gridSpan w:val="2"/>
          </w:tcPr>
          <w:p>
            <w:pPr>
              <w:jc w:val="center"/>
              <w:spacing w:after="0"/>
              <w:rPr>
                <w:sz w:val="20"/>
                <w:szCs w:val="20"/>
                <w:color w:val="auto"/>
              </w:rPr>
            </w:pPr>
            <w:r>
              <w:rPr>
                <w:rFonts w:ascii="Arial" w:cs="Arial" w:eastAsia="Arial" w:hAnsi="Arial"/>
                <w:sz w:val="24"/>
                <w:szCs w:val="24"/>
                <w:b w:val="1"/>
                <w:bCs w:val="1"/>
                <w:color w:val="auto"/>
                <w:w w:val="92"/>
              </w:rPr>
              <w:t>Final Term Sheet</w:t>
            </w:r>
          </w:p>
        </w:tc>
      </w:tr>
      <w:tr>
        <w:trPr>
          <w:trHeight w:val="228"/>
        </w:trPr>
        <w:tc>
          <w:tcPr>
            <w:tcW w:w="20" w:type="dxa"/>
            <w:vAlign w:val="bottom"/>
          </w:tcPr>
          <w:p>
            <w:pPr>
              <w:spacing w:after="0"/>
              <w:rPr>
                <w:sz w:val="19"/>
                <w:szCs w:val="19"/>
                <w:color w:val="auto"/>
              </w:rPr>
            </w:pPr>
          </w:p>
        </w:tc>
        <w:tc>
          <w:tcPr>
            <w:tcW w:w="1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$1,000,000,000 4.650% Senior Notes due 2025</w:t>
            </w:r>
          </w:p>
        </w:tc>
      </w:tr>
      <w:tr>
        <w:trPr>
          <w:trHeight w:val="205"/>
        </w:trPr>
        <w:tc>
          <w:tcPr>
            <w:tcW w:w="5820" w:type="dxa"/>
            <w:vAlign w:val="bottom"/>
            <w:gridSpan w:val="2"/>
          </w:tcPr>
          <w:p>
            <w:pPr>
              <w:spacing w:after="0"/>
              <w:rPr>
                <w:sz w:val="17"/>
                <w:szCs w:val="17"/>
                <w:color w:val="auto"/>
              </w:rPr>
            </w:pPr>
          </w:p>
        </w:tc>
        <w:tc>
          <w:tcPr>
            <w:tcW w:w="5600" w:type="dxa"/>
            <w:vAlign w:val="bottom"/>
          </w:tcPr>
          <w:p>
            <w:pPr>
              <w:spacing w:after="0"/>
              <w:rPr>
                <w:sz w:val="17"/>
                <w:szCs w:val="17"/>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Issuers:</w:t>
            </w:r>
          </w:p>
        </w:tc>
        <w:tc>
          <w:tcPr>
            <w:tcW w:w="56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Plains All American Pipeline, L.P. and PAA Finance Corp.</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Ratings (Moody’s / S&amp;P):*</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Baa2 / BBB+</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Security Type:</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Senior Unsecured Notes</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Legal Format:</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SEC Registered</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Pricing Date:</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August 17, 2015</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Settlement Date (T+5):</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August 24, 2015</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Maturity Date:</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October 15, 2025</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Principal Amount:</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$1,000,000,000</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Benchmark Treasury:</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UST 2.000% due August 15, 2025</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Benchmark Treasury Yield:</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2.168%</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Spread to Benchmark Treasury:</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+250 bps</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Yield to Maturity:</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4.668%</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Coupon:</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4.650%</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Public Offering Price:</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99.846%</w:t>
            </w:r>
          </w:p>
        </w:tc>
      </w:tr>
      <w:tr>
        <w:trPr>
          <w:trHeight w:val="201"/>
        </w:trPr>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w w:val="92"/>
              </w:rPr>
              <w:t>Net Proceeds (after deducting the underwriting discount and estimated offering</w:t>
            </w:r>
          </w:p>
        </w:tc>
        <w:tc>
          <w:tcPr>
            <w:tcW w:w="5600" w:type="dxa"/>
            <w:vAlign w:val="bottom"/>
          </w:tcPr>
          <w:p>
            <w:pPr>
              <w:ind w:left="240"/>
              <w:spacing w:after="0" w:line="201" w:lineRule="exact"/>
              <w:rPr>
                <w:sz w:val="20"/>
                <w:szCs w:val="20"/>
                <w:color w:val="auto"/>
              </w:rPr>
            </w:pPr>
            <w:r>
              <w:rPr>
                <w:rFonts w:ascii="Arial" w:cs="Arial" w:eastAsia="Arial" w:hAnsi="Arial"/>
                <w:sz w:val="18"/>
                <w:szCs w:val="18"/>
                <w:color w:val="auto"/>
              </w:rPr>
              <w:t>$990.46 million</w:t>
            </w:r>
          </w:p>
        </w:tc>
      </w:tr>
      <w:tr>
        <w:trPr>
          <w:trHeight w:val="223"/>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expenses) to the Partnership:</w:t>
            </w:r>
          </w:p>
        </w:tc>
        <w:tc>
          <w:tcPr>
            <w:tcW w:w="5600" w:type="dxa"/>
            <w:vAlign w:val="bottom"/>
            <w:tcBorders>
              <w:bottom w:val="single" w:sz="8" w:color="auto"/>
            </w:tcBorders>
          </w:tcPr>
          <w:p>
            <w:pPr>
              <w:spacing w:after="0"/>
              <w:rPr>
                <w:sz w:val="19"/>
                <w:szCs w:val="19"/>
                <w:color w:val="auto"/>
              </w:rPr>
            </w:pPr>
          </w:p>
        </w:tc>
      </w:tr>
      <w:tr>
        <w:trPr>
          <w:trHeight w:val="211"/>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Make-Whole Call:</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T+ 37.5 bps</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Call at Par:</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On or after July 15, 2025</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Payment Dates:</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April 15 and October 15, beginning on April 15, 2016</w:t>
            </w:r>
          </w:p>
        </w:tc>
      </w:tr>
      <w:tr>
        <w:trPr>
          <w:trHeight w:val="210"/>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 ISIN:</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72650R BJ0 / US72650RBJ05</w:t>
            </w:r>
          </w:p>
        </w:tc>
      </w:tr>
      <w:tr>
        <w:trPr>
          <w:trHeight w:val="201"/>
        </w:trPr>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rPr>
              <w:t>Joint Book-Running Managers:</w:t>
            </w:r>
          </w:p>
        </w:tc>
        <w:tc>
          <w:tcPr>
            <w:tcW w:w="5600" w:type="dxa"/>
            <w:vAlign w:val="bottom"/>
          </w:tcPr>
          <w:p>
            <w:pPr>
              <w:ind w:left="240"/>
              <w:spacing w:after="0" w:line="201" w:lineRule="exact"/>
              <w:rPr>
                <w:sz w:val="20"/>
                <w:szCs w:val="20"/>
                <w:color w:val="auto"/>
              </w:rPr>
            </w:pPr>
            <w:r>
              <w:rPr>
                <w:rFonts w:ascii="Arial" w:cs="Arial" w:eastAsia="Arial" w:hAnsi="Arial"/>
                <w:sz w:val="18"/>
                <w:szCs w:val="18"/>
                <w:color w:val="auto"/>
              </w:rPr>
              <w:t>Citigroup Global Markets Inc.</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Mizuho Securities USA Inc.</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Mitsubishi UFJ Securities (USA), Inc.</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UBS Securities LLC</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Deutsche Bank Securities Inc.</w:t>
            </w:r>
          </w:p>
        </w:tc>
      </w:tr>
      <w:tr>
        <w:trPr>
          <w:trHeight w:val="231"/>
        </w:trPr>
        <w:tc>
          <w:tcPr>
            <w:tcW w:w="20" w:type="dxa"/>
            <w:vAlign w:val="bottom"/>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DNB Markets, Inc.</w:t>
            </w:r>
          </w:p>
        </w:tc>
      </w:tr>
      <w:tr>
        <w:trPr>
          <w:trHeight w:val="208"/>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Co-Managers:</w:t>
            </w:r>
          </w:p>
        </w:tc>
        <w:tc>
          <w:tcPr>
            <w:tcW w:w="5600" w:type="dxa"/>
            <w:vAlign w:val="bottom"/>
          </w:tcPr>
          <w:p>
            <w:pPr>
              <w:ind w:left="240"/>
              <w:spacing w:after="0"/>
              <w:rPr>
                <w:sz w:val="20"/>
                <w:szCs w:val="20"/>
                <w:color w:val="auto"/>
              </w:rPr>
            </w:pPr>
            <w:r>
              <w:rPr>
                <w:rFonts w:ascii="Arial" w:cs="Arial" w:eastAsia="Arial" w:hAnsi="Arial"/>
                <w:sz w:val="18"/>
                <w:szCs w:val="18"/>
                <w:color w:val="auto"/>
              </w:rPr>
              <w:t>Scotia Capital (USA) Inc.</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SG Americas Securities, LLC</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BB&amp;T Capital Markets, a division of BB&amp;T Securities, LLC</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BMO Capital Markets Corp.</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CIBC World Markets Corp.</w:t>
            </w: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Fifth Third Securities, Inc.</w:t>
            </w:r>
          </w:p>
        </w:tc>
      </w:tr>
    </w:tbl>
    <w:p>
      <w:pPr>
        <w:ind w:left="6060"/>
        <w:spacing w:after="0"/>
        <w:rPr>
          <w:sz w:val="20"/>
          <w:szCs w:val="20"/>
          <w:color w:val="auto"/>
        </w:rPr>
      </w:pPr>
      <w:r>
        <w:rPr>
          <w:rFonts w:ascii="Arial" w:cs="Arial" w:eastAsia="Arial" w:hAnsi="Arial"/>
          <w:sz w:val="18"/>
          <w:szCs w:val="18"/>
          <w:color w:val="auto"/>
        </w:rPr>
        <w:t>ING Financial Markets LLC</w:t>
      </w:r>
    </w:p>
    <w:p>
      <w:pPr>
        <w:spacing w:after="0" w:line="9"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PNC Capital Markets LLC</w:t>
      </w:r>
    </w:p>
    <w:p>
      <w:pPr>
        <w:spacing w:after="0" w:line="9"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Regions Securities LLC</w:t>
      </w:r>
    </w:p>
    <w:p>
      <w:pPr>
        <w:spacing w:after="0" w:line="9"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U.S. Bancorp Investments,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1" w:name="page2"/>
    <w:bookmarkEnd w:id="1"/>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A securities rating is not a recommendation to buy, sell or hold securities and may be revised or withdrawn at any time.</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Delivery of the notes is expected to be made against payment therefor on or about August 24, 2015,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1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at 1-800-831-9146, Mizuho Securities USA Inc. at 1-866-271-7403, Mitsubishi UFJ Securities (USA), Inc. at 1-877-649-6848 or UBS Securities LLC at 1-888-827-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7275.</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2020-01-24T10:29:10Z</dcterms:created>
  <dcterms:modified xsi:type="dcterms:W3CDTF">2020-01-24T10:29:10Z</dcterms:modified>
</cp:coreProperties>
</file>