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h49362e8vk.htm"/>
        <w:bookmarkStart w:id="1" w:name="ksh49362e8vk"/>
        <w:bookmarkEnd w:id="0"/>
        <w:bookmarkEnd w:id="1"/>
        <w:r>
          <w:rPr>
            <w:rStyle w:val="InternetLink"/>
          </w:rPr>
          <w:t>Table of Contents</w:t>
        </w:r>
      </w:hyperlink>
    </w:p>
    <w:p>
      <w:pPr>
        <w:pStyle w:val="TextBody"/>
        <w:spacing w:before="0" w:after="0"/>
        <w:rPr>
          <w:bdr w:val="single" w:sz="16" w:space="1" w:color="000000"/>
        </w:rPr>
      </w:pPr>
      <w:r>
        <w:rPr>
          <w:bdr w:val="single" w:sz="16" w:space="1" w:color="000000"/>
        </w:rPr>
        <w:t> </w:t>
      </w:r>
    </w:p>
    <w:p>
      <w:pPr>
        <w:pStyle w:val="TextBody"/>
        <w:spacing w:before="0" w:after="0"/>
        <w:rPr>
          <w:bdr w:val="single" w:sz="8" w:space="1" w:color="000000"/>
        </w:rPr>
      </w:pPr>
      <w:r>
        <w:rPr>
          <w:bdr w:val="single" w:sz="8" w:space="1" w:color="000000"/>
        </w:rPr>
        <w:t> </w:t>
      </w:r>
    </w:p>
    <w:p>
      <w:pPr>
        <w:pStyle w:val="TextBody"/>
        <w:spacing w:before="240" w:after="283"/>
        <w:jc w:val="center"/>
        <w:rPr>
          <w:rFonts w:ascii="Times New Roman;Times;serif" w:hAnsi="Times New Roman;Times;serif"/>
          <w:sz w:val="23"/>
        </w:rPr>
      </w:pPr>
      <w:r>
        <w:rPr>
          <w:rFonts w:ascii="Times New Roman;Times;serif" w:hAnsi="Times New Roman;Times;serif"/>
          <w:b/>
          <w:sz w:val="23"/>
        </w:rPr>
        <w:t>UNITED STATES</w:t>
        <w:br/>
        <w:t>SECURITIES AND EXCHANGE COMMISSION</w:t>
      </w:r>
      <w:r>
        <w:rPr>
          <w:rFonts w:ascii="Times New Roman;Times;serif" w:hAnsi="Times New Roman;Times;serif"/>
          <w:sz w:val="23"/>
        </w:rPr>
        <w:t xml:space="preserve"> </w:t>
      </w:r>
    </w:p>
    <w:p>
      <w:pPr>
        <w:pStyle w:val="TextBody"/>
        <w:spacing w:before="0" w:after="0"/>
        <w:jc w:val="center"/>
        <w:rPr>
          <w:rFonts w:ascii="Times New Roman;Times;serif" w:hAnsi="Times New Roman;Times;serif"/>
          <w:sz w:val="20"/>
        </w:rPr>
      </w:pPr>
      <w:r>
        <w:rPr>
          <w:rFonts w:ascii="Times New Roman;Times;serif" w:hAnsi="Times New Roman;Times;serif"/>
          <w:b/>
          <w:sz w:val="20"/>
        </w:rPr>
        <w:t>Washington, D.C. 20549</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sz w:val="30"/>
        </w:rPr>
      </w:pPr>
      <w:r>
        <w:rPr>
          <w:rFonts w:ascii="Times New Roman;Times;serif" w:hAnsi="Times New Roman;Times;serif"/>
          <w:b/>
          <w:sz w:val="30"/>
        </w:rPr>
        <w:t>FORM 8-K</w:t>
      </w:r>
      <w:r>
        <w:rPr>
          <w:rFonts w:ascii="Times New Roman;Times;serif" w:hAnsi="Times New Roman;Times;serif"/>
          <w:sz w:val="30"/>
        </w:rPr>
        <w:t xml:space="preserve"> </w:t>
      </w:r>
    </w:p>
    <w:p>
      <w:pPr>
        <w:pStyle w:val="TextBody"/>
        <w:spacing w:before="240" w:after="283"/>
        <w:jc w:val="center"/>
        <w:rPr>
          <w:rFonts w:ascii="Times New Roman;Times;serif" w:hAnsi="Times New Roman;Times;serif"/>
          <w:sz w:val="20"/>
        </w:rPr>
      </w:pPr>
      <w:r>
        <w:rPr>
          <w:rFonts w:ascii="Times New Roman;Times;serif" w:hAnsi="Times New Roman;Times;serif"/>
          <w:b/>
          <w:sz w:val="20"/>
        </w:rPr>
        <w:t>CURRENT REPORT</w:t>
        <w:br/>
        <w:t>Pursuant to Section 13 or 15(d) of</w:t>
        <w:br/>
        <w:t>The Securities Exchange Act of 1934</w:t>
      </w:r>
      <w:r>
        <w:rPr>
          <w:rFonts w:ascii="Times New Roman;Times;serif" w:hAnsi="Times New Roman;Times;serif"/>
          <w:sz w:val="20"/>
        </w:rPr>
        <w:t xml:space="preserve"> </w:t>
      </w:r>
    </w:p>
    <w:p>
      <w:pPr>
        <w:pStyle w:val="TextBody"/>
        <w:spacing w:before="240" w:after="283"/>
        <w:jc w:val="center"/>
        <w:rPr>
          <w:rFonts w:ascii="Times New Roman;Times;serif" w:hAnsi="Times New Roman;Times;serif"/>
          <w:b/>
          <w:sz w:val="17"/>
        </w:rPr>
      </w:pPr>
      <w:r>
        <w:rPr>
          <w:rFonts w:ascii="Times New Roman;Times;serif" w:hAnsi="Times New Roman;Times;serif"/>
          <w:b/>
          <w:sz w:val="17"/>
        </w:rPr>
        <w:t>Date of Report (Date of earliest event reported) August 16, 2007</w:t>
      </w:r>
    </w:p>
    <w:p>
      <w:pPr>
        <w:pStyle w:val="TextBody"/>
        <w:spacing w:before="240" w:after="283"/>
        <w:jc w:val="center"/>
        <w:rPr>
          <w:rFonts w:ascii="Times New Roman;Times;serif" w:hAnsi="Times New Roman;Times;serif"/>
          <w:sz w:val="40"/>
        </w:rPr>
      </w:pPr>
      <w:r>
        <w:rPr>
          <w:rFonts w:ascii="Times New Roman;Times;serif" w:hAnsi="Times New Roman;Times;serif"/>
          <w:b/>
          <w:sz w:val="40"/>
        </w:rPr>
        <w:t>Plains All American Pipeline, L.P.</w:t>
      </w:r>
      <w:r>
        <w:rPr>
          <w:rFonts w:ascii="Times New Roman;Times;serif" w:hAnsi="Times New Roman;Times;serif"/>
          <w:sz w:val="40"/>
        </w:rPr>
        <w:t xml:space="preserve"> </w:t>
      </w:r>
    </w:p>
    <w:p>
      <w:pPr>
        <w:pStyle w:val="TextBody"/>
        <w:spacing w:before="0" w:after="0"/>
        <w:jc w:val="center"/>
        <w:rPr>
          <w:rFonts w:ascii="Times New Roman;Times;serif" w:hAnsi="Times New Roman;Times;serif"/>
          <w:sz w:val="17"/>
        </w:rPr>
      </w:pPr>
      <w:r>
        <w:rPr>
          <w:rFonts w:ascii="Times New Roman;Times;serif" w:hAnsi="Times New Roman;Times;serif"/>
          <w:sz w:val="17"/>
        </w:rPr>
        <w:t>(Exact name of registrant as specified in its charter)</w:t>
      </w:r>
    </w:p>
    <w:tbl>
      <w:tblPr>
        <w:tblW w:w="5000" w:type="pct"/>
        <w:jc w:val="center"/>
        <w:tblInd w:w="0" w:type="dxa"/>
        <w:tblCellMar>
          <w:top w:w="0" w:type="dxa"/>
          <w:left w:w="0" w:type="dxa"/>
          <w:bottom w:w="0" w:type="dxa"/>
          <w:right w:w="0" w:type="dxa"/>
        </w:tblCellMar>
      </w:tblPr>
      <w:tblGrid>
        <w:gridCol w:w="3196"/>
        <w:gridCol w:w="308"/>
        <w:gridCol w:w="3196"/>
        <w:gridCol w:w="308"/>
        <w:gridCol w:w="3197"/>
      </w:tblGrid>
      <w:tr>
        <w:trPr/>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6" w:type="dxa"/>
            <w:tcBorders/>
            <w:shd w:fill="auto" w:val="clear"/>
            <w:vAlign w:val="bottom"/>
          </w:tcPr>
          <w:p>
            <w:pPr>
              <w:pStyle w:val="TableContents"/>
              <w:spacing w:before="0" w:after="283"/>
              <w:rPr/>
            </w:pPr>
            <w:r>
              <w:rPr/>
              <w:t> </w:t>
            </w:r>
          </w:p>
        </w:tc>
        <w:tc>
          <w:tcPr>
            <w:tcW w:w="308" w:type="dxa"/>
            <w:tcBorders/>
            <w:shd w:fill="auto" w:val="clear"/>
            <w:vAlign w:val="bottom"/>
          </w:tcPr>
          <w:p>
            <w:pPr>
              <w:pStyle w:val="TableContents"/>
              <w:spacing w:before="0" w:after="283"/>
              <w:rPr/>
            </w:pPr>
            <w:r>
              <w:rPr/>
              <w:t> </w:t>
            </w:r>
          </w:p>
        </w:tc>
        <w:tc>
          <w:tcPr>
            <w:tcW w:w="3197" w:type="dxa"/>
            <w:tcBorders/>
            <w:shd w:fill="auto" w:val="clear"/>
            <w:vAlign w:val="bottom"/>
          </w:tcPr>
          <w:p>
            <w:pPr>
              <w:pStyle w:val="TableContents"/>
              <w:spacing w:before="0" w:after="283"/>
              <w:rPr/>
            </w:pPr>
            <w:r>
              <w:rPr/>
              <w:t> </w:t>
            </w:r>
          </w:p>
        </w:tc>
      </w:tr>
      <w:tr>
        <w:trPr/>
        <w:tc>
          <w:tcPr>
            <w:tcW w:w="3196" w:type="dxa"/>
            <w:tcBorders/>
            <w:shd w:fill="auto" w:val="clear"/>
          </w:tcPr>
          <w:p>
            <w:pPr>
              <w:pStyle w:val="TableContents"/>
              <w:spacing w:before="0" w:after="283"/>
              <w:jc w:val="center"/>
              <w:rPr/>
            </w:pPr>
            <w:r>
              <w:rPr>
                <w:b/>
              </w:rPr>
              <w:t>DELAWARE</w:t>
            </w:r>
            <w:r>
              <w:rPr/>
              <w:br/>
              <w:t xml:space="preserve">(State or other jurisdiction of </w:t>
              <w:br/>
              <w:t xml:space="preserve">incorporation) </w:t>
            </w:r>
          </w:p>
        </w:tc>
        <w:tc>
          <w:tcPr>
            <w:tcW w:w="308" w:type="dxa"/>
            <w:tcBorders/>
            <w:shd w:fill="auto" w:val="clear"/>
            <w:vAlign w:val="bottom"/>
          </w:tcPr>
          <w:p>
            <w:pPr>
              <w:pStyle w:val="TableContents"/>
              <w:spacing w:before="0" w:after="283"/>
              <w:rPr/>
            </w:pPr>
            <w:r>
              <w:rPr/>
              <w:t> </w:t>
            </w:r>
          </w:p>
        </w:tc>
        <w:tc>
          <w:tcPr>
            <w:tcW w:w="3196" w:type="dxa"/>
            <w:tcBorders/>
            <w:shd w:fill="auto" w:val="clear"/>
          </w:tcPr>
          <w:p>
            <w:pPr>
              <w:pStyle w:val="TableContents"/>
              <w:spacing w:before="0" w:after="283"/>
              <w:jc w:val="center"/>
              <w:rPr/>
            </w:pPr>
            <w:r>
              <w:rPr>
                <w:b/>
              </w:rPr>
              <w:t>1-14569</w:t>
            </w:r>
            <w:r>
              <w:rPr/>
              <w:br/>
              <w:t xml:space="preserve">(Commission File Number) </w:t>
            </w:r>
          </w:p>
        </w:tc>
        <w:tc>
          <w:tcPr>
            <w:tcW w:w="308" w:type="dxa"/>
            <w:tcBorders/>
            <w:shd w:fill="auto" w:val="clear"/>
            <w:vAlign w:val="bottom"/>
          </w:tcPr>
          <w:p>
            <w:pPr>
              <w:pStyle w:val="TableContents"/>
              <w:spacing w:before="0" w:after="283"/>
              <w:rPr/>
            </w:pPr>
            <w:r>
              <w:rPr/>
              <w:t> </w:t>
            </w:r>
          </w:p>
        </w:tc>
        <w:tc>
          <w:tcPr>
            <w:tcW w:w="3197" w:type="dxa"/>
            <w:tcBorders/>
            <w:shd w:fill="auto" w:val="clear"/>
          </w:tcPr>
          <w:p>
            <w:pPr>
              <w:pStyle w:val="TableContents"/>
              <w:spacing w:before="0" w:after="283"/>
              <w:jc w:val="center"/>
              <w:rPr/>
            </w:pPr>
            <w:r>
              <w:rPr>
                <w:b/>
              </w:rPr>
              <w:t>76-0582150</w:t>
            </w:r>
            <w:r>
              <w:rPr/>
              <w:br/>
              <w:t>(IRS Employer Identification No.)</w:t>
            </w:r>
          </w:p>
        </w:tc>
      </w:tr>
    </w:tbl>
    <w:p>
      <w:pPr>
        <w:pStyle w:val="TextBody"/>
        <w:spacing w:before="240" w:after="283"/>
        <w:jc w:val="center"/>
        <w:rPr>
          <w:rFonts w:ascii="Times New Roman;Times;serif" w:hAnsi="Times New Roman;Times;serif"/>
          <w:sz w:val="17"/>
        </w:rPr>
      </w:pPr>
      <w:r>
        <w:rPr>
          <w:rFonts w:ascii="Times New Roman;Times;serif" w:hAnsi="Times New Roman;Times;serif"/>
          <w:b/>
          <w:sz w:val="17"/>
        </w:rPr>
        <w:t>333 Clay Street, Suite 1600, Houston, Texas 77002</w:t>
      </w:r>
      <w:r>
        <w:rPr>
          <w:rFonts w:ascii="Times New Roman;Times;serif" w:hAnsi="Times New Roman;Times;serif"/>
          <w:sz w:val="17"/>
        </w:rPr>
        <w:br/>
        <w:t>(Address of principal executive offices) (Zip Code)</w:t>
      </w:r>
    </w:p>
    <w:p>
      <w:pPr>
        <w:pStyle w:val="TextBody"/>
        <w:spacing w:before="240" w:after="283"/>
        <w:jc w:val="center"/>
        <w:rPr>
          <w:rFonts w:ascii="Times New Roman;Times;serif" w:hAnsi="Times New Roman;Times;serif"/>
          <w:sz w:val="17"/>
        </w:rPr>
      </w:pPr>
      <w:r>
        <w:rPr>
          <w:rFonts w:ascii="Times New Roman;Times;serif" w:hAnsi="Times New Roman;Times;serif"/>
          <w:sz w:val="17"/>
        </w:rPr>
        <w:t xml:space="preserve">Registrants telephone number, including area code </w:t>
      </w:r>
      <w:r>
        <w:rPr>
          <w:rFonts w:ascii="Times New Roman;Times;serif" w:hAnsi="Times New Roman;Times;serif"/>
          <w:b/>
          <w:sz w:val="17"/>
        </w:rPr>
        <w:t>713-646-4100</w:t>
      </w:r>
    </w:p>
    <w:p>
      <w:pPr>
        <w:pStyle w:val="TextBody"/>
        <w:spacing w:before="240" w:after="283"/>
        <w:jc w:val="center"/>
        <w:rPr>
          <w:rFonts w:ascii="Times New Roman;Times;serif" w:hAnsi="Times New Roman;Times;serif"/>
          <w:sz w:val="17"/>
        </w:rPr>
      </w:pPr>
      <w:r>
        <w:rPr>
          <w:rFonts w:ascii="Times New Roman;Times;serif" w:hAnsi="Times New Roman;Times;serif"/>
          <w:sz w:val="17"/>
        </w:rPr>
        <w:t>(Former name or former address, if changed since last report.)</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Check the appropriate box below if the Form 8-K filing is intended to simultaneously satisfy the filing obligation of the registrant under any of the following provisions: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Written communications pursuant to Rule 425 under the Securities Act (17 CFR 230.425)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Soliciting material pursuant to Rule 14a-12 under the Exchange Act (17 CFR 240.14a-12)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14d-2(b) under the Exchange Act (17 CFR 240.14d-2(b)) </w:t>
      </w:r>
    </w:p>
    <w:p>
      <w:pPr>
        <w:pStyle w:val="TextBody"/>
        <w:spacing w:before="120" w:after="283"/>
        <w:jc w:val="left"/>
        <w:rPr>
          <w:rFonts w:ascii="Times New Roman;Times;serif" w:hAnsi="Times New Roman;Times;serif"/>
          <w:sz w:val="17"/>
        </w:rPr>
      </w:pPr>
      <w:r>
        <w:rPr>
          <w:rFonts w:ascii="Wingdings" w:hAnsi="Wingdings"/>
          <w:sz w:val="17"/>
        </w:rPr>
        <w:t>o</w:t>
      </w:r>
      <w:r>
        <w:rPr>
          <w:rFonts w:ascii="Times New Roman;Times;serif" w:hAnsi="Times New Roman;Times;serif"/>
          <w:sz w:val="17"/>
        </w:rPr>
        <w:t xml:space="preserve">      Pre-commencement communications pursuant to Rule 13e-4(c) under the Exchange Act (17 CFR 240.13e-4(c)) </w:t>
      </w:r>
    </w:p>
    <w:p>
      <w:pPr>
        <w:pStyle w:val="TextBody"/>
        <w:spacing w:before="200" w:after="283"/>
        <w:rPr>
          <w:bdr w:val="single" w:sz="8" w:space="1" w:color="000000"/>
        </w:rPr>
      </w:pPr>
      <w:r>
        <w:rPr>
          <w:bdr w:val="single" w:sz="8" w:space="1" w:color="000000"/>
        </w:rPr>
        <w:t> </w:t>
      </w:r>
    </w:p>
    <w:p>
      <w:pPr>
        <w:pStyle w:val="TextBody"/>
        <w:rPr>
          <w:bdr w:val="single" w:sz="16" w:space="1" w:color="000000"/>
        </w:rPr>
      </w:pPr>
      <w:r>
        <w:rPr>
          <w:bdr w:val="single" w:sz="16" w:space="1" w:color="000000"/>
        </w:rPr>
        <w:t> </w:t>
      </w:r>
    </w:p>
    <w:p>
      <w:pPr>
        <w:pStyle w:val="TextBody"/>
        <w:jc w:val="center"/>
        <w:rPr/>
      </w:pPr>
      <w:r>
        <w:rPr/>
        <w:t xml:space="preserve">  </w:t>
      </w:r>
    </w:p>
    <w:p>
      <w:pPr>
        <w:pStyle w:val="HorizontalLine"/>
        <w:pBdr>
          <w:bottom w:val="single" w:sz="20" w:space="0" w:color="808080"/>
        </w:pBdr>
        <w:rPr/>
      </w:pPr>
      <w:r>
        <w:rPr/>
      </w:r>
    </w:p>
    <w:p>
      <w:pPr>
        <w:pStyle w:val="TextBody"/>
        <w:jc w:val="center"/>
        <w:rPr>
          <w:rFonts w:ascii="Times New Roman;Times;serif" w:hAnsi="Times New Roman;Times;serif"/>
          <w:b/>
          <w:u w:val="single"/>
        </w:rPr>
      </w:pPr>
      <w:bookmarkStart w:id="2" w:name="toc"/>
      <w:bookmarkEnd w:id="2"/>
      <w:r>
        <w:rPr>
          <w:rFonts w:ascii="Times New Roman;Times;serif" w:hAnsi="Times New Roman;Times;serif"/>
          <w:b/>
          <w:u w:val="single"/>
        </w:rPr>
        <w:t>TABLE OF CONTENTS</w:t>
      </w:r>
    </w:p>
    <w:tbl>
      <w:tblPr>
        <w:tblW w:w="4500" w:type="pct"/>
        <w:jc w:val="center"/>
        <w:tblInd w:w="0" w:type="dxa"/>
        <w:tblCellMar>
          <w:top w:w="0" w:type="dxa"/>
          <w:left w:w="0" w:type="dxa"/>
          <w:bottom w:w="0" w:type="dxa"/>
          <w:right w:w="0" w:type="dxa"/>
        </w:tblCellMar>
      </w:tblPr>
      <w:tblGrid>
        <w:gridCol w:w="264"/>
        <w:gridCol w:w="410"/>
        <w:gridCol w:w="319"/>
        <w:gridCol w:w="319"/>
        <w:gridCol w:w="319"/>
        <w:gridCol w:w="319"/>
        <w:gridCol w:w="319"/>
        <w:gridCol w:w="319"/>
        <w:gridCol w:w="6596"/>
      </w:tblGrid>
      <w:tr>
        <w:trPr/>
        <w:tc>
          <w:tcPr>
            <w:tcW w:w="264"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c>
          <w:tcPr>
            <w:tcW w:w="6596" w:type="dxa"/>
            <w:tcBorders/>
            <w:shd w:fill="auto" w:val="clear"/>
            <w:vAlign w:val="center"/>
          </w:tcPr>
          <w:p>
            <w:pPr>
              <w:pStyle w:val="TableContents"/>
              <w:spacing w:before="0" w:after="283"/>
              <w:rPr>
                <w:sz w:val="4"/>
                <w:szCs w:val="4"/>
              </w:rPr>
            </w:pPr>
            <w:r>
              <w:rPr>
                <w:sz w:val="4"/>
                <w:szCs w:val="4"/>
              </w:rPr>
            </w:r>
          </w:p>
        </w:tc>
      </w:tr>
      <w:tr>
        <w:trPr/>
        <w:tc>
          <w:tcPr>
            <w:tcW w:w="264" w:type="dxa"/>
            <w:tcBorders/>
            <w:shd w:fill="auto" w:val="clear"/>
            <w:vAlign w:val="center"/>
          </w:tcPr>
          <w:p>
            <w:pPr>
              <w:pStyle w:val="TableContents"/>
              <w:spacing w:before="0" w:after="283"/>
              <w:rPr>
                <w:sz w:val="4"/>
                <w:szCs w:val="4"/>
              </w:rPr>
            </w:pPr>
            <w:r>
              <w:rPr>
                <w:sz w:val="4"/>
                <w:szCs w:val="4"/>
              </w:rPr>
            </w:r>
          </w:p>
        </w:tc>
        <w:tc>
          <w:tcPr>
            <w:tcW w:w="8920" w:type="dxa"/>
            <w:gridSpan w:val="8"/>
            <w:tcBorders/>
            <w:shd w:fill="auto" w:val="clear"/>
            <w:vAlign w:val="center"/>
          </w:tcPr>
          <w:p>
            <w:pPr>
              <w:pStyle w:val="TableContents"/>
              <w:spacing w:before="0" w:after="283"/>
              <w:rPr/>
            </w:pPr>
            <w:hyperlink w:anchor="000">
              <w:r>
                <w:rPr>
                  <w:rStyle w:val="InternetLink"/>
                </w:rPr>
                <w:t>Item 5.03. Amendments to Articles of Incorporation or Bylaws; Change in Fiscal Year</w:t>
              </w:r>
            </w:hyperlink>
          </w:p>
        </w:tc>
      </w:tr>
      <w:tr>
        <w:trPr/>
        <w:tc>
          <w:tcPr>
            <w:tcW w:w="264" w:type="dxa"/>
            <w:tcBorders/>
            <w:shd w:fill="auto" w:val="clear"/>
            <w:vAlign w:val="center"/>
          </w:tcPr>
          <w:p>
            <w:pPr>
              <w:pStyle w:val="TableContents"/>
              <w:spacing w:before="0" w:after="283"/>
              <w:rPr>
                <w:sz w:val="4"/>
                <w:szCs w:val="4"/>
              </w:rPr>
            </w:pPr>
            <w:r>
              <w:rPr>
                <w:sz w:val="4"/>
                <w:szCs w:val="4"/>
              </w:rPr>
            </w:r>
          </w:p>
        </w:tc>
        <w:tc>
          <w:tcPr>
            <w:tcW w:w="8920" w:type="dxa"/>
            <w:gridSpan w:val="8"/>
            <w:tcBorders/>
            <w:shd w:fill="auto" w:val="clear"/>
            <w:vAlign w:val="center"/>
          </w:tcPr>
          <w:p>
            <w:pPr>
              <w:pStyle w:val="TableContents"/>
              <w:spacing w:before="0" w:after="283"/>
              <w:rPr/>
            </w:pPr>
            <w:hyperlink w:anchor="001">
              <w:r>
                <w:rPr>
                  <w:rStyle w:val="InternetLink"/>
                </w:rPr>
                <w:t>Item 9.01. Financial Statements and Exhibits</w:t>
              </w:r>
            </w:hyperlink>
          </w:p>
        </w:tc>
      </w:tr>
      <w:tr>
        <w:trPr/>
        <w:tc>
          <w:tcPr>
            <w:tcW w:w="9184" w:type="dxa"/>
            <w:gridSpan w:val="9"/>
            <w:tcBorders/>
            <w:shd w:fill="auto" w:val="clear"/>
            <w:vAlign w:val="center"/>
          </w:tcPr>
          <w:p>
            <w:pPr>
              <w:pStyle w:val="TableContents"/>
              <w:spacing w:before="0" w:after="283"/>
              <w:rPr/>
            </w:pPr>
            <w:hyperlink w:anchor="002">
              <w:r>
                <w:rPr>
                  <w:rStyle w:val="InternetLink"/>
                </w:rPr>
                <w:t>SIGNATURES</w:t>
              </w:r>
            </w:hyperlink>
          </w:p>
        </w:tc>
      </w:tr>
      <w:tr>
        <w:trPr/>
        <w:tc>
          <w:tcPr>
            <w:tcW w:w="9184" w:type="dxa"/>
            <w:gridSpan w:val="9"/>
            <w:tcBorders/>
            <w:shd w:fill="auto" w:val="clear"/>
            <w:vAlign w:val="center"/>
          </w:tcPr>
          <w:p>
            <w:pPr>
              <w:pStyle w:val="TableContents"/>
              <w:spacing w:before="0" w:after="283"/>
              <w:rPr/>
            </w:pPr>
            <w:hyperlink w:anchor="003">
              <w:r>
                <w:rPr>
                  <w:rStyle w:val="InternetLink"/>
                </w:rPr>
                <w:t>INDEX TO EXHIBITS</w:t>
              </w:r>
            </w:hyperlink>
          </w:p>
        </w:tc>
      </w:tr>
      <w:tr>
        <w:trPr/>
        <w:tc>
          <w:tcPr>
            <w:tcW w:w="9184" w:type="dxa"/>
            <w:gridSpan w:val="9"/>
            <w:tcBorders/>
            <w:shd w:fill="auto" w:val="clear"/>
            <w:vAlign w:val="center"/>
          </w:tcPr>
          <w:p>
            <w:pPr>
              <w:pStyle w:val="TableContents"/>
              <w:spacing w:before="0" w:after="283"/>
              <w:rPr/>
            </w:pPr>
            <w:hyperlink w:anchor="h49362exv3w1.htm">
              <w:r>
                <w:rPr>
                  <w:rStyle w:val="InternetLink"/>
                </w:rPr>
                <w:t>Amendment No.3 to Third Amended and Restated Agreement of Limited Partnership</w:t>
              </w:r>
            </w:hyperlink>
          </w:p>
        </w:tc>
      </w:tr>
    </w:tbl>
    <w:p>
      <w:pPr>
        <w:pStyle w:val="HorizontalLine"/>
        <w:pBdr>
          <w:bottom w:val="single" w:sz="20" w:space="0" w:color="808080"/>
        </w:pBdr>
        <w:rPr/>
      </w:pPr>
      <w:r>
        <w:rPr/>
      </w:r>
      <w:r>
        <w:br w:type="page"/>
      </w:r>
    </w:p>
    <w:p>
      <w:pPr>
        <w:pStyle w:val="Heading5"/>
        <w:jc w:val="left"/>
        <w:rPr/>
      </w:pPr>
      <w:hyperlink w:anchor="toc">
        <w:r>
          <w:rPr>
            <w:rStyle w:val="InternetLink"/>
            <w:rFonts w:ascii="Times New Roman;Times;serif" w:hAnsi="Times New Roman;Times;serif"/>
          </w:rPr>
          <w:t>Table of Contents</w:t>
        </w:r>
      </w:hyperlink>
    </w:p>
    <w:p>
      <w:pPr>
        <w:pStyle w:val="TextBody"/>
        <w:spacing w:before="240" w:after="283"/>
        <w:jc w:val="left"/>
        <w:rPr>
          <w:rFonts w:ascii="Times New Roman;Times;serif" w:hAnsi="Times New Roman;Times;serif"/>
          <w:sz w:val="17"/>
        </w:rPr>
      </w:pPr>
      <w:bookmarkStart w:id="3" w:name="000"/>
      <w:bookmarkEnd w:id="3"/>
      <w:r>
        <w:rPr>
          <w:rFonts w:ascii="Times New Roman;Times;serif" w:hAnsi="Times New Roman;Times;serif"/>
          <w:b/>
          <w:sz w:val="17"/>
        </w:rPr>
        <w:t>Item 5.03. Amendments to Articles of Incorporation or Bylaws; Change in Fiscal Year</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On August 16, 2007, the General Partner of Plains All American Pipeline, L.P. (the Partnership) amended the Third Amended and Restated Agreement of Limited Partnership (the Partnership Agreement) of the Partnership by executing Amendment No. 3 thereto (the Amendment), a copy of which is filed as Exhibit 3.1 hereto and is incorporated into this report by reference. The Partnership Agreement was amended to allow for the issuance of Partnership securities in uncertificated form. </w:t>
      </w:r>
    </w:p>
    <w:p>
      <w:pPr>
        <w:pStyle w:val="TextBody"/>
        <w:spacing w:before="240" w:after="283"/>
        <w:jc w:val="left"/>
        <w:rPr>
          <w:rFonts w:ascii="Times New Roman;Times;serif" w:hAnsi="Times New Roman;Times;serif"/>
          <w:sz w:val="17"/>
        </w:rPr>
      </w:pPr>
      <w:bookmarkStart w:id="4" w:name="001"/>
      <w:bookmarkEnd w:id="4"/>
      <w:r>
        <w:rPr>
          <w:rFonts w:ascii="Times New Roman;Times;serif" w:hAnsi="Times New Roman;Times;serif"/>
          <w:b/>
          <w:sz w:val="17"/>
        </w:rPr>
        <w:t>Item 9.01. Financial Statements and Exhibits</w:t>
      </w:r>
      <w:r>
        <w:rPr>
          <w:rFonts w:ascii="Times New Roman;Times;serif" w:hAnsi="Times New Roman;Times;serif"/>
          <w:sz w:val="17"/>
        </w:rPr>
        <w:t xml:space="preserve"> </w:t>
      </w:r>
    </w:p>
    <w:tbl>
      <w:tblPr>
        <w:tblW w:w="5000" w:type="pct"/>
        <w:jc w:val="left"/>
        <w:tblInd w:w="0" w:type="dxa"/>
        <w:tblCellMar>
          <w:top w:w="0" w:type="dxa"/>
          <w:left w:w="0" w:type="dxa"/>
          <w:bottom w:w="0" w:type="dxa"/>
          <w:right w:w="0" w:type="dxa"/>
        </w:tblCellMar>
      </w:tblPr>
      <w:tblGrid>
        <w:gridCol w:w="204"/>
        <w:gridCol w:w="320"/>
        <w:gridCol w:w="104"/>
        <w:gridCol w:w="9577"/>
      </w:tblGrid>
      <w:tr>
        <w:trPr/>
        <w:tc>
          <w:tcPr>
            <w:tcW w:w="204" w:type="dxa"/>
            <w:tcBorders/>
            <w:shd w:fill="auto" w:val="clear"/>
          </w:tcPr>
          <w:p>
            <w:pPr>
              <w:pStyle w:val="TableContents"/>
              <w:spacing w:before="0" w:after="283"/>
              <w:rPr/>
            </w:pPr>
            <w:r>
              <w:rPr/>
              <w:t> </w:t>
            </w:r>
          </w:p>
        </w:tc>
        <w:tc>
          <w:tcPr>
            <w:tcW w:w="320" w:type="dxa"/>
            <w:tcBorders/>
            <w:shd w:fill="auto" w:val="clear"/>
          </w:tcPr>
          <w:p>
            <w:pPr>
              <w:pStyle w:val="TableContents"/>
              <w:spacing w:before="0" w:after="283"/>
              <w:jc w:val="left"/>
              <w:rPr>
                <w:b/>
              </w:rPr>
            </w:pPr>
            <w:r>
              <w:rPr>
                <w:b/>
              </w:rPr>
              <w:t>(d)</w:t>
            </w:r>
          </w:p>
        </w:tc>
        <w:tc>
          <w:tcPr>
            <w:tcW w:w="104" w:type="dxa"/>
            <w:tcBorders/>
            <w:shd w:fill="auto" w:val="clear"/>
          </w:tcPr>
          <w:p>
            <w:pPr>
              <w:pStyle w:val="TableContents"/>
              <w:spacing w:before="0" w:after="283"/>
              <w:rPr/>
            </w:pPr>
            <w:r>
              <w:rPr/>
              <w:t> </w:t>
            </w:r>
          </w:p>
        </w:tc>
        <w:tc>
          <w:tcPr>
            <w:tcW w:w="9577" w:type="dxa"/>
            <w:tcBorders/>
            <w:shd w:fill="auto" w:val="clear"/>
          </w:tcPr>
          <w:p>
            <w:pPr>
              <w:pStyle w:val="TableContents"/>
              <w:spacing w:before="0" w:after="283"/>
              <w:rPr>
                <w:b/>
              </w:rPr>
            </w:pPr>
            <w:r>
              <w:rPr>
                <w:b/>
              </w:rPr>
              <w:t>Exhibits</w:t>
            </w:r>
          </w:p>
        </w:tc>
      </w:tr>
    </w:tbl>
    <w:tbl>
      <w:tblPr>
        <w:tblW w:w="5000" w:type="pct"/>
        <w:jc w:val="left"/>
        <w:tblInd w:w="0" w:type="dxa"/>
        <w:tblCellMar>
          <w:top w:w="0" w:type="dxa"/>
          <w:left w:w="0" w:type="dxa"/>
          <w:bottom w:w="0" w:type="dxa"/>
          <w:right w:w="0" w:type="dxa"/>
        </w:tblCellMar>
      </w:tblPr>
      <w:tblGrid>
        <w:gridCol w:w="702"/>
        <w:gridCol w:w="1201"/>
        <w:gridCol w:w="130"/>
        <w:gridCol w:w="8172"/>
      </w:tblGrid>
      <w:tr>
        <w:trPr/>
        <w:tc>
          <w:tcPr>
            <w:tcW w:w="702" w:type="dxa"/>
            <w:tcBorders/>
            <w:shd w:fill="auto" w:val="clear"/>
          </w:tcPr>
          <w:p>
            <w:pPr>
              <w:pStyle w:val="TableContents"/>
              <w:spacing w:before="0" w:after="283"/>
              <w:rPr/>
            </w:pPr>
            <w:r>
              <w:rPr/>
              <w:t> </w:t>
            </w:r>
          </w:p>
        </w:tc>
        <w:tc>
          <w:tcPr>
            <w:tcW w:w="1201" w:type="dxa"/>
            <w:tcBorders/>
            <w:shd w:fill="auto" w:val="clear"/>
          </w:tcPr>
          <w:p>
            <w:pPr>
              <w:pStyle w:val="TableContents"/>
              <w:spacing w:before="0" w:after="283"/>
              <w:jc w:val="left"/>
              <w:rPr/>
            </w:pPr>
            <w:r>
              <w:rPr/>
              <w:t>Exhibit 3.1  </w:t>
            </w:r>
          </w:p>
        </w:tc>
        <w:tc>
          <w:tcPr>
            <w:tcW w:w="130" w:type="dxa"/>
            <w:tcBorders/>
            <w:shd w:fill="auto" w:val="clear"/>
          </w:tcPr>
          <w:p>
            <w:pPr>
              <w:pStyle w:val="TableContents"/>
              <w:spacing w:before="0" w:after="283"/>
              <w:rPr/>
            </w:pPr>
            <w:r>
              <w:rPr/>
              <w:t> </w:t>
            </w:r>
          </w:p>
        </w:tc>
        <w:tc>
          <w:tcPr>
            <w:tcW w:w="8172" w:type="dxa"/>
            <w:tcBorders/>
            <w:shd w:fill="auto" w:val="clear"/>
          </w:tcPr>
          <w:p>
            <w:pPr>
              <w:pStyle w:val="TableContents"/>
              <w:spacing w:before="0" w:after="283"/>
              <w:rPr/>
            </w:pPr>
            <w:r>
              <w:rPr/>
              <w:t>Amendment No. 3 dated August 16, 2007 to Third Amended and Restated Agreement of Limited Partnership of Plains All American Pipeline, L.P.</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p>
      <w:pPr>
        <w:pStyle w:val="TextBody"/>
        <w:spacing w:before="360" w:after="283"/>
        <w:jc w:val="center"/>
        <w:rPr>
          <w:rFonts w:ascii="Times New Roman;Times;serif" w:hAnsi="Times New Roman;Times;serif"/>
          <w:sz w:val="17"/>
        </w:rPr>
      </w:pPr>
      <w:bookmarkStart w:id="5" w:name="002"/>
      <w:bookmarkEnd w:id="5"/>
      <w:r>
        <w:rPr>
          <w:rFonts w:ascii="Times New Roman;Times;serif" w:hAnsi="Times New Roman;Times;serif"/>
          <w:b/>
          <w:sz w:val="17"/>
        </w:rPr>
        <w:t>SIGNATURES</w:t>
      </w:r>
      <w:r>
        <w:rPr>
          <w:rFonts w:ascii="Times New Roman;Times;serif" w:hAnsi="Times New Roman;Times;serif"/>
          <w:sz w:val="17"/>
        </w:rPr>
        <w:t xml:space="preserve"> </w:t>
      </w:r>
    </w:p>
    <w:p>
      <w:pPr>
        <w:pStyle w:val="TextBody"/>
        <w:spacing w:before="120" w:after="283"/>
        <w:jc w:val="left"/>
        <w:rPr/>
      </w:pPr>
      <w:r>
        <w:rPr/>
        <w:t>     </w:t>
      </w:r>
      <w:r>
        <w:rPr>
          <w:rFonts w:ascii="Times New Roman;Times;serif" w:hAnsi="Times New Roman;Times;serif"/>
          <w:sz w:val="17"/>
        </w:rPr>
        <w:t xml:space="preserve">Pursuant to the requirements of the Securities Exchange Act of 1934, the registrant has duly caused this report to be signed on its behalf by the undersigned hereunto duly authorized. </w:t>
      </w:r>
    </w:p>
    <w:tbl>
      <w:tblPr>
        <w:tblW w:w="5000" w:type="pct"/>
        <w:jc w:val="left"/>
        <w:tblInd w:w="0" w:type="dxa"/>
        <w:tblCellMar>
          <w:top w:w="0" w:type="dxa"/>
          <w:left w:w="0" w:type="dxa"/>
          <w:bottom w:w="0" w:type="dxa"/>
          <w:right w:w="0" w:type="dxa"/>
        </w:tblCellMar>
      </w:tblPr>
      <w:tblGrid>
        <w:gridCol w:w="4343"/>
        <w:gridCol w:w="345"/>
        <w:gridCol w:w="592"/>
        <w:gridCol w:w="3656"/>
        <w:gridCol w:w="1269"/>
      </w:tblGrid>
      <w:tr>
        <w:trPr/>
        <w:tc>
          <w:tcPr>
            <w:tcW w:w="4343" w:type="dxa"/>
            <w:tcBorders/>
            <w:shd w:fill="auto" w:val="clear"/>
            <w:vAlign w:val="center"/>
          </w:tcPr>
          <w:p>
            <w:pPr>
              <w:pStyle w:val="TableContents"/>
              <w:spacing w:before="0" w:after="283"/>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vAlign w:val="center"/>
          </w:tcPr>
          <w:p>
            <w:pPr>
              <w:pStyle w:val="TableContents"/>
              <w:spacing w:before="0" w:after="283"/>
              <w:rPr/>
            </w:pPr>
            <w:r>
              <w:rPr/>
              <w:t> </w:t>
            </w:r>
          </w:p>
        </w:tc>
        <w:tc>
          <w:tcPr>
            <w:tcW w:w="3656" w:type="dxa"/>
            <w:tcBorders/>
            <w:shd w:fill="auto" w:val="clear"/>
            <w:vAlign w:val="center"/>
          </w:tcPr>
          <w:p>
            <w:pPr>
              <w:pStyle w:val="TableContents"/>
              <w:spacing w:before="0" w:after="283"/>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PLAINS ALL AMERICAN PIPELINE, L.P.</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Date: August 22, 2007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AAP, L.P., its general partner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tcPr>
          <w:p>
            <w:pPr>
              <w:pStyle w:val="TableContents"/>
              <w:spacing w:before="0" w:after="283"/>
              <w:jc w:val="left"/>
              <w:rPr/>
            </w:pPr>
            <w:r>
              <w:rPr/>
              <w:t> </w:t>
            </w:r>
          </w:p>
        </w:tc>
        <w:tc>
          <w:tcPr>
            <w:tcW w:w="4593" w:type="dxa"/>
            <w:gridSpan w:val="3"/>
            <w:tcBorders/>
            <w:shd w:fill="auto" w:val="clear"/>
            <w:vAlign w:val="center"/>
          </w:tcPr>
          <w:p>
            <w:pPr>
              <w:pStyle w:val="TableContents"/>
              <w:spacing w:before="0" w:after="283"/>
              <w:jc w:val="left"/>
              <w:rPr/>
            </w:pPr>
            <w:r>
              <w:rP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shd w:fill="auto" w:val="clear"/>
            <w:vAlign w:val="center"/>
          </w:tcPr>
          <w:p>
            <w:pPr>
              <w:pStyle w:val="TableContents"/>
              <w:spacing w:before="0" w:after="283"/>
              <w:jc w:val="left"/>
              <w:rPr/>
            </w:pPr>
            <w:r>
              <w:rPr/>
              <w:t>Plains All American GP LLC, its general partner</w:t>
              <w:br/>
              <w:t>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tcPr>
          <w:p>
            <w:pPr>
              <w:pStyle w:val="TableContents"/>
              <w:spacing w:before="0" w:after="283"/>
              <w:rPr/>
            </w:pPr>
            <w:r>
              <w:rPr/>
              <w:t>By:  </w:t>
            </w:r>
          </w:p>
        </w:tc>
        <w:tc>
          <w:tcPr>
            <w:tcW w:w="4248"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Name:  </w:t>
            </w:r>
          </w:p>
        </w:tc>
        <w:tc>
          <w:tcPr>
            <w:tcW w:w="3656" w:type="dxa"/>
            <w:tcBorders/>
            <w:shd w:fill="auto" w:val="clear"/>
            <w:vAlign w:val="center"/>
          </w:tcPr>
          <w:p>
            <w:pPr>
              <w:pStyle w:val="TableContents"/>
              <w:spacing w:before="0" w:after="283"/>
              <w:jc w:val="left"/>
              <w:rPr/>
            </w:pPr>
            <w:r>
              <w:rPr/>
              <w:t>Tim Moore  </w:t>
            </w:r>
          </w:p>
        </w:tc>
        <w:tc>
          <w:tcPr>
            <w:tcW w:w="1269" w:type="dxa"/>
            <w:tcBorders/>
            <w:shd w:fill="auto" w:val="clear"/>
            <w:vAlign w:val="center"/>
          </w:tcPr>
          <w:p>
            <w:pPr>
              <w:pStyle w:val="TableContents"/>
              <w:spacing w:before="0" w:after="283"/>
              <w:rPr/>
            </w:pPr>
            <w:r>
              <w:rPr/>
              <w:t> </w:t>
            </w:r>
          </w:p>
        </w:tc>
      </w:tr>
      <w:tr>
        <w:trPr/>
        <w:tc>
          <w:tcPr>
            <w:tcW w:w="4343" w:type="dxa"/>
            <w:tcBorders/>
            <w:shd w:fill="auto" w:val="clear"/>
            <w:vAlign w:val="center"/>
          </w:tcPr>
          <w:p>
            <w:pPr>
              <w:pStyle w:val="TableContents"/>
              <w:spacing w:before="0" w:after="283"/>
              <w:jc w:val="left"/>
              <w:rPr/>
            </w:pPr>
            <w:r>
              <w:rPr/>
              <w:t> </w:t>
            </w:r>
          </w:p>
        </w:tc>
        <w:tc>
          <w:tcPr>
            <w:tcW w:w="345" w:type="dxa"/>
            <w:tcBorders/>
            <w:shd w:fill="auto" w:val="clear"/>
            <w:vAlign w:val="center"/>
          </w:tcPr>
          <w:p>
            <w:pPr>
              <w:pStyle w:val="TableContents"/>
              <w:spacing w:before="0" w:after="283"/>
              <w:rPr/>
            </w:pPr>
            <w:r>
              <w:rPr/>
              <w:t> </w:t>
            </w:r>
          </w:p>
        </w:tc>
        <w:tc>
          <w:tcPr>
            <w:tcW w:w="592" w:type="dxa"/>
            <w:tcBorders/>
            <w:shd w:fill="auto" w:val="clear"/>
          </w:tcPr>
          <w:p>
            <w:pPr>
              <w:pStyle w:val="TableContents"/>
              <w:spacing w:before="0" w:after="283"/>
              <w:rPr/>
            </w:pPr>
            <w:r>
              <w:rPr/>
              <w:t>Title:  </w:t>
            </w:r>
          </w:p>
        </w:tc>
        <w:tc>
          <w:tcPr>
            <w:tcW w:w="3656" w:type="dxa"/>
            <w:tcBorders/>
            <w:shd w:fill="auto" w:val="clear"/>
            <w:vAlign w:val="center"/>
          </w:tcPr>
          <w:p>
            <w:pPr>
              <w:pStyle w:val="TableContents"/>
              <w:spacing w:before="0" w:after="283"/>
              <w:jc w:val="left"/>
              <w:rPr/>
            </w:pPr>
            <w:r>
              <w:rPr/>
              <w:t>Vice President </w:t>
            </w:r>
          </w:p>
        </w:tc>
        <w:tc>
          <w:tcPr>
            <w:tcW w:w="1269" w:type="dxa"/>
            <w:tcBorders/>
            <w:shd w:fill="auto" w:val="clear"/>
            <w:vAlign w:val="center"/>
          </w:tcPr>
          <w:p>
            <w:pPr>
              <w:pStyle w:val="TableContents"/>
              <w:spacing w:before="0" w:after="283"/>
              <w:rPr/>
            </w:pPr>
            <w:r>
              <w:rPr/>
              <w:t> </w:t>
            </w:r>
          </w:p>
        </w:tc>
      </w:tr>
    </w:tbl>
    <w:p>
      <w:pPr>
        <w:pStyle w:val="TextBody"/>
        <w:jc w:val="center"/>
        <w:rPr/>
      </w:pPr>
      <w:r>
        <w:rPr/>
        <w:t xml:space="preserve">  </w:t>
      </w:r>
    </w:p>
    <w:p>
      <w:pPr>
        <w:pStyle w:val="HorizontalLine"/>
        <w:pBdr>
          <w:bottom w:val="single" w:sz="20" w:space="0" w:color="808080"/>
        </w:pBdr>
        <w:rPr/>
      </w:pPr>
      <w:r>
        <w:rPr/>
      </w:r>
      <w:r>
        <w:br w:type="page"/>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898"/>
        <w:gridCol w:w="102"/>
        <w:gridCol w:w="102"/>
        <w:gridCol w:w="3572"/>
        <w:gridCol w:w="1531"/>
      </w:tblGrid>
      <w:tr>
        <w:trPr/>
        <w:tc>
          <w:tcPr>
            <w:tcW w:w="4898"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102" w:type="dxa"/>
            <w:tcBorders/>
            <w:shd w:fill="auto" w:val="clear"/>
            <w:vAlign w:val="center"/>
          </w:tcPr>
          <w:p>
            <w:pPr>
              <w:pStyle w:val="TableContents"/>
              <w:spacing w:before="0" w:after="283"/>
              <w:rPr/>
            </w:pPr>
            <w:r>
              <w:rPr/>
              <w:t> </w:t>
            </w:r>
          </w:p>
        </w:tc>
        <w:tc>
          <w:tcPr>
            <w:tcW w:w="3572" w:type="dxa"/>
            <w:tcBorders/>
            <w:shd w:fill="auto" w:val="clear"/>
            <w:vAlign w:val="center"/>
          </w:tcPr>
          <w:p>
            <w:pPr>
              <w:pStyle w:val="TableContents"/>
              <w:spacing w:before="0" w:after="283"/>
              <w:rPr/>
            </w:pPr>
            <w:r>
              <w:rPr/>
              <w:t> </w:t>
            </w:r>
          </w:p>
        </w:tc>
        <w:tc>
          <w:tcPr>
            <w:tcW w:w="1531" w:type="dxa"/>
            <w:tcBorders/>
            <w:shd w:fill="auto" w:val="clear"/>
            <w:vAlign w:val="center"/>
          </w:tcPr>
          <w:p>
            <w:pPr>
              <w:pStyle w:val="TableContents"/>
              <w:spacing w:before="0" w:after="283"/>
              <w:rPr/>
            </w:pPr>
            <w:r>
              <w:rPr/>
              <w:t> </w:t>
            </w:r>
          </w:p>
        </w:tc>
      </w:tr>
    </w:tbl>
    <w:p>
      <w:pPr>
        <w:pStyle w:val="TextBody"/>
        <w:spacing w:before="360" w:after="283"/>
        <w:jc w:val="center"/>
        <w:rPr>
          <w:rFonts w:ascii="Times New Roman;Times;serif" w:hAnsi="Times New Roman;Times;serif"/>
          <w:sz w:val="17"/>
        </w:rPr>
      </w:pPr>
      <w:bookmarkStart w:id="6" w:name="003"/>
      <w:bookmarkEnd w:id="6"/>
      <w:r>
        <w:rPr>
          <w:rFonts w:ascii="Times New Roman;Times;serif" w:hAnsi="Times New Roman;Times;serif"/>
          <w:b/>
          <w:sz w:val="17"/>
        </w:rPr>
        <w:t>INDEX TO EXHIBITS</w:t>
      </w:r>
      <w:r>
        <w:rPr>
          <w:rFonts w:ascii="Times New Roman;Times;serif" w:hAnsi="Times New Roman;Times;serif"/>
          <w:sz w:val="17"/>
        </w:rPr>
        <w:t xml:space="preserve"> </w:t>
      </w:r>
    </w:p>
    <w:tbl>
      <w:tblPr>
        <w:tblW w:w="5000" w:type="pct"/>
        <w:jc w:val="center"/>
        <w:tblInd w:w="0" w:type="dxa"/>
        <w:tblCellMar>
          <w:top w:w="0" w:type="dxa"/>
          <w:left w:w="0" w:type="dxa"/>
          <w:bottom w:w="0" w:type="dxa"/>
          <w:right w:w="0" w:type="dxa"/>
        </w:tblCellMar>
      </w:tblPr>
      <w:tblGrid>
        <w:gridCol w:w="782"/>
        <w:gridCol w:w="305"/>
        <w:gridCol w:w="9118"/>
      </w:tblGrid>
      <w:tr>
        <w:trPr/>
        <w:tc>
          <w:tcPr>
            <w:tcW w:w="782" w:type="dxa"/>
            <w:tcBorders/>
            <w:shd w:fill="auto" w:val="clear"/>
            <w:vAlign w:val="bottom"/>
          </w:tcPr>
          <w:p>
            <w:pPr>
              <w:pStyle w:val="TableContents"/>
              <w:spacing w:before="0" w:after="283"/>
              <w:rPr/>
            </w:pPr>
            <w:r>
              <w:rPr/>
              <w:t> </w:t>
            </w:r>
          </w:p>
        </w:tc>
        <w:tc>
          <w:tcPr>
            <w:tcW w:w="305" w:type="dxa"/>
            <w:tcBorders/>
            <w:shd w:fill="auto" w:val="clear"/>
            <w:vAlign w:val="bottom"/>
          </w:tcPr>
          <w:p>
            <w:pPr>
              <w:pStyle w:val="TableContents"/>
              <w:spacing w:before="0" w:after="283"/>
              <w:rPr/>
            </w:pPr>
            <w:r>
              <w:rPr/>
              <w:t> </w:t>
            </w:r>
          </w:p>
        </w:tc>
        <w:tc>
          <w:tcPr>
            <w:tcW w:w="9118" w:type="dxa"/>
            <w:tcBorders/>
            <w:shd w:fill="auto" w:val="clear"/>
            <w:vAlign w:val="bottom"/>
          </w:tcPr>
          <w:p>
            <w:pPr>
              <w:pStyle w:val="TableContents"/>
              <w:spacing w:before="0" w:after="283"/>
              <w:rPr/>
            </w:pPr>
            <w:r>
              <w:rPr/>
              <w:t> </w:t>
            </w:r>
          </w:p>
        </w:tc>
      </w:tr>
      <w:tr>
        <w:trPr/>
        <w:tc>
          <w:tcPr>
            <w:tcW w:w="782" w:type="dxa"/>
            <w:tcBorders/>
            <w:shd w:fill="auto" w:val="clear"/>
            <w:vAlign w:val="bottom"/>
          </w:tcPr>
          <w:p>
            <w:pPr>
              <w:pStyle w:val="TableContents"/>
              <w:spacing w:before="0" w:after="283"/>
              <w:jc w:val="left"/>
              <w:rPr>
                <w:b/>
              </w:rPr>
            </w:pPr>
            <w:r>
              <w:rPr>
                <w:b/>
              </w:rPr>
              <w:t>Exhibit</w:t>
            </w:r>
          </w:p>
        </w:tc>
        <w:tc>
          <w:tcPr>
            <w:tcW w:w="305" w:type="dxa"/>
            <w:tcBorders/>
            <w:shd w:fill="auto" w:val="clear"/>
            <w:vAlign w:val="bottom"/>
          </w:tcPr>
          <w:p>
            <w:pPr>
              <w:pStyle w:val="TableContents"/>
              <w:spacing w:before="0" w:after="283"/>
              <w:rPr/>
            </w:pPr>
            <w:r>
              <w:rPr/>
              <w:t> </w:t>
            </w:r>
          </w:p>
        </w:tc>
        <w:tc>
          <w:tcPr>
            <w:tcW w:w="9118" w:type="dxa"/>
            <w:tcBorders/>
            <w:shd w:fill="auto" w:val="clear"/>
            <w:vAlign w:val="bottom"/>
          </w:tcPr>
          <w:p>
            <w:pPr>
              <w:pStyle w:val="TableContents"/>
              <w:spacing w:before="0" w:after="283"/>
              <w:jc w:val="center"/>
              <w:rPr/>
            </w:pPr>
            <w:r>
              <w:rPr/>
              <w:t> </w:t>
            </w:r>
          </w:p>
        </w:tc>
      </w:tr>
      <w:tr>
        <w:trPr/>
        <w:tc>
          <w:tcPr>
            <w:tcW w:w="782" w:type="dxa"/>
            <w:tcBorders>
              <w:bottom w:val="single" w:sz="2" w:space="0" w:color="000000"/>
            </w:tcBorders>
            <w:shd w:fill="auto" w:val="clear"/>
            <w:tcMar>
              <w:bottom w:w="28" w:type="dxa"/>
            </w:tcMar>
            <w:vAlign w:val="bottom"/>
          </w:tcPr>
          <w:p>
            <w:pPr>
              <w:pStyle w:val="TableContents"/>
              <w:spacing w:before="0" w:after="283"/>
              <w:jc w:val="left"/>
              <w:rPr>
                <w:b/>
              </w:rPr>
            </w:pPr>
            <w:r>
              <w:rPr>
                <w:b/>
              </w:rPr>
              <w:t>No.</w:t>
            </w:r>
          </w:p>
        </w:tc>
        <w:tc>
          <w:tcPr>
            <w:tcW w:w="305" w:type="dxa"/>
            <w:tcBorders/>
            <w:shd w:fill="auto" w:val="clear"/>
            <w:vAlign w:val="bottom"/>
          </w:tcPr>
          <w:p>
            <w:pPr>
              <w:pStyle w:val="TableContents"/>
              <w:spacing w:before="0" w:after="283"/>
              <w:rPr/>
            </w:pPr>
            <w:r>
              <w:rPr/>
              <w:t> </w:t>
            </w:r>
          </w:p>
        </w:tc>
        <w:tc>
          <w:tcPr>
            <w:tcW w:w="9118" w:type="dxa"/>
            <w:tcBorders>
              <w:bottom w:val="single" w:sz="2" w:space="0" w:color="000000"/>
            </w:tcBorders>
            <w:shd w:fill="auto" w:val="clear"/>
            <w:tcMar>
              <w:bottom w:w="28" w:type="dxa"/>
            </w:tcMar>
            <w:vAlign w:val="bottom"/>
          </w:tcPr>
          <w:p>
            <w:pPr>
              <w:pStyle w:val="TableContents"/>
              <w:spacing w:before="0" w:after="283"/>
              <w:jc w:val="center"/>
              <w:rPr>
                <w:b/>
              </w:rPr>
            </w:pPr>
            <w:r>
              <w:rPr>
                <w:b/>
              </w:rPr>
              <w:t>Description</w:t>
            </w:r>
          </w:p>
        </w:tc>
      </w:tr>
      <w:tr>
        <w:trPr/>
        <w:tc>
          <w:tcPr>
            <w:tcW w:w="782" w:type="dxa"/>
            <w:tcBorders/>
            <w:shd w:fill="auto" w:val="clear"/>
          </w:tcPr>
          <w:p>
            <w:pPr>
              <w:pStyle w:val="TableContents"/>
              <w:spacing w:before="0" w:after="0"/>
              <w:ind w:left="0" w:right="0" w:hanging="0"/>
              <w:rPr/>
            </w:pPr>
            <w:r>
              <w:rPr/>
              <w:t> </w:t>
            </w:r>
          </w:p>
        </w:tc>
        <w:tc>
          <w:tcPr>
            <w:tcW w:w="305"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 </w:t>
            </w:r>
          </w:p>
        </w:tc>
      </w:tr>
      <w:tr>
        <w:trPr/>
        <w:tc>
          <w:tcPr>
            <w:tcW w:w="782" w:type="dxa"/>
            <w:tcBorders/>
            <w:shd w:fill="auto" w:val="clear"/>
          </w:tcPr>
          <w:p>
            <w:pPr>
              <w:pStyle w:val="TableContents"/>
              <w:spacing w:before="0" w:after="0"/>
              <w:ind w:left="0" w:right="0" w:hanging="0"/>
              <w:rPr/>
            </w:pPr>
            <w:r>
              <w:rPr/>
              <w:t xml:space="preserve">3.1 </w:t>
            </w:r>
          </w:p>
        </w:tc>
        <w:tc>
          <w:tcPr>
            <w:tcW w:w="305" w:type="dxa"/>
            <w:tcBorders/>
            <w:shd w:fill="auto" w:val="clear"/>
            <w:vAlign w:val="bottom"/>
          </w:tcPr>
          <w:p>
            <w:pPr>
              <w:pStyle w:val="TableContents"/>
              <w:spacing w:before="0" w:after="283"/>
              <w:rPr/>
            </w:pPr>
            <w:r>
              <w:rPr/>
              <w:t> </w:t>
            </w:r>
          </w:p>
        </w:tc>
        <w:tc>
          <w:tcPr>
            <w:tcW w:w="9118" w:type="dxa"/>
            <w:tcBorders/>
            <w:shd w:fill="auto" w:val="clear"/>
          </w:tcPr>
          <w:p>
            <w:pPr>
              <w:pStyle w:val="TableContents"/>
              <w:spacing w:before="0" w:after="283"/>
              <w:jc w:val="left"/>
              <w:rPr/>
            </w:pPr>
            <w:r>
              <w:rPr/>
              <w:t>Amendment No. 3 dated August 16, 2007 to Third Amended and Restated Agreement of Limited Partnership of Plains All American Pipeline, L.P.</w:t>
            </w:r>
          </w:p>
        </w:tc>
      </w:tr>
    </w:tbl>
    <w:p>
      <w:pPr>
        <w:pStyle w:val="TextBody"/>
        <w:jc w:val="center"/>
        <w:rPr/>
      </w:pPr>
      <w:r>
        <w:rPr/>
        <w:t xml:space="preserve">  </w:t>
      </w:r>
      <w:r>
        <w:br w:type="page"/>
      </w:r>
    </w:p>
    <w:p>
      <w:pPr>
        <w:pStyle w:val="Heading5"/>
        <w:jc w:val="left"/>
        <w:rPr/>
      </w:pPr>
      <w:bookmarkStart w:id="7" w:name="h49362exv3w1.htm"/>
      <w:bookmarkStart w:id="8" w:name="ksh49362exv3w1"/>
      <w:bookmarkEnd w:id="7"/>
      <w:bookmarkEnd w:id="8"/>
      <w:r>
        <w:rPr/>
        <w:t> </w:t>
      </w:r>
    </w:p>
    <w:p>
      <w:pPr>
        <w:pStyle w:val="TextBody"/>
        <w:spacing w:before="240" w:after="283"/>
        <w:jc w:val="right"/>
        <w:rPr>
          <w:rFonts w:ascii="Times New Roman;Times;serif" w:hAnsi="Times New Roman;Times;serif"/>
          <w:sz w:val="17"/>
        </w:rPr>
      </w:pPr>
      <w:r>
        <w:rPr>
          <w:rFonts w:ascii="Times New Roman;Times;serif" w:hAnsi="Times New Roman;Times;serif"/>
          <w:sz w:val="17"/>
        </w:rPr>
        <w:t xml:space="preserve">Exhibit 3.1 </w:t>
      </w:r>
    </w:p>
    <w:p>
      <w:pPr>
        <w:pStyle w:val="TextBody"/>
        <w:spacing w:before="360" w:after="283"/>
        <w:jc w:val="center"/>
        <w:rPr>
          <w:rFonts w:ascii="Times New Roman;Times;serif" w:hAnsi="Times New Roman;Times;serif"/>
          <w:sz w:val="17"/>
        </w:rPr>
      </w:pPr>
      <w:r>
        <w:rPr>
          <w:rFonts w:ascii="Times New Roman;Times;serif" w:hAnsi="Times New Roman;Times;serif"/>
          <w:sz w:val="17"/>
        </w:rPr>
        <w:t>AMENDMENT NO.3 TO THE THIRD AMENDED AND RESTATED</w:t>
        <w:br/>
        <w:t>AGREEMENT OF LIMITED PARTNERSHIP OF</w:t>
        <w:br/>
        <w:t xml:space="preserve">PLAINS ALL AMERICAN PIPELINE, L.P. </w:t>
      </w:r>
    </w:p>
    <w:p>
      <w:pPr>
        <w:pStyle w:val="TextBody"/>
        <w:spacing w:before="120" w:after="283"/>
        <w:jc w:val="left"/>
        <w:rPr/>
      </w:pPr>
      <w:r>
        <w:rPr/>
        <w:t>     </w:t>
      </w:r>
      <w:r>
        <w:rPr>
          <w:rFonts w:ascii="Times New Roman;Times;serif" w:hAnsi="Times New Roman;Times;serif"/>
          <w:sz w:val="17"/>
        </w:rPr>
        <w:t xml:space="preserve">This Amendment No. 3 (this Amendment) to the Third Amended and Restated Agreement of Limited Partnership of Plains All American Pipeline, L.P., dated as of June 27, 2001 (the Partnership Agreement), is hereby adopted effective as of August 16, 2007, by Plains AAP, L.P., a Delaware limited partnership, (the General Partner), as general partner of the Partnership. Capitalized terms used but not defined herein are used as defined in the Partnership Agreement. </w:t>
      </w:r>
    </w:p>
    <w:p>
      <w:pPr>
        <w:pStyle w:val="TextBody"/>
        <w:spacing w:before="120" w:after="283"/>
        <w:jc w:val="left"/>
        <w:rPr/>
      </w:pPr>
      <w:r>
        <w:rPr/>
        <w:t>     </w:t>
      </w:r>
      <w:r>
        <w:rPr>
          <w:rFonts w:ascii="Times New Roman;Times;serif" w:hAnsi="Times New Roman;Times;serif"/>
          <w:sz w:val="17"/>
        </w:rPr>
        <w:t xml:space="preserve">WHEREAS, Section 13.1(d) of the Partnership Agreement provides that the General Partner, without the approval of any Partner, may amend any provision of the Partnership Agreement that is necessary or advisable to comply with any rule, regulation, guideline or requirement of any National Securities Exchange on which the Limited Partner Interests are listed for trading; </w:t>
      </w:r>
    </w:p>
    <w:p>
      <w:pPr>
        <w:pStyle w:val="TextBody"/>
        <w:spacing w:before="120" w:after="283"/>
        <w:jc w:val="left"/>
        <w:rPr/>
      </w:pPr>
      <w:r>
        <w:rPr/>
        <w:t>     </w:t>
      </w:r>
      <w:r>
        <w:rPr>
          <w:rFonts w:ascii="Times New Roman;Times;serif" w:hAnsi="Times New Roman;Times;serif"/>
          <w:sz w:val="17"/>
        </w:rPr>
        <w:t xml:space="preserve">WHEREAS, the New York Stock Exchange (NYSE) has amended its rules to require that, effective January 1, 2008, listed companies must be eligible to participate in the Direct Registration System (DRS) administered by the Depository Trust Company; </w:t>
      </w:r>
    </w:p>
    <w:p>
      <w:pPr>
        <w:pStyle w:val="TextBody"/>
        <w:spacing w:before="120" w:after="283"/>
        <w:jc w:val="left"/>
        <w:rPr/>
      </w:pPr>
      <w:r>
        <w:rPr/>
        <w:t>     </w:t>
      </w:r>
      <w:r>
        <w:rPr>
          <w:rFonts w:ascii="Times New Roman;Times;serif" w:hAnsi="Times New Roman;Times;serif"/>
          <w:sz w:val="17"/>
        </w:rPr>
        <w:t xml:space="preserve">WHEREAS, the General Partner has determined, in its discretion, that an amendment to the Partnership Agreement in order to comply with the NYSEs DRS eligibility rules is in the best interests of the Partnership and the Limited Partners; </w:t>
      </w:r>
    </w:p>
    <w:p>
      <w:pPr>
        <w:pStyle w:val="TextBody"/>
        <w:spacing w:before="120" w:after="283"/>
        <w:jc w:val="left"/>
        <w:rPr/>
      </w:pPr>
      <w:r>
        <w:rPr/>
        <w:t>     </w:t>
      </w:r>
      <w:r>
        <w:rPr>
          <w:rFonts w:ascii="Times New Roman;Times;serif" w:hAnsi="Times New Roman;Times;serif"/>
          <w:sz w:val="17"/>
        </w:rPr>
        <w:t xml:space="preserve">NOW, THEREFORE, the General Partner does hereby amend the Partnership Agreement as follows: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 Section 4.1 is hereby amended to read in full as follows: </w:t>
      </w:r>
    </w:p>
    <w:p>
      <w:pPr>
        <w:pStyle w:val="TextBody"/>
        <w:spacing w:before="120" w:after="283"/>
        <w:jc w:val="left"/>
        <w:rPr/>
      </w:pPr>
      <w:r>
        <w:rPr/>
        <w:t>          </w:t>
      </w:r>
      <w:r>
        <w:rPr>
          <w:rFonts w:ascii="Times New Roman;Times;serif" w:hAnsi="Times New Roman;Times;serif"/>
          <w:sz w:val="17"/>
        </w:rPr>
        <w:t xml:space="preserve">Upon the Partnerships issuance of Common Units to any Person, the Partnership shall issue one or more Certificates in the name of such Person evidencing the number of such Units being so issued. In addition, (a) upon the General Partners request, the Partnership shall issue to it one or more Certificates in the name of the General Partner evidencing its interests in the Partnership and (b) upon the request of any Person owning Incentive Distribution Rights or any other Partnership Securities other than Common Units, the Partnership shall issue to such Person one or more certificates evidencing such Incentive Distribution Rights or other Partnership Securities other than Common Units. Certificates shall be executed on behalf of the Partnership by the Chairman of the Board, President or any Executive Vice President or Vice President and the Secretary or any Assistant Secretary of the general partner of the General Partner. No Common Unit Certificate shall be valid for any purpose until it has been countersigned by the Transfer Agent; provided, however, that if the General Partner elects to issue Common Units in global form, the Common Unit Certificates shall be valid upon receipt of a certificate from the Transfer Agent certifying that the Common Units have been duly registered in accordance with the directions of the Partnership and the Underwriters. Notwithstanding the foregoing provisions regarding Certificates, the appropriate officers of the general partner of the General Partner on behalf of the Partnership may provide that some or all Common Units may be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uncertificated; however, Certificates will be provided to any Unitholder upon such Unitholders request.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2. Section 4.2 is hereby amended to read in full as follows: </w:t>
      </w:r>
    </w:p>
    <w:p>
      <w:pPr>
        <w:pStyle w:val="TextBody"/>
        <w:spacing w:before="120" w:after="283"/>
        <w:jc w:val="left"/>
        <w:rPr/>
      </w:pPr>
      <w:r>
        <w:rPr/>
        <w:t>     </w:t>
      </w:r>
      <w:r>
        <w:rPr>
          <w:rFonts w:ascii="Times New Roman;Times;serif" w:hAnsi="Times New Roman;Times;serif"/>
          <w:sz w:val="17"/>
        </w:rPr>
        <w:t xml:space="preserve">(a) If any mutilated Certificate is surrendered to the Transfer Agent, the appropriate officers of the general partner of the General Partner on behalf of the Partnership shall execute, and the Transfer Agent shall countersign and deliver in exchange therefor, a new Certificate, or shall deliver other evidence of the issuance of uncertificated Units, evidencing the same number and type of Partnership Securities as the Certificate so surrendered. </w:t>
      </w:r>
    </w:p>
    <w:p>
      <w:pPr>
        <w:pStyle w:val="TextBody"/>
        <w:spacing w:before="120" w:after="283"/>
        <w:jc w:val="left"/>
        <w:rPr/>
      </w:pPr>
      <w:r>
        <w:rPr/>
        <w:t>     </w:t>
      </w:r>
      <w:r>
        <w:rPr>
          <w:rFonts w:ascii="Times New Roman;Times;serif" w:hAnsi="Times New Roman;Times;serif"/>
          <w:sz w:val="17"/>
        </w:rPr>
        <w:t xml:space="preserve">(b) The appropriate officers of the general partner of the General Partner on behalf of the Partnership shall execute and deliver, and the Transfer Agent shall countersign a new Certificate, or shall deliver other evidence of the issuance of uncertificated Units, in place of any Certificate previously issued if the Record Holder of the Certificate: </w:t>
      </w:r>
    </w:p>
    <w:p>
      <w:pPr>
        <w:pStyle w:val="TextBody"/>
        <w:spacing w:before="120" w:after="283"/>
        <w:jc w:val="left"/>
        <w:rPr/>
      </w:pPr>
      <w:r>
        <w:rPr/>
        <w:t>     </w:t>
      </w:r>
      <w:r>
        <w:rPr>
          <w:rFonts w:ascii="Times New Roman;Times;serif" w:hAnsi="Times New Roman;Times;serif"/>
          <w:sz w:val="17"/>
        </w:rPr>
        <w:t xml:space="preserve">(i) makes proof by affidavit, in form and substance satisfactory to the Partnership, that a previously issued Certificate has been lost, destroyed or stolen; </w:t>
      </w:r>
    </w:p>
    <w:p>
      <w:pPr>
        <w:pStyle w:val="TextBody"/>
        <w:spacing w:before="120" w:after="283"/>
        <w:jc w:val="left"/>
        <w:rPr/>
      </w:pPr>
      <w:r>
        <w:rPr/>
        <w:t>     </w:t>
      </w:r>
      <w:r>
        <w:rPr>
          <w:rFonts w:ascii="Times New Roman;Times;serif" w:hAnsi="Times New Roman;Times;serif"/>
          <w:sz w:val="17"/>
        </w:rPr>
        <w:t xml:space="preserve">(ii) requests the issuance of a new Certificate, or other evidence of the issuance of uncertificated Units, before the Partnership has notice that the Certificate has been acquired by a purchaser for value in good faith and without notice of an adverse claim; </w:t>
      </w:r>
    </w:p>
    <w:p>
      <w:pPr>
        <w:pStyle w:val="TextBody"/>
        <w:spacing w:before="120" w:after="283"/>
        <w:jc w:val="left"/>
        <w:rPr/>
      </w:pPr>
      <w:r>
        <w:rPr/>
        <w:t>     </w:t>
      </w:r>
      <w:r>
        <w:rPr>
          <w:rFonts w:ascii="Times New Roman;Times;serif" w:hAnsi="Times New Roman;Times;serif"/>
          <w:sz w:val="17"/>
        </w:rPr>
        <w:t xml:space="preserve">(iii) if requested by the Partnership, delivers to the Partnership a bond, in form and substance satisfactory to the Partnership, with surety or sureties and with fixed or open penalty as the Partnership may reasonably direct, in its sole discretion, to indemnify the Partnership, the Partners, the General Partner and the Transfer Agent against any claim that may be made on account of the alleged loss, destruction or theft of the Certificate; and </w:t>
      </w:r>
    </w:p>
    <w:p>
      <w:pPr>
        <w:pStyle w:val="TextBody"/>
        <w:spacing w:before="120" w:after="283"/>
        <w:jc w:val="left"/>
        <w:rPr/>
      </w:pPr>
      <w:r>
        <w:rPr/>
        <w:t>     </w:t>
      </w:r>
      <w:r>
        <w:rPr>
          <w:rFonts w:ascii="Times New Roman;Times;serif" w:hAnsi="Times New Roman;Times;serif"/>
          <w:sz w:val="17"/>
        </w:rPr>
        <w:t xml:space="preserve">(iv) satisfies any other reasonable requirements imposed by the Partnership. </w:t>
      </w:r>
    </w:p>
    <w:p>
      <w:pPr>
        <w:pStyle w:val="TextBody"/>
        <w:spacing w:before="120" w:after="283"/>
        <w:jc w:val="left"/>
        <w:rPr/>
      </w:pPr>
      <w:r>
        <w:rPr/>
        <w:t>     </w:t>
      </w:r>
      <w:r>
        <w:rPr>
          <w:rFonts w:ascii="Times New Roman;Times;serif" w:hAnsi="Times New Roman;Times;serif"/>
          <w:sz w:val="17"/>
        </w:rPr>
        <w:t xml:space="preserve">If a Limited Partner or Assignee fails to notify the Partnership within a reasonable time after he has notice of the loss, destruction or theft of a Certificate, and a transfer of the Limited Partner Interests represented by the Certificate is registered before the Partnership, the General Partner or the Transfer Agent receives such notification, the Limited Partner or Assignee shall be precluded from making any claim against the Partnership, the General Partner or the Transfer Agent for such transfer or for a new Certificate, or other evidence of the issuance of uncertificated Units. </w:t>
      </w:r>
    </w:p>
    <w:p>
      <w:pPr>
        <w:pStyle w:val="TextBody"/>
        <w:spacing w:before="120" w:after="283"/>
        <w:jc w:val="left"/>
        <w:rPr/>
      </w:pPr>
      <w:r>
        <w:rPr/>
        <w:t>     </w:t>
      </w:r>
      <w:r>
        <w:rPr>
          <w:rFonts w:ascii="Times New Roman;Times;serif" w:hAnsi="Times New Roman;Times;serif"/>
          <w:sz w:val="17"/>
        </w:rPr>
        <w:t xml:space="preserve">(c) As a condition to the issuance of any new Certificate, or other evidence of the issuance of uncertificated Units, under this Section 4.2, the Partnership may require the payment of a sum sufficient to cover any tax or other governmental charge that may be imposed in relation thereto and any other expenses (including the fees and expenses of the Transfer Agent) reasonably connected therewith. </w:t>
      </w:r>
    </w:p>
    <w:p>
      <w:pPr>
        <w:pStyle w:val="TextBody"/>
        <w:jc w:val="center"/>
        <w:rPr>
          <w:rFonts w:ascii="Times New Roman;Times;serif" w:hAnsi="Times New Roman;Times;serif"/>
          <w:sz w:val="17"/>
        </w:rPr>
      </w:pPr>
      <w:r>
        <w:rPr>
          <w:rFonts w:ascii="Times New Roman;Times;serif" w:hAnsi="Times New Roman;Times;serif"/>
          <w:sz w:val="17"/>
        </w:rPr>
        <w:t xml:space="preserve">2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3. Sections 4.5(a) and (b) are hereby amended to read in full as follows: </w:t>
      </w:r>
    </w:p>
    <w:p>
      <w:pPr>
        <w:pStyle w:val="TextBody"/>
        <w:spacing w:before="120" w:after="283"/>
        <w:jc w:val="left"/>
        <w:rPr/>
      </w:pPr>
      <w:r>
        <w:rPr/>
        <w:t>     </w:t>
      </w:r>
      <w:r>
        <w:rPr>
          <w:rFonts w:ascii="Times New Roman;Times;serif" w:hAnsi="Times New Roman;Times;serif"/>
          <w:sz w:val="17"/>
        </w:rPr>
        <w:t xml:space="preserve">(a) The Partnership shall keep or cause to be kept on behalf of the Partnership a register in which, subject to such reasonable regulations as it may prescribe and subject to the provisions of Section 4.5(b), the Partnership will provide for the registration and transfer of Limited Partner Interests. The Transfer Agent is hereby appointed registrar and transfer agent for the purpose of registering Common Units and transfers of such Common Units as herein provided. The Partnership shall not recognize transfers of Certificates evidencing Limited Partner Interests unless such transfers are effected in the manner described in this Section 4.5. Upon surrender of a Certificate for registration of transfer of any Limited Partner Interests evidenced by a Certificate, and subject to the provisions of Section 4.5(b), the appropriate officers of the general partner of the General Partner on behalf of the Partnership shall execute and deliver, and in the case of Common Units, the Transfer Agent shall countersign and deliver, in the name of the holder or the designated transferee or transferees, as required pursuant to the holders instructions, one or more new Certificates, or shall deliver other evidence of the issuance of uncertificated Units, evidencing the same aggregate number and type of Limited Partner Interests as was evidenced by the Certificate so surrendered. </w:t>
      </w:r>
    </w:p>
    <w:p>
      <w:pPr>
        <w:pStyle w:val="TextBody"/>
        <w:spacing w:before="120" w:after="283"/>
        <w:jc w:val="left"/>
        <w:rPr/>
      </w:pPr>
      <w:r>
        <w:rPr/>
        <w:t>     </w:t>
      </w:r>
      <w:r>
        <w:rPr>
          <w:rFonts w:ascii="Times New Roman;Times;serif" w:hAnsi="Times New Roman;Times;serif"/>
          <w:sz w:val="17"/>
        </w:rPr>
        <w:t xml:space="preserve">(b) Except as otherwise provided in Section 4.9, the Partnership shall not recognize any transfer of Limited Partner Interests until the Certificates evidencing such Limited Partner Interests, or other evidence of the issuance of uncertificated Units, are surrendered for registration of transfer and such Certificates, or other evidence of the issuance of uncertificated Units, are accompanied by a Transfer Application duly executed by the transferee (or the transferees attorney-in-fact duly authorized in writing). No charge shall be imposed by the Partnership for such transfer; provided, that as a condition to the issuance of any new Certificate, or other evidence of the issuance of uncertificated Units, under this Section 4.5, the Partnership may require the payment of a sum sufficient to cover any tax or other governmental charge that may be imposed with respect thereto.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4. Section 4.10(a)(i) is hereby amended to read in full as follows: </w:t>
      </w:r>
    </w:p>
    <w:p>
      <w:pPr>
        <w:pStyle w:val="TextBody"/>
        <w:spacing w:before="120" w:after="283"/>
        <w:jc w:val="left"/>
        <w:rPr/>
      </w:pPr>
      <w:r>
        <w:rPr/>
        <w:t>     </w:t>
      </w:r>
      <w:r>
        <w:rPr>
          <w:rFonts w:ascii="Times New Roman;Times;serif" w:hAnsi="Times New Roman;Times;serif"/>
          <w:sz w:val="17"/>
        </w:rPr>
        <w:t xml:space="preserve">(i) The General Partner shall, not later than the 30th day before the date fixed for redemption, give notice of redemption to the Limited Partner or Assignee, at his last address designated on the records of the Partnership or the Transfer Agent, by registered or certified mail, postage prepaid. The notice shall be deemed to have been given when so mailed. The notice shall specify the Redeemable Interests, the date fixed for redemption, the place of payment, that payment of the redemption price will be made upon surrender of the Certificate evidencing the Redeemable Interests, or other evidence of the issuance of uncertificated Units, and that on and after the date fixed for redemption no further allocations or distributions to which the Limited Partner or Assignee would otherwise be entitled in respect of the Redeemable Interests will accrue or be made.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5. Section 4.10(a)(iii) is hereby amended to read in full as follows: </w:t>
      </w:r>
    </w:p>
    <w:p>
      <w:pPr>
        <w:pStyle w:val="TextBody"/>
        <w:spacing w:before="120" w:after="283"/>
        <w:jc w:val="left"/>
        <w:rPr/>
      </w:pPr>
      <w:r>
        <w:rPr/>
        <w:t>     </w:t>
      </w:r>
      <w:r>
        <w:rPr>
          <w:rFonts w:ascii="Times New Roman;Times;serif" w:hAnsi="Times New Roman;Times;serif"/>
          <w:sz w:val="17"/>
        </w:rPr>
        <w:t xml:space="preserve">(iii) Upon surrender by or on behalf of the Limited Partner or Assignee, at the place specified in the notice of redemption, of the Certificate evidencing the Redeemable Interests, duly endorsed in blank or accompanied by an assignment duly executed in </w:t>
      </w:r>
    </w:p>
    <w:p>
      <w:pPr>
        <w:pStyle w:val="TextBody"/>
        <w:jc w:val="center"/>
        <w:rPr>
          <w:rFonts w:ascii="Times New Roman;Times;serif" w:hAnsi="Times New Roman;Times;serif"/>
          <w:sz w:val="17"/>
        </w:rPr>
      </w:pPr>
      <w:r>
        <w:rPr>
          <w:rFonts w:ascii="Times New Roman;Times;serif" w:hAnsi="Times New Roman;Times;serif"/>
          <w:sz w:val="17"/>
        </w:rPr>
        <w:t xml:space="preserve">3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blank, or other evidence of the issuance of uncertificated Units, the Limited Partner or Assignee or his duly authorized representative shall be entitled to receive the payment therefor.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6. Section 5.10(c) is hereby amended to read in full as follows: </w:t>
      </w:r>
    </w:p>
    <w:p>
      <w:pPr>
        <w:pStyle w:val="TextBody"/>
        <w:spacing w:before="120" w:after="283"/>
        <w:jc w:val="left"/>
        <w:rPr/>
      </w:pPr>
      <w:r>
        <w:rPr/>
        <w:t>     </w:t>
      </w:r>
      <w:r>
        <w:rPr>
          <w:rFonts w:ascii="Times New Roman;Times;serif" w:hAnsi="Times New Roman;Times;serif"/>
          <w:sz w:val="17"/>
        </w:rPr>
        <w:t xml:space="preserve">(c) Promptly following any such distribution, subdivision or combination, the Partnership may issue Certificates, or other evidence of the issuance of uncertificated Units, to the Record Holders of Partnership Securities as of the applicable Record Date representing the new number of Partnership Securities held by such Record Holders, or the General Partner may adopt such other procedures as it may deem appropriate to reflect such changes. If any such combination results in a smaller total number of Partnership Securities Outstanding, the Partnership shall require, as a condition to the delivery to a Record Holder of such new Certificate, or other evidence of the issuance of uncertificated Units, the surrender of any Certificate, or other evidence of the issuance of uncertificated Units, held by such Record Holder immediately prior to such Record Date.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7. Section 10.2 is hereby amended to read in full as follows: </w:t>
      </w:r>
    </w:p>
    <w:p>
      <w:pPr>
        <w:pStyle w:val="TextBody"/>
        <w:spacing w:before="120" w:after="283"/>
        <w:jc w:val="left"/>
        <w:rPr/>
      </w:pPr>
      <w:r>
        <w:rPr/>
        <w:t>     </w:t>
      </w:r>
      <w:r>
        <w:rPr>
          <w:rFonts w:ascii="Times New Roman;Times;serif" w:hAnsi="Times New Roman;Times;serif"/>
          <w:sz w:val="17"/>
        </w:rPr>
        <w:t xml:space="preserve">By transfer of a Limited Partner Interest in accordance with Article IV, the transferor shall be deemed to have given the transferee the right to seek admission as a Substituted Limited Partner subject to the conditions of, and in the manner permitted under, this Agreement. A transferor of a Certificate representing a Limited Partner Interest, or other evidence of the issuance of uncertificated Units, shall, however, only have the authority to convey to a purchaser or other transferee who does not execute and deliver a Transfer Application (a) the right to negotiate such Certificate, or other evidence of the issuance of uncertificated Units, to a purchaser or other transferee and (b) the right to transfer the right to request admission as a Substituted Limited Partner to such purchaser or other transferee in respect of the transferred Limited Partner Interests. Each transferee of a Limited Partner Interest (including any nominee holder or an agent acquiring such Limited Partner Interest for the account of another Person) who executes and delivers a Transfer Application shall, by virtue of such execution and delivery, be an Assignee and be deemed to have applied to become a Substituted Limited Partner with respect to the Limited Partner Interests so transferred to such Person. Such Assignee shall become a Substituted Limited Partner (x) at such time as the General Partner consents thereto, which consent may be given or withheld in the General Partners discretion, and (y) when any such admission is shown on the books and records of the Partnership. If such consent is withheld, such transferee shall be an Assignee. An Assignee shall have an interest in the Partnership equivalent to that of a Limited Partner with respect to allocations and distributions, including liquidating distributions, of the Partnership. With respect to voting rights attributable to Limited Partner Interests that are held by Assignees, the General Partner shall be deemed to be the Limited Partner with respect thereto and shall, in exercising the voting rights in respect of such Limited Partner Interests on any matter, vote such Limited Partner Interests at the written direction of the Assignee who is the Record Holder of such Limited Partner Interests. If no such written direction is received, such Limited Partner Interests will not be voted. An Assignee shall have no other rights of a Limited Partner. </w:t>
      </w:r>
    </w:p>
    <w:p>
      <w:pPr>
        <w:pStyle w:val="TextBody"/>
        <w:jc w:val="center"/>
        <w:rPr>
          <w:rFonts w:ascii="Times New Roman;Times;serif" w:hAnsi="Times New Roman;Times;serif"/>
          <w:sz w:val="17"/>
        </w:rPr>
      </w:pPr>
      <w:r>
        <w:rPr>
          <w:rFonts w:ascii="Times New Roman;Times;serif" w:hAnsi="Times New Roman;Times;serif"/>
          <w:sz w:val="17"/>
        </w:rPr>
        <w:t xml:space="preserve">4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8. Sections 15.1(b) and (c) are hereby amended to read in full as follows: </w:t>
      </w:r>
    </w:p>
    <w:p>
      <w:pPr>
        <w:pStyle w:val="TextBody"/>
        <w:spacing w:before="120" w:after="283"/>
        <w:jc w:val="left"/>
        <w:rPr/>
      </w:pPr>
      <w:r>
        <w:rPr/>
        <w:t>     </w:t>
      </w:r>
      <w:r>
        <w:rPr>
          <w:rFonts w:ascii="Times New Roman;Times;serif" w:hAnsi="Times New Roman;Times;serif"/>
          <w:sz w:val="17"/>
        </w:rPr>
        <w:t>(b) If the General Partner, any Affiliate of the General Partner or the Partnership elects to exercise the right to purchase Limited Partner Interests granted pursuant to Section 15.1(a), the General Partner shall deliver to the Transfer Agent notice of such election to purchase (the </w:t>
      </w:r>
      <w:r>
        <w:rPr>
          <w:rFonts w:ascii="Times New Roman;Times;serif" w:hAnsi="Times New Roman;Times;serif"/>
          <w:i/>
          <w:sz w:val="17"/>
        </w:rPr>
        <w:t>Notice of Election to Purchase</w:t>
      </w:r>
      <w:r>
        <w:rPr>
          <w:rFonts w:ascii="Times New Roman;Times;serif" w:hAnsi="Times New Roman;Times;serif"/>
          <w:sz w:val="17"/>
        </w:rPr>
        <w:t xml:space="preserve">) and shall cause the Transfer Agent to mail a copy of such Notice of Election to Purchase to the Record Holders of Limited Partner Interests of such class (as of a Record Date selected by the General Partner) at least 10, but not more than 60, days prior to the Purchase Date. Such Notice of Election to Purchase shall also be published for a period of at least three consecutive days in at least two daily newspapers of general circulation printed in the English language and published in the Borough of Manhattan, New York. The Notice of Election to Purchase shall specify the Purchase Date and the price (determined in accordance with Section 15.1(a)) at which Limited Partner Interests will be purchased and state that the General Partner, its Affiliate or the Partnership, as the case may be, elects to purchase such Limited Partner Interests, upon surrender of Certificates representing such Limited Partner Interests, or other evidence of the issuance of uncertificated Units, in exchange for payment, at such office or offices of the Transfer Agent as the Transfer Agent may specify, or as may be required by any National Securities Exchange on which such Limited Partner Interests are listed or admitted to trading. Any such Notice of Election to Purchase mailed to a Record Holder of Limited Partner Interests at his address as reflected in the records of the Transfer Agent shall be conclusively presumed to have been given regardless of whether the owner receives such notice. On or prior to the Purchase Date, the General Partner, its Affiliate or the Partnership, as the case may be, shall deposit with the Transfer Agent cash in an amount sufficient to pay the aggregate purchase price of all of such Limited Partner Interests to be purchased in accordance with this Section 15.1. If the Notice of Election to Purchase shall have been duly given as aforesaid at least 10 days prior to the Purchase Date, and if on or prior to the Purchase Date the deposit described in the preceding sentence has been made for the benefit of the holders of Limited Partner Interests subject to purchase as provided herein, then from and after the Purchase Date, notwithstanding that any Certificate, or other evidence of the issuance of uncertificated Units, shall not have been surrendered for purchase, all rights of the holders of such Limited Partner Interests (including any rights pursuant to Articles IV, V, VI, and XII) shall thereupon cease, except the right to receive the purchase price (determined in accordance with Section 15.1(a)) for Limited Partner Interests therefor, without interest, upon surrender to the Transfer Agent of the Certificates representing such Limited Partner Interests, or other evidence of the issuance of uncertificated Units, and such Limited Partner Interests shall thereupon be deemed to be transferred to the General Partner, its Affiliate or the Partnership, as the case may be, on the record books of the Transfer Agent and the Partnership, and the General Partner or any Affiliate of the General Partner, or the Partnership, as the case may be, shall be deemed to be the owner of all such Limited Partner Interests from and after the Purchase Date and shall have all rights as the owner of such Limited Partner Interests (including all rights as owner of such Limited Partner Interests pursuant to Articles IV, V, VI and XII). </w:t>
      </w:r>
    </w:p>
    <w:p>
      <w:pPr>
        <w:pStyle w:val="TextBody"/>
        <w:spacing w:before="120" w:after="283"/>
        <w:jc w:val="left"/>
        <w:rPr/>
      </w:pPr>
      <w:r>
        <w:rPr/>
        <w:t>     </w:t>
      </w:r>
      <w:r>
        <w:rPr>
          <w:rFonts w:ascii="Times New Roman;Times;serif" w:hAnsi="Times New Roman;Times;serif"/>
          <w:sz w:val="17"/>
        </w:rPr>
        <w:t xml:space="preserve">(c) At any time from and after the Purchase Date, a holder of an Outstanding Limited Partner Interest subject to purchase as provided in this Section 15.1 may surrender his Certificate evidencing such Limited Partner Interest, or other evidence of the issuance of uncertificated Units, to the Transfer Agent in exchange for payment of the amount described in Section 15.1(a), therefor, without interest thereon. </w:t>
      </w:r>
    </w:p>
    <w:p>
      <w:pPr>
        <w:pStyle w:val="TextBody"/>
        <w:jc w:val="center"/>
        <w:rPr>
          <w:rFonts w:ascii="Times New Roman;Times;serif" w:hAnsi="Times New Roman;Times;serif"/>
          <w:sz w:val="17"/>
        </w:rPr>
      </w:pPr>
      <w:r>
        <w:rPr>
          <w:rFonts w:ascii="Times New Roman;Times;serif" w:hAnsi="Times New Roman;Times;serif"/>
          <w:sz w:val="17"/>
        </w:rPr>
        <w:t xml:space="preserve">5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9. Section 16.7 is hereby amended to read in full as follows: </w:t>
      </w:r>
    </w:p>
    <w:p>
      <w:pPr>
        <w:pStyle w:val="TextBody"/>
        <w:spacing w:before="120" w:after="283"/>
        <w:jc w:val="left"/>
        <w:rPr/>
      </w:pPr>
      <w:r>
        <w:rPr/>
        <w:t>     </w:t>
      </w:r>
      <w:r>
        <w:rPr>
          <w:rFonts w:ascii="Times New Roman;Times;serif" w:hAnsi="Times New Roman;Times;serif"/>
          <w:sz w:val="17"/>
        </w:rPr>
        <w:t xml:space="preserve">This Agreement may be executed in counterparts, all of which together shall constitute an agreement binding on all the parties hereto, notwithstanding that all such parties are not signatories to the original or the same counterpart. Each party shall become bound by this Agreement immediately upon affixing its signature hereto or, in the case of a Person acquiring a Unit, upon accepting the Certificate evidencing such Unit, or other evidence of the issuance of uncertificated Units, or executing and delivering a Transfer Application as herein described, independently of the signature of any other party.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10. Except as hereby amended, the Partnership Agreement shall remain in full force and effect. </w:t>
      </w:r>
    </w:p>
    <w:p>
      <w:pPr>
        <w:pStyle w:val="TextBody"/>
        <w:spacing w:before="120" w:after="283"/>
        <w:jc w:val="left"/>
        <w:rPr>
          <w:rFonts w:ascii="Times New Roman;Times;serif" w:hAnsi="Times New Roman;Times;serif"/>
          <w:sz w:val="17"/>
        </w:rPr>
      </w:pPr>
      <w:r>
        <w:rPr>
          <w:rFonts w:ascii="Times New Roman;Times;serif" w:hAnsi="Times New Roman;Times;serif"/>
          <w:sz w:val="17"/>
        </w:rPr>
        <w:t xml:space="preserve">Section 11. This Amendment shall be governed by, and interpreted in accordance with, the laws of the State of Delaware, all rights and remedies being governed by such laws without regard to principles of conflicts of laws. </w:t>
      </w:r>
    </w:p>
    <w:p>
      <w:pPr>
        <w:pStyle w:val="TextBody"/>
        <w:jc w:val="center"/>
        <w:rPr>
          <w:rFonts w:ascii="Times New Roman;Times;serif" w:hAnsi="Times New Roman;Times;serif"/>
          <w:sz w:val="17"/>
        </w:rPr>
      </w:pPr>
      <w:r>
        <w:rPr>
          <w:rFonts w:ascii="Times New Roman;Times;serif" w:hAnsi="Times New Roman;Times;serif"/>
          <w:sz w:val="17"/>
        </w:rPr>
        <w:t xml:space="preserve">6 </w:t>
      </w:r>
    </w:p>
    <w:p>
      <w:pPr>
        <w:pStyle w:val="HorizontalLine"/>
        <w:pBdr>
          <w:bottom w:val="single" w:sz="20" w:space="0" w:color="808080"/>
        </w:pBdr>
        <w:rPr/>
      </w:pPr>
      <w:r>
        <w:rPr/>
      </w:r>
      <w:r>
        <w:br w:type="page"/>
      </w:r>
    </w:p>
    <w:p>
      <w:pPr>
        <w:pStyle w:val="Heading5"/>
        <w:jc w:val="left"/>
        <w:rPr/>
      </w:pPr>
      <w:r>
        <w:rPr/>
        <w:t> </w:t>
      </w:r>
    </w:p>
    <w:p>
      <w:pPr>
        <w:pStyle w:val="TextBody"/>
        <w:spacing w:before="120" w:after="283"/>
        <w:jc w:val="left"/>
        <w:rPr/>
      </w:pPr>
      <w:r>
        <w:rPr/>
        <w:t>     </w:t>
      </w:r>
      <w:r>
        <w:rPr>
          <w:rFonts w:ascii="Times New Roman;Times;serif" w:hAnsi="Times New Roman;Times;serif"/>
          <w:sz w:val="17"/>
        </w:rPr>
        <w:t xml:space="preserve">IN WITNESS WHEREOF, this Amendment has been executed as of the date first written above. </w:t>
      </w:r>
    </w:p>
    <w:tbl>
      <w:tblPr>
        <w:tblW w:w="5000" w:type="pct"/>
        <w:jc w:val="left"/>
        <w:tblInd w:w="0" w:type="dxa"/>
        <w:tblCellMar>
          <w:top w:w="0" w:type="dxa"/>
          <w:left w:w="0" w:type="dxa"/>
          <w:bottom w:w="0" w:type="dxa"/>
          <w:right w:w="0" w:type="dxa"/>
        </w:tblCellMar>
      </w:tblPr>
      <w:tblGrid>
        <w:gridCol w:w="4128"/>
        <w:gridCol w:w="350"/>
        <w:gridCol w:w="598"/>
        <w:gridCol w:w="3799"/>
        <w:gridCol w:w="1330"/>
      </w:tblGrid>
      <w:tr>
        <w:trPr/>
        <w:tc>
          <w:tcPr>
            <w:tcW w:w="4128" w:type="dxa"/>
            <w:tcBorders/>
            <w:shd w:fill="auto" w:val="clear"/>
            <w:vAlign w:val="center"/>
          </w:tcPr>
          <w:p>
            <w:pPr>
              <w:pStyle w:val="TableContents"/>
              <w:spacing w:before="0" w:after="283"/>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vAlign w:val="center"/>
          </w:tcPr>
          <w:p>
            <w:pPr>
              <w:pStyle w:val="TableContents"/>
              <w:spacing w:before="0" w:after="283"/>
              <w:rPr/>
            </w:pPr>
            <w:r>
              <w:rPr/>
              <w:t> </w:t>
            </w:r>
          </w:p>
        </w:tc>
        <w:tc>
          <w:tcPr>
            <w:tcW w:w="3799" w:type="dxa"/>
            <w:tcBorders/>
            <w:shd w:fill="auto" w:val="clear"/>
            <w:vAlign w:val="center"/>
          </w:tcPr>
          <w:p>
            <w:pPr>
              <w:pStyle w:val="TableContents"/>
              <w:spacing w:before="0" w:after="283"/>
              <w:rPr/>
            </w:pPr>
            <w:r>
              <w:rPr/>
              <w:t>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tcPr>
          <w:p>
            <w:pPr>
              <w:pStyle w:val="TableContents"/>
              <w:spacing w:before="0" w:after="283"/>
              <w:jc w:val="left"/>
              <w:rPr/>
            </w:pPr>
            <w:r>
              <w:rPr/>
              <w:t> </w:t>
            </w:r>
          </w:p>
        </w:tc>
        <w:tc>
          <w:tcPr>
            <w:tcW w:w="4747" w:type="dxa"/>
            <w:gridSpan w:val="3"/>
            <w:tcBorders/>
            <w:shd w:fill="auto" w:val="clear"/>
            <w:vAlign w:val="center"/>
          </w:tcPr>
          <w:p>
            <w:pPr>
              <w:pStyle w:val="TableContents"/>
              <w:spacing w:before="0" w:after="283"/>
              <w:jc w:val="left"/>
              <w:rPr/>
            </w:pPr>
            <w:r>
              <w:rPr/>
              <w:t>GENERAL PARTNER:</w:t>
              <w:br/>
              <w:br/>
              <w:t>PLAINS AAP, L.P.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shd w:fill="auto" w:val="clear"/>
            <w:vAlign w:val="center"/>
          </w:tcPr>
          <w:p>
            <w:pPr>
              <w:pStyle w:val="TableContents"/>
              <w:spacing w:before="0" w:after="283"/>
              <w:jc w:val="left"/>
              <w:rPr/>
            </w:pPr>
            <w:r>
              <w:rPr/>
              <w:t> </w:t>
            </w:r>
            <w:r>
              <w:rPr/>
              <w:t>PLAINS ALL AMERICAN GP LLC,</w:t>
              <w:br/>
              <w:t>its General Partner</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tcPr>
          <w:p>
            <w:pPr>
              <w:pStyle w:val="TableContents"/>
              <w:spacing w:before="0" w:after="283"/>
              <w:rPr/>
            </w:pPr>
            <w:r>
              <w:rPr/>
              <w:t>By:  </w:t>
            </w:r>
          </w:p>
        </w:tc>
        <w:tc>
          <w:tcPr>
            <w:tcW w:w="4397" w:type="dxa"/>
            <w:gridSpan w:val="2"/>
            <w:tcBorders>
              <w:bottom w:val="single" w:sz="2" w:space="0" w:color="000000"/>
            </w:tcBorders>
            <w:shd w:fill="auto" w:val="clear"/>
            <w:tcMar>
              <w:bottom w:w="28" w:type="dxa"/>
            </w:tcMar>
            <w:vAlign w:val="center"/>
          </w:tcPr>
          <w:p>
            <w:pPr>
              <w:pStyle w:val="TableContents"/>
              <w:spacing w:before="0" w:after="283"/>
              <w:jc w:val="left"/>
              <w:rPr/>
            </w:pPr>
            <w:r>
              <w:rPr/>
              <w:t>/s/ 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Name:  </w:t>
            </w:r>
          </w:p>
        </w:tc>
        <w:tc>
          <w:tcPr>
            <w:tcW w:w="3799" w:type="dxa"/>
            <w:tcBorders/>
            <w:shd w:fill="auto" w:val="clear"/>
            <w:vAlign w:val="center"/>
          </w:tcPr>
          <w:p>
            <w:pPr>
              <w:pStyle w:val="TableContents"/>
              <w:spacing w:before="0" w:after="283"/>
              <w:jc w:val="left"/>
              <w:rPr/>
            </w:pPr>
            <w:r>
              <w:rPr/>
              <w:t>Tim Moore </w:t>
            </w:r>
          </w:p>
        </w:tc>
        <w:tc>
          <w:tcPr>
            <w:tcW w:w="1330" w:type="dxa"/>
            <w:tcBorders/>
            <w:shd w:fill="auto" w:val="clear"/>
            <w:vAlign w:val="center"/>
          </w:tcPr>
          <w:p>
            <w:pPr>
              <w:pStyle w:val="TableContents"/>
              <w:spacing w:before="0" w:after="283"/>
              <w:rPr/>
            </w:pPr>
            <w:r>
              <w:rPr/>
              <w:t> </w:t>
            </w:r>
          </w:p>
        </w:tc>
      </w:tr>
      <w:tr>
        <w:trPr/>
        <w:tc>
          <w:tcPr>
            <w:tcW w:w="4128" w:type="dxa"/>
            <w:tcBorders/>
            <w:shd w:fill="auto" w:val="clear"/>
            <w:vAlign w:val="center"/>
          </w:tcPr>
          <w:p>
            <w:pPr>
              <w:pStyle w:val="TableContents"/>
              <w:spacing w:before="0" w:after="283"/>
              <w:jc w:val="left"/>
              <w:rPr/>
            </w:pPr>
            <w:r>
              <w:rPr/>
              <w:t> </w:t>
            </w:r>
          </w:p>
        </w:tc>
        <w:tc>
          <w:tcPr>
            <w:tcW w:w="350" w:type="dxa"/>
            <w:tcBorders/>
            <w:shd w:fill="auto" w:val="clear"/>
            <w:vAlign w:val="center"/>
          </w:tcPr>
          <w:p>
            <w:pPr>
              <w:pStyle w:val="TableContents"/>
              <w:spacing w:before="0" w:after="283"/>
              <w:rPr/>
            </w:pPr>
            <w:r>
              <w:rPr/>
              <w:t> </w:t>
            </w:r>
          </w:p>
        </w:tc>
        <w:tc>
          <w:tcPr>
            <w:tcW w:w="598" w:type="dxa"/>
            <w:tcBorders/>
            <w:shd w:fill="auto" w:val="clear"/>
          </w:tcPr>
          <w:p>
            <w:pPr>
              <w:pStyle w:val="TableContents"/>
              <w:spacing w:before="0" w:after="283"/>
              <w:rPr/>
            </w:pPr>
            <w:r>
              <w:rPr/>
              <w:t>Title:  </w:t>
            </w:r>
          </w:p>
        </w:tc>
        <w:tc>
          <w:tcPr>
            <w:tcW w:w="3799" w:type="dxa"/>
            <w:tcBorders/>
            <w:shd w:fill="auto" w:val="clear"/>
            <w:vAlign w:val="center"/>
          </w:tcPr>
          <w:p>
            <w:pPr>
              <w:pStyle w:val="TableContents"/>
              <w:spacing w:before="0" w:after="283"/>
              <w:jc w:val="left"/>
              <w:rPr/>
            </w:pPr>
            <w:r>
              <w:rPr/>
              <w:t>Vice President </w:t>
            </w:r>
          </w:p>
        </w:tc>
        <w:tc>
          <w:tcPr>
            <w:tcW w:w="1330" w:type="dxa"/>
            <w:tcBorders/>
            <w:shd w:fill="auto" w:val="clear"/>
            <w:vAlign w:val="center"/>
          </w:tcPr>
          <w:p>
            <w:pPr>
              <w:pStyle w:val="TableContents"/>
              <w:spacing w:before="0" w:after="283"/>
              <w:rPr/>
            </w:pPr>
            <w:r>
              <w:rPr/>
              <w:t> </w:t>
            </w:r>
          </w:p>
        </w:tc>
      </w:tr>
      <w:tr>
        <w:trPr/>
        <w:tc>
          <w:tcPr>
            <w:tcW w:w="10205" w:type="dxa"/>
            <w:gridSpan w:val="5"/>
            <w:tcBorders/>
            <w:shd w:fill="auto" w:val="clear"/>
            <w:vAlign w:val="center"/>
          </w:tcPr>
          <w:p>
            <w:pPr>
              <w:pStyle w:val="TableContents"/>
              <w:spacing w:before="0" w:after="283"/>
              <w:rPr/>
            </w:pPr>
            <w:r>
              <w:rPr/>
              <w:t> </w:t>
            </w:r>
          </w:p>
        </w:tc>
      </w:tr>
    </w:tbl>
    <w:p>
      <w:pPr>
        <w:pStyle w:val="TextBody"/>
        <w:spacing w:before="0" w:after="0"/>
        <w:jc w:val="center"/>
        <w:rPr>
          <w:rFonts w:ascii="Times New Roman;Times;serif" w:hAnsi="Times New Roman;Times;serif"/>
          <w:sz w:val="17"/>
        </w:rPr>
      </w:pPr>
      <w:r>
        <w:rPr>
          <w:rFonts w:ascii="Times New Roman;Times;serif" w:hAnsi="Times New Roman;Times;serif"/>
          <w:sz w:val="17"/>
        </w:rPr>
        <w:t xml:space="preserve">7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DejaVu Sans"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11</Pages>
  <Words>3481</Words>
  <CharactersWithSpaces>21956</CharactersWithSpaces>
  <Paragraphs>191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exv3w1</dc:title>
</cp:coreProperties>
</file>