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333-207139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November 15, 2016</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8"/>
                <w:szCs w:val="18"/>
                <w:b w:val="1"/>
                <w:bCs w:val="1"/>
                <w:color w:val="auto"/>
              </w:rPr>
              <w:t>Final Term Sheet</w:t>
            </w:r>
          </w:p>
        </w:tc>
      </w:tr>
      <w:tr>
        <w:trPr>
          <w:trHeight w:val="234"/>
        </w:trPr>
        <w:tc>
          <w:tcPr>
            <w:tcW w:w="11460" w:type="dxa"/>
            <w:vAlign w:val="bottom"/>
            <w:gridSpan w:val="2"/>
          </w:tcPr>
          <w:p>
            <w:pPr>
              <w:ind w:left="4020"/>
              <w:spacing w:after="0"/>
              <w:rPr>
                <w:sz w:val="20"/>
                <w:szCs w:val="20"/>
                <w:color w:val="auto"/>
              </w:rPr>
            </w:pPr>
            <w:r>
              <w:rPr>
                <w:rFonts w:ascii="Arial" w:cs="Arial" w:eastAsia="Arial" w:hAnsi="Arial"/>
                <w:sz w:val="18"/>
                <w:szCs w:val="18"/>
                <w:b w:val="1"/>
                <w:bCs w:val="1"/>
                <w:color w:val="auto"/>
              </w:rPr>
              <w:t>$750,000,000 4.500% Senior Notes due 2026</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Issuers:</w:t>
            </w:r>
          </w:p>
        </w:tc>
        <w:tc>
          <w:tcPr>
            <w:tcW w:w="6760" w:type="dxa"/>
            <w:vAlign w:val="bottom"/>
          </w:tcPr>
          <w:p>
            <w:pPr>
              <w:ind w:left="460"/>
              <w:spacing w:after="0"/>
              <w:rPr>
                <w:sz w:val="20"/>
                <w:szCs w:val="20"/>
                <w:color w:val="auto"/>
              </w:rPr>
            </w:pPr>
            <w:r>
              <w:rPr>
                <w:rFonts w:ascii="Arial" w:cs="Arial" w:eastAsia="Arial" w:hAnsi="Arial"/>
                <w:sz w:val="18"/>
                <w:szCs w:val="18"/>
                <w:color w:val="auto"/>
              </w:rPr>
              <w:t>Plains All American Pipeline, L.P. and PAA Finance Corp.</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Ratings (Moody’s / S&amp;P / Fitch):*</w:t>
            </w:r>
          </w:p>
        </w:tc>
        <w:tc>
          <w:tcPr>
            <w:tcW w:w="6760" w:type="dxa"/>
            <w:vAlign w:val="bottom"/>
          </w:tcPr>
          <w:p>
            <w:pPr>
              <w:ind w:left="460"/>
              <w:spacing w:after="0"/>
              <w:rPr>
                <w:sz w:val="20"/>
                <w:szCs w:val="20"/>
                <w:color w:val="auto"/>
              </w:rPr>
            </w:pPr>
            <w:r>
              <w:rPr>
                <w:rFonts w:ascii="Arial" w:cs="Arial" w:eastAsia="Arial" w:hAnsi="Arial"/>
                <w:sz w:val="18"/>
                <w:szCs w:val="18"/>
                <w:color w:val="auto"/>
              </w:rPr>
              <w:t>Baa3 / BBB- / BBB</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Security Type:</w:t>
            </w:r>
          </w:p>
        </w:tc>
        <w:tc>
          <w:tcPr>
            <w:tcW w:w="6760" w:type="dxa"/>
            <w:vAlign w:val="bottom"/>
          </w:tcPr>
          <w:p>
            <w:pPr>
              <w:ind w:left="460"/>
              <w:spacing w:after="0"/>
              <w:rPr>
                <w:sz w:val="20"/>
                <w:szCs w:val="20"/>
                <w:color w:val="auto"/>
              </w:rPr>
            </w:pPr>
            <w:r>
              <w:rPr>
                <w:rFonts w:ascii="Arial" w:cs="Arial" w:eastAsia="Arial" w:hAnsi="Arial"/>
                <w:sz w:val="18"/>
                <w:szCs w:val="18"/>
                <w:color w:val="auto"/>
              </w:rPr>
              <w:t>Senior Unsecured Notes</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Legal Format:</w:t>
            </w:r>
          </w:p>
        </w:tc>
        <w:tc>
          <w:tcPr>
            <w:tcW w:w="6760" w:type="dxa"/>
            <w:vAlign w:val="bottom"/>
          </w:tcPr>
          <w:p>
            <w:pPr>
              <w:ind w:left="460"/>
              <w:spacing w:after="0"/>
              <w:rPr>
                <w:sz w:val="20"/>
                <w:szCs w:val="20"/>
                <w:color w:val="auto"/>
              </w:rPr>
            </w:pPr>
            <w:r>
              <w:rPr>
                <w:rFonts w:ascii="Arial" w:cs="Arial" w:eastAsia="Arial" w:hAnsi="Arial"/>
                <w:sz w:val="18"/>
                <w:szCs w:val="18"/>
                <w:color w:val="auto"/>
              </w:rPr>
              <w:t>SEC Registered</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Pricing Date:</w:t>
            </w:r>
          </w:p>
        </w:tc>
        <w:tc>
          <w:tcPr>
            <w:tcW w:w="6760" w:type="dxa"/>
            <w:vAlign w:val="bottom"/>
          </w:tcPr>
          <w:p>
            <w:pPr>
              <w:ind w:left="460"/>
              <w:spacing w:after="0"/>
              <w:rPr>
                <w:sz w:val="20"/>
                <w:szCs w:val="20"/>
                <w:color w:val="auto"/>
              </w:rPr>
            </w:pPr>
            <w:r>
              <w:rPr>
                <w:rFonts w:ascii="Arial" w:cs="Arial" w:eastAsia="Arial" w:hAnsi="Arial"/>
                <w:sz w:val="18"/>
                <w:szCs w:val="18"/>
                <w:color w:val="auto"/>
              </w:rPr>
              <w:t>November 15, 2016</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Settlement Date (T+5):</w:t>
            </w:r>
          </w:p>
        </w:tc>
        <w:tc>
          <w:tcPr>
            <w:tcW w:w="6760" w:type="dxa"/>
            <w:vAlign w:val="bottom"/>
          </w:tcPr>
          <w:p>
            <w:pPr>
              <w:ind w:left="460"/>
              <w:spacing w:after="0"/>
              <w:rPr>
                <w:sz w:val="20"/>
                <w:szCs w:val="20"/>
                <w:color w:val="auto"/>
              </w:rPr>
            </w:pPr>
            <w:r>
              <w:rPr>
                <w:rFonts w:ascii="Arial" w:cs="Arial" w:eastAsia="Arial" w:hAnsi="Arial"/>
                <w:sz w:val="18"/>
                <w:szCs w:val="18"/>
                <w:color w:val="auto"/>
              </w:rPr>
              <w:t>November 22, 2016</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Maturity Date:</w:t>
            </w:r>
          </w:p>
        </w:tc>
        <w:tc>
          <w:tcPr>
            <w:tcW w:w="6760" w:type="dxa"/>
            <w:vAlign w:val="bottom"/>
          </w:tcPr>
          <w:p>
            <w:pPr>
              <w:ind w:left="460"/>
              <w:spacing w:after="0"/>
              <w:rPr>
                <w:sz w:val="20"/>
                <w:szCs w:val="20"/>
                <w:color w:val="auto"/>
              </w:rPr>
            </w:pPr>
            <w:r>
              <w:rPr>
                <w:rFonts w:ascii="Arial" w:cs="Arial" w:eastAsia="Arial" w:hAnsi="Arial"/>
                <w:sz w:val="18"/>
                <w:szCs w:val="18"/>
                <w:color w:val="auto"/>
              </w:rPr>
              <w:t>December 15, 2026</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Principal Amount:</w:t>
            </w:r>
          </w:p>
        </w:tc>
        <w:tc>
          <w:tcPr>
            <w:tcW w:w="6760" w:type="dxa"/>
            <w:vAlign w:val="bottom"/>
          </w:tcPr>
          <w:p>
            <w:pPr>
              <w:ind w:left="460"/>
              <w:spacing w:after="0"/>
              <w:rPr>
                <w:sz w:val="20"/>
                <w:szCs w:val="20"/>
                <w:color w:val="auto"/>
              </w:rPr>
            </w:pPr>
            <w:r>
              <w:rPr>
                <w:rFonts w:ascii="Arial" w:cs="Arial" w:eastAsia="Arial" w:hAnsi="Arial"/>
                <w:sz w:val="18"/>
                <w:szCs w:val="18"/>
                <w:color w:val="auto"/>
              </w:rPr>
              <w:t>$750,000,000</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Benchmark Treasury:</w:t>
            </w:r>
          </w:p>
        </w:tc>
        <w:tc>
          <w:tcPr>
            <w:tcW w:w="6760" w:type="dxa"/>
            <w:vAlign w:val="bottom"/>
          </w:tcPr>
          <w:p>
            <w:pPr>
              <w:ind w:left="460"/>
              <w:spacing w:after="0"/>
              <w:rPr>
                <w:sz w:val="20"/>
                <w:szCs w:val="20"/>
                <w:color w:val="auto"/>
              </w:rPr>
            </w:pPr>
            <w:r>
              <w:rPr>
                <w:rFonts w:ascii="Arial" w:cs="Arial" w:eastAsia="Arial" w:hAnsi="Arial"/>
                <w:sz w:val="18"/>
                <w:szCs w:val="18"/>
                <w:color w:val="auto"/>
              </w:rPr>
              <w:t>UST 2.00% due November 15, 2026</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6760" w:type="dxa"/>
            <w:vAlign w:val="bottom"/>
          </w:tcPr>
          <w:p>
            <w:pPr>
              <w:ind w:left="460"/>
              <w:spacing w:after="0"/>
              <w:rPr>
                <w:sz w:val="20"/>
                <w:szCs w:val="20"/>
                <w:color w:val="auto"/>
              </w:rPr>
            </w:pPr>
            <w:r>
              <w:rPr>
                <w:rFonts w:ascii="Arial" w:cs="Arial" w:eastAsia="Arial" w:hAnsi="Arial"/>
                <w:sz w:val="18"/>
                <w:szCs w:val="18"/>
                <w:color w:val="auto"/>
              </w:rPr>
              <w:t>2.235%</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6760" w:type="dxa"/>
            <w:vAlign w:val="bottom"/>
          </w:tcPr>
          <w:p>
            <w:pPr>
              <w:ind w:left="460"/>
              <w:spacing w:after="0"/>
              <w:rPr>
                <w:sz w:val="20"/>
                <w:szCs w:val="20"/>
                <w:color w:val="auto"/>
              </w:rPr>
            </w:pPr>
            <w:r>
              <w:rPr>
                <w:rFonts w:ascii="Arial" w:cs="Arial" w:eastAsia="Arial" w:hAnsi="Arial"/>
                <w:sz w:val="18"/>
                <w:szCs w:val="18"/>
                <w:color w:val="auto"/>
              </w:rPr>
              <w:t>+230 bps</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Yield to Maturity:</w:t>
            </w:r>
          </w:p>
        </w:tc>
        <w:tc>
          <w:tcPr>
            <w:tcW w:w="6760" w:type="dxa"/>
            <w:vAlign w:val="bottom"/>
          </w:tcPr>
          <w:p>
            <w:pPr>
              <w:ind w:left="460"/>
              <w:spacing w:after="0"/>
              <w:rPr>
                <w:sz w:val="20"/>
                <w:szCs w:val="20"/>
                <w:color w:val="auto"/>
              </w:rPr>
            </w:pPr>
            <w:r>
              <w:rPr>
                <w:rFonts w:ascii="Arial" w:cs="Arial" w:eastAsia="Arial" w:hAnsi="Arial"/>
                <w:sz w:val="18"/>
                <w:szCs w:val="18"/>
                <w:color w:val="auto"/>
              </w:rPr>
              <w:t>4.535%</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Coupon:</w:t>
            </w:r>
          </w:p>
        </w:tc>
        <w:tc>
          <w:tcPr>
            <w:tcW w:w="6760" w:type="dxa"/>
            <w:vAlign w:val="bottom"/>
          </w:tcPr>
          <w:p>
            <w:pPr>
              <w:ind w:left="460"/>
              <w:spacing w:after="0"/>
              <w:rPr>
                <w:sz w:val="20"/>
                <w:szCs w:val="20"/>
                <w:color w:val="auto"/>
              </w:rPr>
            </w:pPr>
            <w:r>
              <w:rPr>
                <w:rFonts w:ascii="Arial" w:cs="Arial" w:eastAsia="Arial" w:hAnsi="Arial"/>
                <w:sz w:val="18"/>
                <w:szCs w:val="18"/>
                <w:color w:val="auto"/>
              </w:rPr>
              <w:t>4.500%</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Public Offering Price:</w:t>
            </w:r>
          </w:p>
        </w:tc>
        <w:tc>
          <w:tcPr>
            <w:tcW w:w="6760" w:type="dxa"/>
            <w:vAlign w:val="bottom"/>
          </w:tcPr>
          <w:p>
            <w:pPr>
              <w:ind w:left="460"/>
              <w:spacing w:after="0"/>
              <w:rPr>
                <w:sz w:val="20"/>
                <w:szCs w:val="20"/>
                <w:color w:val="auto"/>
              </w:rPr>
            </w:pPr>
            <w:r>
              <w:rPr>
                <w:rFonts w:ascii="Arial" w:cs="Arial" w:eastAsia="Arial" w:hAnsi="Arial"/>
                <w:sz w:val="18"/>
                <w:szCs w:val="18"/>
                <w:color w:val="auto"/>
              </w:rPr>
              <w:t>99.716%</w:t>
            </w: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w w:val="97"/>
              </w:rPr>
              <w:t>Net Proceeds (after deducting the underwriting discount and</w:t>
            </w:r>
          </w:p>
        </w:tc>
        <w:tc>
          <w:tcPr>
            <w:tcW w:w="6760" w:type="dxa"/>
            <w:vAlign w:val="bottom"/>
          </w:tcPr>
          <w:p>
            <w:pPr>
              <w:ind w:left="460"/>
              <w:spacing w:after="0"/>
              <w:rPr>
                <w:sz w:val="20"/>
                <w:szCs w:val="20"/>
                <w:color w:val="auto"/>
              </w:rPr>
            </w:pPr>
            <w:r>
              <w:rPr>
                <w:rFonts w:ascii="Arial" w:cs="Arial" w:eastAsia="Arial" w:hAnsi="Arial"/>
                <w:sz w:val="18"/>
                <w:szCs w:val="18"/>
                <w:color w:val="auto"/>
              </w:rPr>
              <w:t>$741.3 million</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estimated offering expenses) to the Partnership:</w:t>
            </w:r>
          </w:p>
        </w:tc>
        <w:tc>
          <w:tcPr>
            <w:tcW w:w="6760" w:type="dxa"/>
            <w:vAlign w:val="bottom"/>
          </w:tcPr>
          <w:p>
            <w:pPr>
              <w:spacing w:after="0"/>
              <w:rPr>
                <w:sz w:val="20"/>
                <w:szCs w:val="20"/>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Make-Whole Call:</w:t>
            </w:r>
          </w:p>
        </w:tc>
        <w:tc>
          <w:tcPr>
            <w:tcW w:w="6760" w:type="dxa"/>
            <w:vAlign w:val="bottom"/>
          </w:tcPr>
          <w:p>
            <w:pPr>
              <w:ind w:left="460"/>
              <w:spacing w:after="0"/>
              <w:rPr>
                <w:sz w:val="20"/>
                <w:szCs w:val="20"/>
                <w:color w:val="auto"/>
              </w:rPr>
            </w:pPr>
            <w:r>
              <w:rPr>
                <w:rFonts w:ascii="Arial" w:cs="Arial" w:eastAsia="Arial" w:hAnsi="Arial"/>
                <w:sz w:val="18"/>
                <w:szCs w:val="18"/>
                <w:color w:val="auto"/>
              </w:rPr>
              <w:t>T+ 35 bps</w:t>
            </w: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Call at Par:</w:t>
            </w:r>
          </w:p>
        </w:tc>
        <w:tc>
          <w:tcPr>
            <w:tcW w:w="6760" w:type="dxa"/>
            <w:vAlign w:val="bottom"/>
          </w:tcPr>
          <w:p>
            <w:pPr>
              <w:ind w:left="460"/>
              <w:spacing w:after="0"/>
              <w:rPr>
                <w:sz w:val="20"/>
                <w:szCs w:val="20"/>
                <w:color w:val="auto"/>
              </w:rPr>
            </w:pPr>
            <w:r>
              <w:rPr>
                <w:rFonts w:ascii="Arial" w:cs="Arial" w:eastAsia="Arial" w:hAnsi="Arial"/>
                <w:sz w:val="18"/>
                <w:szCs w:val="18"/>
                <w:color w:val="auto"/>
              </w:rPr>
              <w:t>On or after September 15, 2026</w:t>
            </w:r>
          </w:p>
        </w:tc>
      </w:tr>
      <w:tr>
        <w:trPr>
          <w:trHeight w:val="348"/>
        </w:trPr>
        <w:tc>
          <w:tcPr>
            <w:tcW w:w="470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9" w:right="199" w:bottom="0" w:gutter="0" w:footer="0" w:header="0"/>
        </w:sectPr>
      </w:pP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5"/>
          <w:szCs w:val="15"/>
          <w:color w:val="auto"/>
        </w:rPr>
        <w:t>June 15 and December 15, beginning on June 15, 2017</w:t>
      </w:r>
    </w:p>
    <w:p>
      <w:pPr>
        <w:spacing w:after="0" w:line="211" w:lineRule="exact"/>
        <w:rPr>
          <w:sz w:val="24"/>
          <w:szCs w:val="24"/>
          <w:color w:val="auto"/>
        </w:rPr>
      </w:pPr>
    </w:p>
    <w:p>
      <w:pPr>
        <w:sectPr>
          <w:pgSz w:w="11900" w:h="16838" w:orient="portrait"/>
          <w:cols w:equalWidth="0" w:num="2">
            <w:col w:w="4440" w:space="720"/>
            <w:col w:w="6300"/>
          </w:cols>
          <w:pgMar w:left="240" w:top="449" w:right="19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4020"/>
        <w:spacing w:after="0"/>
        <w:rPr>
          <w:sz w:val="20"/>
          <w:szCs w:val="20"/>
          <w:color w:val="auto"/>
        </w:rPr>
      </w:pPr>
      <w:r>
        <w:rPr>
          <w:rFonts w:ascii="Arial" w:cs="Arial" w:eastAsia="Arial" w:hAnsi="Arial"/>
          <w:sz w:val="16"/>
          <w:szCs w:val="16"/>
          <w:color w:val="auto"/>
        </w:rPr>
        <w:t>72650R BL5 / US72650RBL50</w:t>
      </w:r>
    </w:p>
    <w:p>
      <w:pPr>
        <w:spacing w:after="0" w:line="211" w:lineRule="exact"/>
        <w:rPr>
          <w:sz w:val="24"/>
          <w:szCs w:val="24"/>
          <w:color w:val="auto"/>
        </w:rPr>
      </w:pPr>
    </w:p>
    <w:p>
      <w:pPr>
        <w:sectPr>
          <w:pgSz w:w="11900" w:h="16838" w:orient="portrait"/>
          <w:cols w:equalWidth="0" w:num="2">
            <w:col w:w="4440" w:space="720"/>
            <w:col w:w="6300"/>
          </w:cols>
          <w:pgMar w:left="240" w:top="449" w:right="19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4"/>
          <w:szCs w:val="24"/>
          <w:color w:val="auto"/>
        </w:rPr>
      </w:pPr>
    </w:p>
    <w:p>
      <w:pPr>
        <w:ind w:left="920"/>
        <w:spacing w:after="0"/>
        <w:rPr>
          <w:sz w:val="20"/>
          <w:szCs w:val="20"/>
          <w:color w:val="auto"/>
        </w:rPr>
      </w:pPr>
      <w:r>
        <w:rPr>
          <w:rFonts w:ascii="Arial" w:cs="Arial" w:eastAsia="Arial" w:hAnsi="Arial"/>
          <w:sz w:val="18"/>
          <w:szCs w:val="18"/>
          <w:color w:val="auto"/>
        </w:rPr>
        <w:t>Incorporated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200" w:lineRule="exact"/>
        <w:rPr>
          <w:sz w:val="24"/>
          <w:szCs w:val="24"/>
          <w:color w:val="auto"/>
        </w:rPr>
      </w:pPr>
    </w:p>
    <w:p>
      <w:pPr>
        <w:sectPr>
          <w:pgSz w:w="11900" w:h="16838" w:orient="portrait"/>
          <w:cols w:equalWidth="0" w:num="2">
            <w:col w:w="4440" w:space="720"/>
            <w:col w:w="6300"/>
          </w:cols>
          <w:pgMar w:left="240" w:top="449" w:right="19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921385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CIBC World Markets Corp.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200" w:lineRule="exact"/>
        <w:rPr>
          <w:sz w:val="24"/>
          <w:szCs w:val="24"/>
          <w:color w:val="auto"/>
        </w:rPr>
      </w:pPr>
    </w:p>
    <w:p>
      <w:pPr>
        <w:sectPr>
          <w:pgSz w:w="11900" w:h="16838" w:orient="portrait"/>
          <w:cols w:equalWidth="0" w:num="2">
            <w:col w:w="4440" w:space="720"/>
            <w:col w:w="6300"/>
          </w:cols>
          <w:pgMar w:left="240" w:top="449" w:right="199" w:bottom="0" w:gutter="0" w:footer="0" w:header="0"/>
          <w:type w:val="continuous"/>
        </w:sectPr>
      </w:pPr>
    </w:p>
    <w:p>
      <w:pPr>
        <w:spacing w:after="0" w:line="263"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225" w:lineRule="exact"/>
        <w:rPr>
          <w:sz w:val="24"/>
          <w:szCs w:val="24"/>
          <w:color w:val="auto"/>
        </w:rPr>
      </w:pPr>
    </w:p>
    <w:p>
      <w:pPr>
        <w:ind w:right="320"/>
        <w:spacing w:after="0" w:line="288" w:lineRule="auto"/>
        <w:rPr>
          <w:sz w:val="20"/>
          <w:szCs w:val="20"/>
          <w:color w:val="auto"/>
        </w:rPr>
      </w:pPr>
      <w:r>
        <w:rPr>
          <w:rFonts w:ascii="Arial" w:cs="Arial" w:eastAsia="Arial" w:hAnsi="Arial"/>
          <w:sz w:val="16"/>
          <w:szCs w:val="16"/>
          <w:color w:val="auto"/>
        </w:rPr>
        <w:t>Delivery of the notes is expected to be made against payment therefor on or about November 22, 2016,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w:t>
      </w:r>
    </w:p>
    <w:p>
      <w:pPr>
        <w:ind w:right="220"/>
        <w:spacing w:after="0" w:line="255" w:lineRule="auto"/>
        <w:rPr>
          <w:sz w:val="20"/>
          <w:szCs w:val="20"/>
          <w:color w:val="auto"/>
        </w:rPr>
      </w:pPr>
      <w:r>
        <w:rPr>
          <w:rFonts w:ascii="Arial" w:cs="Arial" w:eastAsia="Arial" w:hAnsi="Arial"/>
          <w:sz w:val="18"/>
          <w:szCs w:val="18"/>
          <w:color w:val="auto"/>
        </w:rPr>
        <w:t>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ectPr>
          <w:pgSz w:w="11900" w:h="16838" w:orient="portrait"/>
          <w:cols w:equalWidth="0" w:num="1">
            <w:col w:w="11460"/>
          </w:cols>
          <w:pgMar w:left="240" w:top="449" w:right="199" w:bottom="0" w:gutter="0" w:footer="0" w:header="0"/>
          <w:type w:val="continuous"/>
        </w:sectPr>
      </w:pPr>
    </w:p>
    <w:bookmarkStart w:id="1" w:name="page2"/>
    <w:bookmarkEnd w:id="1"/>
    <w:p>
      <w:pPr>
        <w:spacing w:after="0" w:line="272" w:lineRule="auto"/>
        <w:rPr>
          <w:sz w:val="20"/>
          <w:szCs w:val="20"/>
          <w:color w:val="auto"/>
        </w:rPr>
      </w:pPr>
      <w:r>
        <w:rPr>
          <w:rFonts w:ascii="Arial" w:cs="Arial" w:eastAsia="Arial" w:hAnsi="Arial"/>
          <w:sz w:val="17"/>
          <w:szCs w:val="17"/>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collect at 1-212-834-4533, BNP Paribas Securities Corp. toll-free at 1-800-854-5674, Merrill Lynch, Pierce, Fenner &amp; Smith Incorporated toll-free at 1-800-294-1322 or Wells Fargo Securities, LLC toll-free at 1-800-645-3751.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2020-01-21T20:09:10Z</dcterms:created>
  <dcterms:modified xsi:type="dcterms:W3CDTF">2020-01-21T20:09:10Z</dcterms:modified>
</cp:coreProperties>
</file>