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March 2,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83" w:right="239" w:bottom="1440" w:gutter="0" w:footer="0" w:header="0"/>
        </w:sectPr>
      </w:pPr>
    </w:p>
    <w:p>
      <w:pPr>
        <w:spacing w:after="0" w:line="205" w:lineRule="exact"/>
        <w:rPr>
          <w:sz w:val="24"/>
          <w:szCs w:val="24"/>
          <w:color w:val="auto"/>
        </w:rPr>
      </w:pPr>
    </w:p>
    <w:p>
      <w:pPr>
        <w:ind w:left="13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50" w:lineRule="exact"/>
        <w:rPr>
          <w:sz w:val="24"/>
          <w:szCs w:val="24"/>
          <w:color w:val="auto"/>
        </w:rPr>
      </w:pPr>
    </w:p>
    <w:p>
      <w:pPr>
        <w:sectPr>
          <w:pgSz w:w="11900" w:h="16838" w:orient="portrait"/>
          <w:cols w:equalWidth="0" w:num="3">
            <w:col w:w="4700" w:space="720"/>
            <w:col w:w="2960" w:space="720"/>
            <w:col w:w="2320"/>
          </w:cols>
          <w:pgMar w:left="240" w:top="783" w:right="239" w:bottom="1440" w:gutter="0" w:footer="0" w:header="0"/>
          <w:type w:val="continuous"/>
        </w:sectPr>
      </w:pPr>
    </w:p>
    <w:p>
      <w:pPr>
        <w:ind w:left="8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34" w:lineRule="exact"/>
        <w:rPr>
          <w:sz w:val="24"/>
          <w:szCs w:val="24"/>
          <w:color w:val="auto"/>
        </w:rPr>
      </w:pPr>
    </w:p>
    <w:p>
      <w:pPr>
        <w:sectPr>
          <w:pgSz w:w="11900" w:h="16838" w:orient="portrait"/>
          <w:cols w:equalWidth="0" w:num="3">
            <w:col w:w="4000" w:space="720"/>
            <w:col w:w="2860" w:space="720"/>
            <w:col w:w="3120"/>
          </w:cols>
          <w:pgMar w:left="240" w:top="783" w:right="239" w:bottom="1440" w:gutter="0" w:footer="0" w:header="0"/>
          <w:type w:val="continuous"/>
        </w:sectPr>
      </w:pPr>
    </w:p>
    <w:p>
      <w:pPr>
        <w:ind w:left="1380"/>
        <w:spacing w:after="0"/>
        <w:rPr>
          <w:sz w:val="20"/>
          <w:szCs w:val="20"/>
          <w:color w:val="auto"/>
        </w:rPr>
      </w:pPr>
      <w:r>
        <w:rPr>
          <w:rFonts w:ascii="Arial" w:cs="Arial" w:eastAsia="Arial" w:hAnsi="Arial"/>
          <w:sz w:val="18"/>
          <w:szCs w:val="18"/>
          <w:color w:val="auto"/>
        </w:rPr>
        <w:t>incorporation)</w:t>
      </w:r>
    </w:p>
    <w:p>
      <w:pPr>
        <w:spacing w:after="0" w:line="220"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783" w:right="2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04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Class A Shares</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bookmarkStart w:id="1" w:name="page2"/>
    <w:bookmarkEnd w:id="1"/>
    <w:p>
      <w:pPr>
        <w:ind w:left="20"/>
        <w:spacing w:after="0"/>
        <w:tabs>
          <w:tab w:leader="none" w:pos="11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Representatives from Plains All American Pipeline, L.P. (“PAA”) and Plains GP Holdings, L.P. (“PAGP”) intend to meet with members of the financial community at a number of conferences to be held in New York, New York from March 3-5, 2020, including the Morgan Stanley Global Energy &amp; Power Conference, Barclays Select Series: Midstream &amp; Infrastructure Corporate Access Days and Barclays Investment Grade Energy &amp; Pipeline Corporate Days. The meetings will cover an industry overview, PAA’s commercial and operating activities, forward growth outlook, financial positioning and other related matters. The presentation materials that will be used for these meeting will be made available for viewing by 7:45 a.m. EST on Tuesday, March 3, 2020, at </w:t>
      </w:r>
      <w:r>
        <w:rPr>
          <w:rFonts w:ascii="Arial" w:cs="Arial" w:eastAsia="Arial" w:hAnsi="Arial"/>
          <w:sz w:val="17"/>
          <w:szCs w:val="17"/>
          <w:u w:val="single" w:color="auto"/>
          <w:color w:val="auto"/>
        </w:rPr>
        <w:t>www.plainsallamerican.com</w:t>
      </w:r>
      <w:r>
        <w:rPr>
          <w:rFonts w:ascii="Arial" w:cs="Arial" w:eastAsia="Arial" w:hAnsi="Arial"/>
          <w:sz w:val="17"/>
          <w:szCs w:val="17"/>
          <w:color w:val="auto"/>
        </w:rPr>
        <w:t xml:space="preserve">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2, 2020</w:t>
      </w:r>
      <w:r>
        <w:rPr>
          <w:sz w:val="20"/>
          <w:szCs w:val="20"/>
          <w:color w:val="auto"/>
        </w:rPr>
        <w:tab/>
      </w:r>
      <w:r>
        <w:rPr>
          <w:rFonts w:ascii="Arial" w:cs="Arial" w:eastAsia="Arial" w:hAnsi="Arial"/>
          <w:sz w:val="17"/>
          <w:szCs w:val="17"/>
          <w:color w:val="auto"/>
        </w:rPr>
        <w:t>By: PAA GP Holdings LLC, its general partner</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Richard McGee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2020-03-02T16:12:03Z</dcterms:created>
  <dcterms:modified xsi:type="dcterms:W3CDTF">2020-03-02T16:12:03Z</dcterms:modified>
</cp:coreProperties>
</file>