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9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9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w:t>
      </w:r>
      <w:r>
        <w:rPr>
          <w:rFonts w:ascii="Arial" w:cs="Arial" w:eastAsia="Arial" w:hAnsi="Arial"/>
          <w:sz w:val="18"/>
          <w:szCs w:val="18"/>
          <w:b w:val="1"/>
          <w:bCs w:val="1"/>
          <w:color w:val="auto"/>
        </w:rPr>
        <w:t>—June 12, 2006</w:t>
      </w:r>
    </w:p>
    <w:p>
      <w:pPr>
        <w:spacing w:after="0" w:line="31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313" w:lineRule="exact"/>
        <w:rPr>
          <w:sz w:val="24"/>
          <w:szCs w:val="24"/>
          <w:color w:val="auto"/>
        </w:rPr>
      </w:pPr>
    </w:p>
    <w:tbl>
      <w:tblPr>
        <w:tblLayout w:type="fixed"/>
        <w:tblInd w:w="2000" w:type="dxa"/>
        <w:tblCellMar>
          <w:top w:w="0" w:type="dxa"/>
          <w:left w:w="0" w:type="dxa"/>
          <w:bottom w:w="0" w:type="dxa"/>
          <w:right w:w="0" w:type="dxa"/>
        </w:tblCellMar>
      </w:tblPr>
      <w:tr>
        <w:trPr>
          <w:trHeight w:val="220"/>
        </w:trPr>
        <w:tc>
          <w:tcPr>
            <w:tcW w:w="2560" w:type="dxa"/>
            <w:vAlign w:val="bottom"/>
          </w:tcPr>
          <w:p>
            <w:pPr>
              <w:jc w:val="center"/>
              <w:ind w:right="570"/>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1-14569</w:t>
            </w:r>
          </w:p>
        </w:tc>
        <w:tc>
          <w:tcPr>
            <w:tcW w:w="2140" w:type="dxa"/>
            <w:vAlign w:val="bottom"/>
          </w:tcPr>
          <w:p>
            <w:pPr>
              <w:jc w:val="center"/>
              <w:ind w:left="690"/>
              <w:spacing w:after="0"/>
              <w:rPr>
                <w:sz w:val="20"/>
                <w:szCs w:val="20"/>
                <w:color w:val="auto"/>
              </w:rPr>
            </w:pPr>
            <w:r>
              <w:rPr>
                <w:rFonts w:ascii="Arial" w:cs="Arial" w:eastAsia="Arial" w:hAnsi="Arial"/>
                <w:sz w:val="18"/>
                <w:szCs w:val="18"/>
                <w:b w:val="1"/>
                <w:bCs w:val="1"/>
                <w:color w:val="auto"/>
                <w:w w:val="91"/>
              </w:rPr>
              <w:t>76-0582150</w:t>
            </w:r>
          </w:p>
        </w:tc>
      </w:tr>
      <w:tr>
        <w:trPr>
          <w:trHeight w:val="216"/>
        </w:trPr>
        <w:tc>
          <w:tcPr>
            <w:tcW w:w="2560" w:type="dxa"/>
            <w:vAlign w:val="bottom"/>
          </w:tcPr>
          <w:p>
            <w:pPr>
              <w:jc w:val="center"/>
              <w:ind w:right="570"/>
              <w:spacing w:after="0"/>
              <w:rPr>
                <w:sz w:val="20"/>
                <w:szCs w:val="20"/>
                <w:color w:val="auto"/>
              </w:rPr>
            </w:pPr>
            <w:r>
              <w:rPr>
                <w:rFonts w:ascii="Arial" w:cs="Arial" w:eastAsia="Arial" w:hAnsi="Arial"/>
                <w:sz w:val="18"/>
                <w:szCs w:val="18"/>
                <w:color w:val="auto"/>
                <w:w w:val="92"/>
              </w:rPr>
              <w:t>(State or other jurisdiction</w:t>
            </w:r>
          </w:p>
        </w:tc>
        <w:tc>
          <w:tcPr>
            <w:tcW w:w="2440" w:type="dxa"/>
            <w:vAlign w:val="bottom"/>
          </w:tcPr>
          <w:p>
            <w:pPr>
              <w:jc w:val="center"/>
              <w:ind w:right="50"/>
              <w:spacing w:after="0"/>
              <w:rPr>
                <w:sz w:val="20"/>
                <w:szCs w:val="20"/>
                <w:color w:val="auto"/>
              </w:rPr>
            </w:pPr>
            <w:r>
              <w:rPr>
                <w:rFonts w:ascii="Arial" w:cs="Arial" w:eastAsia="Arial" w:hAnsi="Arial"/>
                <w:sz w:val="18"/>
                <w:szCs w:val="18"/>
                <w:color w:val="auto"/>
                <w:w w:val="93"/>
              </w:rPr>
              <w:t>(Commission</w:t>
            </w:r>
          </w:p>
        </w:tc>
        <w:tc>
          <w:tcPr>
            <w:tcW w:w="2140" w:type="dxa"/>
            <w:vAlign w:val="bottom"/>
          </w:tcPr>
          <w:p>
            <w:pPr>
              <w:jc w:val="center"/>
              <w:ind w:left="710"/>
              <w:spacing w:after="0"/>
              <w:rPr>
                <w:sz w:val="20"/>
                <w:szCs w:val="20"/>
                <w:color w:val="auto"/>
              </w:rPr>
            </w:pPr>
            <w:r>
              <w:rPr>
                <w:rFonts w:ascii="Arial" w:cs="Arial" w:eastAsia="Arial" w:hAnsi="Arial"/>
                <w:sz w:val="18"/>
                <w:szCs w:val="18"/>
                <w:color w:val="auto"/>
                <w:w w:val="93"/>
              </w:rPr>
              <w:t>(IRS Employer</w:t>
            </w:r>
          </w:p>
        </w:tc>
      </w:tr>
      <w:tr>
        <w:trPr>
          <w:trHeight w:val="230"/>
        </w:trPr>
        <w:tc>
          <w:tcPr>
            <w:tcW w:w="2560" w:type="dxa"/>
            <w:vAlign w:val="bottom"/>
          </w:tcPr>
          <w:p>
            <w:pPr>
              <w:jc w:val="center"/>
              <w:ind w:right="570"/>
              <w:spacing w:after="0"/>
              <w:rPr>
                <w:sz w:val="20"/>
                <w:szCs w:val="20"/>
                <w:color w:val="auto"/>
              </w:rPr>
            </w:pPr>
            <w:r>
              <w:rPr>
                <w:rFonts w:ascii="Arial" w:cs="Arial" w:eastAsia="Arial" w:hAnsi="Arial"/>
                <w:sz w:val="18"/>
                <w:szCs w:val="18"/>
                <w:color w:val="auto"/>
                <w:w w:val="93"/>
              </w:rPr>
              <w:t>of incorporation)</w:t>
            </w:r>
          </w:p>
        </w:tc>
        <w:tc>
          <w:tcPr>
            <w:tcW w:w="2440" w:type="dxa"/>
            <w:vAlign w:val="bottom"/>
          </w:tcPr>
          <w:p>
            <w:pPr>
              <w:jc w:val="center"/>
              <w:ind w:right="50"/>
              <w:spacing w:after="0"/>
              <w:rPr>
                <w:sz w:val="20"/>
                <w:szCs w:val="20"/>
                <w:color w:val="auto"/>
              </w:rPr>
            </w:pPr>
            <w:r>
              <w:rPr>
                <w:rFonts w:ascii="Arial" w:cs="Arial" w:eastAsia="Arial" w:hAnsi="Arial"/>
                <w:sz w:val="18"/>
                <w:szCs w:val="18"/>
                <w:color w:val="auto"/>
                <w:w w:val="94"/>
              </w:rPr>
              <w:t>File Number)</w:t>
            </w:r>
          </w:p>
        </w:tc>
        <w:tc>
          <w:tcPr>
            <w:tcW w:w="2140" w:type="dxa"/>
            <w:vAlign w:val="bottom"/>
          </w:tcPr>
          <w:p>
            <w:pPr>
              <w:jc w:val="center"/>
              <w:ind w:left="710"/>
              <w:spacing w:after="0"/>
              <w:rPr>
                <w:sz w:val="20"/>
                <w:szCs w:val="20"/>
                <w:color w:val="auto"/>
              </w:rPr>
            </w:pPr>
            <w:r>
              <w:rPr>
                <w:rFonts w:ascii="Arial" w:cs="Arial" w:eastAsia="Arial" w:hAnsi="Arial"/>
                <w:sz w:val="18"/>
                <w:szCs w:val="18"/>
                <w:color w:val="auto"/>
                <w:w w:val="95"/>
              </w:rPr>
              <w:t>Identification No.)</w:t>
            </w:r>
          </w:p>
        </w:tc>
      </w:tr>
    </w:tbl>
    <w:p>
      <w:pPr>
        <w:spacing w:after="0" w:line="346"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31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33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33" w:lineRule="exact"/>
        <w:rPr>
          <w:sz w:val="24"/>
          <w:szCs w:val="24"/>
          <w:color w:val="auto"/>
        </w:rPr>
      </w:pPr>
    </w:p>
    <w:p>
      <w:pPr>
        <w:ind w:right="420" w:firstLine="3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9" w:lineRule="exact"/>
        <w:rPr>
          <w:sz w:val="24"/>
          <w:szCs w:val="24"/>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4"/>
          <w:szCs w:val="24"/>
          <w:color w:val="auto"/>
        </w:rPr>
      </w:pPr>
    </w:p>
    <w:p>
      <w:pPr>
        <w:ind w:firstLine="360"/>
        <w:spacing w:after="0" w:line="271" w:lineRule="auto"/>
        <w:rPr>
          <w:sz w:val="20"/>
          <w:szCs w:val="20"/>
          <w:color w:val="auto"/>
        </w:rPr>
      </w:pPr>
      <w:r>
        <w:rPr>
          <w:rFonts w:ascii="Arial" w:cs="Arial" w:eastAsia="Arial" w:hAnsi="Arial"/>
          <w:sz w:val="17"/>
          <w:szCs w:val="17"/>
          <w:color w:val="auto"/>
        </w:rPr>
        <w:t>Plains All American Pipeline, L.P. (the “Partnership’’) is furnishing this report pursuant to Item 7.01 of Form 8-K to provide updated guidance for financial performance for the second half of 2006 and to establish initial, preliminary guidance for financial performance for 2007. This guidance excludes any contribution from the proposed merger with Pacific Energy Partners, L.P. announced concurrently with the furnishing of this Form 8-K. The second quarter of 2006 information included in this 8-K supplements the updated guidance information contained in our press release dated May 25, 2006. The information in this 8-K for the second half of 2006 supersedes the guidance information contained in our 8-K dated May 3, 2006. In accordance with General Instruction B.2. of Form 8-K, the information presented herein under Item 7.01 shall not be deemed “filed’’ for purposes of Section 18 of the Securities Exchange Act of 1934, as amended, nor shall it be deemed incorporated by reference in any filing under the Securities Act of 1933, as amended, except as expressly set forth by specific reference in such a filing.</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Update of Second Half 2006 Estimates, Disclosure of Full Year 2007 Preliminary Guidance</w:t>
      </w:r>
    </w:p>
    <w:p>
      <w:pPr>
        <w:spacing w:after="0" w:line="121" w:lineRule="exact"/>
        <w:rPr>
          <w:sz w:val="24"/>
          <w:szCs w:val="24"/>
          <w:color w:val="auto"/>
        </w:rPr>
      </w:pPr>
    </w:p>
    <w:p>
      <w:pPr>
        <w:ind w:right="40" w:firstLine="360"/>
        <w:spacing w:after="0" w:line="270" w:lineRule="auto"/>
        <w:rPr>
          <w:sz w:val="20"/>
          <w:szCs w:val="20"/>
          <w:color w:val="auto"/>
        </w:rPr>
      </w:pPr>
      <w:r>
        <w:rPr>
          <w:rFonts w:ascii="Arial" w:cs="Arial" w:eastAsia="Arial" w:hAnsi="Arial"/>
          <w:sz w:val="17"/>
          <w:szCs w:val="17"/>
          <w:color w:val="auto"/>
        </w:rPr>
        <w:t xml:space="preserve">EBIT and EBITDA (each as defined below in Note 1 to the “Operating and Financial Guidance” table) are non-GAAP financial measures. Net income and cash flows from operating activities are the most directly comparable GAAP measures to EBIT and EBITDA. In Note 11 below, we reconcile EBITDA and EBIT to net income for the 2006 guidance periods presented. However, it is impractical to reconcile EBIT and EBITDA to cash flows from operating activities for forecasted periods. We also encourage you to visit our website at </w:t>
      </w:r>
      <w:r>
        <w:rPr>
          <w:rFonts w:ascii="Arial" w:cs="Arial" w:eastAsia="Arial" w:hAnsi="Arial"/>
          <w:sz w:val="17"/>
          <w:szCs w:val="17"/>
          <w:i w:val="1"/>
          <w:iCs w:val="1"/>
          <w:color w:val="auto"/>
        </w:rPr>
        <w:t>www.paalp.com</w:t>
      </w:r>
      <w:r>
        <w:rPr>
          <w:rFonts w:ascii="Arial" w:cs="Arial" w:eastAsia="Arial" w:hAnsi="Arial"/>
          <w:sz w:val="17"/>
          <w:szCs w:val="17"/>
          <w:color w:val="auto"/>
        </w:rPr>
        <w:t>, and in particular the section entitled “Non-GAAP Reconciliation,” which presents a historical reconciliation of certain commonly used non-GAAP financial measures, including EBIT and EBITDA. We present EBIT and EBITDA because we believe they provide additional information with respect to both the performance of our fundamental business activities and our ability to meet our future debt service, capital expenditures and working capital requirements. We also believe that debt holders commonly use EBITDA to analyze partnership performance. In addition, we have highlighted the impact of our long-term incentive plan, revaluations of foreign currency, cumulative effect of a change in accounting principle and, to the extent known, gains and losses related to SFAS 133 (primarily non-cash, mark-to-market adjustments) on EBITDA, Net Income and Net Income per Limited Partner Unit.</w:t>
      </w:r>
    </w:p>
    <w:p>
      <w:pPr>
        <w:spacing w:after="0" w:line="70" w:lineRule="exact"/>
        <w:rPr>
          <w:sz w:val="24"/>
          <w:szCs w:val="24"/>
          <w:color w:val="auto"/>
        </w:rPr>
      </w:pPr>
    </w:p>
    <w:p>
      <w:pPr>
        <w:jc w:val="both"/>
        <w:ind w:right="360" w:firstLine="360"/>
        <w:spacing w:after="0" w:line="342" w:lineRule="auto"/>
        <w:rPr>
          <w:sz w:val="20"/>
          <w:szCs w:val="20"/>
          <w:color w:val="auto"/>
        </w:rPr>
      </w:pPr>
      <w:r>
        <w:rPr>
          <w:rFonts w:ascii="Arial" w:cs="Arial" w:eastAsia="Arial" w:hAnsi="Arial"/>
          <w:sz w:val="16"/>
          <w:szCs w:val="16"/>
          <w:color w:val="auto"/>
        </w:rPr>
        <w:t>The following guidance for the three months ending June 30, 2006 and the six months and twelve months ending December 31, 2006 as well as the preliminary guidance for calendar 2007 are based on assumptions and estimates that we believe are reasonable given our assessment of historical trends,</w:t>
      </w:r>
    </w:p>
    <w:p>
      <w:pPr>
        <w:sectPr>
          <w:pgSz w:w="11900" w:h="16867" w:orient="portrait"/>
          <w:cols w:equalWidth="0" w:num="1">
            <w:col w:w="11340"/>
          </w:cols>
          <w:pgMar w:left="240" w:top="530" w:right="319" w:bottom="0" w:gutter="0" w:footer="0" w:header="0"/>
        </w:sectPr>
      </w:pPr>
    </w:p>
    <w:bookmarkStart w:id="1" w:name="page2"/>
    <w:bookmarkEnd w:id="1"/>
    <w:p>
      <w:pPr>
        <w:spacing w:after="0" w:line="1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business cycles and other information reasonably available. However, our assumptions and future performance are both subject to a wide range of business risks and uncertainties, so no assurance can be provided that actual performance will fall within the guidance ranges. Please refer to the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June 9, 2006. We undertake no obligation to publicly update or revise any forward-looking statements.</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Plains All American Pipeline, L.P.</w:t>
      </w:r>
    </w:p>
    <w:p>
      <w:pPr>
        <w:spacing w:after="0" w:line="7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Operating and Financial Guidance</w:t>
      </w:r>
    </w:p>
    <w:p>
      <w:pPr>
        <w:spacing w:after="0" w:line="9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(in millions, except per unit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center"/>
              <w:ind w:right="99"/>
              <w:spacing w:after="0"/>
              <w:rPr>
                <w:sz w:val="20"/>
                <w:szCs w:val="20"/>
                <w:color w:val="auto"/>
              </w:rPr>
            </w:pPr>
            <w:r>
              <w:rPr>
                <w:rFonts w:ascii="Arial" w:cs="Arial" w:eastAsia="Arial" w:hAnsi="Arial"/>
                <w:sz w:val="14"/>
                <w:szCs w:val="14"/>
                <w:b w:val="1"/>
                <w:bCs w:val="1"/>
                <w:color w:val="auto"/>
                <w:w w:val="93"/>
              </w:rPr>
              <w:t>Actual</w:t>
            </w:r>
          </w:p>
        </w:tc>
        <w:tc>
          <w:tcPr>
            <w:tcW w:w="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5"/>
          </w:tcPr>
          <w:p>
            <w:pPr>
              <w:jc w:val="right"/>
              <w:ind w:right="219"/>
              <w:spacing w:after="0"/>
              <w:rPr>
                <w:sz w:val="20"/>
                <w:szCs w:val="20"/>
                <w:color w:val="auto"/>
              </w:rPr>
            </w:pPr>
            <w:r>
              <w:rPr>
                <w:rFonts w:ascii="Arial" w:cs="Arial" w:eastAsia="Arial" w:hAnsi="Arial"/>
                <w:sz w:val="14"/>
                <w:szCs w:val="14"/>
                <w:b w:val="1"/>
                <w:bCs w:val="1"/>
                <w:color w:val="auto"/>
              </w:rPr>
              <w:t>Guidance</w:t>
            </w:r>
            <w:r>
              <w:rPr>
                <w:rFonts w:ascii="Arial" w:cs="Arial" w:eastAsia="Arial" w:hAnsi="Arial"/>
                <w:sz w:val="8"/>
                <w:szCs w:val="8"/>
                <w:b w:val="1"/>
                <w:bCs w:val="1"/>
                <w:color w:val="auto"/>
              </w:rPr>
              <w:t>(1)</w:t>
            </w: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4"/>
              </w:rPr>
              <w:t>Three</w:t>
            </w:r>
          </w:p>
        </w:tc>
        <w:tc>
          <w:tcPr>
            <w:tcW w:w="1200" w:type="dxa"/>
            <w:vAlign w:val="bottom"/>
            <w:gridSpan w:val="4"/>
          </w:tcPr>
          <w:p>
            <w:pPr>
              <w:jc w:val="center"/>
              <w:ind w:right="119"/>
              <w:spacing w:after="0" w:line="102" w:lineRule="exact"/>
              <w:rPr>
                <w:sz w:val="20"/>
                <w:szCs w:val="20"/>
                <w:color w:val="auto"/>
              </w:rPr>
            </w:pPr>
            <w:r>
              <w:rPr>
                <w:rFonts w:ascii="Arial" w:cs="Arial" w:eastAsia="Arial" w:hAnsi="Arial"/>
                <w:sz w:val="11"/>
                <w:szCs w:val="11"/>
                <w:b w:val="1"/>
                <w:bCs w:val="1"/>
                <w:color w:val="auto"/>
              </w:rPr>
              <w:t>Three</w:t>
            </w:r>
          </w:p>
        </w:tc>
        <w:tc>
          <w:tcPr>
            <w:tcW w:w="620" w:type="dxa"/>
            <w:vAlign w:val="bottom"/>
            <w:gridSpan w:val="3"/>
          </w:tcPr>
          <w:p>
            <w:pPr>
              <w:jc w:val="center"/>
              <w:ind w:left="348"/>
              <w:spacing w:after="0" w:line="102" w:lineRule="exact"/>
              <w:rPr>
                <w:sz w:val="20"/>
                <w:szCs w:val="20"/>
                <w:color w:val="auto"/>
              </w:rPr>
            </w:pPr>
            <w:r>
              <w:rPr>
                <w:rFonts w:ascii="Arial" w:cs="Arial" w:eastAsia="Arial" w:hAnsi="Arial"/>
                <w:sz w:val="11"/>
                <w:szCs w:val="11"/>
                <w:b w:val="1"/>
                <w:bCs w:val="1"/>
                <w:color w:val="auto"/>
              </w:rPr>
              <w:t>Six</w:t>
            </w: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4"/>
          </w:tcPr>
          <w:p>
            <w:pPr>
              <w:jc w:val="center"/>
              <w:spacing w:after="0" w:line="102" w:lineRule="exact"/>
              <w:rPr>
                <w:sz w:val="20"/>
                <w:szCs w:val="20"/>
                <w:color w:val="auto"/>
              </w:rPr>
            </w:pPr>
            <w:r>
              <w:rPr>
                <w:rFonts w:ascii="Arial" w:cs="Arial" w:eastAsia="Arial" w:hAnsi="Arial"/>
                <w:sz w:val="11"/>
                <w:szCs w:val="11"/>
                <w:b w:val="1"/>
                <w:bCs w:val="1"/>
                <w:color w:val="auto"/>
              </w:rPr>
              <w:t>Twelve</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1200" w:type="dxa"/>
            <w:vAlign w:val="bottom"/>
            <w:gridSpan w:val="4"/>
          </w:tcPr>
          <w:p>
            <w:pPr>
              <w:jc w:val="center"/>
              <w:ind w:right="119"/>
              <w:spacing w:after="0" w:line="135" w:lineRule="exact"/>
              <w:rPr>
                <w:sz w:val="20"/>
                <w:szCs w:val="20"/>
                <w:color w:val="auto"/>
              </w:rPr>
            </w:pPr>
            <w:r>
              <w:rPr>
                <w:rFonts w:ascii="Arial" w:cs="Arial" w:eastAsia="Arial" w:hAnsi="Arial"/>
                <w:sz w:val="14"/>
                <w:szCs w:val="14"/>
                <w:b w:val="1"/>
                <w:bCs w:val="1"/>
                <w:color w:val="auto"/>
                <w:w w:val="96"/>
              </w:rPr>
              <w:t>Months</w:t>
            </w:r>
          </w:p>
        </w:tc>
        <w:tc>
          <w:tcPr>
            <w:tcW w:w="1200" w:type="dxa"/>
            <w:vAlign w:val="bottom"/>
            <w:gridSpan w:val="5"/>
          </w:tcPr>
          <w:p>
            <w:pPr>
              <w:jc w:val="center"/>
              <w:ind w:right="119"/>
              <w:spacing w:after="0" w:line="135" w:lineRule="exact"/>
              <w:rPr>
                <w:sz w:val="20"/>
                <w:szCs w:val="20"/>
                <w:color w:val="auto"/>
              </w:rPr>
            </w:pPr>
            <w:r>
              <w:rPr>
                <w:rFonts w:ascii="Arial" w:cs="Arial" w:eastAsia="Arial" w:hAnsi="Arial"/>
                <w:sz w:val="14"/>
                <w:szCs w:val="14"/>
                <w:b w:val="1"/>
                <w:bCs w:val="1"/>
                <w:color w:val="auto"/>
                <w:w w:val="96"/>
              </w:rPr>
              <w:t>Months</w:t>
            </w:r>
          </w:p>
        </w:tc>
        <w:tc>
          <w:tcPr>
            <w:tcW w:w="1340" w:type="dxa"/>
            <w:vAlign w:val="bottom"/>
            <w:gridSpan w:val="5"/>
          </w:tcPr>
          <w:p>
            <w:pPr>
              <w:jc w:val="center"/>
              <w:ind w:right="119"/>
              <w:spacing w:after="0" w:line="135" w:lineRule="exact"/>
              <w:rPr>
                <w:sz w:val="20"/>
                <w:szCs w:val="20"/>
                <w:color w:val="auto"/>
              </w:rPr>
            </w:pPr>
            <w:r>
              <w:rPr>
                <w:rFonts w:ascii="Arial" w:cs="Arial" w:eastAsia="Arial" w:hAnsi="Arial"/>
                <w:sz w:val="14"/>
                <w:szCs w:val="14"/>
                <w:b w:val="1"/>
                <w:bCs w:val="1"/>
                <w:color w:val="auto"/>
                <w:w w:val="92"/>
              </w:rPr>
              <w:t>Months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840" w:type="dxa"/>
            <w:vAlign w:val="bottom"/>
            <w:gridSpan w:val="4"/>
          </w:tcPr>
          <w:p>
            <w:pPr>
              <w:jc w:val="center"/>
              <w:ind w:right="160"/>
              <w:spacing w:after="0" w:line="135" w:lineRule="exact"/>
              <w:rPr>
                <w:sz w:val="20"/>
                <w:szCs w:val="20"/>
                <w:color w:val="auto"/>
              </w:rPr>
            </w:pPr>
            <w:r>
              <w:rPr>
                <w:rFonts w:ascii="Arial" w:cs="Arial" w:eastAsia="Arial" w:hAnsi="Arial"/>
                <w:sz w:val="14"/>
                <w:szCs w:val="14"/>
                <w:b w:val="1"/>
                <w:bCs w:val="1"/>
                <w:color w:val="auto"/>
                <w:w w:val="96"/>
              </w:rPr>
              <w:t>Months</w:t>
            </w:r>
          </w:p>
        </w:tc>
        <w:tc>
          <w:tcPr>
            <w:tcW w:w="1200" w:type="dxa"/>
            <w:vAlign w:val="bottom"/>
            <w:gridSpan w:val="4"/>
          </w:tcPr>
          <w:p>
            <w:pPr>
              <w:jc w:val="center"/>
              <w:ind w:right="119"/>
              <w:spacing w:after="0" w:line="135" w:lineRule="exact"/>
              <w:rPr>
                <w:sz w:val="20"/>
                <w:szCs w:val="20"/>
                <w:color w:val="auto"/>
              </w:rPr>
            </w:pPr>
            <w:r>
              <w:rPr>
                <w:rFonts w:ascii="Arial" w:cs="Arial" w:eastAsia="Arial" w:hAnsi="Arial"/>
                <w:sz w:val="14"/>
                <w:szCs w:val="14"/>
                <w:b w:val="1"/>
                <w:bCs w:val="1"/>
                <w:color w:val="auto"/>
                <w:w w:val="92"/>
              </w:rPr>
              <w:t>Ending</w:t>
            </w:r>
          </w:p>
        </w:tc>
        <w:tc>
          <w:tcPr>
            <w:tcW w:w="1200" w:type="dxa"/>
            <w:vAlign w:val="bottom"/>
            <w:gridSpan w:val="5"/>
          </w:tcPr>
          <w:p>
            <w:pPr>
              <w:jc w:val="center"/>
              <w:ind w:right="119"/>
              <w:spacing w:after="0" w:line="135" w:lineRule="exact"/>
              <w:rPr>
                <w:sz w:val="20"/>
                <w:szCs w:val="20"/>
                <w:color w:val="auto"/>
              </w:rPr>
            </w:pPr>
            <w:r>
              <w:rPr>
                <w:rFonts w:ascii="Arial" w:cs="Arial" w:eastAsia="Arial" w:hAnsi="Arial"/>
                <w:sz w:val="14"/>
                <w:szCs w:val="14"/>
                <w:b w:val="1"/>
                <w:bCs w:val="1"/>
                <w:color w:val="auto"/>
                <w:w w:val="92"/>
              </w:rPr>
              <w:t>Ending</w:t>
            </w:r>
          </w:p>
        </w:tc>
        <w:tc>
          <w:tcPr>
            <w:tcW w:w="1340" w:type="dxa"/>
            <w:vAlign w:val="bottom"/>
            <w:gridSpan w:val="5"/>
          </w:tcPr>
          <w:p>
            <w:pPr>
              <w:jc w:val="center"/>
              <w:ind w:right="119"/>
              <w:spacing w:after="0" w:line="135" w:lineRule="exact"/>
              <w:rPr>
                <w:sz w:val="20"/>
                <w:szCs w:val="20"/>
                <w:color w:val="auto"/>
              </w:rPr>
            </w:pPr>
            <w:r>
              <w:rPr>
                <w:rFonts w:ascii="Arial" w:cs="Arial" w:eastAsia="Arial" w:hAnsi="Arial"/>
                <w:sz w:val="14"/>
                <w:szCs w:val="14"/>
                <w:b w:val="1"/>
                <w:bCs w:val="1"/>
                <w:color w:val="auto"/>
                <w:w w:val="96"/>
              </w:rPr>
              <w:t>Ending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Ended</w:t>
            </w:r>
          </w:p>
        </w:tc>
        <w:tc>
          <w:tcPr>
            <w:tcW w:w="1200" w:type="dxa"/>
            <w:vAlign w:val="bottom"/>
            <w:gridSpan w:val="4"/>
          </w:tcPr>
          <w:p>
            <w:pPr>
              <w:jc w:val="center"/>
              <w:ind w:right="119"/>
              <w:spacing w:after="0" w:line="135" w:lineRule="exact"/>
              <w:rPr>
                <w:sz w:val="20"/>
                <w:szCs w:val="20"/>
                <w:color w:val="auto"/>
              </w:rPr>
            </w:pPr>
            <w:r>
              <w:rPr>
                <w:rFonts w:ascii="Arial" w:cs="Arial" w:eastAsia="Arial" w:hAnsi="Arial"/>
                <w:sz w:val="14"/>
                <w:szCs w:val="14"/>
                <w:b w:val="1"/>
                <w:bCs w:val="1"/>
                <w:color w:val="auto"/>
                <w:w w:val="92"/>
              </w:rPr>
              <w:t>June 30,</w:t>
            </w:r>
          </w:p>
        </w:tc>
        <w:tc>
          <w:tcPr>
            <w:tcW w:w="1200" w:type="dxa"/>
            <w:vAlign w:val="bottom"/>
            <w:gridSpan w:val="5"/>
          </w:tcPr>
          <w:p>
            <w:pPr>
              <w:jc w:val="center"/>
              <w:ind w:right="119"/>
              <w:spacing w:after="0" w:line="135" w:lineRule="exact"/>
              <w:rPr>
                <w:sz w:val="20"/>
                <w:szCs w:val="20"/>
                <w:color w:val="auto"/>
              </w:rPr>
            </w:pPr>
            <w:r>
              <w:rPr>
                <w:rFonts w:ascii="Arial" w:cs="Arial" w:eastAsia="Arial" w:hAnsi="Arial"/>
                <w:sz w:val="14"/>
                <w:szCs w:val="14"/>
                <w:b w:val="1"/>
                <w:bCs w:val="1"/>
                <w:color w:val="auto"/>
                <w:w w:val="92"/>
              </w:rPr>
              <w:t>December 31,</w:t>
            </w:r>
          </w:p>
        </w:tc>
        <w:tc>
          <w:tcPr>
            <w:tcW w:w="1340" w:type="dxa"/>
            <w:vAlign w:val="bottom"/>
            <w:gridSpan w:val="5"/>
          </w:tcPr>
          <w:p>
            <w:pPr>
              <w:jc w:val="center"/>
              <w:ind w:right="139"/>
              <w:spacing w:after="0" w:line="135"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40" w:type="dxa"/>
            <w:vAlign w:val="bottom"/>
            <w:gridSpan w:val="4"/>
          </w:tcPr>
          <w:p>
            <w:pPr>
              <w:jc w:val="center"/>
              <w:ind w:right="160"/>
              <w:spacing w:after="0" w:line="139" w:lineRule="exact"/>
              <w:rPr>
                <w:sz w:val="20"/>
                <w:szCs w:val="20"/>
                <w:color w:val="auto"/>
              </w:rPr>
            </w:pPr>
            <w:r>
              <w:rPr>
                <w:rFonts w:ascii="Arial" w:cs="Arial" w:eastAsia="Arial" w:hAnsi="Arial"/>
                <w:sz w:val="14"/>
                <w:szCs w:val="14"/>
                <w:b w:val="1"/>
                <w:bCs w:val="1"/>
                <w:color w:val="auto"/>
                <w:w w:val="99"/>
              </w:rPr>
              <w:t>March 31,</w:t>
            </w:r>
          </w:p>
        </w:tc>
        <w:tc>
          <w:tcPr>
            <w:tcW w:w="1040" w:type="dxa"/>
            <w:vAlign w:val="bottom"/>
            <w:gridSpan w:val="3"/>
          </w:tcPr>
          <w:p>
            <w:pPr>
              <w:jc w:val="center"/>
              <w:spacing w:after="0" w:line="139" w:lineRule="exact"/>
              <w:rPr>
                <w:sz w:val="20"/>
                <w:szCs w:val="20"/>
                <w:color w:val="auto"/>
              </w:rPr>
            </w:pPr>
            <w:r>
              <w:rPr>
                <w:rFonts w:ascii="Arial" w:cs="Arial" w:eastAsia="Arial" w:hAnsi="Arial"/>
                <w:sz w:val="14"/>
                <w:szCs w:val="14"/>
                <w:b w:val="1"/>
                <w:bCs w:val="1"/>
                <w:color w:val="auto"/>
                <w:w w:val="89"/>
              </w:rPr>
              <w:t>2006</w:t>
            </w:r>
          </w:p>
        </w:tc>
        <w:tc>
          <w:tcPr>
            <w:tcW w:w="160" w:type="dxa"/>
            <w:vAlign w:val="bottom"/>
          </w:tcPr>
          <w:p>
            <w:pPr>
              <w:spacing w:after="0"/>
              <w:rPr>
                <w:sz w:val="12"/>
                <w:szCs w:val="12"/>
                <w:color w:val="auto"/>
              </w:rPr>
            </w:pPr>
          </w:p>
        </w:tc>
        <w:tc>
          <w:tcPr>
            <w:tcW w:w="1060" w:type="dxa"/>
            <w:vAlign w:val="bottom"/>
            <w:gridSpan w:val="4"/>
          </w:tcPr>
          <w:p>
            <w:pPr>
              <w:jc w:val="center"/>
              <w:spacing w:after="0" w:line="139" w:lineRule="exact"/>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2"/>
                <w:szCs w:val="12"/>
                <w:color w:val="auto"/>
              </w:rPr>
            </w:pPr>
          </w:p>
        </w:tc>
        <w:tc>
          <w:tcPr>
            <w:tcW w:w="740" w:type="dxa"/>
            <w:vAlign w:val="bottom"/>
            <w:gridSpan w:val="3"/>
          </w:tcPr>
          <w:p>
            <w:pPr>
              <w:jc w:val="center"/>
              <w:ind w:left="368"/>
              <w:spacing w:after="0" w:line="139" w:lineRule="exact"/>
              <w:rPr>
                <w:sz w:val="20"/>
                <w:szCs w:val="20"/>
                <w:color w:val="auto"/>
              </w:rPr>
            </w:pPr>
            <w:r>
              <w:rPr>
                <w:rFonts w:ascii="Arial" w:cs="Arial" w:eastAsia="Arial" w:hAnsi="Arial"/>
                <w:sz w:val="14"/>
                <w:szCs w:val="14"/>
                <w:b w:val="1"/>
                <w:bCs w:val="1"/>
                <w:color w:val="auto"/>
                <w:w w:val="96"/>
              </w:rPr>
              <w:t>2006</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1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80" w:type="dxa"/>
            <w:vAlign w:val="bottom"/>
            <w:gridSpan w:val="2"/>
            <w:vMerge w:val="restart"/>
          </w:tcPr>
          <w:p>
            <w:pPr>
              <w:jc w:val="center"/>
              <w:ind w:left="28"/>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168"/>
              <w:spacing w:after="0" w:line="129" w:lineRule="exact"/>
              <w:rPr>
                <w:sz w:val="20"/>
                <w:szCs w:val="20"/>
                <w:color w:val="auto"/>
              </w:rPr>
            </w:pPr>
            <w:r>
              <w:rPr>
                <w:rFonts w:ascii="Arial" w:cs="Arial" w:eastAsia="Arial" w:hAnsi="Arial"/>
                <w:sz w:val="14"/>
                <w:szCs w:val="14"/>
                <w:b w:val="1"/>
                <w:bCs w:val="1"/>
                <w:color w:val="auto"/>
              </w:rPr>
              <w:t>Low</w:t>
            </w:r>
          </w:p>
        </w:tc>
        <w:tc>
          <w:tcPr>
            <w:tcW w:w="440" w:type="dxa"/>
            <w:vAlign w:val="bottom"/>
          </w:tcPr>
          <w:p>
            <w:pPr>
              <w:jc w:val="right"/>
              <w:ind w:right="8"/>
              <w:spacing w:after="0" w:line="129" w:lineRule="exact"/>
              <w:rPr>
                <w:sz w:val="20"/>
                <w:szCs w:val="20"/>
                <w:color w:val="auto"/>
              </w:rPr>
            </w:pPr>
            <w:r>
              <w:rPr>
                <w:rFonts w:ascii="Arial" w:cs="Arial" w:eastAsia="Arial" w:hAnsi="Arial"/>
                <w:sz w:val="14"/>
                <w:szCs w:val="14"/>
                <w:b w:val="1"/>
                <w:bCs w:val="1"/>
                <w:color w:val="auto"/>
              </w:rPr>
              <w:t>High</w:t>
            </w:r>
          </w:p>
        </w:tc>
        <w:tc>
          <w:tcPr>
            <w:tcW w:w="160" w:type="dxa"/>
            <w:vAlign w:val="bottom"/>
            <w:vMerge w:val="continue"/>
          </w:tcPr>
          <w:p>
            <w:pPr>
              <w:spacing w:after="0"/>
              <w:rPr>
                <w:sz w:val="11"/>
                <w:szCs w:val="11"/>
                <w:color w:val="auto"/>
              </w:rPr>
            </w:pPr>
          </w:p>
        </w:tc>
        <w:tc>
          <w:tcPr>
            <w:tcW w:w="62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Low</w:t>
            </w:r>
          </w:p>
        </w:tc>
        <w:tc>
          <w:tcPr>
            <w:tcW w:w="440" w:type="dxa"/>
            <w:vAlign w:val="bottom"/>
          </w:tcPr>
          <w:p>
            <w:pPr>
              <w:jc w:val="right"/>
              <w:ind w:right="8"/>
              <w:spacing w:after="0" w:line="129" w:lineRule="exact"/>
              <w:rPr>
                <w:sz w:val="20"/>
                <w:szCs w:val="20"/>
                <w:color w:val="auto"/>
              </w:rPr>
            </w:pPr>
            <w:r>
              <w:rPr>
                <w:rFonts w:ascii="Arial" w:cs="Arial" w:eastAsia="Arial" w:hAnsi="Arial"/>
                <w:sz w:val="14"/>
                <w:szCs w:val="14"/>
                <w:b w:val="1"/>
                <w:bCs w:val="1"/>
                <w:color w:val="auto"/>
              </w:rPr>
              <w:t>High</w:t>
            </w:r>
          </w:p>
        </w:tc>
        <w:tc>
          <w:tcPr>
            <w:tcW w:w="140" w:type="dxa"/>
            <w:vAlign w:val="bottom"/>
            <w:vMerge w:val="continue"/>
          </w:tcPr>
          <w:p>
            <w:pPr>
              <w:spacing w:after="0"/>
              <w:rPr>
                <w:sz w:val="11"/>
                <w:szCs w:val="11"/>
                <w:color w:val="auto"/>
              </w:rPr>
            </w:pPr>
          </w:p>
        </w:tc>
        <w:tc>
          <w:tcPr>
            <w:tcW w:w="74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rPr>
              <w:t>Low</w:t>
            </w:r>
          </w:p>
        </w:tc>
        <w:tc>
          <w:tcPr>
            <w:tcW w:w="440" w:type="dxa"/>
            <w:vAlign w:val="bottom"/>
          </w:tcPr>
          <w:p>
            <w:pPr>
              <w:jc w:val="right"/>
              <w:ind w:right="48"/>
              <w:spacing w:after="0" w:line="129" w:lineRule="exact"/>
              <w:rPr>
                <w:sz w:val="20"/>
                <w:szCs w:val="20"/>
                <w:color w:val="auto"/>
              </w:rPr>
            </w:pPr>
            <w:r>
              <w:rPr>
                <w:rFonts w:ascii="Arial" w:cs="Arial" w:eastAsia="Arial" w:hAnsi="Arial"/>
                <w:sz w:val="14"/>
                <w:szCs w:val="14"/>
                <w:b w:val="1"/>
                <w:bCs w:val="1"/>
                <w:color w:val="auto"/>
                <w:w w:val="96"/>
              </w:rPr>
              <w:t>High</w:t>
            </w:r>
          </w:p>
        </w:tc>
        <w:tc>
          <w:tcPr>
            <w:tcW w:w="1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360" w:type="dxa"/>
            <w:vAlign w:val="bottom"/>
            <w:tcBorders>
              <w:right w:val="single" w:sz="8" w:color="CCEEFF"/>
            </w:tcBorders>
          </w:tcPr>
          <w:p>
            <w:pPr>
              <w:spacing w:after="0"/>
              <w:rPr>
                <w:sz w:val="14"/>
                <w:szCs w:val="14"/>
                <w:color w:val="auto"/>
              </w:rPr>
            </w:pPr>
          </w:p>
        </w:tc>
        <w:tc>
          <w:tcPr>
            <w:tcW w:w="414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Pipeline</w:t>
            </w: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60" w:type="dxa"/>
            <w:vAlign w:val="bottom"/>
          </w:tcPr>
          <w:p>
            <w:pPr>
              <w:spacing w:after="0"/>
              <w:rPr>
                <w:sz w:val="15"/>
                <w:szCs w:val="15"/>
                <w:color w:val="auto"/>
              </w:rPr>
            </w:pPr>
          </w:p>
        </w:tc>
        <w:tc>
          <w:tcPr>
            <w:tcW w:w="4140" w:type="dxa"/>
            <w:vAlign w:val="bottom"/>
            <w:gridSpan w:val="2"/>
          </w:tcPr>
          <w:p>
            <w:pPr>
              <w:ind w:left="240"/>
              <w:spacing w:after="0"/>
              <w:rPr>
                <w:sz w:val="20"/>
                <w:szCs w:val="20"/>
                <w:color w:val="auto"/>
              </w:rPr>
            </w:pPr>
            <w:r>
              <w:rPr>
                <w:rFonts w:ascii="Arial" w:cs="Arial" w:eastAsia="Arial" w:hAnsi="Arial"/>
                <w:sz w:val="14"/>
                <w:szCs w:val="14"/>
                <w:color w:val="auto"/>
              </w:rPr>
              <w:t>Net revenues</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$ 96.4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9"/>
              </w:rPr>
              <w:t>$ 104.4</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5"/>
              </w:rPr>
              <w:t>$ 106.6</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9"/>
              </w:rPr>
              <w:t>$ 215.7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5"/>
              </w:rPr>
              <w:t>$ 218.5</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$ 416.5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5"/>
              </w:rPr>
              <w:t>$ 421.5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60" w:type="dxa"/>
            <w:vAlign w:val="bottom"/>
            <w:tcBorders>
              <w:right w:val="single" w:sz="8" w:color="CCEEFF"/>
            </w:tcBorders>
          </w:tcPr>
          <w:p>
            <w:pPr>
              <w:spacing w:after="0"/>
              <w:rPr>
                <w:sz w:val="15"/>
                <w:szCs w:val="15"/>
                <w:color w:val="auto"/>
              </w:rPr>
            </w:pPr>
          </w:p>
        </w:tc>
        <w:tc>
          <w:tcPr>
            <w:tcW w:w="41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Field operating costs</w:t>
            </w:r>
          </w:p>
        </w:tc>
        <w:tc>
          <w:tcPr>
            <w:tcW w:w="700" w:type="dxa"/>
            <w:vAlign w:val="bottom"/>
            <w:gridSpan w:val="3"/>
            <w:shd w:val="clear" w:color="auto" w:fill="CCEEFF"/>
          </w:tcPr>
          <w:p>
            <w:pPr>
              <w:jc w:val="right"/>
              <w:ind w:right="39"/>
              <w:spacing w:after="0"/>
              <w:rPr>
                <w:sz w:val="20"/>
                <w:szCs w:val="20"/>
                <w:color w:val="auto"/>
              </w:rPr>
            </w:pPr>
            <w:r>
              <w:rPr>
                <w:rFonts w:ascii="Arial" w:cs="Arial" w:eastAsia="Arial" w:hAnsi="Arial"/>
                <w:sz w:val="14"/>
                <w:szCs w:val="14"/>
                <w:color w:val="auto"/>
              </w:rPr>
              <w:t>(45.1</w:t>
            </w: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(48.2</w:t>
            </w:r>
            <w:r>
              <w:rPr>
                <w:rFonts w:ascii="Arial" w:cs="Arial" w:eastAsia="Arial" w:hAnsi="Arial"/>
                <w:sz w:val="14"/>
                <w:szCs w:val="14"/>
                <w:b w:val="1"/>
                <w:bCs w:val="1"/>
                <w:color w:val="auto"/>
              </w:rPr>
              <w:t>)</w:t>
            </w:r>
          </w:p>
        </w:tc>
        <w:tc>
          <w:tcPr>
            <w:tcW w:w="60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(47.6</w:t>
            </w:r>
            <w:r>
              <w:rPr>
                <w:rFonts w:ascii="Arial" w:cs="Arial" w:eastAsia="Arial" w:hAnsi="Arial"/>
                <w:sz w:val="14"/>
                <w:szCs w:val="14"/>
                <w:b w:val="1"/>
                <w:bCs w:val="1"/>
                <w:color w:val="auto"/>
              </w:rPr>
              <w:t>)</w:t>
            </w:r>
          </w:p>
        </w:tc>
        <w:tc>
          <w:tcPr>
            <w:tcW w:w="6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(95.6</w:t>
            </w:r>
            <w:r>
              <w:rPr>
                <w:rFonts w:ascii="Arial" w:cs="Arial" w:eastAsia="Arial" w:hAnsi="Arial"/>
                <w:sz w:val="14"/>
                <w:szCs w:val="14"/>
                <w:b w:val="1"/>
                <w:bCs w:val="1"/>
                <w:color w:val="auto"/>
              </w:rPr>
              <w:t>)</w:t>
            </w:r>
          </w:p>
        </w:tc>
        <w:tc>
          <w:tcPr>
            <w:tcW w:w="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(94.4</w:t>
            </w: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(188.9</w:t>
            </w:r>
            <w:r>
              <w:rPr>
                <w:rFonts w:ascii="Arial" w:cs="Arial" w:eastAsia="Arial" w:hAnsi="Arial"/>
                <w:sz w:val="14"/>
                <w:szCs w:val="14"/>
                <w:b w:val="1"/>
                <w:bCs w:val="1"/>
                <w:color w:val="auto"/>
              </w:rPr>
              <w:t>)</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(187.1</w:t>
            </w: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60" w:type="dxa"/>
            <w:vAlign w:val="bottom"/>
          </w:tcPr>
          <w:p>
            <w:pPr>
              <w:spacing w:after="0"/>
              <w:rPr>
                <w:sz w:val="15"/>
                <w:szCs w:val="15"/>
                <w:color w:val="auto"/>
              </w:rPr>
            </w:pPr>
          </w:p>
        </w:tc>
        <w:tc>
          <w:tcPr>
            <w:tcW w:w="4140" w:type="dxa"/>
            <w:vAlign w:val="bottom"/>
            <w:gridSpan w:val="2"/>
          </w:tcPr>
          <w:p>
            <w:pPr>
              <w:ind w:left="240"/>
              <w:spacing w:after="0"/>
              <w:rPr>
                <w:sz w:val="20"/>
                <w:szCs w:val="20"/>
                <w:color w:val="auto"/>
              </w:rPr>
            </w:pPr>
            <w:r>
              <w:rPr>
                <w:rFonts w:ascii="Arial" w:cs="Arial" w:eastAsia="Arial" w:hAnsi="Arial"/>
                <w:sz w:val="14"/>
                <w:szCs w:val="14"/>
                <w:color w:val="auto"/>
              </w:rPr>
              <w:t>General and administrative expenses</w:t>
            </w:r>
          </w:p>
        </w:tc>
        <w:tc>
          <w:tcPr>
            <w:tcW w:w="700" w:type="dxa"/>
            <w:vAlign w:val="bottom"/>
            <w:gridSpan w:val="3"/>
          </w:tcPr>
          <w:p>
            <w:pPr>
              <w:jc w:val="right"/>
              <w:ind w:right="39"/>
              <w:spacing w:after="0"/>
              <w:rPr>
                <w:sz w:val="20"/>
                <w:szCs w:val="20"/>
                <w:color w:val="auto"/>
              </w:rPr>
            </w:pPr>
            <w:r>
              <w:rPr>
                <w:rFonts w:ascii="Arial" w:cs="Arial" w:eastAsia="Arial" w:hAnsi="Arial"/>
                <w:sz w:val="14"/>
                <w:szCs w:val="14"/>
                <w:color w:val="auto"/>
              </w:rPr>
              <w:t>(13.3</w:t>
            </w: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28"/>
              <w:spacing w:after="0"/>
              <w:rPr>
                <w:sz w:val="20"/>
                <w:szCs w:val="20"/>
                <w:color w:val="auto"/>
              </w:rPr>
            </w:pPr>
            <w:r>
              <w:rPr>
                <w:rFonts w:ascii="Arial" w:cs="Arial" w:eastAsia="Arial" w:hAnsi="Arial"/>
                <w:sz w:val="14"/>
                <w:szCs w:val="14"/>
                <w:color w:val="auto"/>
              </w:rPr>
              <w:t>(11.2</w:t>
            </w:r>
            <w:r>
              <w:rPr>
                <w:rFonts w:ascii="Arial" w:cs="Arial" w:eastAsia="Arial" w:hAnsi="Arial"/>
                <w:sz w:val="14"/>
                <w:szCs w:val="14"/>
                <w:b w:val="1"/>
                <w:bCs w:val="1"/>
                <w:color w:val="auto"/>
              </w:rPr>
              <w:t>)</w:t>
            </w:r>
          </w:p>
        </w:tc>
        <w:tc>
          <w:tcPr>
            <w:tcW w:w="600" w:type="dxa"/>
            <w:vAlign w:val="bottom"/>
            <w:gridSpan w:val="2"/>
          </w:tcPr>
          <w:p>
            <w:pPr>
              <w:jc w:val="right"/>
              <w:ind w:right="79"/>
              <w:spacing w:after="0"/>
              <w:rPr>
                <w:sz w:val="20"/>
                <w:szCs w:val="20"/>
                <w:color w:val="auto"/>
              </w:rPr>
            </w:pPr>
            <w:r>
              <w:rPr>
                <w:rFonts w:ascii="Arial" w:cs="Arial" w:eastAsia="Arial" w:hAnsi="Arial"/>
                <w:sz w:val="14"/>
                <w:szCs w:val="14"/>
                <w:color w:val="auto"/>
              </w:rPr>
              <w:t>(11.0</w:t>
            </w:r>
            <w:r>
              <w:rPr>
                <w:rFonts w:ascii="Arial" w:cs="Arial" w:eastAsia="Arial" w:hAnsi="Arial"/>
                <w:sz w:val="14"/>
                <w:szCs w:val="14"/>
                <w:b w:val="1"/>
                <w:bCs w:val="1"/>
                <w:color w:val="auto"/>
              </w:rPr>
              <w:t>)</w:t>
            </w:r>
          </w:p>
        </w:tc>
        <w:tc>
          <w:tcPr>
            <w:tcW w:w="600" w:type="dxa"/>
            <w:vAlign w:val="bottom"/>
            <w:gridSpan w:val="2"/>
          </w:tcPr>
          <w:p>
            <w:pPr>
              <w:jc w:val="right"/>
              <w:ind w:right="28"/>
              <w:spacing w:after="0"/>
              <w:rPr>
                <w:sz w:val="20"/>
                <w:szCs w:val="20"/>
                <w:color w:val="auto"/>
              </w:rPr>
            </w:pPr>
            <w:r>
              <w:rPr>
                <w:rFonts w:ascii="Arial" w:cs="Arial" w:eastAsia="Arial" w:hAnsi="Arial"/>
                <w:sz w:val="14"/>
                <w:szCs w:val="14"/>
                <w:color w:val="auto"/>
              </w:rPr>
              <w:t>(23.4</w:t>
            </w: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580" w:type="dxa"/>
            <w:vAlign w:val="bottom"/>
            <w:gridSpan w:val="2"/>
          </w:tcPr>
          <w:p>
            <w:pPr>
              <w:jc w:val="right"/>
              <w:ind w:right="59"/>
              <w:spacing w:after="0"/>
              <w:rPr>
                <w:sz w:val="20"/>
                <w:szCs w:val="20"/>
                <w:color w:val="auto"/>
              </w:rPr>
            </w:pPr>
            <w:r>
              <w:rPr>
                <w:rFonts w:ascii="Arial" w:cs="Arial" w:eastAsia="Arial" w:hAnsi="Arial"/>
                <w:sz w:val="14"/>
                <w:szCs w:val="14"/>
                <w:color w:val="auto"/>
              </w:rPr>
              <w:t>(23.0</w:t>
            </w:r>
            <w:r>
              <w:rPr>
                <w:rFonts w:ascii="Arial" w:cs="Arial" w:eastAsia="Arial" w:hAnsi="Arial"/>
                <w:sz w:val="14"/>
                <w:szCs w:val="14"/>
                <w:b w:val="1"/>
                <w:bCs w:val="1"/>
                <w:color w:val="auto"/>
              </w:rPr>
              <w:t>)</w:t>
            </w:r>
          </w:p>
        </w:tc>
        <w:tc>
          <w:tcPr>
            <w:tcW w:w="660" w:type="dxa"/>
            <w:vAlign w:val="bottom"/>
            <w:gridSpan w:val="2"/>
          </w:tcPr>
          <w:p>
            <w:pPr>
              <w:jc w:val="right"/>
              <w:ind w:right="28"/>
              <w:spacing w:after="0"/>
              <w:rPr>
                <w:sz w:val="20"/>
                <w:szCs w:val="20"/>
                <w:color w:val="auto"/>
              </w:rPr>
            </w:pPr>
            <w:r>
              <w:rPr>
                <w:rFonts w:ascii="Arial" w:cs="Arial" w:eastAsia="Arial" w:hAnsi="Arial"/>
                <w:sz w:val="14"/>
                <w:szCs w:val="14"/>
                <w:color w:val="auto"/>
              </w:rPr>
              <w:t>(47.9</w:t>
            </w: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600" w:type="dxa"/>
            <w:vAlign w:val="bottom"/>
            <w:gridSpan w:val="2"/>
          </w:tcPr>
          <w:p>
            <w:pPr>
              <w:jc w:val="right"/>
              <w:ind w:right="79"/>
              <w:spacing w:after="0"/>
              <w:rPr>
                <w:sz w:val="20"/>
                <w:szCs w:val="20"/>
                <w:color w:val="auto"/>
              </w:rPr>
            </w:pPr>
            <w:r>
              <w:rPr>
                <w:rFonts w:ascii="Arial" w:cs="Arial" w:eastAsia="Arial" w:hAnsi="Arial"/>
                <w:sz w:val="14"/>
                <w:szCs w:val="14"/>
                <w:color w:val="auto"/>
              </w:rPr>
              <w:t>(47.3</w:t>
            </w: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360" w:type="dxa"/>
            <w:vAlign w:val="bottom"/>
            <w:tcBorders>
              <w:right w:val="single" w:sz="8" w:color="CCEEFF"/>
            </w:tcBorders>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33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96.7</w:t>
            </w: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101.1</w:t>
            </w:r>
          </w:p>
        </w:tc>
        <w:tc>
          <w:tcPr>
            <w:tcW w:w="14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179.7</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187.1</w:t>
            </w: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4140" w:type="dxa"/>
            <w:vAlign w:val="bottom"/>
            <w:gridSpan w:val="2"/>
          </w:tcPr>
          <w:p>
            <w:pPr>
              <w:ind w:left="100"/>
              <w:spacing w:after="0"/>
              <w:rPr>
                <w:sz w:val="20"/>
                <w:szCs w:val="20"/>
                <w:color w:val="auto"/>
              </w:rPr>
            </w:pPr>
            <w:r>
              <w:rPr>
                <w:rFonts w:ascii="Arial" w:cs="Arial" w:eastAsia="Arial" w:hAnsi="Arial"/>
                <w:sz w:val="14"/>
                <w:szCs w:val="14"/>
                <w:b w:val="1"/>
                <w:bCs w:val="1"/>
                <w:color w:val="auto"/>
              </w:rPr>
              <w:t>Gathering, Marketing, Terminalling &amp; Storage</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60" w:type="dxa"/>
            <w:vAlign w:val="bottom"/>
            <w:tcBorders>
              <w:right w:val="single" w:sz="8" w:color="CCEEFF"/>
            </w:tcBorders>
          </w:tcPr>
          <w:p>
            <w:pPr>
              <w:spacing w:after="0"/>
              <w:rPr>
                <w:sz w:val="15"/>
                <w:szCs w:val="15"/>
                <w:color w:val="auto"/>
              </w:rPr>
            </w:pPr>
          </w:p>
        </w:tc>
        <w:tc>
          <w:tcPr>
            <w:tcW w:w="41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Net revenues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236.1</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249.7</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486.2</w:t>
            </w:r>
          </w:p>
        </w:tc>
        <w:tc>
          <w:tcPr>
            <w:tcW w:w="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60" w:type="dxa"/>
            <w:vAlign w:val="bottom"/>
          </w:tcPr>
          <w:p>
            <w:pPr>
              <w:spacing w:after="0"/>
              <w:rPr>
                <w:sz w:val="15"/>
                <w:szCs w:val="15"/>
                <w:color w:val="auto"/>
              </w:rPr>
            </w:pPr>
          </w:p>
        </w:tc>
        <w:tc>
          <w:tcPr>
            <w:tcW w:w="4140" w:type="dxa"/>
            <w:vAlign w:val="bottom"/>
            <w:gridSpan w:val="2"/>
          </w:tcPr>
          <w:p>
            <w:pPr>
              <w:ind w:left="240"/>
              <w:spacing w:after="0"/>
              <w:rPr>
                <w:sz w:val="20"/>
                <w:szCs w:val="20"/>
                <w:color w:val="auto"/>
              </w:rPr>
            </w:pPr>
            <w:r>
              <w:rPr>
                <w:rFonts w:ascii="Arial" w:cs="Arial" w:eastAsia="Arial" w:hAnsi="Arial"/>
                <w:sz w:val="14"/>
                <w:szCs w:val="14"/>
                <w:color w:val="auto"/>
              </w:rPr>
              <w:t>Field operating costs</w:t>
            </w:r>
          </w:p>
        </w:tc>
        <w:tc>
          <w:tcPr>
            <w:tcW w:w="700" w:type="dxa"/>
            <w:vAlign w:val="bottom"/>
            <w:gridSpan w:val="3"/>
          </w:tcPr>
          <w:p>
            <w:pPr>
              <w:jc w:val="right"/>
              <w:ind w:right="39"/>
              <w:spacing w:after="0"/>
              <w:rPr>
                <w:sz w:val="20"/>
                <w:szCs w:val="20"/>
                <w:color w:val="auto"/>
              </w:rPr>
            </w:pPr>
            <w:r>
              <w:rPr>
                <w:rFonts w:ascii="Arial" w:cs="Arial" w:eastAsia="Arial" w:hAnsi="Arial"/>
                <w:sz w:val="14"/>
                <w:szCs w:val="14"/>
                <w:color w:val="auto"/>
              </w:rPr>
              <w:t>(37.2</w:t>
            </w: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28"/>
              <w:spacing w:after="0"/>
              <w:rPr>
                <w:sz w:val="20"/>
                <w:szCs w:val="20"/>
                <w:color w:val="auto"/>
              </w:rPr>
            </w:pPr>
            <w:r>
              <w:rPr>
                <w:rFonts w:ascii="Arial" w:cs="Arial" w:eastAsia="Arial" w:hAnsi="Arial"/>
                <w:sz w:val="14"/>
                <w:szCs w:val="14"/>
                <w:color w:val="auto"/>
              </w:rPr>
              <w:t>(39.1</w:t>
            </w:r>
            <w:r>
              <w:rPr>
                <w:rFonts w:ascii="Arial" w:cs="Arial" w:eastAsia="Arial" w:hAnsi="Arial"/>
                <w:sz w:val="14"/>
                <w:szCs w:val="14"/>
                <w:b w:val="1"/>
                <w:bCs w:val="1"/>
                <w:color w:val="auto"/>
              </w:rPr>
              <w:t>)</w:t>
            </w:r>
          </w:p>
        </w:tc>
        <w:tc>
          <w:tcPr>
            <w:tcW w:w="600" w:type="dxa"/>
            <w:vAlign w:val="bottom"/>
            <w:gridSpan w:val="2"/>
          </w:tcPr>
          <w:p>
            <w:pPr>
              <w:jc w:val="right"/>
              <w:ind w:right="79"/>
              <w:spacing w:after="0"/>
              <w:rPr>
                <w:sz w:val="20"/>
                <w:szCs w:val="20"/>
                <w:color w:val="auto"/>
              </w:rPr>
            </w:pPr>
            <w:r>
              <w:rPr>
                <w:rFonts w:ascii="Arial" w:cs="Arial" w:eastAsia="Arial" w:hAnsi="Arial"/>
                <w:sz w:val="14"/>
                <w:szCs w:val="14"/>
                <w:color w:val="auto"/>
              </w:rPr>
              <w:t>(38.5</w:t>
            </w:r>
            <w:r>
              <w:rPr>
                <w:rFonts w:ascii="Arial" w:cs="Arial" w:eastAsia="Arial" w:hAnsi="Arial"/>
                <w:sz w:val="14"/>
                <w:szCs w:val="14"/>
                <w:b w:val="1"/>
                <w:bCs w:val="1"/>
                <w:color w:val="auto"/>
              </w:rPr>
              <w:t>)</w:t>
            </w:r>
          </w:p>
        </w:tc>
        <w:tc>
          <w:tcPr>
            <w:tcW w:w="600" w:type="dxa"/>
            <w:vAlign w:val="bottom"/>
            <w:gridSpan w:val="2"/>
          </w:tcPr>
          <w:p>
            <w:pPr>
              <w:jc w:val="right"/>
              <w:ind w:right="28"/>
              <w:spacing w:after="0"/>
              <w:rPr>
                <w:sz w:val="20"/>
                <w:szCs w:val="20"/>
                <w:color w:val="auto"/>
              </w:rPr>
            </w:pPr>
            <w:r>
              <w:rPr>
                <w:rFonts w:ascii="Arial" w:cs="Arial" w:eastAsia="Arial" w:hAnsi="Arial"/>
                <w:sz w:val="14"/>
                <w:szCs w:val="14"/>
                <w:color w:val="auto"/>
              </w:rPr>
              <w:t>(83.4</w:t>
            </w: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580" w:type="dxa"/>
            <w:vAlign w:val="bottom"/>
            <w:gridSpan w:val="2"/>
          </w:tcPr>
          <w:p>
            <w:pPr>
              <w:jc w:val="right"/>
              <w:ind w:right="59"/>
              <w:spacing w:after="0"/>
              <w:rPr>
                <w:sz w:val="20"/>
                <w:szCs w:val="20"/>
                <w:color w:val="auto"/>
              </w:rPr>
            </w:pPr>
            <w:r>
              <w:rPr>
                <w:rFonts w:ascii="Arial" w:cs="Arial" w:eastAsia="Arial" w:hAnsi="Arial"/>
                <w:sz w:val="14"/>
                <w:szCs w:val="14"/>
                <w:color w:val="auto"/>
              </w:rPr>
              <w:t>(82.2</w:t>
            </w:r>
            <w:r>
              <w:rPr>
                <w:rFonts w:ascii="Arial" w:cs="Arial" w:eastAsia="Arial" w:hAnsi="Arial"/>
                <w:sz w:val="14"/>
                <w:szCs w:val="14"/>
                <w:b w:val="1"/>
                <w:bCs w:val="1"/>
                <w:color w:val="auto"/>
              </w:rPr>
              <w:t>)</w:t>
            </w:r>
          </w:p>
        </w:tc>
        <w:tc>
          <w:tcPr>
            <w:tcW w:w="660" w:type="dxa"/>
            <w:vAlign w:val="bottom"/>
            <w:gridSpan w:val="2"/>
          </w:tcPr>
          <w:p>
            <w:pPr>
              <w:jc w:val="right"/>
              <w:ind w:right="28"/>
              <w:spacing w:after="0"/>
              <w:rPr>
                <w:sz w:val="20"/>
                <w:szCs w:val="20"/>
                <w:color w:val="auto"/>
              </w:rPr>
            </w:pPr>
            <w:r>
              <w:rPr>
                <w:rFonts w:ascii="Arial" w:cs="Arial" w:eastAsia="Arial" w:hAnsi="Arial"/>
                <w:sz w:val="14"/>
                <w:szCs w:val="14"/>
                <w:color w:val="auto"/>
              </w:rPr>
              <w:t>(159.7</w:t>
            </w: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600" w:type="dxa"/>
            <w:vAlign w:val="bottom"/>
            <w:gridSpan w:val="2"/>
          </w:tcPr>
          <w:p>
            <w:pPr>
              <w:jc w:val="right"/>
              <w:ind w:right="79"/>
              <w:spacing w:after="0"/>
              <w:rPr>
                <w:sz w:val="20"/>
                <w:szCs w:val="20"/>
                <w:color w:val="auto"/>
              </w:rPr>
            </w:pPr>
            <w:r>
              <w:rPr>
                <w:rFonts w:ascii="Arial" w:cs="Arial" w:eastAsia="Arial" w:hAnsi="Arial"/>
                <w:sz w:val="14"/>
                <w:szCs w:val="14"/>
                <w:color w:val="auto"/>
              </w:rPr>
              <w:t>(157.9</w:t>
            </w: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60" w:type="dxa"/>
            <w:vAlign w:val="bottom"/>
            <w:tcBorders>
              <w:right w:val="single" w:sz="8" w:color="CCEEFF"/>
            </w:tcBorders>
          </w:tcPr>
          <w:p>
            <w:pPr>
              <w:spacing w:after="0"/>
              <w:rPr>
                <w:sz w:val="15"/>
                <w:szCs w:val="15"/>
                <w:color w:val="auto"/>
              </w:rPr>
            </w:pPr>
          </w:p>
        </w:tc>
        <w:tc>
          <w:tcPr>
            <w:tcW w:w="41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General and administrative expenses</w:t>
            </w:r>
          </w:p>
        </w:tc>
        <w:tc>
          <w:tcPr>
            <w:tcW w:w="700" w:type="dxa"/>
            <w:vAlign w:val="bottom"/>
            <w:gridSpan w:val="3"/>
            <w:shd w:val="clear" w:color="auto" w:fill="CCEEFF"/>
          </w:tcPr>
          <w:p>
            <w:pPr>
              <w:jc w:val="right"/>
              <w:ind w:right="39"/>
              <w:spacing w:after="0"/>
              <w:rPr>
                <w:sz w:val="20"/>
                <w:szCs w:val="20"/>
                <w:color w:val="auto"/>
              </w:rPr>
            </w:pPr>
            <w:r>
              <w:rPr>
                <w:rFonts w:ascii="Arial" w:cs="Arial" w:eastAsia="Arial" w:hAnsi="Arial"/>
                <w:sz w:val="14"/>
                <w:szCs w:val="14"/>
                <w:color w:val="auto"/>
              </w:rPr>
              <w:t>(18.5</w:t>
            </w: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(18.8</w:t>
            </w:r>
            <w:r>
              <w:rPr>
                <w:rFonts w:ascii="Arial" w:cs="Arial" w:eastAsia="Arial" w:hAnsi="Arial"/>
                <w:sz w:val="14"/>
                <w:szCs w:val="14"/>
                <w:b w:val="1"/>
                <w:bCs w:val="1"/>
                <w:color w:val="auto"/>
              </w:rPr>
              <w:t>)</w:t>
            </w:r>
          </w:p>
        </w:tc>
        <w:tc>
          <w:tcPr>
            <w:tcW w:w="60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(18.5</w:t>
            </w:r>
            <w:r>
              <w:rPr>
                <w:rFonts w:ascii="Arial" w:cs="Arial" w:eastAsia="Arial" w:hAnsi="Arial"/>
                <w:sz w:val="14"/>
                <w:szCs w:val="14"/>
                <w:b w:val="1"/>
                <w:bCs w:val="1"/>
                <w:color w:val="auto"/>
              </w:rPr>
              <w:t>)</w:t>
            </w:r>
          </w:p>
        </w:tc>
        <w:tc>
          <w:tcPr>
            <w:tcW w:w="6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(38.7</w:t>
            </w:r>
            <w:r>
              <w:rPr>
                <w:rFonts w:ascii="Arial" w:cs="Arial" w:eastAsia="Arial" w:hAnsi="Arial"/>
                <w:sz w:val="14"/>
                <w:szCs w:val="14"/>
                <w:b w:val="1"/>
                <w:bCs w:val="1"/>
                <w:color w:val="auto"/>
              </w:rPr>
              <w:t>)</w:t>
            </w:r>
          </w:p>
        </w:tc>
        <w:tc>
          <w:tcPr>
            <w:tcW w:w="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(38.1</w:t>
            </w: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(76.0</w:t>
            </w:r>
            <w:r>
              <w:rPr>
                <w:rFonts w:ascii="Arial" w:cs="Arial" w:eastAsia="Arial" w:hAnsi="Arial"/>
                <w:sz w:val="14"/>
                <w:szCs w:val="14"/>
                <w:b w:val="1"/>
                <w:bCs w:val="1"/>
                <w:color w:val="auto"/>
              </w:rPr>
              <w:t>)</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(75.1</w:t>
            </w: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33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55.9</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61.1</w:t>
            </w:r>
          </w:p>
        </w:tc>
        <w:tc>
          <w:tcPr>
            <w:tcW w:w="16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67.9</w:t>
            </w:r>
          </w:p>
        </w:tc>
        <w:tc>
          <w:tcPr>
            <w:tcW w:w="16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114.0</w:t>
            </w:r>
          </w:p>
        </w:tc>
        <w:tc>
          <w:tcPr>
            <w:tcW w:w="160" w:type="dxa"/>
            <w:vAlign w:val="bottom"/>
            <w:tcBorders>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129.4</w:t>
            </w:r>
          </w:p>
        </w:tc>
        <w:tc>
          <w:tcPr>
            <w:tcW w:w="140" w:type="dxa"/>
            <w:vAlign w:val="bottom"/>
            <w:tcBorders>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231.0</w:t>
            </w: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253.2</w:t>
            </w:r>
          </w:p>
        </w:tc>
        <w:tc>
          <w:tcPr>
            <w:tcW w:w="16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Borders>
              <w:right w:val="single" w:sz="8" w:color="CCEEFF"/>
            </w:tcBorders>
          </w:tcPr>
          <w:p>
            <w:pPr>
              <w:spacing w:after="0"/>
              <w:rPr>
                <w:sz w:val="14"/>
                <w:szCs w:val="14"/>
                <w:color w:val="auto"/>
              </w:rPr>
            </w:pP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Segment Profit</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106.1</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210.7</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230.5</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410.7</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440.3</w:t>
            </w:r>
          </w:p>
        </w:tc>
        <w:tc>
          <w:tcPr>
            <w:tcW w:w="1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60" w:type="dxa"/>
            <w:vAlign w:val="bottom"/>
          </w:tcPr>
          <w:p>
            <w:pPr>
              <w:spacing w:after="0"/>
              <w:rPr>
                <w:sz w:val="15"/>
                <w:szCs w:val="15"/>
                <w:color w:val="auto"/>
              </w:rPr>
            </w:pPr>
          </w:p>
        </w:tc>
        <w:tc>
          <w:tcPr>
            <w:tcW w:w="4140" w:type="dxa"/>
            <w:vAlign w:val="bottom"/>
            <w:gridSpan w:val="2"/>
          </w:tcPr>
          <w:p>
            <w:pPr>
              <w:ind w:left="100"/>
              <w:spacing w:after="0"/>
              <w:rPr>
                <w:sz w:val="20"/>
                <w:szCs w:val="20"/>
                <w:color w:val="auto"/>
              </w:rPr>
            </w:pPr>
            <w:r>
              <w:rPr>
                <w:rFonts w:ascii="Arial" w:cs="Arial" w:eastAsia="Arial" w:hAnsi="Arial"/>
                <w:sz w:val="14"/>
                <w:szCs w:val="14"/>
                <w:color w:val="auto"/>
              </w:rPr>
              <w:t>Depreciation and amortization expense</w:t>
            </w:r>
          </w:p>
        </w:tc>
        <w:tc>
          <w:tcPr>
            <w:tcW w:w="700" w:type="dxa"/>
            <w:vAlign w:val="bottom"/>
            <w:gridSpan w:val="3"/>
          </w:tcPr>
          <w:p>
            <w:pPr>
              <w:jc w:val="right"/>
              <w:ind w:right="39"/>
              <w:spacing w:after="0"/>
              <w:rPr>
                <w:sz w:val="20"/>
                <w:szCs w:val="20"/>
                <w:color w:val="auto"/>
              </w:rPr>
            </w:pPr>
            <w:r>
              <w:rPr>
                <w:rFonts w:ascii="Arial" w:cs="Arial" w:eastAsia="Arial" w:hAnsi="Arial"/>
                <w:sz w:val="14"/>
                <w:szCs w:val="14"/>
                <w:color w:val="auto"/>
              </w:rPr>
              <w:t>(21.6</w:t>
            </w: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28"/>
              <w:spacing w:after="0"/>
              <w:rPr>
                <w:sz w:val="20"/>
                <w:szCs w:val="20"/>
                <w:color w:val="auto"/>
              </w:rPr>
            </w:pPr>
            <w:r>
              <w:rPr>
                <w:rFonts w:ascii="Arial" w:cs="Arial" w:eastAsia="Arial" w:hAnsi="Arial"/>
                <w:sz w:val="14"/>
                <w:szCs w:val="14"/>
                <w:color w:val="auto"/>
              </w:rPr>
              <w:t>(23.1</w:t>
            </w:r>
            <w:r>
              <w:rPr>
                <w:rFonts w:ascii="Arial" w:cs="Arial" w:eastAsia="Arial" w:hAnsi="Arial"/>
                <w:sz w:val="14"/>
                <w:szCs w:val="14"/>
                <w:b w:val="1"/>
                <w:bCs w:val="1"/>
                <w:color w:val="auto"/>
              </w:rPr>
              <w:t>)</w:t>
            </w:r>
          </w:p>
        </w:tc>
        <w:tc>
          <w:tcPr>
            <w:tcW w:w="600" w:type="dxa"/>
            <w:vAlign w:val="bottom"/>
            <w:gridSpan w:val="2"/>
          </w:tcPr>
          <w:p>
            <w:pPr>
              <w:jc w:val="right"/>
              <w:ind w:right="79"/>
              <w:spacing w:after="0"/>
              <w:rPr>
                <w:sz w:val="20"/>
                <w:szCs w:val="20"/>
                <w:color w:val="auto"/>
              </w:rPr>
            </w:pPr>
            <w:r>
              <w:rPr>
                <w:rFonts w:ascii="Arial" w:cs="Arial" w:eastAsia="Arial" w:hAnsi="Arial"/>
                <w:sz w:val="14"/>
                <w:szCs w:val="14"/>
                <w:color w:val="auto"/>
              </w:rPr>
              <w:t>(22.7</w:t>
            </w:r>
            <w:r>
              <w:rPr>
                <w:rFonts w:ascii="Arial" w:cs="Arial" w:eastAsia="Arial" w:hAnsi="Arial"/>
                <w:sz w:val="14"/>
                <w:szCs w:val="14"/>
                <w:b w:val="1"/>
                <w:bCs w:val="1"/>
                <w:color w:val="auto"/>
              </w:rPr>
              <w:t>)</w:t>
            </w:r>
          </w:p>
        </w:tc>
        <w:tc>
          <w:tcPr>
            <w:tcW w:w="600" w:type="dxa"/>
            <w:vAlign w:val="bottom"/>
            <w:gridSpan w:val="2"/>
          </w:tcPr>
          <w:p>
            <w:pPr>
              <w:jc w:val="right"/>
              <w:ind w:right="28"/>
              <w:spacing w:after="0"/>
              <w:rPr>
                <w:sz w:val="20"/>
                <w:szCs w:val="20"/>
                <w:color w:val="auto"/>
              </w:rPr>
            </w:pPr>
            <w:r>
              <w:rPr>
                <w:rFonts w:ascii="Arial" w:cs="Arial" w:eastAsia="Arial" w:hAnsi="Arial"/>
                <w:sz w:val="14"/>
                <w:szCs w:val="14"/>
                <w:color w:val="auto"/>
              </w:rPr>
              <w:t>(48.0</w:t>
            </w: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580" w:type="dxa"/>
            <w:vAlign w:val="bottom"/>
            <w:gridSpan w:val="2"/>
          </w:tcPr>
          <w:p>
            <w:pPr>
              <w:jc w:val="right"/>
              <w:ind w:right="59"/>
              <w:spacing w:after="0"/>
              <w:rPr>
                <w:sz w:val="20"/>
                <w:szCs w:val="20"/>
                <w:color w:val="auto"/>
              </w:rPr>
            </w:pPr>
            <w:r>
              <w:rPr>
                <w:rFonts w:ascii="Arial" w:cs="Arial" w:eastAsia="Arial" w:hAnsi="Arial"/>
                <w:sz w:val="14"/>
                <w:szCs w:val="14"/>
                <w:color w:val="auto"/>
              </w:rPr>
              <w:t>(47.2</w:t>
            </w:r>
            <w:r>
              <w:rPr>
                <w:rFonts w:ascii="Arial" w:cs="Arial" w:eastAsia="Arial" w:hAnsi="Arial"/>
                <w:sz w:val="14"/>
                <w:szCs w:val="14"/>
                <w:b w:val="1"/>
                <w:bCs w:val="1"/>
                <w:color w:val="auto"/>
              </w:rPr>
              <w:t>)</w:t>
            </w:r>
          </w:p>
        </w:tc>
        <w:tc>
          <w:tcPr>
            <w:tcW w:w="660" w:type="dxa"/>
            <w:vAlign w:val="bottom"/>
            <w:gridSpan w:val="2"/>
          </w:tcPr>
          <w:p>
            <w:pPr>
              <w:jc w:val="right"/>
              <w:ind w:right="28"/>
              <w:spacing w:after="0"/>
              <w:rPr>
                <w:sz w:val="20"/>
                <w:szCs w:val="20"/>
                <w:color w:val="auto"/>
              </w:rPr>
            </w:pPr>
            <w:r>
              <w:rPr>
                <w:rFonts w:ascii="Arial" w:cs="Arial" w:eastAsia="Arial" w:hAnsi="Arial"/>
                <w:sz w:val="14"/>
                <w:szCs w:val="14"/>
                <w:color w:val="auto"/>
              </w:rPr>
              <w:t>(92.7</w:t>
            </w: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600" w:type="dxa"/>
            <w:vAlign w:val="bottom"/>
            <w:gridSpan w:val="2"/>
          </w:tcPr>
          <w:p>
            <w:pPr>
              <w:jc w:val="right"/>
              <w:ind w:right="79"/>
              <w:spacing w:after="0"/>
              <w:rPr>
                <w:sz w:val="20"/>
                <w:szCs w:val="20"/>
                <w:color w:val="auto"/>
              </w:rPr>
            </w:pPr>
            <w:r>
              <w:rPr>
                <w:rFonts w:ascii="Arial" w:cs="Arial" w:eastAsia="Arial" w:hAnsi="Arial"/>
                <w:sz w:val="14"/>
                <w:szCs w:val="14"/>
                <w:color w:val="auto"/>
              </w:rPr>
              <w:t>(91.5</w:t>
            </w: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60" w:type="dxa"/>
            <w:vAlign w:val="bottom"/>
            <w:tcBorders>
              <w:right w:val="single" w:sz="8" w:color="CCEEFF"/>
            </w:tcBorders>
          </w:tcPr>
          <w:p>
            <w:pPr>
              <w:spacing w:after="0"/>
              <w:rPr>
                <w:sz w:val="15"/>
                <w:szCs w:val="15"/>
                <w:color w:val="auto"/>
              </w:rPr>
            </w:pP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Interest expense</w:t>
            </w:r>
          </w:p>
        </w:tc>
        <w:tc>
          <w:tcPr>
            <w:tcW w:w="700" w:type="dxa"/>
            <w:vAlign w:val="bottom"/>
            <w:gridSpan w:val="3"/>
            <w:shd w:val="clear" w:color="auto" w:fill="CCEEFF"/>
          </w:tcPr>
          <w:p>
            <w:pPr>
              <w:jc w:val="right"/>
              <w:ind w:right="39"/>
              <w:spacing w:after="0"/>
              <w:rPr>
                <w:sz w:val="20"/>
                <w:szCs w:val="20"/>
                <w:color w:val="auto"/>
              </w:rPr>
            </w:pPr>
            <w:r>
              <w:rPr>
                <w:rFonts w:ascii="Arial" w:cs="Arial" w:eastAsia="Arial" w:hAnsi="Arial"/>
                <w:sz w:val="14"/>
                <w:szCs w:val="14"/>
                <w:color w:val="auto"/>
              </w:rPr>
              <w:t>(15.3</w:t>
            </w: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(18.6</w:t>
            </w:r>
            <w:r>
              <w:rPr>
                <w:rFonts w:ascii="Arial" w:cs="Arial" w:eastAsia="Arial" w:hAnsi="Arial"/>
                <w:sz w:val="14"/>
                <w:szCs w:val="14"/>
                <w:b w:val="1"/>
                <w:bCs w:val="1"/>
                <w:color w:val="auto"/>
              </w:rPr>
              <w:t>)</w:t>
            </w:r>
          </w:p>
        </w:tc>
        <w:tc>
          <w:tcPr>
            <w:tcW w:w="60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(17.8</w:t>
            </w:r>
            <w:r>
              <w:rPr>
                <w:rFonts w:ascii="Arial" w:cs="Arial" w:eastAsia="Arial" w:hAnsi="Arial"/>
                <w:sz w:val="14"/>
                <w:szCs w:val="14"/>
                <w:b w:val="1"/>
                <w:bCs w:val="1"/>
                <w:color w:val="auto"/>
              </w:rPr>
              <w:t>)</w:t>
            </w:r>
          </w:p>
        </w:tc>
        <w:tc>
          <w:tcPr>
            <w:tcW w:w="6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(40.3</w:t>
            </w:r>
            <w:r>
              <w:rPr>
                <w:rFonts w:ascii="Arial" w:cs="Arial" w:eastAsia="Arial" w:hAnsi="Arial"/>
                <w:sz w:val="14"/>
                <w:szCs w:val="14"/>
                <w:b w:val="1"/>
                <w:bCs w:val="1"/>
                <w:color w:val="auto"/>
              </w:rPr>
              <w:t>)</w:t>
            </w:r>
          </w:p>
        </w:tc>
        <w:tc>
          <w:tcPr>
            <w:tcW w:w="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(38.7</w:t>
            </w: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(74.2</w:t>
            </w:r>
            <w:r>
              <w:rPr>
                <w:rFonts w:ascii="Arial" w:cs="Arial" w:eastAsia="Arial" w:hAnsi="Arial"/>
                <w:sz w:val="14"/>
                <w:szCs w:val="14"/>
                <w:b w:val="1"/>
                <w:bCs w:val="1"/>
                <w:color w:val="auto"/>
              </w:rPr>
              <w:t>)</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(71.8</w:t>
            </w: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60" w:type="dxa"/>
            <w:vAlign w:val="bottom"/>
          </w:tcPr>
          <w:p>
            <w:pPr>
              <w:spacing w:after="0"/>
              <w:rPr>
                <w:sz w:val="15"/>
                <w:szCs w:val="15"/>
                <w:color w:val="auto"/>
              </w:rPr>
            </w:pPr>
          </w:p>
        </w:tc>
        <w:tc>
          <w:tcPr>
            <w:tcW w:w="4140" w:type="dxa"/>
            <w:vAlign w:val="bottom"/>
            <w:gridSpan w:val="2"/>
          </w:tcPr>
          <w:p>
            <w:pPr>
              <w:ind w:left="100"/>
              <w:spacing w:after="0"/>
              <w:rPr>
                <w:sz w:val="20"/>
                <w:szCs w:val="20"/>
                <w:color w:val="auto"/>
              </w:rPr>
            </w:pPr>
            <w:r>
              <w:rPr>
                <w:rFonts w:ascii="Arial" w:cs="Arial" w:eastAsia="Arial" w:hAnsi="Arial"/>
                <w:sz w:val="14"/>
                <w:szCs w:val="14"/>
                <w:color w:val="auto"/>
              </w:rPr>
              <w:t>Equity earnings (Loss) in PAA / Vulcan Gas Storage, LLC</w:t>
            </w:r>
          </w:p>
        </w:tc>
        <w:tc>
          <w:tcPr>
            <w:tcW w:w="700" w:type="dxa"/>
            <w:vAlign w:val="bottom"/>
            <w:gridSpan w:val="3"/>
          </w:tcPr>
          <w:p>
            <w:pPr>
              <w:jc w:val="right"/>
              <w:ind w:right="39"/>
              <w:spacing w:after="0"/>
              <w:rPr>
                <w:sz w:val="20"/>
                <w:szCs w:val="20"/>
                <w:color w:val="auto"/>
              </w:rPr>
            </w:pPr>
            <w:r>
              <w:rPr>
                <w:rFonts w:ascii="Arial" w:cs="Arial" w:eastAsia="Arial" w:hAnsi="Arial"/>
                <w:sz w:val="14"/>
                <w:szCs w:val="14"/>
                <w:color w:val="auto"/>
              </w:rPr>
              <w:t>(0.2</w:t>
            </w: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0.6</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0.8</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2.1</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60" w:type="dxa"/>
            <w:vAlign w:val="bottom"/>
            <w:tcBorders>
              <w:right w:val="single" w:sz="8" w:color="CCEEFF"/>
            </w:tcBorders>
          </w:tcPr>
          <w:p>
            <w:pPr>
              <w:spacing w:after="0"/>
              <w:rPr>
                <w:sz w:val="15"/>
                <w:szCs w:val="15"/>
                <w:color w:val="auto"/>
              </w:rPr>
            </w:pP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Income (Expense)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360" w:type="dxa"/>
            <w:vAlign w:val="bottom"/>
          </w:tcPr>
          <w:p>
            <w:pPr>
              <w:spacing w:after="0"/>
              <w:rPr>
                <w:sz w:val="12"/>
                <w:szCs w:val="12"/>
                <w:color w:val="auto"/>
              </w:rPr>
            </w:pPr>
          </w:p>
        </w:tc>
        <w:tc>
          <w:tcPr>
            <w:tcW w:w="414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Income Before Cumulative Effect of Change in</w:t>
            </w: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360" w:type="dxa"/>
            <w:vAlign w:val="bottom"/>
          </w:tcPr>
          <w:p>
            <w:pPr>
              <w:spacing w:after="0"/>
              <w:rPr>
                <w:sz w:val="16"/>
                <w:szCs w:val="16"/>
                <w:color w:val="auto"/>
              </w:rPr>
            </w:pPr>
          </w:p>
        </w:tc>
        <w:tc>
          <w:tcPr>
            <w:tcW w:w="4140" w:type="dxa"/>
            <w:vAlign w:val="bottom"/>
            <w:gridSpan w:val="2"/>
          </w:tcPr>
          <w:p>
            <w:pPr>
              <w:ind w:left="280"/>
              <w:spacing w:after="0"/>
              <w:rPr>
                <w:sz w:val="20"/>
                <w:szCs w:val="20"/>
                <w:color w:val="auto"/>
              </w:rPr>
            </w:pPr>
            <w:r>
              <w:rPr>
                <w:rFonts w:ascii="Arial" w:cs="Arial" w:eastAsia="Arial" w:hAnsi="Arial"/>
                <w:sz w:val="14"/>
                <w:szCs w:val="14"/>
                <w:b w:val="1"/>
                <w:bCs w:val="1"/>
                <w:color w:val="auto"/>
              </w:rPr>
              <w:t>Accounting Principle</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57.1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65.0</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76.2</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124.3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146.7</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246.4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280.0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360" w:type="dxa"/>
            <w:vAlign w:val="bottom"/>
            <w:tcBorders>
              <w:right w:val="single" w:sz="8" w:color="CCEEFF"/>
            </w:tcBorders>
          </w:tcPr>
          <w:p>
            <w:pPr>
              <w:spacing w:after="0"/>
              <w:rPr>
                <w:sz w:val="15"/>
                <w:szCs w:val="15"/>
                <w:color w:val="auto"/>
              </w:rPr>
            </w:pP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Cumulative Effect of Change in Accounting Principle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414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b w:val="1"/>
                <w:bCs w:val="1"/>
                <w:color w:val="auto"/>
              </w:rPr>
              <w:t>Net Income</w:t>
            </w:r>
          </w:p>
        </w:tc>
        <w:tc>
          <w:tcPr>
            <w:tcW w:w="1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$ 63.4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$ 65.0</w:t>
            </w:r>
          </w:p>
        </w:tc>
        <w:tc>
          <w:tcPr>
            <w:tcW w:w="1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$ 76.2</w:t>
            </w:r>
          </w:p>
        </w:tc>
        <w:tc>
          <w:tcPr>
            <w:tcW w:w="1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$ 124.3</w:t>
            </w:r>
          </w:p>
        </w:tc>
        <w:tc>
          <w:tcPr>
            <w:tcW w:w="16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$ 146.7</w:t>
            </w:r>
          </w:p>
        </w:tc>
        <w:tc>
          <w:tcPr>
            <w:tcW w:w="14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$ 252.7</w:t>
            </w:r>
          </w:p>
        </w:tc>
        <w:tc>
          <w:tcPr>
            <w:tcW w:w="1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$ 286.3</w:t>
            </w: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360" w:type="dxa"/>
            <w:vAlign w:val="bottom"/>
            <w:tcBorders>
              <w:right w:val="single" w:sz="8" w:color="CCEEFF"/>
            </w:tcBorders>
          </w:tcPr>
          <w:p>
            <w:pPr>
              <w:spacing w:after="0"/>
              <w:rPr>
                <w:sz w:val="17"/>
                <w:szCs w:val="17"/>
                <w:color w:val="auto"/>
              </w:rPr>
            </w:pP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Net Income to Limited Partners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$ 56.7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$ 56.5</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$ 67.5</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$ 107.4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$ 129.3</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$ 220.6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$ 253.5</w:t>
            </w: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360" w:type="dxa"/>
            <w:vAlign w:val="bottom"/>
          </w:tcPr>
          <w:p>
            <w:pPr>
              <w:spacing w:after="0"/>
              <w:rPr>
                <w:sz w:val="15"/>
                <w:szCs w:val="15"/>
                <w:color w:val="auto"/>
              </w:rPr>
            </w:pPr>
          </w:p>
        </w:tc>
        <w:tc>
          <w:tcPr>
            <w:tcW w:w="4140" w:type="dxa"/>
            <w:vAlign w:val="bottom"/>
            <w:gridSpan w:val="2"/>
          </w:tcPr>
          <w:p>
            <w:pPr>
              <w:ind w:left="100"/>
              <w:spacing w:after="0"/>
              <w:rPr>
                <w:sz w:val="20"/>
                <w:szCs w:val="20"/>
                <w:color w:val="auto"/>
              </w:rPr>
            </w:pPr>
            <w:r>
              <w:rPr>
                <w:rFonts w:ascii="Arial" w:cs="Arial" w:eastAsia="Arial" w:hAnsi="Arial"/>
                <w:sz w:val="14"/>
                <w:szCs w:val="14"/>
                <w:color w:val="auto"/>
              </w:rPr>
              <w:t>Basic Net Income Per Limited Partner Unit</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60" w:type="dxa"/>
            <w:vAlign w:val="bottom"/>
            <w:tcBorders>
              <w:right w:val="single" w:sz="8" w:color="CCEEFF"/>
            </w:tcBorders>
          </w:tcPr>
          <w:p>
            <w:pPr>
              <w:spacing w:after="0"/>
              <w:rPr>
                <w:sz w:val="15"/>
                <w:szCs w:val="15"/>
                <w:color w:val="auto"/>
              </w:rPr>
            </w:pPr>
          </w:p>
        </w:tc>
        <w:tc>
          <w:tcPr>
            <w:tcW w:w="41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Weighted Average Units Outstanding</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60" w:type="dxa"/>
            <w:vAlign w:val="bottom"/>
          </w:tcPr>
          <w:p>
            <w:pPr>
              <w:spacing w:after="0"/>
              <w:rPr>
                <w:sz w:val="15"/>
                <w:szCs w:val="15"/>
                <w:color w:val="auto"/>
              </w:rPr>
            </w:pPr>
          </w:p>
        </w:tc>
        <w:tc>
          <w:tcPr>
            <w:tcW w:w="4140" w:type="dxa"/>
            <w:vAlign w:val="bottom"/>
            <w:gridSpan w:val="2"/>
          </w:tcPr>
          <w:p>
            <w:pPr>
              <w:ind w:left="240"/>
              <w:spacing w:after="0"/>
              <w:rPr>
                <w:sz w:val="20"/>
                <w:szCs w:val="20"/>
                <w:color w:val="auto"/>
              </w:rPr>
            </w:pPr>
            <w:r>
              <w:rPr>
                <w:rFonts w:ascii="Arial" w:cs="Arial" w:eastAsia="Arial" w:hAnsi="Arial"/>
                <w:sz w:val="14"/>
                <w:szCs w:val="14"/>
                <w:color w:val="auto"/>
              </w:rPr>
              <w:t>Net Income Per Unit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$ 0.73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$ 0.72</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$ 0.79</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$ 1.39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$ 1.54</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$ 2.85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$ 3.06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CCEEFF"/>
            </w:tcBorders>
          </w:tcPr>
          <w:p>
            <w:pPr>
              <w:spacing w:after="0"/>
              <w:rPr>
                <w:sz w:val="18"/>
                <w:szCs w:val="18"/>
                <w:color w:val="auto"/>
              </w:rPr>
            </w:pP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Diluted Net Income Per Limited Partner Unit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360" w:type="dxa"/>
            <w:vAlign w:val="bottom"/>
          </w:tcPr>
          <w:p>
            <w:pPr>
              <w:spacing w:after="0"/>
              <w:rPr>
                <w:sz w:val="15"/>
                <w:szCs w:val="15"/>
                <w:color w:val="auto"/>
              </w:rPr>
            </w:pPr>
          </w:p>
        </w:tc>
        <w:tc>
          <w:tcPr>
            <w:tcW w:w="4140" w:type="dxa"/>
            <w:vAlign w:val="bottom"/>
            <w:gridSpan w:val="2"/>
          </w:tcPr>
          <w:p>
            <w:pPr>
              <w:ind w:left="240"/>
              <w:spacing w:after="0"/>
              <w:rPr>
                <w:sz w:val="20"/>
                <w:szCs w:val="20"/>
                <w:color w:val="auto"/>
              </w:rPr>
            </w:pPr>
            <w:r>
              <w:rPr>
                <w:rFonts w:ascii="Arial" w:cs="Arial" w:eastAsia="Arial" w:hAnsi="Arial"/>
                <w:sz w:val="14"/>
                <w:szCs w:val="14"/>
                <w:color w:val="auto"/>
              </w:rPr>
              <w:t>Weighted Average Units Outstanding</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75.7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78.7</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78.7</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79.0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79.0</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78.1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78.1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60" w:type="dxa"/>
            <w:vAlign w:val="bottom"/>
            <w:tcBorders>
              <w:right w:val="single" w:sz="8" w:color="CCEEFF"/>
            </w:tcBorders>
          </w:tcPr>
          <w:p>
            <w:pPr>
              <w:spacing w:after="0"/>
              <w:rPr>
                <w:sz w:val="15"/>
                <w:szCs w:val="15"/>
                <w:color w:val="auto"/>
              </w:rPr>
            </w:pPr>
          </w:p>
        </w:tc>
        <w:tc>
          <w:tcPr>
            <w:tcW w:w="41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Net Income Per Unit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$ 0.71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$ 0.71</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$ 0.78</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$ 1.36</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$ 1.51</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$ 2.79</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$ 3.00</w:t>
            </w:r>
          </w:p>
        </w:tc>
        <w:tc>
          <w:tcPr>
            <w:tcW w:w="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360" w:type="dxa"/>
            <w:vAlign w:val="bottom"/>
          </w:tcPr>
          <w:p>
            <w:pPr>
              <w:spacing w:after="0"/>
              <w:rPr>
                <w:sz w:val="22"/>
                <w:szCs w:val="22"/>
                <w:color w:val="auto"/>
              </w:rPr>
            </w:pPr>
          </w:p>
        </w:tc>
        <w:tc>
          <w:tcPr>
            <w:tcW w:w="414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b w:val="1"/>
                <w:bCs w:val="1"/>
                <w:color w:val="auto"/>
              </w:rPr>
              <w:t>EBIT</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$ 78.7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$ 83.6</w:t>
            </w:r>
          </w:p>
        </w:tc>
        <w:tc>
          <w:tcPr>
            <w:tcW w:w="1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$ 94.0</w:t>
            </w:r>
          </w:p>
        </w:tc>
        <w:tc>
          <w:tcPr>
            <w:tcW w:w="1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$ 164.6</w:t>
            </w:r>
          </w:p>
        </w:tc>
        <w:tc>
          <w:tcPr>
            <w:tcW w:w="1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$ 185.4</w:t>
            </w:r>
          </w:p>
        </w:tc>
        <w:tc>
          <w:tcPr>
            <w:tcW w:w="14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$ 326.9</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$ 358.1</w:t>
            </w:r>
          </w:p>
        </w:tc>
        <w:tc>
          <w:tcPr>
            <w:tcW w:w="160" w:type="dxa"/>
            <w:vAlign w:val="bottom"/>
            <w:tcBorders>
              <w:bottom w:val="single" w:sz="8" w:color="CCEE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360" w:type="dxa"/>
            <w:vAlign w:val="bottom"/>
            <w:tcBorders>
              <w:right w:val="single" w:sz="8" w:color="CCEEFF"/>
            </w:tcBorders>
          </w:tcPr>
          <w:p>
            <w:pPr>
              <w:spacing w:after="0"/>
              <w:rPr>
                <w:sz w:val="13"/>
                <w:szCs w:val="13"/>
                <w:color w:val="auto"/>
              </w:rPr>
            </w:pPr>
          </w:p>
        </w:tc>
        <w:tc>
          <w:tcPr>
            <w:tcW w:w="4140" w:type="dxa"/>
            <w:vAlign w:val="bottom"/>
            <w:tcBorders>
              <w:bottom w:val="single" w:sz="8" w:color="CCEEFF"/>
            </w:tcBorders>
            <w:gridSpan w:val="2"/>
            <w:shd w:val="clear" w:color="auto" w:fill="CCEEFF"/>
          </w:tcPr>
          <w:p>
            <w:pPr>
              <w:ind w:left="100"/>
              <w:spacing w:after="0" w:line="156" w:lineRule="exact"/>
              <w:rPr>
                <w:sz w:val="20"/>
                <w:szCs w:val="20"/>
                <w:color w:val="auto"/>
              </w:rPr>
            </w:pPr>
            <w:r>
              <w:rPr>
                <w:rFonts w:ascii="Arial" w:cs="Arial" w:eastAsia="Arial" w:hAnsi="Arial"/>
                <w:sz w:val="14"/>
                <w:szCs w:val="14"/>
                <w:b w:val="1"/>
                <w:bCs w:val="1"/>
                <w:color w:val="auto"/>
              </w:rPr>
              <w:t>EBITDA</w:t>
            </w: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w w:val="89"/>
              </w:rPr>
              <w:t>$ 100.3</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w w:val="89"/>
              </w:rPr>
              <w:t>$ 106.7</w:t>
            </w:r>
          </w:p>
        </w:tc>
        <w:tc>
          <w:tcPr>
            <w:tcW w:w="1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w w:val="85"/>
              </w:rPr>
              <w:t>$ 116.7</w:t>
            </w:r>
          </w:p>
        </w:tc>
        <w:tc>
          <w:tcPr>
            <w:tcW w:w="1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w w:val="89"/>
              </w:rPr>
              <w:t>$ 212.6</w:t>
            </w: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w w:val="85"/>
              </w:rPr>
              <w:t>$ 232.6</w:t>
            </w:r>
          </w:p>
        </w:tc>
        <w:tc>
          <w:tcPr>
            <w:tcW w:w="1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$ 419.6</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w w:val="85"/>
              </w:rPr>
              <w:t>$ 449.6</w:t>
            </w: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60" w:type="dxa"/>
            <w:vAlign w:val="bottom"/>
            <w:tcBorders>
              <w:right w:val="single" w:sz="8" w:color="auto"/>
            </w:tcBorders>
          </w:tcPr>
          <w:p>
            <w:pPr>
              <w:spacing w:after="0"/>
              <w:rPr>
                <w:sz w:val="14"/>
                <w:szCs w:val="14"/>
                <w:color w:val="auto"/>
              </w:rPr>
            </w:pP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i w:val="1"/>
                <w:iCs w:val="1"/>
                <w:color w:val="auto"/>
              </w:rPr>
              <w:t>Selected Items Impacting Comparability</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spacing w:after="0"/>
              <w:rPr>
                <w:sz w:val="18"/>
                <w:szCs w:val="18"/>
                <w:color w:val="auto"/>
              </w:rPr>
            </w:pPr>
          </w:p>
        </w:tc>
        <w:tc>
          <w:tcPr>
            <w:tcW w:w="4140" w:type="dxa"/>
            <w:vAlign w:val="bottom"/>
            <w:gridSpan w:val="2"/>
          </w:tcPr>
          <w:p>
            <w:pPr>
              <w:ind w:left="100"/>
              <w:spacing w:after="0"/>
              <w:rPr>
                <w:sz w:val="20"/>
                <w:szCs w:val="20"/>
                <w:color w:val="auto"/>
              </w:rPr>
            </w:pPr>
            <w:r>
              <w:rPr>
                <w:rFonts w:ascii="Arial" w:cs="Arial" w:eastAsia="Arial" w:hAnsi="Arial"/>
                <w:sz w:val="14"/>
                <w:szCs w:val="14"/>
                <w:color w:val="auto"/>
              </w:rPr>
              <w:t>LTIP charge</w:t>
            </w:r>
          </w:p>
        </w:tc>
        <w:tc>
          <w:tcPr>
            <w:tcW w:w="700" w:type="dxa"/>
            <w:vAlign w:val="bottom"/>
            <w:gridSpan w:val="3"/>
          </w:tcPr>
          <w:p>
            <w:pPr>
              <w:jc w:val="right"/>
              <w:ind w:right="39"/>
              <w:spacing w:after="0"/>
              <w:rPr>
                <w:sz w:val="20"/>
                <w:szCs w:val="20"/>
                <w:color w:val="auto"/>
              </w:rPr>
            </w:pPr>
            <w:r>
              <w:rPr>
                <w:rFonts w:ascii="Arial" w:cs="Arial" w:eastAsia="Arial" w:hAnsi="Arial"/>
                <w:sz w:val="14"/>
                <w:szCs w:val="14"/>
                <w:color w:val="auto"/>
              </w:rPr>
              <w:t>$ (10.6</w:t>
            </w: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28"/>
              <w:spacing w:after="0"/>
              <w:rPr>
                <w:sz w:val="20"/>
                <w:szCs w:val="20"/>
                <w:color w:val="auto"/>
              </w:rPr>
            </w:pPr>
            <w:r>
              <w:rPr>
                <w:rFonts w:ascii="Arial" w:cs="Arial" w:eastAsia="Arial" w:hAnsi="Arial"/>
                <w:sz w:val="14"/>
                <w:szCs w:val="14"/>
                <w:color w:val="auto"/>
              </w:rPr>
              <w:t>$ (8.3</w:t>
            </w:r>
            <w:r>
              <w:rPr>
                <w:rFonts w:ascii="Arial" w:cs="Arial" w:eastAsia="Arial" w:hAnsi="Arial"/>
                <w:sz w:val="14"/>
                <w:szCs w:val="14"/>
                <w:b w:val="1"/>
                <w:bCs w:val="1"/>
                <w:color w:val="auto"/>
              </w:rPr>
              <w:t>)</w:t>
            </w:r>
          </w:p>
        </w:tc>
        <w:tc>
          <w:tcPr>
            <w:tcW w:w="600" w:type="dxa"/>
            <w:vAlign w:val="bottom"/>
            <w:gridSpan w:val="2"/>
          </w:tcPr>
          <w:p>
            <w:pPr>
              <w:jc w:val="right"/>
              <w:ind w:right="79"/>
              <w:spacing w:after="0"/>
              <w:rPr>
                <w:sz w:val="20"/>
                <w:szCs w:val="20"/>
                <w:color w:val="auto"/>
              </w:rPr>
            </w:pPr>
            <w:r>
              <w:rPr>
                <w:rFonts w:ascii="Arial" w:cs="Arial" w:eastAsia="Arial" w:hAnsi="Arial"/>
                <w:sz w:val="14"/>
                <w:szCs w:val="14"/>
                <w:color w:val="auto"/>
              </w:rPr>
              <w:t>$ (8.3</w:t>
            </w:r>
            <w:r>
              <w:rPr>
                <w:rFonts w:ascii="Arial" w:cs="Arial" w:eastAsia="Arial" w:hAnsi="Arial"/>
                <w:sz w:val="14"/>
                <w:szCs w:val="14"/>
                <w:b w:val="1"/>
                <w:bCs w:val="1"/>
                <w:color w:val="auto"/>
              </w:rPr>
              <w:t>)</w:t>
            </w:r>
          </w:p>
        </w:tc>
        <w:tc>
          <w:tcPr>
            <w:tcW w:w="600" w:type="dxa"/>
            <w:vAlign w:val="bottom"/>
            <w:gridSpan w:val="2"/>
          </w:tcPr>
          <w:p>
            <w:pPr>
              <w:jc w:val="right"/>
              <w:ind w:right="28"/>
              <w:spacing w:after="0"/>
              <w:rPr>
                <w:sz w:val="20"/>
                <w:szCs w:val="20"/>
                <w:color w:val="auto"/>
              </w:rPr>
            </w:pPr>
            <w:r>
              <w:rPr>
                <w:rFonts w:ascii="Arial" w:cs="Arial" w:eastAsia="Arial" w:hAnsi="Arial"/>
                <w:sz w:val="14"/>
                <w:szCs w:val="14"/>
                <w:color w:val="auto"/>
                <w:w w:val="99"/>
              </w:rPr>
              <w:t>$ (17.4</w:t>
            </w:r>
            <w:r>
              <w:rPr>
                <w:rFonts w:ascii="Arial" w:cs="Arial" w:eastAsia="Arial" w:hAnsi="Arial"/>
                <w:sz w:val="14"/>
                <w:szCs w:val="14"/>
                <w:b w:val="1"/>
                <w:bCs w:val="1"/>
                <w:color w:val="auto"/>
                <w:w w:val="99"/>
              </w:rPr>
              <w:t>)</w:t>
            </w:r>
          </w:p>
        </w:tc>
        <w:tc>
          <w:tcPr>
            <w:tcW w:w="20" w:type="dxa"/>
            <w:vAlign w:val="bottom"/>
          </w:tcPr>
          <w:p>
            <w:pPr>
              <w:spacing w:after="0"/>
              <w:rPr>
                <w:sz w:val="18"/>
                <w:szCs w:val="18"/>
                <w:color w:val="auto"/>
              </w:rPr>
            </w:pPr>
          </w:p>
        </w:tc>
        <w:tc>
          <w:tcPr>
            <w:tcW w:w="580" w:type="dxa"/>
            <w:vAlign w:val="bottom"/>
            <w:gridSpan w:val="2"/>
          </w:tcPr>
          <w:p>
            <w:pPr>
              <w:jc w:val="right"/>
              <w:ind w:right="59"/>
              <w:spacing w:after="0"/>
              <w:rPr>
                <w:sz w:val="20"/>
                <w:szCs w:val="20"/>
                <w:color w:val="auto"/>
              </w:rPr>
            </w:pPr>
            <w:r>
              <w:rPr>
                <w:rFonts w:ascii="Arial" w:cs="Arial" w:eastAsia="Arial" w:hAnsi="Arial"/>
                <w:sz w:val="14"/>
                <w:szCs w:val="14"/>
                <w:color w:val="auto"/>
                <w:w w:val="95"/>
              </w:rPr>
              <w:t>$ (17.4</w:t>
            </w:r>
            <w:r>
              <w:rPr>
                <w:rFonts w:ascii="Arial" w:cs="Arial" w:eastAsia="Arial" w:hAnsi="Arial"/>
                <w:sz w:val="14"/>
                <w:szCs w:val="14"/>
                <w:b w:val="1"/>
                <w:bCs w:val="1"/>
                <w:color w:val="auto"/>
                <w:w w:val="95"/>
              </w:rPr>
              <w:t>)</w:t>
            </w:r>
          </w:p>
        </w:tc>
        <w:tc>
          <w:tcPr>
            <w:tcW w:w="660" w:type="dxa"/>
            <w:vAlign w:val="bottom"/>
            <w:gridSpan w:val="2"/>
          </w:tcPr>
          <w:p>
            <w:pPr>
              <w:jc w:val="right"/>
              <w:ind w:right="28"/>
              <w:spacing w:after="0"/>
              <w:rPr>
                <w:sz w:val="20"/>
                <w:szCs w:val="20"/>
                <w:color w:val="auto"/>
              </w:rPr>
            </w:pPr>
            <w:r>
              <w:rPr>
                <w:rFonts w:ascii="Arial" w:cs="Arial" w:eastAsia="Arial" w:hAnsi="Arial"/>
                <w:sz w:val="14"/>
                <w:szCs w:val="14"/>
                <w:color w:val="auto"/>
              </w:rPr>
              <w:t>$ (36.3</w:t>
            </w: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79"/>
              <w:spacing w:after="0"/>
              <w:rPr>
                <w:sz w:val="20"/>
                <w:szCs w:val="20"/>
                <w:color w:val="auto"/>
              </w:rPr>
            </w:pPr>
            <w:r>
              <w:rPr>
                <w:rFonts w:ascii="Arial" w:cs="Arial" w:eastAsia="Arial" w:hAnsi="Arial"/>
                <w:sz w:val="14"/>
                <w:szCs w:val="14"/>
                <w:color w:val="auto"/>
                <w:w w:val="95"/>
              </w:rPr>
              <w:t>$ (36.3</w:t>
            </w:r>
            <w:r>
              <w:rPr>
                <w:rFonts w:ascii="Arial" w:cs="Arial" w:eastAsia="Arial" w:hAnsi="Arial"/>
                <w:sz w:val="14"/>
                <w:szCs w:val="14"/>
                <w:b w:val="1"/>
                <w:bCs w:val="1"/>
                <w:color w:val="auto"/>
                <w:w w:val="95"/>
              </w:rPr>
              <w:t>)</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360" w:type="dxa"/>
            <w:vAlign w:val="bottom"/>
            <w:tcBorders>
              <w:right w:val="single" w:sz="8" w:color="auto"/>
            </w:tcBorders>
          </w:tcPr>
          <w:p>
            <w:pPr>
              <w:spacing w:after="0"/>
              <w:rPr>
                <w:sz w:val="15"/>
                <w:szCs w:val="15"/>
                <w:color w:val="auto"/>
              </w:rPr>
            </w:pP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Cumulative Effect of Change in Accounting Principle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6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60" w:type="dxa"/>
            <w:vAlign w:val="bottom"/>
            <w:tcBorders>
              <w:right w:val="single" w:sz="8" w:color="auto"/>
            </w:tcBorders>
          </w:tcPr>
          <w:p>
            <w:pPr>
              <w:spacing w:after="0"/>
              <w:rPr>
                <w:sz w:val="15"/>
                <w:szCs w:val="15"/>
                <w:color w:val="auto"/>
              </w:rPr>
            </w:pPr>
          </w:p>
        </w:tc>
        <w:tc>
          <w:tcPr>
            <w:tcW w:w="4140" w:type="dxa"/>
            <w:vAlign w:val="bottom"/>
            <w:gridSpan w:val="2"/>
          </w:tcPr>
          <w:p>
            <w:pPr>
              <w:ind w:left="100"/>
              <w:spacing w:after="0"/>
              <w:rPr>
                <w:sz w:val="20"/>
                <w:szCs w:val="20"/>
                <w:color w:val="auto"/>
              </w:rPr>
            </w:pPr>
            <w:r>
              <w:rPr>
                <w:rFonts w:ascii="Arial" w:cs="Arial" w:eastAsia="Arial" w:hAnsi="Arial"/>
                <w:sz w:val="14"/>
                <w:szCs w:val="14"/>
                <w:color w:val="auto"/>
              </w:rPr>
              <w:t>SFAS 133 Mark-to-Market Adjustment</w:t>
            </w:r>
          </w:p>
        </w:tc>
        <w:tc>
          <w:tcPr>
            <w:tcW w:w="700" w:type="dxa"/>
            <w:vAlign w:val="bottom"/>
            <w:gridSpan w:val="3"/>
          </w:tcPr>
          <w:p>
            <w:pPr>
              <w:jc w:val="right"/>
              <w:ind w:right="39"/>
              <w:spacing w:after="0"/>
              <w:rPr>
                <w:sz w:val="20"/>
                <w:szCs w:val="20"/>
                <w:color w:val="auto"/>
              </w:rPr>
            </w:pPr>
            <w:r>
              <w:rPr>
                <w:rFonts w:ascii="Arial" w:cs="Arial" w:eastAsia="Arial" w:hAnsi="Arial"/>
                <w:sz w:val="14"/>
                <w:szCs w:val="14"/>
                <w:color w:val="auto"/>
              </w:rPr>
              <w:t>(0.7</w:t>
            </w: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
              <w:spacing w:after="0"/>
              <w:rPr>
                <w:sz w:val="20"/>
                <w:szCs w:val="20"/>
                <w:color w:val="auto"/>
              </w:rPr>
            </w:pPr>
            <w:r>
              <w:rPr>
                <w:rFonts w:ascii="Arial" w:cs="Arial" w:eastAsia="Arial" w:hAnsi="Arial"/>
                <w:sz w:val="14"/>
                <w:szCs w:val="14"/>
                <w:color w:val="auto"/>
              </w:rPr>
              <w:t>(0.7</w:t>
            </w: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600" w:type="dxa"/>
            <w:vAlign w:val="bottom"/>
            <w:gridSpan w:val="2"/>
          </w:tcPr>
          <w:p>
            <w:pPr>
              <w:jc w:val="right"/>
              <w:ind w:right="79"/>
              <w:spacing w:after="0"/>
              <w:rPr>
                <w:sz w:val="20"/>
                <w:szCs w:val="20"/>
                <w:color w:val="auto"/>
              </w:rPr>
            </w:pPr>
            <w:r>
              <w:rPr>
                <w:rFonts w:ascii="Arial" w:cs="Arial" w:eastAsia="Arial" w:hAnsi="Arial"/>
                <w:sz w:val="14"/>
                <w:szCs w:val="14"/>
                <w:color w:val="auto"/>
              </w:rPr>
              <w:t>(0.7</w:t>
            </w:r>
            <w:r>
              <w:rPr>
                <w:rFonts w:ascii="Arial" w:cs="Arial" w:eastAsia="Arial" w:hAnsi="Arial"/>
                <w:sz w:val="14"/>
                <w:szCs w:val="14"/>
                <w:b w:val="1"/>
                <w:bCs w:val="1"/>
                <w:color w:val="auto"/>
              </w:rPr>
              <w:t>)</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60" w:type="dxa"/>
            <w:vAlign w:val="bottom"/>
            <w:tcBorders>
              <w:right w:val="single" w:sz="8" w:color="auto"/>
            </w:tcBorders>
          </w:tcPr>
          <w:p>
            <w:pPr>
              <w:spacing w:after="0"/>
              <w:rPr>
                <w:sz w:val="15"/>
                <w:szCs w:val="15"/>
                <w:color w:val="auto"/>
              </w:rPr>
            </w:pP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Gain (loss) on Foreign Currency Revaluation</w:t>
            </w:r>
          </w:p>
        </w:tc>
        <w:tc>
          <w:tcPr>
            <w:tcW w:w="700" w:type="dxa"/>
            <w:vAlign w:val="bottom"/>
            <w:gridSpan w:val="3"/>
            <w:shd w:val="clear" w:color="auto" w:fill="CCEEFF"/>
          </w:tcPr>
          <w:p>
            <w:pPr>
              <w:jc w:val="right"/>
              <w:ind w:right="39"/>
              <w:spacing w:after="0"/>
              <w:rPr>
                <w:sz w:val="20"/>
                <w:szCs w:val="20"/>
                <w:color w:val="auto"/>
              </w:rPr>
            </w:pPr>
            <w:r>
              <w:rPr>
                <w:rFonts w:ascii="Arial" w:cs="Arial" w:eastAsia="Arial" w:hAnsi="Arial"/>
                <w:sz w:val="14"/>
                <w:szCs w:val="14"/>
                <w:color w:val="auto"/>
              </w:rPr>
              <w:t>(0.9</w:t>
            </w: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(0.9</w:t>
            </w:r>
            <w:r>
              <w:rPr>
                <w:rFonts w:ascii="Arial" w:cs="Arial" w:eastAsia="Arial" w:hAnsi="Arial"/>
                <w:sz w:val="14"/>
                <w:szCs w:val="14"/>
                <w:b w:val="1"/>
                <w:bCs w:val="1"/>
                <w:color w:val="auto"/>
              </w:rPr>
              <w:t>)</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(0.9</w:t>
            </w:r>
            <w:r>
              <w:rPr>
                <w:rFonts w:ascii="Arial" w:cs="Arial" w:eastAsia="Arial" w:hAnsi="Arial"/>
                <w:sz w:val="14"/>
                <w:szCs w:val="14"/>
                <w:b w:val="1"/>
                <w:bCs w:val="1"/>
                <w:color w:val="auto"/>
              </w:rPr>
              <w:t>)</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360" w:type="dxa"/>
            <w:vAlign w:val="bottom"/>
            <w:tcBorders>
              <w:right w:val="single" w:sz="8" w:color="auto"/>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3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(5.9</w:t>
            </w:r>
          </w:p>
        </w:tc>
        <w:tc>
          <w:tcPr>
            <w:tcW w:w="120" w:type="dxa"/>
            <w:vAlign w:val="bottom"/>
            <w:tcBorders>
              <w:bottom w:val="single" w:sz="8" w:color="CCEEFF"/>
            </w:tcBorders>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(8.3</w:t>
            </w:r>
          </w:p>
        </w:tc>
        <w:tc>
          <w:tcPr>
            <w:tcW w:w="1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b w:val="1"/>
                <w:bCs w:val="1"/>
                <w:color w:val="auto"/>
                <w:w w:val="8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(8.3</w:t>
            </w:r>
          </w:p>
        </w:tc>
        <w:tc>
          <w:tcPr>
            <w:tcW w:w="160" w:type="dxa"/>
            <w:vAlign w:val="bottom"/>
            <w:tcBorders>
              <w:bottom w:val="single" w:sz="8" w:color="CCEEFF"/>
            </w:tcBorders>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 (17.4</w:t>
            </w:r>
          </w:p>
        </w:tc>
        <w:tc>
          <w:tcPr>
            <w:tcW w:w="1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b w:val="1"/>
                <w:bCs w:val="1"/>
                <w:color w:val="auto"/>
                <w:w w:val="84"/>
              </w:rPr>
              <w:t>)</w:t>
            </w:r>
          </w:p>
        </w:tc>
        <w:tc>
          <w:tcPr>
            <w:tcW w:w="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 (17.4</w:t>
            </w:r>
          </w:p>
        </w:tc>
        <w:tc>
          <w:tcPr>
            <w:tcW w:w="140" w:type="dxa"/>
            <w:vAlign w:val="bottom"/>
            <w:tcBorders>
              <w:bottom w:val="single" w:sz="8" w:color="CCEEFF"/>
            </w:tcBorders>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(31.6</w:t>
            </w:r>
          </w:p>
        </w:tc>
        <w:tc>
          <w:tcPr>
            <w:tcW w:w="1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b w:val="1"/>
                <w:bCs w:val="1"/>
                <w:color w:val="auto"/>
                <w:w w:val="84"/>
              </w:rPr>
              <w:t>)</w:t>
            </w:r>
          </w:p>
        </w:tc>
        <w:tc>
          <w:tcPr>
            <w:tcW w:w="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 (31.6</w:t>
            </w:r>
          </w:p>
        </w:tc>
        <w:tc>
          <w:tcPr>
            <w:tcW w:w="160" w:type="dxa"/>
            <w:vAlign w:val="bottom"/>
            <w:tcBorders>
              <w:bottom w:val="single" w:sz="8" w:color="CCEEFF"/>
            </w:tcBorders>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60" w:type="dxa"/>
            <w:vAlign w:val="bottom"/>
            <w:tcBorders>
              <w:right w:val="single" w:sz="8" w:color="auto"/>
            </w:tcBorders>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33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Borders>
              <w:right w:val="single" w:sz="8" w:color="auto"/>
            </w:tcBorders>
          </w:tcPr>
          <w:p>
            <w:pPr>
              <w:spacing w:after="0"/>
              <w:rPr>
                <w:sz w:val="14"/>
                <w:szCs w:val="14"/>
                <w:color w:val="auto"/>
              </w:rPr>
            </w:pP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i w:val="1"/>
                <w:iCs w:val="1"/>
                <w:color w:val="auto"/>
              </w:rPr>
              <w:t>Excluding Selected Items Impacting Comparability</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360" w:type="dxa"/>
            <w:vAlign w:val="bottom"/>
            <w:tcBorders>
              <w:right w:val="single" w:sz="8" w:color="auto"/>
            </w:tcBorders>
          </w:tcPr>
          <w:p>
            <w:pPr>
              <w:spacing w:after="0"/>
              <w:rPr>
                <w:sz w:val="22"/>
                <w:szCs w:val="22"/>
                <w:color w:val="auto"/>
              </w:rPr>
            </w:pPr>
          </w:p>
        </w:tc>
        <w:tc>
          <w:tcPr>
            <w:tcW w:w="414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Adjusted EBITDA</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$ 106.2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$ 115.0</w:t>
            </w:r>
          </w:p>
        </w:tc>
        <w:tc>
          <w:tcPr>
            <w:tcW w:w="1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$ 125.0</w:t>
            </w:r>
          </w:p>
        </w:tc>
        <w:tc>
          <w:tcPr>
            <w:tcW w:w="1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$ 230.0</w:t>
            </w:r>
          </w:p>
        </w:tc>
        <w:tc>
          <w:tcPr>
            <w:tcW w:w="1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$ 250.0</w:t>
            </w:r>
          </w:p>
        </w:tc>
        <w:tc>
          <w:tcPr>
            <w:tcW w:w="14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$ 451.2</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$ 481.2</w:t>
            </w:r>
          </w:p>
        </w:tc>
        <w:tc>
          <w:tcPr>
            <w:tcW w:w="1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360" w:type="dxa"/>
            <w:vAlign w:val="bottom"/>
            <w:tcBorders>
              <w:right w:val="single" w:sz="8" w:color="auto"/>
            </w:tcBorders>
          </w:tcPr>
          <w:p>
            <w:pPr>
              <w:spacing w:after="0"/>
              <w:rPr>
                <w:sz w:val="13"/>
                <w:szCs w:val="13"/>
                <w:color w:val="auto"/>
              </w:rPr>
            </w:pPr>
          </w:p>
        </w:tc>
        <w:tc>
          <w:tcPr>
            <w:tcW w:w="4140" w:type="dxa"/>
            <w:vAlign w:val="bottom"/>
            <w:tcBorders>
              <w:bottom w:val="single" w:sz="8" w:color="CCEEFF"/>
            </w:tcBorders>
            <w:gridSpan w:val="2"/>
            <w:shd w:val="clear" w:color="auto" w:fill="CCEEFF"/>
          </w:tcPr>
          <w:p>
            <w:pPr>
              <w:ind w:left="100"/>
              <w:spacing w:after="0" w:line="156" w:lineRule="exact"/>
              <w:rPr>
                <w:sz w:val="20"/>
                <w:szCs w:val="20"/>
                <w:color w:val="auto"/>
              </w:rPr>
            </w:pPr>
            <w:r>
              <w:rPr>
                <w:rFonts w:ascii="Arial" w:cs="Arial" w:eastAsia="Arial" w:hAnsi="Arial"/>
                <w:sz w:val="14"/>
                <w:szCs w:val="14"/>
                <w:color w:val="auto"/>
              </w:rPr>
              <w:t>Adjusted Net Income</w:t>
            </w: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$ 69.3</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$ 73.3</w:t>
            </w:r>
          </w:p>
        </w:tc>
        <w:tc>
          <w:tcPr>
            <w:tcW w:w="1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$ 84.5</w:t>
            </w:r>
          </w:p>
        </w:tc>
        <w:tc>
          <w:tcPr>
            <w:tcW w:w="1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w w:val="89"/>
              </w:rPr>
              <w:t>$ 141.7</w:t>
            </w: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w w:val="85"/>
              </w:rPr>
              <w:t>$ 164.1</w:t>
            </w:r>
          </w:p>
        </w:tc>
        <w:tc>
          <w:tcPr>
            <w:tcW w:w="1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$ 284.3</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w w:val="85"/>
              </w:rPr>
              <w:t>$ 317.9</w:t>
            </w: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Borders>
              <w:right w:val="single" w:sz="8" w:color="auto"/>
            </w:tcBorders>
          </w:tcPr>
          <w:p>
            <w:pPr>
              <w:spacing w:after="0"/>
              <w:rPr>
                <w:sz w:val="17"/>
                <w:szCs w:val="17"/>
                <w:color w:val="auto"/>
              </w:rPr>
            </w:pPr>
          </w:p>
        </w:tc>
        <w:tc>
          <w:tcPr>
            <w:tcW w:w="4140" w:type="dxa"/>
            <w:vAlign w:val="bottom"/>
            <w:tcBorders>
              <w:bottom w:val="single" w:sz="8" w:color="CCEEFF"/>
            </w:tcBorders>
            <w:gridSpan w:val="2"/>
          </w:tcPr>
          <w:p>
            <w:pPr>
              <w:ind w:left="100"/>
              <w:spacing w:after="0" w:line="156" w:lineRule="exact"/>
              <w:rPr>
                <w:sz w:val="20"/>
                <w:szCs w:val="20"/>
                <w:color w:val="auto"/>
              </w:rPr>
            </w:pPr>
            <w:r>
              <w:rPr>
                <w:rFonts w:ascii="Arial" w:cs="Arial" w:eastAsia="Arial" w:hAnsi="Arial"/>
                <w:sz w:val="14"/>
                <w:szCs w:val="14"/>
                <w:color w:val="auto"/>
              </w:rPr>
              <w:t>Adjusted Basic Net Income per Limited Partner Unit</w:t>
            </w:r>
          </w:p>
        </w:tc>
        <w:tc>
          <w:tcPr>
            <w:tcW w:w="12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$ 0.84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$ 0.84</w:t>
            </w:r>
          </w:p>
        </w:tc>
        <w:tc>
          <w:tcPr>
            <w:tcW w:w="16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$ 0.98</w:t>
            </w:r>
          </w:p>
        </w:tc>
        <w:tc>
          <w:tcPr>
            <w:tcW w:w="16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$ 1.61</w:t>
            </w:r>
          </w:p>
        </w:tc>
        <w:tc>
          <w:tcPr>
            <w:tcW w:w="16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$ 1.89</w:t>
            </w:r>
          </w:p>
        </w:tc>
        <w:tc>
          <w:tcPr>
            <w:tcW w:w="14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$ 3.29</w:t>
            </w:r>
          </w:p>
        </w:tc>
        <w:tc>
          <w:tcPr>
            <w:tcW w:w="1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$ 3.72</w:t>
            </w:r>
          </w:p>
        </w:tc>
        <w:tc>
          <w:tcPr>
            <w:tcW w:w="16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60" w:type="dxa"/>
            <w:vAlign w:val="bottom"/>
            <w:tcBorders>
              <w:right w:val="single" w:sz="8" w:color="auto"/>
            </w:tcBorders>
          </w:tcPr>
          <w:p>
            <w:pPr>
              <w:spacing w:after="0"/>
              <w:rPr>
                <w:sz w:val="13"/>
                <w:szCs w:val="13"/>
                <w:color w:val="auto"/>
              </w:rPr>
            </w:pPr>
          </w:p>
        </w:tc>
        <w:tc>
          <w:tcPr>
            <w:tcW w:w="4140" w:type="dxa"/>
            <w:vAlign w:val="bottom"/>
            <w:tcBorders>
              <w:bottom w:val="single" w:sz="8" w:color="CCEEFF"/>
            </w:tcBorders>
            <w:gridSpan w:val="2"/>
            <w:shd w:val="clear" w:color="auto" w:fill="CCEEFF"/>
          </w:tcPr>
          <w:p>
            <w:pPr>
              <w:ind w:left="100"/>
              <w:spacing w:after="0" w:line="156" w:lineRule="exact"/>
              <w:rPr>
                <w:sz w:val="20"/>
                <w:szCs w:val="20"/>
                <w:color w:val="auto"/>
              </w:rPr>
            </w:pPr>
            <w:r>
              <w:rPr>
                <w:rFonts w:ascii="Arial" w:cs="Arial" w:eastAsia="Arial" w:hAnsi="Arial"/>
                <w:sz w:val="14"/>
                <w:szCs w:val="14"/>
                <w:color w:val="auto"/>
              </w:rPr>
              <w:t>Adjusted Diluted Net Income per Limited Partner Unit</w:t>
            </w: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$ 0.82</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$ 0.82</w:t>
            </w:r>
          </w:p>
        </w:tc>
        <w:tc>
          <w:tcPr>
            <w:tcW w:w="1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$ 0.96</w:t>
            </w:r>
          </w:p>
        </w:tc>
        <w:tc>
          <w:tcPr>
            <w:tcW w:w="1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$ 1.58</w:t>
            </w: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$ 1.85</w:t>
            </w:r>
          </w:p>
        </w:tc>
        <w:tc>
          <w:tcPr>
            <w:tcW w:w="1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$ 3.22</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$ 3.64</w:t>
            </w: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60" w:type="dxa"/>
            <w:vAlign w:val="bottom"/>
            <w:tcBorders>
              <w:right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3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The projected average foreign exchange rate is $1.15 CAD to $1 USD.</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Notes and Significant Assumptions:</w:t>
      </w:r>
    </w:p>
    <w:p>
      <w:pPr>
        <w:spacing w:after="0" w:line="11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i w:val="1"/>
          <w:iCs w:val="1"/>
          <w:color w:val="auto"/>
        </w:rPr>
        <w:t>Definitions.</w:t>
      </w:r>
    </w:p>
    <w:p>
      <w:pPr>
        <w:spacing w:after="0" w:line="240"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EBIT</w:t>
            </w: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before interest and taxes</w:t>
            </w: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EBITDA</w:t>
            </w:r>
          </w:p>
        </w:tc>
        <w:tc>
          <w:tcPr>
            <w:tcW w:w="6240" w:type="dxa"/>
            <w:vAlign w:val="bottom"/>
          </w:tcPr>
          <w:p>
            <w:pPr>
              <w:ind w:left="200"/>
              <w:spacing w:after="0"/>
              <w:rPr>
                <w:sz w:val="20"/>
                <w:szCs w:val="20"/>
                <w:color w:val="auto"/>
              </w:rPr>
            </w:pPr>
            <w:r>
              <w:rPr>
                <w:rFonts w:ascii="Arial" w:cs="Arial" w:eastAsia="Arial" w:hAnsi="Arial"/>
                <w:sz w:val="18"/>
                <w:szCs w:val="18"/>
                <w:color w:val="auto"/>
              </w:rPr>
              <w:t>Earnings before interest, taxes and depreciation and amortization expense</w:t>
            </w: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Bbl/d</w:t>
            </w: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Barrel per day</w:t>
            </w:r>
          </w:p>
        </w:tc>
      </w:tr>
      <w:tr>
        <w:trPr>
          <w:trHeight w:val="202"/>
        </w:trPr>
        <w:tc>
          <w:tcPr>
            <w:tcW w:w="20" w:type="dxa"/>
            <w:vAlign w:val="bottom"/>
          </w:tcPr>
          <w:p>
            <w:pPr>
              <w:spacing w:after="0"/>
              <w:rPr>
                <w:sz w:val="17"/>
                <w:szCs w:val="17"/>
                <w:color w:val="auto"/>
              </w:rPr>
            </w:pPr>
          </w:p>
        </w:tc>
        <w:tc>
          <w:tcPr>
            <w:tcW w:w="1280" w:type="dxa"/>
            <w:vAlign w:val="bottom"/>
          </w:tcPr>
          <w:p>
            <w:pPr>
              <w:spacing w:after="0" w:line="201" w:lineRule="exact"/>
              <w:rPr>
                <w:sz w:val="20"/>
                <w:szCs w:val="20"/>
                <w:color w:val="auto"/>
              </w:rPr>
            </w:pPr>
            <w:r>
              <w:rPr>
                <w:rFonts w:ascii="Arial" w:cs="Arial" w:eastAsia="Arial" w:hAnsi="Arial"/>
                <w:sz w:val="18"/>
                <w:szCs w:val="18"/>
                <w:color w:val="auto"/>
              </w:rPr>
              <w:t>Segment Profit</w:t>
            </w:r>
          </w:p>
        </w:tc>
        <w:tc>
          <w:tcPr>
            <w:tcW w:w="6240" w:type="dxa"/>
            <w:vAlign w:val="bottom"/>
          </w:tcPr>
          <w:p>
            <w:pPr>
              <w:ind w:left="200"/>
              <w:spacing w:after="0" w:line="201" w:lineRule="exact"/>
              <w:rPr>
                <w:sz w:val="20"/>
                <w:szCs w:val="20"/>
                <w:color w:val="auto"/>
              </w:rPr>
            </w:pPr>
            <w:r>
              <w:rPr>
                <w:rFonts w:ascii="Arial" w:cs="Arial" w:eastAsia="Arial" w:hAnsi="Arial"/>
                <w:sz w:val="18"/>
                <w:szCs w:val="18"/>
                <w:color w:val="auto"/>
                <w:w w:val="97"/>
              </w:rPr>
              <w:t>Net revenues less purchases, field operating costs, and segment general and</w:t>
            </w:r>
          </w:p>
        </w:tc>
      </w:tr>
      <w:tr>
        <w:trPr>
          <w:trHeight w:val="230"/>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administrative expenses</w:t>
            </w: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LTIP</w:t>
            </w: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Incentive Plan</w:t>
            </w:r>
          </w:p>
        </w:tc>
      </w:tr>
    </w:tbl>
    <w:p>
      <w:pPr>
        <w:sectPr>
          <w:pgSz w:w="11900" w:h="16857" w:orient="portrait"/>
          <w:cols w:equalWidth="0" w:num="1">
            <w:col w:w="11360"/>
          </w:cols>
          <w:pgMar w:left="240" w:top="125" w:right="299" w:bottom="0" w:gutter="0" w:footer="0" w:header="0"/>
        </w:sectPr>
      </w:pPr>
    </w:p>
    <w:bookmarkStart w:id="2" w:name="page3"/>
    <w:bookmarkEnd w:id="2"/>
    <w:p>
      <w:pPr>
        <w:spacing w:after="0" w:line="1" w:lineRule="exact"/>
        <w:rPr>
          <w:sz w:val="20"/>
          <w:szCs w:val="20"/>
          <w:color w:val="auto"/>
        </w:rPr>
      </w:pPr>
    </w:p>
    <w:tbl>
      <w:tblPr>
        <w:tblLayout w:type="fixed"/>
        <w:tblInd w:w="1932" w:type="dxa"/>
        <w:tblCellMar>
          <w:top w:w="0" w:type="dxa"/>
          <w:left w:w="0" w:type="dxa"/>
          <w:bottom w:w="0" w:type="dxa"/>
          <w:right w:w="0" w:type="dxa"/>
        </w:tblCellMar>
      </w:tblP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LPG</w:t>
            </w:r>
          </w:p>
        </w:tc>
        <w:tc>
          <w:tcPr>
            <w:tcW w:w="6460" w:type="dxa"/>
            <w:vAlign w:val="bottom"/>
          </w:tcPr>
          <w:p>
            <w:pPr>
              <w:ind w:left="420"/>
              <w:spacing w:after="0"/>
              <w:rPr>
                <w:sz w:val="20"/>
                <w:szCs w:val="20"/>
                <w:color w:val="auto"/>
              </w:rPr>
            </w:pPr>
            <w:r>
              <w:rPr>
                <w:rFonts w:ascii="Arial" w:cs="Arial" w:eastAsia="Arial" w:hAnsi="Arial"/>
                <w:sz w:val="18"/>
                <w:szCs w:val="18"/>
                <w:color w:val="auto"/>
              </w:rPr>
              <w:t>Liquefied petroleum gas and other petroleum products</w:t>
            </w: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FX</w:t>
            </w: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exchange</w:t>
            </w: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GMT&amp;S</w:t>
            </w:r>
          </w:p>
        </w:tc>
        <w:tc>
          <w:tcPr>
            <w:tcW w:w="6460" w:type="dxa"/>
            <w:vAlign w:val="bottom"/>
          </w:tcPr>
          <w:p>
            <w:pPr>
              <w:ind w:left="420"/>
              <w:spacing w:after="0"/>
              <w:rPr>
                <w:sz w:val="20"/>
                <w:szCs w:val="20"/>
                <w:color w:val="auto"/>
              </w:rPr>
            </w:pPr>
            <w:r>
              <w:rPr>
                <w:rFonts w:ascii="Arial" w:cs="Arial" w:eastAsia="Arial" w:hAnsi="Arial"/>
                <w:sz w:val="18"/>
                <w:szCs w:val="18"/>
                <w:color w:val="auto"/>
              </w:rPr>
              <w:t>Gathering, Marketing, Terminalling &amp; Storage</w:t>
            </w:r>
          </w:p>
        </w:tc>
      </w:tr>
    </w:tbl>
    <w:p>
      <w:pPr>
        <w:spacing w:after="0" w:line="241" w:lineRule="exact"/>
        <w:rPr>
          <w:sz w:val="20"/>
          <w:szCs w:val="20"/>
          <w:color w:val="auto"/>
        </w:rPr>
      </w:pPr>
    </w:p>
    <w:p>
      <w:pPr>
        <w:ind w:left="352" w:right="160" w:hanging="352"/>
        <w:spacing w:after="0" w:line="312" w:lineRule="auto"/>
        <w:tabs>
          <w:tab w:leader="none" w:pos="356"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Pipeline Operations. </w:t>
      </w:r>
      <w:r>
        <w:rPr>
          <w:rFonts w:ascii="Arial" w:cs="Arial" w:eastAsia="Arial" w:hAnsi="Arial"/>
          <w:sz w:val="16"/>
          <w:szCs w:val="16"/>
          <w:color w:val="auto"/>
        </w:rPr>
        <w:t>Pipeline volume estimates are based on historical trends, anticipated future operating performance and completion of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growth projects. Volumes are influenced by temporary market-driven storage and withdrawal of oil, maintenance schedules at end-user refineries, field declines and other external factors beyond our control. Actual segment profit could vary materially depending on the level of volumes transported.</w:t>
      </w:r>
    </w:p>
    <w:p>
      <w:pPr>
        <w:spacing w:after="0" w:line="38" w:lineRule="exact"/>
        <w:rPr>
          <w:rFonts w:ascii="Arial" w:cs="Arial" w:eastAsia="Arial" w:hAnsi="Arial"/>
          <w:sz w:val="16"/>
          <w:szCs w:val="16"/>
          <w:color w:val="auto"/>
        </w:rPr>
      </w:pPr>
    </w:p>
    <w:p>
      <w:pPr>
        <w:ind w:left="352" w:right="20"/>
        <w:spacing w:after="0" w:line="259" w:lineRule="auto"/>
        <w:rPr>
          <w:rFonts w:ascii="Arial" w:cs="Arial" w:eastAsia="Arial" w:hAnsi="Arial"/>
          <w:sz w:val="16"/>
          <w:szCs w:val="16"/>
          <w:color w:val="auto"/>
        </w:rPr>
      </w:pPr>
      <w:r>
        <w:rPr>
          <w:rFonts w:ascii="Arial" w:cs="Arial" w:eastAsia="Arial" w:hAnsi="Arial"/>
          <w:sz w:val="18"/>
          <w:szCs w:val="18"/>
          <w:color w:val="auto"/>
        </w:rPr>
        <w:t>For the three months ending June 30, 2006 projected volumes incorporate assumptions with respect to 1) additional throughput agreements and expected higher seasonal demand volumes on Capline Pipeline, and 2) higher Canadian volumes primarily due to the purchase of the remaining interest in Cactus Lake Pipeline. Volumes for the remainder of the year are impacted by a combination of anticipated seasonal demand, acquisitions, recovery of certain volumes impacted by last year’s hurricanes, and natural field declines.</w:t>
      </w:r>
    </w:p>
    <w:p>
      <w:pPr>
        <w:spacing w:after="0" w:line="78" w:lineRule="exact"/>
        <w:rPr>
          <w:rFonts w:ascii="Arial" w:cs="Arial" w:eastAsia="Arial" w:hAnsi="Arial"/>
          <w:sz w:val="16"/>
          <w:szCs w:val="16"/>
          <w:color w:val="auto"/>
        </w:rPr>
      </w:pPr>
    </w:p>
    <w:p>
      <w:pPr>
        <w:ind w:left="352" w:right="680"/>
        <w:spacing w:after="0" w:line="277" w:lineRule="auto"/>
        <w:rPr>
          <w:rFonts w:ascii="Arial" w:cs="Arial" w:eastAsia="Arial" w:hAnsi="Arial"/>
          <w:sz w:val="16"/>
          <w:szCs w:val="16"/>
          <w:color w:val="auto"/>
        </w:rPr>
      </w:pPr>
      <w:r>
        <w:rPr>
          <w:rFonts w:ascii="Arial" w:cs="Arial" w:eastAsia="Arial" w:hAnsi="Arial"/>
          <w:sz w:val="18"/>
          <w:szCs w:val="18"/>
          <w:color w:val="auto"/>
        </w:rPr>
        <w:t>The following table summarizes our total pipeline volumes as well as major systems that are significant either in total volumes transported or in contribution to total pipeline segment profit.</w:t>
      </w:r>
    </w:p>
    <w:p>
      <w:pPr>
        <w:spacing w:after="0" w:line="149" w:lineRule="exact"/>
        <w:rPr>
          <w:sz w:val="20"/>
          <w:szCs w:val="20"/>
          <w:color w:val="auto"/>
        </w:rPr>
      </w:pPr>
    </w:p>
    <w:tbl>
      <w:tblPr>
        <w:tblLayout w:type="fixed"/>
        <w:tblInd w:w="712"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rPr>
              <w:t>Calendar 2006</w:t>
            </w: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3"/>
          </w:tcPr>
          <w:p>
            <w:pPr>
              <w:jc w:val="center"/>
              <w:ind w:right="440"/>
              <w:spacing w:after="0" w:line="142" w:lineRule="exact"/>
              <w:rPr>
                <w:sz w:val="20"/>
                <w:szCs w:val="20"/>
                <w:color w:val="auto"/>
              </w:rPr>
            </w:pPr>
            <w:r>
              <w:rPr>
                <w:rFonts w:ascii="Arial" w:cs="Arial" w:eastAsia="Arial" w:hAnsi="Arial"/>
                <w:sz w:val="14"/>
                <w:szCs w:val="14"/>
                <w:b w:val="1"/>
                <w:bCs w:val="1"/>
                <w:color w:val="auto"/>
                <w:w w:val="98"/>
              </w:rPr>
              <w:t>Actual</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4"/>
          </w:tcPr>
          <w:p>
            <w:pPr>
              <w:ind w:left="160"/>
              <w:spacing w:after="0" w:line="142" w:lineRule="exact"/>
              <w:rPr>
                <w:sz w:val="20"/>
                <w:szCs w:val="20"/>
                <w:color w:val="auto"/>
              </w:rPr>
            </w:pPr>
            <w:r>
              <w:rPr>
                <w:rFonts w:ascii="Arial" w:cs="Arial" w:eastAsia="Arial" w:hAnsi="Arial"/>
                <w:sz w:val="14"/>
                <w:szCs w:val="14"/>
                <w:b w:val="1"/>
                <w:bCs w:val="1"/>
                <w:color w:val="auto"/>
              </w:rPr>
              <w:t>Guidance</w:t>
            </w:r>
            <w:r>
              <w:rPr>
                <w:rFonts w:ascii="Arial" w:cs="Arial" w:eastAsia="Arial" w:hAnsi="Arial"/>
                <w:sz w:val="8"/>
                <w:szCs w:val="8"/>
                <w:b w:val="1"/>
                <w:bCs w:val="1"/>
                <w:color w:val="auto"/>
              </w:rPr>
              <w:t>(3)</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02"/>
        </w:trPr>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940" w:type="dxa"/>
            <w:vAlign w:val="bottom"/>
            <w:tcBorders>
              <w:top w:val="single" w:sz="8" w:color="auto"/>
            </w:tcBorders>
            <w:gridSpan w:val="3"/>
          </w:tcPr>
          <w:p>
            <w:pPr>
              <w:jc w:val="center"/>
              <w:spacing w:after="0" w:line="102" w:lineRule="exact"/>
              <w:rPr>
                <w:sz w:val="20"/>
                <w:szCs w:val="20"/>
                <w:color w:val="auto"/>
              </w:rPr>
            </w:pPr>
            <w:r>
              <w:rPr>
                <w:rFonts w:ascii="Arial" w:cs="Arial" w:eastAsia="Arial" w:hAnsi="Arial"/>
                <w:sz w:val="11"/>
                <w:szCs w:val="11"/>
                <w:b w:val="1"/>
                <w:bCs w:val="1"/>
                <w:color w:val="auto"/>
              </w:rPr>
              <w:t>Three Months</w:t>
            </w:r>
          </w:p>
        </w:tc>
        <w:tc>
          <w:tcPr>
            <w:tcW w:w="180" w:type="dxa"/>
            <w:vAlign w:val="bottom"/>
          </w:tcPr>
          <w:p>
            <w:pPr>
              <w:spacing w:after="0"/>
              <w:rPr>
                <w:sz w:val="8"/>
                <w:szCs w:val="8"/>
                <w:color w:val="auto"/>
              </w:rPr>
            </w:pPr>
          </w:p>
        </w:tc>
        <w:tc>
          <w:tcPr>
            <w:tcW w:w="1140" w:type="dxa"/>
            <w:vAlign w:val="bottom"/>
            <w:tcBorders>
              <w:top w:val="single" w:sz="8" w:color="auto"/>
            </w:tcBorders>
            <w:gridSpan w:val="4"/>
          </w:tcPr>
          <w:p>
            <w:pPr>
              <w:jc w:val="center"/>
              <w:ind w:right="180"/>
              <w:spacing w:after="0" w:line="102" w:lineRule="exact"/>
              <w:rPr>
                <w:sz w:val="20"/>
                <w:szCs w:val="20"/>
                <w:color w:val="auto"/>
              </w:rPr>
            </w:pPr>
            <w:r>
              <w:rPr>
                <w:rFonts w:ascii="Arial" w:cs="Arial" w:eastAsia="Arial" w:hAnsi="Arial"/>
                <w:sz w:val="11"/>
                <w:szCs w:val="11"/>
                <w:b w:val="1"/>
                <w:bCs w:val="1"/>
                <w:color w:val="auto"/>
              </w:rPr>
              <w:t>Three Months</w:t>
            </w:r>
          </w:p>
        </w:tc>
        <w:tc>
          <w:tcPr>
            <w:tcW w:w="1060" w:type="dxa"/>
            <w:vAlign w:val="bottom"/>
            <w:tcBorders>
              <w:top w:val="single" w:sz="8" w:color="auto"/>
            </w:tcBorders>
            <w:gridSpan w:val="4"/>
          </w:tcPr>
          <w:p>
            <w:pPr>
              <w:jc w:val="center"/>
              <w:ind w:right="200"/>
              <w:spacing w:after="0" w:line="102" w:lineRule="exact"/>
              <w:rPr>
                <w:sz w:val="20"/>
                <w:szCs w:val="20"/>
                <w:color w:val="auto"/>
              </w:rPr>
            </w:pPr>
            <w:r>
              <w:rPr>
                <w:rFonts w:ascii="Arial" w:cs="Arial" w:eastAsia="Arial" w:hAnsi="Arial"/>
                <w:sz w:val="11"/>
                <w:szCs w:val="11"/>
                <w:b w:val="1"/>
                <w:bCs w:val="1"/>
                <w:color w:val="auto"/>
              </w:rPr>
              <w:t>Six Months</w:t>
            </w:r>
          </w:p>
        </w:tc>
        <w:tc>
          <w:tcPr>
            <w:tcW w:w="1080" w:type="dxa"/>
            <w:vAlign w:val="bottom"/>
            <w:tcBorders>
              <w:top w:val="single" w:sz="8" w:color="auto"/>
            </w:tcBorders>
            <w:gridSpan w:val="3"/>
          </w:tcPr>
          <w:p>
            <w:pPr>
              <w:jc w:val="center"/>
              <w:spacing w:after="0" w:line="102" w:lineRule="exact"/>
              <w:rPr>
                <w:sz w:val="20"/>
                <w:szCs w:val="20"/>
                <w:color w:val="auto"/>
              </w:rPr>
            </w:pPr>
            <w:r>
              <w:rPr>
                <w:rFonts w:ascii="Arial" w:cs="Arial" w:eastAsia="Arial" w:hAnsi="Arial"/>
                <w:sz w:val="11"/>
                <w:szCs w:val="11"/>
                <w:b w:val="1"/>
                <w:bCs w:val="1"/>
                <w:color w:val="auto"/>
              </w:rPr>
              <w:t>Twelve Months</w:t>
            </w:r>
          </w:p>
        </w:tc>
        <w:tc>
          <w:tcPr>
            <w:tcW w:w="60" w:type="dxa"/>
            <w:vAlign w:val="bottom"/>
          </w:tcPr>
          <w:p>
            <w:pPr>
              <w:spacing w:after="0"/>
              <w:rPr>
                <w:sz w:val="8"/>
                <w:szCs w:val="8"/>
                <w:color w:val="auto"/>
              </w:rPr>
            </w:pPr>
          </w:p>
        </w:tc>
      </w:tr>
      <w:tr>
        <w:trPr>
          <w:trHeight w:val="135"/>
        </w:trPr>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gridSpan w:val="3"/>
          </w:tcPr>
          <w:p>
            <w:pPr>
              <w:jc w:val="center"/>
              <w:ind w:right="460"/>
              <w:spacing w:after="0" w:line="135" w:lineRule="exact"/>
              <w:rPr>
                <w:sz w:val="20"/>
                <w:szCs w:val="20"/>
                <w:color w:val="auto"/>
              </w:rPr>
            </w:pPr>
            <w:r>
              <w:rPr>
                <w:rFonts w:ascii="Arial" w:cs="Arial" w:eastAsia="Arial" w:hAnsi="Arial"/>
                <w:sz w:val="14"/>
                <w:szCs w:val="14"/>
                <w:b w:val="1"/>
                <w:bCs w:val="1"/>
                <w:color w:val="auto"/>
                <w:w w:val="93"/>
              </w:rPr>
              <w:t>Ended</w:t>
            </w:r>
          </w:p>
        </w:tc>
        <w:tc>
          <w:tcPr>
            <w:tcW w:w="1140" w:type="dxa"/>
            <w:vAlign w:val="bottom"/>
            <w:gridSpan w:val="4"/>
          </w:tcPr>
          <w:p>
            <w:pPr>
              <w:jc w:val="center"/>
              <w:ind w:right="180"/>
              <w:spacing w:after="0" w:line="135" w:lineRule="exact"/>
              <w:rPr>
                <w:sz w:val="20"/>
                <w:szCs w:val="20"/>
                <w:color w:val="auto"/>
              </w:rPr>
            </w:pPr>
            <w:r>
              <w:rPr>
                <w:rFonts w:ascii="Arial" w:cs="Arial" w:eastAsia="Arial" w:hAnsi="Arial"/>
                <w:sz w:val="14"/>
                <w:szCs w:val="14"/>
                <w:b w:val="1"/>
                <w:bCs w:val="1"/>
                <w:color w:val="auto"/>
                <w:w w:val="92"/>
              </w:rPr>
              <w:t>Ending</w:t>
            </w:r>
          </w:p>
        </w:tc>
        <w:tc>
          <w:tcPr>
            <w:tcW w:w="200" w:type="dxa"/>
            <w:vAlign w:val="bottom"/>
          </w:tcPr>
          <w:p>
            <w:pPr>
              <w:spacing w:after="0"/>
              <w:rPr>
                <w:sz w:val="11"/>
                <w:szCs w:val="11"/>
                <w:color w:val="auto"/>
              </w:rPr>
            </w:pPr>
          </w:p>
        </w:tc>
        <w:tc>
          <w:tcPr>
            <w:tcW w:w="860" w:type="dxa"/>
            <w:vAlign w:val="bottom"/>
            <w:gridSpan w:val="3"/>
          </w:tcPr>
          <w:p>
            <w:pPr>
              <w:jc w:val="center"/>
              <w:ind w:right="380"/>
              <w:spacing w:after="0" w:line="135" w:lineRule="exact"/>
              <w:rPr>
                <w:sz w:val="20"/>
                <w:szCs w:val="20"/>
                <w:color w:val="auto"/>
              </w:rPr>
            </w:pPr>
            <w:r>
              <w:rPr>
                <w:rFonts w:ascii="Arial" w:cs="Arial" w:eastAsia="Arial" w:hAnsi="Arial"/>
                <w:sz w:val="14"/>
                <w:szCs w:val="14"/>
                <w:b w:val="1"/>
                <w:bCs w:val="1"/>
                <w:color w:val="auto"/>
                <w:w w:val="92"/>
              </w:rPr>
              <w:t>Ending</w:t>
            </w:r>
          </w:p>
        </w:tc>
        <w:tc>
          <w:tcPr>
            <w:tcW w:w="300" w:type="dxa"/>
            <w:vAlign w:val="bottom"/>
          </w:tcPr>
          <w:p>
            <w:pPr>
              <w:spacing w:after="0"/>
              <w:rPr>
                <w:sz w:val="11"/>
                <w:szCs w:val="11"/>
                <w:color w:val="auto"/>
              </w:rPr>
            </w:pPr>
          </w:p>
        </w:tc>
        <w:tc>
          <w:tcPr>
            <w:tcW w:w="840" w:type="dxa"/>
            <w:vAlign w:val="bottom"/>
            <w:gridSpan w:val="3"/>
          </w:tcPr>
          <w:p>
            <w:pPr>
              <w:jc w:val="center"/>
              <w:ind w:right="360"/>
              <w:spacing w:after="0" w:line="135" w:lineRule="exact"/>
              <w:rPr>
                <w:sz w:val="20"/>
                <w:szCs w:val="20"/>
                <w:color w:val="auto"/>
              </w:rPr>
            </w:pPr>
            <w:r>
              <w:rPr>
                <w:rFonts w:ascii="Arial" w:cs="Arial" w:eastAsia="Arial" w:hAnsi="Arial"/>
                <w:sz w:val="14"/>
                <w:szCs w:val="14"/>
                <w:b w:val="1"/>
                <w:bCs w:val="1"/>
                <w:color w:val="auto"/>
                <w:w w:val="92"/>
              </w:rPr>
              <w:t>Ending</w:t>
            </w:r>
          </w:p>
        </w:tc>
      </w:tr>
      <w:tr>
        <w:trPr>
          <w:trHeight w:val="162"/>
        </w:trPr>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March 31</w:t>
            </w:r>
          </w:p>
        </w:tc>
        <w:tc>
          <w:tcPr>
            <w:tcW w:w="11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June 30</w:t>
            </w:r>
          </w:p>
        </w:tc>
        <w:tc>
          <w:tcPr>
            <w:tcW w:w="10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December 31</w:t>
            </w:r>
          </w:p>
        </w:tc>
        <w:tc>
          <w:tcPr>
            <w:tcW w:w="11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December 31</w:t>
            </w:r>
          </w:p>
        </w:tc>
      </w:tr>
      <w:tr>
        <w:trPr>
          <w:trHeight w:val="129"/>
        </w:trPr>
        <w:tc>
          <w:tcPr>
            <w:tcW w:w="1080" w:type="dxa"/>
            <w:vAlign w:val="bottom"/>
          </w:tcPr>
          <w:p>
            <w:pPr>
              <w:spacing w:after="0"/>
              <w:rPr>
                <w:sz w:val="11"/>
                <w:szCs w:val="11"/>
                <w:color w:val="auto"/>
              </w:rPr>
            </w:pPr>
          </w:p>
        </w:tc>
        <w:tc>
          <w:tcPr>
            <w:tcW w:w="336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Average Daily Volumes (000's Bbl/d)</w:t>
            </w:r>
          </w:p>
        </w:tc>
        <w:tc>
          <w:tcPr>
            <w:tcW w:w="2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149"/>
        </w:trPr>
        <w:tc>
          <w:tcPr>
            <w:tcW w:w="1080" w:type="dxa"/>
            <w:vAlign w:val="bottom"/>
          </w:tcPr>
          <w:p>
            <w:pPr>
              <w:spacing w:after="0"/>
              <w:rPr>
                <w:sz w:val="12"/>
                <w:szCs w:val="12"/>
                <w:color w:val="auto"/>
              </w:rPr>
            </w:pPr>
          </w:p>
        </w:tc>
        <w:tc>
          <w:tcPr>
            <w:tcW w:w="33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All American</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080" w:type="dxa"/>
            <w:vAlign w:val="bottom"/>
          </w:tcPr>
          <w:p>
            <w:pPr>
              <w:spacing w:after="0"/>
              <w:rPr>
                <w:sz w:val="12"/>
                <w:szCs w:val="12"/>
                <w:color w:val="auto"/>
              </w:rPr>
            </w:pPr>
          </w:p>
        </w:tc>
        <w:tc>
          <w:tcPr>
            <w:tcW w:w="33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Basin</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285</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1080" w:type="dxa"/>
            <w:vAlign w:val="bottom"/>
          </w:tcPr>
          <w:p>
            <w:pPr>
              <w:spacing w:after="0"/>
              <w:rPr>
                <w:sz w:val="12"/>
                <w:szCs w:val="12"/>
                <w:color w:val="auto"/>
              </w:rPr>
            </w:pPr>
          </w:p>
        </w:tc>
        <w:tc>
          <w:tcPr>
            <w:tcW w:w="33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Capline</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080" w:type="dxa"/>
            <w:vAlign w:val="bottom"/>
          </w:tcPr>
          <w:p>
            <w:pPr>
              <w:spacing w:after="0"/>
              <w:rPr>
                <w:sz w:val="12"/>
                <w:szCs w:val="12"/>
                <w:color w:val="auto"/>
              </w:rPr>
            </w:pPr>
          </w:p>
        </w:tc>
        <w:tc>
          <w:tcPr>
            <w:tcW w:w="33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Cushing to Broome</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22"/>
        </w:trPr>
        <w:tc>
          <w:tcPr>
            <w:tcW w:w="1080" w:type="dxa"/>
            <w:vAlign w:val="bottom"/>
          </w:tcPr>
          <w:p>
            <w:pPr>
              <w:spacing w:after="0"/>
              <w:rPr>
                <w:sz w:val="10"/>
                <w:szCs w:val="10"/>
                <w:color w:val="auto"/>
              </w:rPr>
            </w:pPr>
          </w:p>
        </w:tc>
        <w:tc>
          <w:tcPr>
            <w:tcW w:w="3360" w:type="dxa"/>
            <w:vAlign w:val="bottom"/>
            <w:gridSpan w:val="2"/>
          </w:tcPr>
          <w:p>
            <w:pPr>
              <w:ind w:left="140"/>
              <w:spacing w:after="0" w:line="122" w:lineRule="exact"/>
              <w:rPr>
                <w:sz w:val="20"/>
                <w:szCs w:val="20"/>
                <w:color w:val="auto"/>
              </w:rPr>
            </w:pPr>
            <w:r>
              <w:rPr>
                <w:rFonts w:ascii="Arial" w:cs="Arial" w:eastAsia="Arial" w:hAnsi="Arial"/>
                <w:sz w:val="14"/>
                <w:szCs w:val="14"/>
                <w:color w:val="auto"/>
              </w:rPr>
              <w:t>North Dakota/Trenton</w:t>
            </w:r>
          </w:p>
        </w:tc>
        <w:tc>
          <w:tcPr>
            <w:tcW w:w="70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82</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89</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91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89</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1080" w:type="dxa"/>
            <w:vAlign w:val="bottom"/>
          </w:tcPr>
          <w:p>
            <w:pPr>
              <w:spacing w:after="0"/>
              <w:rPr>
                <w:sz w:val="12"/>
                <w:szCs w:val="12"/>
                <w:color w:val="auto"/>
              </w:rPr>
            </w:pPr>
          </w:p>
        </w:tc>
        <w:tc>
          <w:tcPr>
            <w:tcW w:w="33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West Texas / New Mexico area systems</w:t>
            </w:r>
            <w:r>
              <w:rPr>
                <w:rFonts w:ascii="Arial" w:cs="Arial" w:eastAsia="Arial" w:hAnsi="Arial"/>
                <w:sz w:val="17"/>
                <w:szCs w:val="17"/>
                <w:color w:val="auto"/>
                <w:vertAlign w:val="superscript"/>
              </w:rPr>
              <w:t>(1)</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428</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6"/>
        </w:trPr>
        <w:tc>
          <w:tcPr>
            <w:tcW w:w="1080" w:type="dxa"/>
            <w:vAlign w:val="bottom"/>
          </w:tcPr>
          <w:p>
            <w:pPr>
              <w:spacing w:after="0"/>
              <w:rPr>
                <w:sz w:val="15"/>
                <w:szCs w:val="15"/>
                <w:color w:val="auto"/>
              </w:rPr>
            </w:pPr>
          </w:p>
        </w:tc>
        <w:tc>
          <w:tcPr>
            <w:tcW w:w="3360" w:type="dxa"/>
            <w:vAlign w:val="bottom"/>
            <w:gridSpan w:val="2"/>
          </w:tcPr>
          <w:p>
            <w:pPr>
              <w:ind w:left="140"/>
              <w:spacing w:after="0" w:line="176" w:lineRule="exact"/>
              <w:rPr>
                <w:sz w:val="20"/>
                <w:szCs w:val="20"/>
                <w:color w:val="auto"/>
              </w:rPr>
            </w:pPr>
            <w:r>
              <w:rPr>
                <w:rFonts w:ascii="Arial" w:cs="Arial" w:eastAsia="Arial" w:hAnsi="Arial"/>
                <w:sz w:val="14"/>
                <w:szCs w:val="14"/>
                <w:color w:val="auto"/>
              </w:rPr>
              <w:t>Canada</w:t>
            </w:r>
            <w:r>
              <w:rPr>
                <w:rFonts w:ascii="Arial" w:cs="Arial" w:eastAsia="Arial" w:hAnsi="Arial"/>
                <w:sz w:val="17"/>
                <w:szCs w:val="17"/>
                <w:color w:val="auto"/>
                <w:vertAlign w:val="superscript"/>
              </w:rPr>
              <w:t>(2)</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239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261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264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258</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9"/>
        </w:trPr>
        <w:tc>
          <w:tcPr>
            <w:tcW w:w="1080" w:type="dxa"/>
            <w:vAlign w:val="bottom"/>
          </w:tcPr>
          <w:p>
            <w:pPr>
              <w:spacing w:after="0"/>
              <w:rPr>
                <w:sz w:val="12"/>
                <w:szCs w:val="12"/>
                <w:color w:val="auto"/>
              </w:rPr>
            </w:pPr>
          </w:p>
        </w:tc>
        <w:tc>
          <w:tcPr>
            <w:tcW w:w="33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Other</w:t>
            </w:r>
            <w:r>
              <w:rPr>
                <w:rFonts w:ascii="Arial" w:cs="Arial" w:eastAsia="Arial" w:hAnsi="Arial"/>
                <w:sz w:val="8"/>
                <w:szCs w:val="8"/>
                <w:color w:val="auto"/>
              </w:rPr>
              <w:t>(4)</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2"/>
        </w:trPr>
        <w:tc>
          <w:tcPr>
            <w:tcW w:w="1080" w:type="dxa"/>
            <w:vAlign w:val="bottom"/>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22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1,814</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1,915</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1,990</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1,930</w:t>
            </w:r>
          </w:p>
        </w:tc>
        <w:tc>
          <w:tcPr>
            <w:tcW w:w="3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r>
      <w:tr>
        <w:trPr>
          <w:trHeight w:val="102"/>
        </w:trPr>
        <w:tc>
          <w:tcPr>
            <w:tcW w:w="1080" w:type="dxa"/>
            <w:vAlign w:val="bottom"/>
          </w:tcPr>
          <w:p>
            <w:pPr>
              <w:spacing w:after="0"/>
              <w:rPr>
                <w:sz w:val="8"/>
                <w:szCs w:val="8"/>
                <w:color w:val="auto"/>
              </w:rPr>
            </w:pPr>
          </w:p>
        </w:tc>
        <w:tc>
          <w:tcPr>
            <w:tcW w:w="336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Average Segment Profit ($/Bbl)</w:t>
            </w:r>
          </w:p>
        </w:tc>
        <w:tc>
          <w:tcPr>
            <w:tcW w:w="2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189"/>
        </w:trPr>
        <w:tc>
          <w:tcPr>
            <w:tcW w:w="1080" w:type="dxa"/>
            <w:vAlign w:val="bottom"/>
          </w:tcPr>
          <w:p>
            <w:pPr>
              <w:spacing w:after="0"/>
              <w:rPr>
                <w:sz w:val="16"/>
                <w:szCs w:val="16"/>
                <w:color w:val="auto"/>
              </w:rPr>
            </w:pPr>
          </w:p>
        </w:tc>
        <w:tc>
          <w:tcPr>
            <w:tcW w:w="33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As Reported/Estimated</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$ 0.233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jc w:val="right"/>
              <w:ind w:right="101"/>
              <w:spacing w:after="0" w:line="149" w:lineRule="exact"/>
              <w:rPr>
                <w:sz w:val="20"/>
                <w:szCs w:val="20"/>
                <w:color w:val="auto"/>
              </w:rPr>
            </w:pPr>
            <w:r>
              <w:rPr>
                <w:rFonts w:ascii="Arial" w:cs="Arial" w:eastAsia="Arial" w:hAnsi="Arial"/>
                <w:sz w:val="14"/>
                <w:szCs w:val="14"/>
                <w:color w:val="auto"/>
              </w:rPr>
              <w:t>$ 0.267</w:t>
            </w:r>
            <w:r>
              <w:rPr>
                <w:rFonts w:ascii="Arial" w:cs="Arial" w:eastAsia="Arial" w:hAnsi="Arial"/>
                <w:sz w:val="17"/>
                <w:szCs w:val="17"/>
                <w:color w:val="auto"/>
                <w:vertAlign w:val="superscript"/>
              </w:rPr>
              <w:t>(3)</w:t>
            </w:r>
          </w:p>
        </w:tc>
        <w:tc>
          <w:tcPr>
            <w:tcW w:w="180" w:type="dxa"/>
            <w:vAlign w:val="bottom"/>
          </w:tcPr>
          <w:p>
            <w:pPr>
              <w:spacing w:after="0"/>
              <w:rPr>
                <w:sz w:val="16"/>
                <w:szCs w:val="16"/>
                <w:color w:val="auto"/>
              </w:rPr>
            </w:pPr>
          </w:p>
        </w:tc>
        <w:tc>
          <w:tcPr>
            <w:tcW w:w="880" w:type="dxa"/>
            <w:vAlign w:val="bottom"/>
            <w:gridSpan w:val="3"/>
          </w:tcPr>
          <w:p>
            <w:pPr>
              <w:jc w:val="right"/>
              <w:ind w:right="81"/>
              <w:spacing w:after="0" w:line="149" w:lineRule="exact"/>
              <w:rPr>
                <w:sz w:val="20"/>
                <w:szCs w:val="20"/>
                <w:color w:val="auto"/>
              </w:rPr>
            </w:pPr>
            <w:r>
              <w:rPr>
                <w:rFonts w:ascii="Arial" w:cs="Arial" w:eastAsia="Arial" w:hAnsi="Arial"/>
                <w:sz w:val="14"/>
                <w:szCs w:val="14"/>
                <w:color w:val="auto"/>
              </w:rPr>
              <w:t>$ 0.270</w:t>
            </w:r>
            <w:r>
              <w:rPr>
                <w:rFonts w:ascii="Arial" w:cs="Arial" w:eastAsia="Arial" w:hAnsi="Arial"/>
                <w:sz w:val="17"/>
                <w:szCs w:val="17"/>
                <w:color w:val="auto"/>
                <w:vertAlign w:val="superscript"/>
              </w:rPr>
              <w:t>(3)</w:t>
            </w:r>
          </w:p>
        </w:tc>
        <w:tc>
          <w:tcPr>
            <w:tcW w:w="180" w:type="dxa"/>
            <w:vAlign w:val="bottom"/>
          </w:tcPr>
          <w:p>
            <w:pPr>
              <w:spacing w:after="0"/>
              <w:rPr>
                <w:sz w:val="16"/>
                <w:szCs w:val="16"/>
                <w:color w:val="auto"/>
              </w:rPr>
            </w:pPr>
          </w:p>
        </w:tc>
        <w:tc>
          <w:tcPr>
            <w:tcW w:w="1080" w:type="dxa"/>
            <w:vAlign w:val="bottom"/>
            <w:gridSpan w:val="3"/>
          </w:tcPr>
          <w:p>
            <w:pPr>
              <w:jc w:val="right"/>
              <w:ind w:right="161"/>
              <w:spacing w:after="0" w:line="149" w:lineRule="exact"/>
              <w:rPr>
                <w:sz w:val="20"/>
                <w:szCs w:val="20"/>
                <w:color w:val="auto"/>
              </w:rPr>
            </w:pPr>
            <w:r>
              <w:rPr>
                <w:rFonts w:ascii="Arial" w:cs="Arial" w:eastAsia="Arial" w:hAnsi="Arial"/>
                <w:sz w:val="14"/>
                <w:szCs w:val="14"/>
                <w:color w:val="auto"/>
              </w:rPr>
              <w:t>$ 0.261</w:t>
            </w:r>
            <w:r>
              <w:rPr>
                <w:rFonts w:ascii="Arial" w:cs="Arial" w:eastAsia="Arial" w:hAnsi="Arial"/>
                <w:sz w:val="17"/>
                <w:szCs w:val="17"/>
                <w:color w:val="auto"/>
                <w:vertAlign w:val="superscript"/>
              </w:rPr>
              <w:t>(3)</w:t>
            </w:r>
          </w:p>
        </w:tc>
        <w:tc>
          <w:tcPr>
            <w:tcW w:w="60" w:type="dxa"/>
            <w:vAlign w:val="bottom"/>
          </w:tcPr>
          <w:p>
            <w:pPr>
              <w:spacing w:after="0"/>
              <w:rPr>
                <w:sz w:val="16"/>
                <w:szCs w:val="16"/>
                <w:color w:val="auto"/>
              </w:rPr>
            </w:pPr>
          </w:p>
        </w:tc>
      </w:tr>
      <w:tr>
        <w:trPr>
          <w:trHeight w:val="129"/>
        </w:trPr>
        <w:tc>
          <w:tcPr>
            <w:tcW w:w="1080" w:type="dxa"/>
            <w:vAlign w:val="bottom"/>
          </w:tcPr>
          <w:p>
            <w:pPr>
              <w:spacing w:after="0"/>
              <w:rPr>
                <w:sz w:val="11"/>
                <w:szCs w:val="11"/>
                <w:color w:val="auto"/>
              </w:rPr>
            </w:pPr>
          </w:p>
        </w:tc>
        <w:tc>
          <w:tcPr>
            <w:tcW w:w="3360" w:type="dxa"/>
            <w:vAlign w:val="bottom"/>
            <w:tcBorders>
              <w:top w:val="single" w:sz="8" w:color="CCEEFF"/>
              <w:bottom w:val="single" w:sz="8" w:color="CCEEFF"/>
            </w:tcBorders>
            <w:gridSpan w:val="2"/>
            <w:shd w:val="clear" w:color="auto" w:fill="CCEEFF"/>
          </w:tcPr>
          <w:p>
            <w:pPr>
              <w:ind w:left="140"/>
              <w:spacing w:after="0" w:line="129" w:lineRule="exact"/>
              <w:rPr>
                <w:sz w:val="20"/>
                <w:szCs w:val="20"/>
                <w:color w:val="auto"/>
              </w:rPr>
            </w:pPr>
            <w:r>
              <w:rPr>
                <w:rFonts w:ascii="Arial" w:cs="Arial" w:eastAsia="Arial" w:hAnsi="Arial"/>
                <w:sz w:val="14"/>
                <w:szCs w:val="14"/>
                <w:color w:val="auto"/>
              </w:rPr>
              <w:t>Excluding Selected Items Impacting Comparability</w:t>
            </w: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85"/>
              </w:rPr>
              <w:t>$ 0.263</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89"/>
              </w:rPr>
              <w:t>$ 0.289</w:t>
            </w:r>
          </w:p>
        </w:tc>
        <w:tc>
          <w:tcPr>
            <w:tcW w:w="240" w:type="dxa"/>
            <w:vAlign w:val="bottom"/>
            <w:tcBorders>
              <w:top w:val="single" w:sz="8" w:color="CCEEFF"/>
              <w:bottom w:val="single" w:sz="8" w:color="CCEEFF"/>
            </w:tcBorders>
            <w:shd w:val="clear" w:color="auto" w:fill="CCEEFF"/>
          </w:tcPr>
          <w:p>
            <w:pPr>
              <w:jc w:val="right"/>
              <w:ind w:right="101"/>
              <w:spacing w:after="0" w:line="74" w:lineRule="exact"/>
              <w:rPr>
                <w:sz w:val="20"/>
                <w:szCs w:val="20"/>
                <w:color w:val="auto"/>
              </w:rPr>
            </w:pPr>
            <w:r>
              <w:rPr>
                <w:rFonts w:ascii="Arial" w:cs="Arial" w:eastAsia="Arial" w:hAnsi="Arial"/>
                <w:sz w:val="8"/>
                <w:szCs w:val="8"/>
                <w:color w:val="auto"/>
                <w:w w:val="81"/>
              </w:rPr>
              <w:t>(3)</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4"/>
              </w:rPr>
              <w:t>$ 0.292</w:t>
            </w:r>
          </w:p>
        </w:tc>
        <w:tc>
          <w:tcPr>
            <w:tcW w:w="220" w:type="dxa"/>
            <w:vAlign w:val="bottom"/>
            <w:tcBorders>
              <w:top w:val="single" w:sz="8" w:color="CCEEFF"/>
              <w:bottom w:val="single" w:sz="8" w:color="CCEEFF"/>
            </w:tcBorders>
            <w:shd w:val="clear" w:color="auto" w:fill="CCEEFF"/>
          </w:tcPr>
          <w:p>
            <w:pPr>
              <w:jc w:val="right"/>
              <w:ind w:right="81"/>
              <w:spacing w:after="0" w:line="74" w:lineRule="exact"/>
              <w:rPr>
                <w:sz w:val="20"/>
                <w:szCs w:val="20"/>
                <w:color w:val="auto"/>
              </w:rPr>
            </w:pPr>
            <w:r>
              <w:rPr>
                <w:rFonts w:ascii="Arial" w:cs="Arial" w:eastAsia="Arial" w:hAnsi="Arial"/>
                <w:sz w:val="8"/>
                <w:szCs w:val="8"/>
                <w:color w:val="auto"/>
                <w:w w:val="81"/>
              </w:rPr>
              <w:t>(3)</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30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4"/>
              </w:rPr>
              <w:t>$ 0.283</w:t>
            </w:r>
          </w:p>
        </w:tc>
        <w:tc>
          <w:tcPr>
            <w:tcW w:w="300" w:type="dxa"/>
            <w:vAlign w:val="bottom"/>
            <w:tcBorders>
              <w:top w:val="single" w:sz="8" w:color="CCEEFF"/>
              <w:bottom w:val="single" w:sz="8" w:color="CCEEFF"/>
            </w:tcBorders>
            <w:shd w:val="clear" w:color="auto" w:fill="CCEEFF"/>
          </w:tcPr>
          <w:p>
            <w:pPr>
              <w:jc w:val="right"/>
              <w:ind w:right="161"/>
              <w:spacing w:after="0" w:line="74" w:lineRule="exact"/>
              <w:rPr>
                <w:sz w:val="20"/>
                <w:szCs w:val="20"/>
                <w:color w:val="auto"/>
              </w:rPr>
            </w:pPr>
            <w:r>
              <w:rPr>
                <w:rFonts w:ascii="Arial" w:cs="Arial" w:eastAsia="Arial" w:hAnsi="Arial"/>
                <w:sz w:val="8"/>
                <w:szCs w:val="8"/>
                <w:color w:val="auto"/>
                <w:w w:val="81"/>
              </w:rPr>
              <w:t>(3)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9"/>
        </w:trPr>
        <w:tc>
          <w:tcPr>
            <w:tcW w:w="10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1140460</wp:posOffset>
            </wp:positionH>
            <wp:positionV relativeFrom="paragraph">
              <wp:posOffset>-805180</wp:posOffset>
            </wp:positionV>
            <wp:extent cx="4965700" cy="94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65700" cy="94615"/>
                    </a:xfrm>
                    <a:prstGeom prst="rect">
                      <a:avLst/>
                    </a:prstGeom>
                    <a:noFill/>
                  </pic:spPr>
                </pic:pic>
              </a:graphicData>
            </a:graphic>
          </wp:anchor>
        </w:drawing>
      </w:r>
    </w:p>
    <w:p>
      <w:pPr>
        <w:spacing w:after="0" w:line="69" w:lineRule="exact"/>
        <w:rPr>
          <w:sz w:val="20"/>
          <w:szCs w:val="20"/>
          <w:color w:val="auto"/>
        </w:rPr>
      </w:pPr>
    </w:p>
    <w:p>
      <w:pPr>
        <w:ind w:left="672" w:hanging="312"/>
        <w:spacing w:after="0"/>
        <w:tabs>
          <w:tab w:leader="none" w:pos="672"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aggregate of 11 systems in the West Texas / New Mexico area.</w:t>
      </w:r>
    </w:p>
    <w:p>
      <w:pPr>
        <w:ind w:left="672" w:hanging="312"/>
        <w:spacing w:after="0" w:line="221" w:lineRule="auto"/>
        <w:tabs>
          <w:tab w:leader="none" w:pos="672"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aggregate of 8 systems.</w:t>
      </w:r>
    </w:p>
    <w:p>
      <w:pPr>
        <w:ind w:left="672" w:hanging="312"/>
        <w:spacing w:after="0" w:line="221" w:lineRule="auto"/>
        <w:tabs>
          <w:tab w:leader="none" w:pos="672" w:val="left"/>
        </w:tabs>
        <w:numPr>
          <w:ilvl w:val="0"/>
          <w:numId w:val="3"/>
        </w:numPr>
        <w:rPr>
          <w:rFonts w:ascii="Arial" w:cs="Arial" w:eastAsia="Arial" w:hAnsi="Arial"/>
          <w:sz w:val="14"/>
          <w:szCs w:val="14"/>
          <w:color w:val="auto"/>
        </w:rPr>
      </w:pPr>
      <w:r>
        <w:rPr>
          <w:rFonts w:ascii="Arial" w:cs="Arial" w:eastAsia="Arial" w:hAnsi="Arial"/>
          <w:sz w:val="14"/>
          <w:szCs w:val="14"/>
          <w:color w:val="auto"/>
        </w:rPr>
        <w:t>Mid-point of estimate.</w:t>
      </w:r>
    </w:p>
    <w:p>
      <w:pPr>
        <w:ind w:left="692" w:hanging="332"/>
        <w:spacing w:after="0"/>
        <w:tabs>
          <w:tab w:leader="none" w:pos="692"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Includes approximately 150,000 Bbl/d from the assets not subject to a right of first refusal that we have agreed to purchase from BP with an estimated effective date of July 1, 2006.</w:t>
      </w:r>
    </w:p>
    <w:p>
      <w:pPr>
        <w:spacing w:after="0" w:line="200" w:lineRule="exact"/>
        <w:rPr>
          <w:sz w:val="20"/>
          <w:szCs w:val="20"/>
          <w:color w:val="auto"/>
        </w:rPr>
      </w:pPr>
    </w:p>
    <w:p>
      <w:pPr>
        <w:spacing w:after="0" w:line="22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352" w:right="40"/>
        <w:spacing w:after="0" w:line="259" w:lineRule="auto"/>
        <w:rPr>
          <w:sz w:val="20"/>
          <w:szCs w:val="20"/>
          <w:color w:val="auto"/>
        </w:rPr>
      </w:pPr>
      <w:r>
        <w:rPr>
          <w:rFonts w:ascii="Arial" w:cs="Arial" w:eastAsia="Arial" w:hAnsi="Arial"/>
          <w:sz w:val="18"/>
          <w:szCs w:val="18"/>
          <w:color w:val="auto"/>
        </w:rPr>
        <w:t>Segment profit is forecast using the volume assumptions in the table above, priced at tariff rates currently received, with adjustments where appropriate for estimated escalation in certain rates as allowed by contractual terms, less estimated field operating costs and G&amp;A expenses. Field operating costs do not include depreciation. To illustrate the impact volume changes may have on segment profit, the following table provides a volume sensitivity analysis of three systems representing approximately 25% of total pipeline net revenues.</w:t>
      </w:r>
    </w:p>
    <w:p>
      <w:pPr>
        <w:spacing w:after="0" w:line="165" w:lineRule="exact"/>
        <w:rPr>
          <w:sz w:val="20"/>
          <w:szCs w:val="20"/>
          <w:color w:val="auto"/>
        </w:rPr>
      </w:pPr>
    </w:p>
    <w:tbl>
      <w:tblPr>
        <w:tblLayout w:type="fixed"/>
        <w:tblInd w:w="2172" w:type="dxa"/>
        <w:tblCellMar>
          <w:top w:w="0" w:type="dxa"/>
          <w:left w:w="0" w:type="dxa"/>
          <w:bottom w:w="0" w:type="dxa"/>
          <w:right w:w="0" w:type="dxa"/>
        </w:tblCellMar>
      </w:tblPr>
      <w:tr>
        <w:trPr>
          <w:trHeight w:val="171"/>
        </w:trPr>
        <w:tc>
          <w:tcPr>
            <w:tcW w:w="172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4"/>
          </w:tcPr>
          <w:p>
            <w:pPr>
              <w:ind w:left="940"/>
              <w:spacing w:after="0"/>
              <w:rPr>
                <w:sz w:val="20"/>
                <w:szCs w:val="20"/>
                <w:color w:val="auto"/>
              </w:rPr>
            </w:pPr>
            <w:r>
              <w:rPr>
                <w:rFonts w:ascii="Arial" w:cs="Arial" w:eastAsia="Arial" w:hAnsi="Arial"/>
                <w:sz w:val="14"/>
                <w:szCs w:val="14"/>
                <w:b w:val="1"/>
                <w:bCs w:val="1"/>
                <w:color w:val="auto"/>
              </w:rPr>
              <w:t>Volume Sensitivity Analysis</w:t>
            </w: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Incr (Decr)</w:t>
            </w:r>
          </w:p>
        </w:tc>
        <w:tc>
          <w:tcPr>
            <w:tcW w:w="72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0"/>
                <w:szCs w:val="10"/>
                <w:b w:val="1"/>
                <w:bCs w:val="1"/>
                <w:color w:val="auto"/>
              </w:rPr>
              <w:t>of</w:t>
            </w:r>
          </w:p>
        </w:tc>
        <w:tc>
          <w:tcPr>
            <w:tcW w:w="10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Incr (Decr)</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720" w:type="dxa"/>
            <w:vAlign w:val="bottom"/>
            <w:vMerge w:val="restart"/>
          </w:tcPr>
          <w:p>
            <w:pPr>
              <w:spacing w:after="0"/>
              <w:rPr>
                <w:sz w:val="20"/>
                <w:szCs w:val="20"/>
                <w:color w:val="auto"/>
              </w:rPr>
            </w:pPr>
            <w:r>
              <w:rPr>
                <w:rFonts w:ascii="Arial" w:cs="Arial" w:eastAsia="Arial" w:hAnsi="Arial"/>
                <w:sz w:val="14"/>
                <w:szCs w:val="14"/>
                <w:b w:val="1"/>
                <w:bCs w:val="1"/>
                <w:color w:val="auto"/>
              </w:rPr>
              <w:t>System</w:t>
            </w:r>
          </w:p>
        </w:tc>
        <w:tc>
          <w:tcPr>
            <w:tcW w:w="2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System</w:t>
            </w:r>
          </w:p>
        </w:tc>
        <w:tc>
          <w:tcPr>
            <w:tcW w:w="11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in Annualized</w:t>
            </w:r>
          </w:p>
        </w:tc>
        <w:tc>
          <w:tcPr>
            <w:tcW w:w="0" w:type="dxa"/>
            <w:vAlign w:val="bottom"/>
          </w:tcPr>
          <w:p>
            <w:pPr>
              <w:spacing w:after="0"/>
              <w:rPr>
                <w:sz w:val="1"/>
                <w:szCs w:val="1"/>
                <w:color w:val="auto"/>
              </w:rPr>
            </w:pPr>
          </w:p>
        </w:tc>
      </w:tr>
      <w:tr>
        <w:trPr>
          <w:trHeight w:val="162"/>
        </w:trPr>
        <w:tc>
          <w:tcPr>
            <w:tcW w:w="1720" w:type="dxa"/>
            <w:vAlign w:val="bottom"/>
            <w:vMerge w:val="continue"/>
          </w:tcPr>
          <w:p>
            <w:pPr>
              <w:spacing w:after="0"/>
              <w:rPr>
                <w:sz w:val="14"/>
                <w:szCs w:val="14"/>
                <w:color w:val="auto"/>
              </w:rPr>
            </w:pPr>
          </w:p>
        </w:tc>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 Volume</w:t>
            </w: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Segment Profit</w:t>
            </w:r>
          </w:p>
        </w:tc>
        <w:tc>
          <w:tcPr>
            <w:tcW w:w="0" w:type="dxa"/>
            <w:vAlign w:val="bottom"/>
          </w:tcPr>
          <w:p>
            <w:pPr>
              <w:spacing w:after="0"/>
              <w:rPr>
                <w:sz w:val="1"/>
                <w:szCs w:val="1"/>
                <w:color w:val="auto"/>
              </w:rPr>
            </w:pPr>
          </w:p>
        </w:tc>
      </w:tr>
      <w:tr>
        <w:trPr>
          <w:trHeight w:val="129"/>
        </w:trPr>
        <w:tc>
          <w:tcPr>
            <w:tcW w:w="1720" w:type="dxa"/>
            <w:vAlign w:val="bottom"/>
            <w:tcBorders>
              <w:top w:val="single" w:sz="8" w:color="auto"/>
            </w:tcBorders>
          </w:tcPr>
          <w:p>
            <w:pPr>
              <w:spacing w:after="0"/>
              <w:rPr>
                <w:sz w:val="11"/>
                <w:szCs w:val="11"/>
                <w:color w:val="auto"/>
              </w:rPr>
            </w:pPr>
          </w:p>
        </w:tc>
        <w:tc>
          <w:tcPr>
            <w:tcW w:w="23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(Bbls/d)</w:t>
            </w:r>
          </w:p>
        </w:tc>
        <w:tc>
          <w:tcPr>
            <w:tcW w:w="2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(in millions)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spacing w:after="0"/>
              <w:rPr>
                <w:sz w:val="20"/>
                <w:szCs w:val="20"/>
                <w:color w:val="auto"/>
              </w:rPr>
            </w:pPr>
            <w:r>
              <w:rPr>
                <w:rFonts w:ascii="Arial" w:cs="Arial" w:eastAsia="Arial" w:hAnsi="Arial"/>
                <w:sz w:val="14"/>
                <w:szCs w:val="14"/>
                <w:color w:val="auto"/>
              </w:rPr>
              <w:t>All American</w:t>
            </w:r>
          </w:p>
        </w:tc>
        <w:tc>
          <w:tcPr>
            <w:tcW w:w="3340" w:type="dxa"/>
            <w:vAlign w:val="bottom"/>
            <w:gridSpan w:val="3"/>
            <w:shd w:val="clear" w:color="auto" w:fill="CCEEFF"/>
          </w:tcPr>
          <w:p>
            <w:pPr>
              <w:jc w:val="right"/>
              <w:ind w:right="108"/>
              <w:spacing w:after="0"/>
              <w:rPr>
                <w:sz w:val="20"/>
                <w:szCs w:val="20"/>
                <w:color w:val="auto"/>
              </w:rPr>
            </w:pPr>
            <w:r>
              <w:rPr>
                <w:rFonts w:ascii="Arial" w:cs="Arial" w:eastAsia="Arial" w:hAnsi="Arial"/>
                <w:sz w:val="14"/>
                <w:szCs w:val="14"/>
                <w:color w:val="auto"/>
              </w:rPr>
              <w:t>5,000</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$ 3.6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20" w:type="dxa"/>
            <w:vAlign w:val="bottom"/>
          </w:tcPr>
          <w:p>
            <w:pPr>
              <w:spacing w:after="0"/>
              <w:rPr>
                <w:sz w:val="20"/>
                <w:szCs w:val="20"/>
                <w:color w:val="auto"/>
              </w:rPr>
            </w:pPr>
            <w:r>
              <w:rPr>
                <w:rFonts w:ascii="Arial" w:cs="Arial" w:eastAsia="Arial" w:hAnsi="Arial"/>
                <w:sz w:val="14"/>
                <w:szCs w:val="14"/>
                <w:color w:val="auto"/>
              </w:rPr>
              <w:t>Basin</w:t>
            </w:r>
          </w:p>
        </w:tc>
        <w:tc>
          <w:tcPr>
            <w:tcW w:w="3340" w:type="dxa"/>
            <w:vAlign w:val="bottom"/>
            <w:gridSpan w:val="3"/>
          </w:tcPr>
          <w:p>
            <w:pPr>
              <w:jc w:val="right"/>
              <w:ind w:right="108"/>
              <w:spacing w:after="0"/>
              <w:rPr>
                <w:sz w:val="20"/>
                <w:szCs w:val="20"/>
                <w:color w:val="auto"/>
              </w:rPr>
            </w:pPr>
            <w:r>
              <w:rPr>
                <w:rFonts w:ascii="Arial" w:cs="Arial" w:eastAsia="Arial" w:hAnsi="Arial"/>
                <w:sz w:val="14"/>
                <w:szCs w:val="14"/>
                <w:color w:val="auto"/>
              </w:rPr>
              <w:t>20,000</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5"/>
                <w:szCs w:val="15"/>
                <w:color w:val="auto"/>
              </w:rPr>
            </w:pPr>
          </w:p>
        </w:tc>
        <w:tc>
          <w:tcPr>
            <w:tcW w:w="1040" w:type="dxa"/>
            <w:vAlign w:val="bottom"/>
          </w:tcPr>
          <w:p>
            <w:pPr>
              <w:jc w:val="right"/>
              <w:ind w:right="310"/>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spacing w:after="0"/>
              <w:rPr>
                <w:sz w:val="20"/>
                <w:szCs w:val="20"/>
                <w:color w:val="auto"/>
              </w:rPr>
            </w:pPr>
            <w:r>
              <w:rPr>
                <w:rFonts w:ascii="Arial" w:cs="Arial" w:eastAsia="Arial" w:hAnsi="Arial"/>
                <w:sz w:val="14"/>
                <w:szCs w:val="14"/>
                <w:color w:val="auto"/>
              </w:rPr>
              <w:t>Capline</w:t>
            </w:r>
          </w:p>
        </w:tc>
        <w:tc>
          <w:tcPr>
            <w:tcW w:w="3340" w:type="dxa"/>
            <w:vAlign w:val="bottom"/>
            <w:gridSpan w:val="3"/>
            <w:shd w:val="clear" w:color="auto" w:fill="CCEEFF"/>
          </w:tcPr>
          <w:p>
            <w:pPr>
              <w:jc w:val="right"/>
              <w:ind w:right="108"/>
              <w:spacing w:after="0"/>
              <w:rPr>
                <w:sz w:val="20"/>
                <w:szCs w:val="20"/>
                <w:color w:val="auto"/>
              </w:rPr>
            </w:pPr>
            <w:r>
              <w:rPr>
                <w:rFonts w:ascii="Arial" w:cs="Arial" w:eastAsia="Arial" w:hAnsi="Arial"/>
                <w:sz w:val="14"/>
                <w:szCs w:val="14"/>
                <w:color w:val="auto"/>
              </w:rPr>
              <w:t>10,000</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1.3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52" w:right="120" w:hanging="352"/>
        <w:spacing w:after="0" w:line="255" w:lineRule="auto"/>
        <w:tabs>
          <w:tab w:leader="none" w:pos="356"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Gathering, Marketing, Terminalling and Storage Operations</w:t>
      </w:r>
      <w:r>
        <w:rPr>
          <w:rFonts w:ascii="Arial" w:cs="Arial" w:eastAsia="Arial" w:hAnsi="Arial"/>
          <w:sz w:val="18"/>
          <w:szCs w:val="18"/>
          <w:color w:val="auto"/>
        </w:rPr>
        <w:t>. The level of profit in the GMT&amp;S segment is influenced by overall market structure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degree of volatility in the crude oil market as well as variable operating expenses. Operating results for the three months ending June 30, 2006 and the second half of 2006 reflect an expected continuation of the current contango market and favorable market conditions generally consistent with the conditions experienced over most of 2005 and 2006 to date. These market conditions are considered very favorable relative to our asset base and business model. Unexpected changes in market structure or volatility (or lack thereof) could cause actual results to differ materially from forecasted results.</w:t>
      </w:r>
    </w:p>
    <w:p>
      <w:pPr>
        <w:spacing w:after="0" w:line="63" w:lineRule="exact"/>
        <w:rPr>
          <w:sz w:val="20"/>
          <w:szCs w:val="20"/>
          <w:color w:val="auto"/>
        </w:rPr>
      </w:pPr>
    </w:p>
    <w:tbl>
      <w:tblPr>
        <w:tblLayout w:type="fixed"/>
        <w:tblInd w:w="372" w:type="dxa"/>
        <w:tblCellMar>
          <w:top w:w="0" w:type="dxa"/>
          <w:left w:w="0" w:type="dxa"/>
          <w:bottom w:w="0" w:type="dxa"/>
          <w:right w:w="0" w:type="dxa"/>
        </w:tblCellMar>
      </w:tblPr>
      <w:tr>
        <w:trPr>
          <w:trHeight w:val="171"/>
        </w:trPr>
        <w:tc>
          <w:tcPr>
            <w:tcW w:w="1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rPr>
              <w:t>Calendar 2006</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00" w:type="dxa"/>
            <w:vAlign w:val="bottom"/>
            <w:gridSpan w:val="4"/>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Actual</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4"/>
          </w:tcPr>
          <w:p>
            <w:pPr>
              <w:ind w:left="140"/>
              <w:spacing w:after="0" w:line="142" w:lineRule="exact"/>
              <w:rPr>
                <w:sz w:val="20"/>
                <w:szCs w:val="20"/>
                <w:color w:val="auto"/>
              </w:rPr>
            </w:pPr>
            <w:r>
              <w:rPr>
                <w:rFonts w:ascii="Arial" w:cs="Arial" w:eastAsia="Arial" w:hAnsi="Arial"/>
                <w:sz w:val="14"/>
                <w:szCs w:val="14"/>
                <w:b w:val="1"/>
                <w:bCs w:val="1"/>
                <w:color w:val="auto"/>
              </w:rPr>
              <w:t>Guidance</w:t>
            </w:r>
            <w:r>
              <w:rPr>
                <w:rFonts w:ascii="Arial" w:cs="Arial" w:eastAsia="Arial" w:hAnsi="Arial"/>
                <w:sz w:val="8"/>
                <w:szCs w:val="8"/>
                <w:b w:val="1"/>
                <w:bCs w:val="1"/>
                <w:color w:val="auto"/>
              </w:rPr>
              <w:t>(1)</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940" w:type="dxa"/>
            <w:vAlign w:val="bottom"/>
            <w:tcBorders>
              <w:top w:val="single" w:sz="8" w:color="auto"/>
            </w:tcBorders>
            <w:gridSpan w:val="3"/>
          </w:tcPr>
          <w:p>
            <w:pPr>
              <w:jc w:val="center"/>
              <w:spacing w:after="0" w:line="102" w:lineRule="exact"/>
              <w:rPr>
                <w:sz w:val="20"/>
                <w:szCs w:val="20"/>
                <w:color w:val="auto"/>
              </w:rPr>
            </w:pPr>
            <w:r>
              <w:rPr>
                <w:rFonts w:ascii="Arial" w:cs="Arial" w:eastAsia="Arial" w:hAnsi="Arial"/>
                <w:sz w:val="11"/>
                <w:szCs w:val="11"/>
                <w:b w:val="1"/>
                <w:bCs w:val="1"/>
                <w:color w:val="auto"/>
              </w:rPr>
              <w:t>Three Months</w:t>
            </w:r>
          </w:p>
        </w:tc>
        <w:tc>
          <w:tcPr>
            <w:tcW w:w="160" w:type="dxa"/>
            <w:vAlign w:val="bottom"/>
          </w:tcPr>
          <w:p>
            <w:pPr>
              <w:spacing w:after="0"/>
              <w:rPr>
                <w:sz w:val="8"/>
                <w:szCs w:val="8"/>
                <w:color w:val="auto"/>
              </w:rPr>
            </w:pPr>
          </w:p>
        </w:tc>
        <w:tc>
          <w:tcPr>
            <w:tcW w:w="1120" w:type="dxa"/>
            <w:vAlign w:val="bottom"/>
            <w:tcBorders>
              <w:top w:val="single" w:sz="8" w:color="auto"/>
            </w:tcBorders>
            <w:gridSpan w:val="4"/>
          </w:tcPr>
          <w:p>
            <w:pPr>
              <w:jc w:val="center"/>
              <w:ind w:right="160"/>
              <w:spacing w:after="0" w:line="102" w:lineRule="exact"/>
              <w:rPr>
                <w:sz w:val="20"/>
                <w:szCs w:val="20"/>
                <w:color w:val="auto"/>
              </w:rPr>
            </w:pPr>
            <w:r>
              <w:rPr>
                <w:rFonts w:ascii="Arial" w:cs="Arial" w:eastAsia="Arial" w:hAnsi="Arial"/>
                <w:sz w:val="11"/>
                <w:szCs w:val="11"/>
                <w:b w:val="1"/>
                <w:bCs w:val="1"/>
                <w:color w:val="auto"/>
              </w:rPr>
              <w:t>Three Months</w:t>
            </w:r>
          </w:p>
        </w:tc>
        <w:tc>
          <w:tcPr>
            <w:tcW w:w="1040" w:type="dxa"/>
            <w:vAlign w:val="bottom"/>
            <w:tcBorders>
              <w:top w:val="single" w:sz="8" w:color="auto"/>
            </w:tcBorders>
            <w:gridSpan w:val="4"/>
          </w:tcPr>
          <w:p>
            <w:pPr>
              <w:jc w:val="center"/>
              <w:ind w:right="180"/>
              <w:spacing w:after="0" w:line="102" w:lineRule="exact"/>
              <w:rPr>
                <w:sz w:val="20"/>
                <w:szCs w:val="20"/>
                <w:color w:val="auto"/>
              </w:rPr>
            </w:pPr>
            <w:r>
              <w:rPr>
                <w:rFonts w:ascii="Arial" w:cs="Arial" w:eastAsia="Arial" w:hAnsi="Arial"/>
                <w:sz w:val="11"/>
                <w:szCs w:val="11"/>
                <w:b w:val="1"/>
                <w:bCs w:val="1"/>
                <w:color w:val="auto"/>
              </w:rPr>
              <w:t>Six Months</w:t>
            </w:r>
          </w:p>
        </w:tc>
        <w:tc>
          <w:tcPr>
            <w:tcW w:w="1060" w:type="dxa"/>
            <w:vAlign w:val="bottom"/>
            <w:tcBorders>
              <w:top w:val="single" w:sz="8" w:color="auto"/>
            </w:tcBorders>
            <w:gridSpan w:val="3"/>
          </w:tcPr>
          <w:p>
            <w:pPr>
              <w:jc w:val="center"/>
              <w:spacing w:after="0" w:line="102" w:lineRule="exact"/>
              <w:rPr>
                <w:sz w:val="20"/>
                <w:szCs w:val="20"/>
                <w:color w:val="auto"/>
              </w:rPr>
            </w:pPr>
            <w:r>
              <w:rPr>
                <w:rFonts w:ascii="Arial" w:cs="Arial" w:eastAsia="Arial" w:hAnsi="Arial"/>
                <w:sz w:val="11"/>
                <w:szCs w:val="11"/>
                <w:b w:val="1"/>
                <w:bCs w:val="1"/>
                <w:color w:val="auto"/>
              </w:rPr>
              <w:t>Twelve Months</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100" w:type="dxa"/>
            <w:vAlign w:val="bottom"/>
            <w:gridSpan w:val="4"/>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Ended</w:t>
            </w:r>
          </w:p>
        </w:tc>
        <w:tc>
          <w:tcPr>
            <w:tcW w:w="1120" w:type="dxa"/>
            <w:vAlign w:val="bottom"/>
            <w:gridSpan w:val="4"/>
          </w:tcPr>
          <w:p>
            <w:pPr>
              <w:jc w:val="center"/>
              <w:ind w:right="160"/>
              <w:spacing w:after="0" w:line="135" w:lineRule="exact"/>
              <w:rPr>
                <w:sz w:val="20"/>
                <w:szCs w:val="20"/>
                <w:color w:val="auto"/>
              </w:rPr>
            </w:pPr>
            <w:r>
              <w:rPr>
                <w:rFonts w:ascii="Arial" w:cs="Arial" w:eastAsia="Arial" w:hAnsi="Arial"/>
                <w:sz w:val="14"/>
                <w:szCs w:val="14"/>
                <w:b w:val="1"/>
                <w:bCs w:val="1"/>
                <w:color w:val="auto"/>
                <w:w w:val="92"/>
              </w:rPr>
              <w:t>Ending</w:t>
            </w:r>
          </w:p>
        </w:tc>
        <w:tc>
          <w:tcPr>
            <w:tcW w:w="1040" w:type="dxa"/>
            <w:vAlign w:val="bottom"/>
            <w:gridSpan w:val="4"/>
          </w:tcPr>
          <w:p>
            <w:pPr>
              <w:jc w:val="center"/>
              <w:ind w:right="160"/>
              <w:spacing w:after="0" w:line="135" w:lineRule="exact"/>
              <w:rPr>
                <w:sz w:val="20"/>
                <w:szCs w:val="20"/>
                <w:color w:val="auto"/>
              </w:rPr>
            </w:pPr>
            <w:r>
              <w:rPr>
                <w:rFonts w:ascii="Arial" w:cs="Arial" w:eastAsia="Arial" w:hAnsi="Arial"/>
                <w:sz w:val="14"/>
                <w:szCs w:val="14"/>
                <w:b w:val="1"/>
                <w:bCs w:val="1"/>
                <w:color w:val="auto"/>
                <w:w w:val="92"/>
              </w:rPr>
              <w:t>Ending</w:t>
            </w:r>
          </w:p>
        </w:tc>
        <w:tc>
          <w:tcPr>
            <w:tcW w:w="1160" w:type="dxa"/>
            <w:vAlign w:val="bottom"/>
            <w:gridSpan w:val="4"/>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March 31</w:t>
            </w:r>
          </w:p>
        </w:tc>
        <w:tc>
          <w:tcPr>
            <w:tcW w:w="11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June 30</w:t>
            </w:r>
          </w:p>
        </w:tc>
        <w:tc>
          <w:tcPr>
            <w:tcW w:w="10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December 31</w:t>
            </w:r>
          </w:p>
        </w:tc>
        <w:tc>
          <w:tcPr>
            <w:tcW w:w="11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December 31</w:t>
            </w:r>
          </w:p>
        </w:tc>
        <w:tc>
          <w:tcPr>
            <w:tcW w:w="0" w:type="dxa"/>
            <w:vAlign w:val="bottom"/>
          </w:tcPr>
          <w:p>
            <w:pPr>
              <w:spacing w:after="0"/>
              <w:rPr>
                <w:sz w:val="1"/>
                <w:szCs w:val="1"/>
                <w:color w:val="auto"/>
              </w:rPr>
            </w:pPr>
          </w:p>
        </w:tc>
      </w:tr>
      <w:tr>
        <w:trPr>
          <w:trHeight w:val="129"/>
        </w:trPr>
        <w:tc>
          <w:tcPr>
            <w:tcW w:w="1780" w:type="dxa"/>
            <w:vAlign w:val="bottom"/>
          </w:tcPr>
          <w:p>
            <w:pPr>
              <w:spacing w:after="0"/>
              <w:rPr>
                <w:sz w:val="11"/>
                <w:szCs w:val="11"/>
                <w:color w:val="auto"/>
              </w:rPr>
            </w:pPr>
          </w:p>
        </w:tc>
        <w:tc>
          <w:tcPr>
            <w:tcW w:w="268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Average Daily Volumes (000’s Bbl/d)</w:t>
            </w:r>
          </w:p>
        </w:tc>
        <w:tc>
          <w:tcPr>
            <w:tcW w:w="2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26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Crude Oil Lease Gathering</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635</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638</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26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LPG</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80" w:type="dxa"/>
            <w:vAlign w:val="bottom"/>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22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699</w:t>
            </w: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685</w:t>
            </w: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744</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718</w:t>
            </w: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780" w:type="dxa"/>
            <w:vAlign w:val="bottom"/>
          </w:tcPr>
          <w:p>
            <w:pPr>
              <w:spacing w:after="0"/>
              <w:rPr>
                <w:sz w:val="14"/>
                <w:szCs w:val="14"/>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Segment Profit per Barrel</w:t>
            </w: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80" w:type="dxa"/>
            <w:vAlign w:val="bottom"/>
          </w:tcPr>
          <w:p>
            <w:pPr>
              <w:spacing w:after="0"/>
              <w:rPr>
                <w:sz w:val="14"/>
                <w:szCs w:val="14"/>
                <w:color w:val="auto"/>
              </w:rPr>
            </w:pPr>
          </w:p>
        </w:tc>
        <w:tc>
          <w:tcPr>
            <w:tcW w:w="26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As Reported/Estimated</w:t>
            </w:r>
          </w:p>
        </w:tc>
        <w:tc>
          <w:tcPr>
            <w:tcW w:w="280" w:type="dxa"/>
            <w:vAlign w:val="bottom"/>
          </w:tcPr>
          <w:p>
            <w:pPr>
              <w:spacing w:after="0"/>
              <w:rPr>
                <w:sz w:val="14"/>
                <w:szCs w:val="14"/>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92"/>
              </w:rPr>
              <w:t>$ 0.89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0"/>
              </w:rPr>
              <w:t>$ 1.04</w:t>
            </w:r>
            <w:r>
              <w:rPr>
                <w:rFonts w:ascii="Arial" w:cs="Arial" w:eastAsia="Arial" w:hAnsi="Arial"/>
                <w:sz w:val="17"/>
                <w:szCs w:val="17"/>
                <w:color w:val="auto"/>
                <w:w w:val="90"/>
                <w:vertAlign w:val="superscript"/>
              </w:rPr>
              <w:t>(1)</w:t>
            </w:r>
          </w:p>
        </w:tc>
        <w:tc>
          <w:tcPr>
            <w:tcW w:w="160" w:type="dxa"/>
            <w:vAlign w:val="bottom"/>
          </w:tcPr>
          <w:p>
            <w:pPr>
              <w:spacing w:after="0"/>
              <w:rPr>
                <w:sz w:val="14"/>
                <w:szCs w:val="14"/>
                <w:color w:val="auto"/>
              </w:rPr>
            </w:pPr>
          </w:p>
        </w:tc>
        <w:tc>
          <w:tcPr>
            <w:tcW w:w="8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$ 0.89</w:t>
            </w:r>
            <w:r>
              <w:rPr>
                <w:rFonts w:ascii="Arial" w:cs="Arial" w:eastAsia="Arial" w:hAnsi="Arial"/>
                <w:sz w:val="17"/>
                <w:szCs w:val="17"/>
                <w:color w:val="auto"/>
                <w:vertAlign w:val="superscript"/>
              </w:rPr>
              <w:t>(1)</w:t>
            </w:r>
          </w:p>
        </w:tc>
        <w:tc>
          <w:tcPr>
            <w:tcW w:w="160" w:type="dxa"/>
            <w:vAlign w:val="bottom"/>
          </w:tcPr>
          <w:p>
            <w:pPr>
              <w:spacing w:after="0"/>
              <w:rPr>
                <w:sz w:val="14"/>
                <w:szCs w:val="14"/>
                <w:color w:val="auto"/>
              </w:rPr>
            </w:pP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$ 0.92</w:t>
            </w:r>
            <w:r>
              <w:rPr>
                <w:rFonts w:ascii="Arial" w:cs="Arial" w:eastAsia="Arial" w:hAnsi="Arial"/>
                <w:sz w:val="17"/>
                <w:szCs w:val="17"/>
                <w:color w:val="auto"/>
                <w:vertAlign w:val="superscript"/>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680" w:type="dxa"/>
            <w:vAlign w:val="bottom"/>
            <w:tcBorders>
              <w:top w:val="single" w:sz="8" w:color="CCEEFF"/>
            </w:tcBorders>
            <w:gridSpan w:val="2"/>
            <w:vMerge w:val="restart"/>
            <w:shd w:val="clear" w:color="auto" w:fill="CCEEFF"/>
          </w:tcPr>
          <w:p>
            <w:pPr>
              <w:ind w:left="160"/>
              <w:spacing w:after="0" w:line="104" w:lineRule="exact"/>
              <w:rPr>
                <w:sz w:val="20"/>
                <w:szCs w:val="20"/>
                <w:color w:val="auto"/>
              </w:rPr>
            </w:pPr>
            <w:r>
              <w:rPr>
                <w:rFonts w:ascii="Arial" w:cs="Arial" w:eastAsia="Arial" w:hAnsi="Arial"/>
                <w:sz w:val="11"/>
                <w:szCs w:val="11"/>
                <w:color w:val="auto"/>
              </w:rPr>
              <w:t>Excluding Selected Items Impacting</w:t>
            </w: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1780" w:type="dxa"/>
            <w:vAlign w:val="bottom"/>
          </w:tcPr>
          <w:p>
            <w:pPr>
              <w:spacing w:after="0"/>
              <w:rPr>
                <w:sz w:val="7"/>
                <w:szCs w:val="7"/>
                <w:color w:val="auto"/>
              </w:rPr>
            </w:pPr>
          </w:p>
        </w:tc>
        <w:tc>
          <w:tcPr>
            <w:tcW w:w="2680" w:type="dxa"/>
            <w:vAlign w:val="bottom"/>
            <w:gridSpan w:val="2"/>
            <w:vMerge w:val="continue"/>
            <w:shd w:val="clear" w:color="auto" w:fill="CCEEFF"/>
          </w:tcPr>
          <w:p>
            <w:pPr>
              <w:spacing w:after="0"/>
              <w:rPr>
                <w:sz w:val="7"/>
                <w:szCs w:val="7"/>
                <w:color w:val="auto"/>
              </w:rPr>
            </w:pPr>
          </w:p>
        </w:tc>
        <w:tc>
          <w:tcPr>
            <w:tcW w:w="280" w:type="dxa"/>
            <w:vAlign w:val="bottom"/>
            <w:vMerge w:val="restart"/>
            <w:shd w:val="clear" w:color="auto" w:fill="CCEEFF"/>
          </w:tcPr>
          <w:p>
            <w:pPr>
              <w:spacing w:after="0"/>
              <w:rPr>
                <w:sz w:val="7"/>
                <w:szCs w:val="7"/>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$ 1.01</w:t>
            </w: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vMerge w:val="restart"/>
            <w:shd w:val="clear" w:color="auto" w:fill="CCEEFF"/>
          </w:tcPr>
          <w:p>
            <w:pPr>
              <w:spacing w:after="0"/>
              <w:rPr>
                <w:sz w:val="7"/>
                <w:szCs w:val="7"/>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w w:val="90"/>
              </w:rPr>
              <w:t>$ 1.11</w:t>
            </w:r>
            <w:r>
              <w:rPr>
                <w:rFonts w:ascii="Arial" w:cs="Arial" w:eastAsia="Arial" w:hAnsi="Arial"/>
                <w:sz w:val="17"/>
                <w:szCs w:val="17"/>
                <w:color w:val="auto"/>
                <w:w w:val="90"/>
                <w:vertAlign w:val="superscript"/>
              </w:rPr>
              <w:t>(1)</w:t>
            </w:r>
          </w:p>
        </w:tc>
        <w:tc>
          <w:tcPr>
            <w:tcW w:w="160" w:type="dxa"/>
            <w:vAlign w:val="bottom"/>
            <w:shd w:val="clear" w:color="auto" w:fill="CCEEFF"/>
          </w:tcPr>
          <w:p>
            <w:pPr>
              <w:spacing w:after="0"/>
              <w:rPr>
                <w:sz w:val="7"/>
                <w:szCs w:val="7"/>
                <w:color w:val="auto"/>
              </w:rPr>
            </w:pPr>
          </w:p>
        </w:tc>
        <w:tc>
          <w:tcPr>
            <w:tcW w:w="8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$ 0.96</w:t>
            </w:r>
            <w:r>
              <w:rPr>
                <w:rFonts w:ascii="Arial" w:cs="Arial" w:eastAsia="Arial" w:hAnsi="Arial"/>
                <w:sz w:val="17"/>
                <w:szCs w:val="17"/>
                <w:color w:val="auto"/>
                <w:vertAlign w:val="superscript"/>
              </w:rPr>
              <w:t>(1)</w:t>
            </w:r>
          </w:p>
        </w:tc>
        <w:tc>
          <w:tcPr>
            <w:tcW w:w="160" w:type="dxa"/>
            <w:vAlign w:val="bottom"/>
            <w:shd w:val="clear" w:color="auto" w:fill="CCEEFF"/>
          </w:tcPr>
          <w:p>
            <w:pPr>
              <w:spacing w:after="0"/>
              <w:rPr>
                <w:sz w:val="7"/>
                <w:szCs w:val="7"/>
                <w:color w:val="auto"/>
              </w:rPr>
            </w:pPr>
          </w:p>
        </w:tc>
        <w:tc>
          <w:tcPr>
            <w:tcW w:w="10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$ 1.01</w:t>
            </w:r>
            <w:r>
              <w:rPr>
                <w:rFonts w:ascii="Arial" w:cs="Arial" w:eastAsia="Arial" w:hAnsi="Arial"/>
                <w:sz w:val="17"/>
                <w:szCs w:val="17"/>
                <w:color w:val="auto"/>
                <w:vertAlign w:val="superscript"/>
              </w:rPr>
              <w:t>(1)</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1780" w:type="dxa"/>
            <w:vAlign w:val="bottom"/>
          </w:tcPr>
          <w:p>
            <w:pPr>
              <w:spacing w:after="0"/>
              <w:rPr>
                <w:sz w:val="13"/>
                <w:szCs w:val="13"/>
                <w:color w:val="auto"/>
              </w:rPr>
            </w:pPr>
          </w:p>
        </w:tc>
        <w:tc>
          <w:tcPr>
            <w:tcW w:w="2680" w:type="dxa"/>
            <w:vAlign w:val="bottom"/>
            <w:gridSpan w:val="2"/>
            <w:shd w:val="clear" w:color="auto" w:fill="CCEEFF"/>
          </w:tcPr>
          <w:p>
            <w:pPr>
              <w:ind w:left="300"/>
              <w:spacing w:after="0" w:line="154" w:lineRule="exact"/>
              <w:rPr>
                <w:sz w:val="20"/>
                <w:szCs w:val="20"/>
                <w:color w:val="auto"/>
              </w:rPr>
            </w:pPr>
            <w:r>
              <w:rPr>
                <w:rFonts w:ascii="Arial" w:cs="Arial" w:eastAsia="Arial" w:hAnsi="Arial"/>
                <w:sz w:val="14"/>
                <w:szCs w:val="14"/>
                <w:color w:val="auto"/>
              </w:rPr>
              <w:t>Comparability</w:t>
            </w:r>
          </w:p>
        </w:tc>
        <w:tc>
          <w:tcPr>
            <w:tcW w:w="280" w:type="dxa"/>
            <w:vAlign w:val="bottom"/>
            <w:vMerge w:val="continue"/>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3"/>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gridSpan w:val="3"/>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7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92" w:hanging="332"/>
        <w:spacing w:after="0"/>
        <w:tabs>
          <w:tab w:leader="none" w:pos="692" w:val="left"/>
        </w:tabs>
        <w:numPr>
          <w:ilvl w:val="0"/>
          <w:numId w:val="5"/>
        </w:numPr>
        <w:rPr>
          <w:rFonts w:ascii="Arial" w:cs="Arial" w:eastAsia="Arial" w:hAnsi="Arial"/>
          <w:sz w:val="14"/>
          <w:szCs w:val="14"/>
          <w:color w:val="auto"/>
        </w:rPr>
      </w:pPr>
      <w:r>
        <w:rPr>
          <w:rFonts w:ascii="Arial" w:cs="Arial" w:eastAsia="Arial" w:hAnsi="Arial"/>
          <w:sz w:val="14"/>
          <w:szCs w:val="14"/>
          <w:color w:val="auto"/>
        </w:rPr>
        <w:t>Mid-point of estimate.</w:t>
      </w:r>
    </w:p>
    <w:p>
      <w:pPr>
        <w:spacing w:after="0" w:line="100" w:lineRule="exact"/>
        <w:rPr>
          <w:sz w:val="20"/>
          <w:szCs w:val="20"/>
          <w:color w:val="auto"/>
        </w:rPr>
      </w:pPr>
    </w:p>
    <w:p>
      <w:pPr>
        <w:ind w:left="352"/>
        <w:spacing w:after="0" w:line="255" w:lineRule="auto"/>
        <w:rPr>
          <w:sz w:val="20"/>
          <w:szCs w:val="20"/>
          <w:color w:val="auto"/>
        </w:rPr>
      </w:pPr>
      <w:r>
        <w:rPr>
          <w:rFonts w:ascii="Arial" w:cs="Arial" w:eastAsia="Arial" w:hAnsi="Arial"/>
          <w:sz w:val="18"/>
          <w:szCs w:val="18"/>
          <w:color w:val="auto"/>
        </w:rPr>
        <w:t>Segment profit is forecast using the volume assumptions stated above and estimates of unit margins, field operating costs, G&amp;A expenses and carrying costs for contango inventory based on current and anticipated market conditions. The forecast also includes the incremental profits from recently completed acquisitions. Field operating costs do not include depreciation. Realized unit margins for any given lease-gathered barrel could vary significantly based on a variety of factors including location, quality and contract structure. Based on our mid-point projection of adjusted segment profit per barrel for calendar 2006, a 15,000 Bbl/d variance in lease gathering volumes would impact segment profit by approximately $5.6 million on an annualized basis. A $0.01 variance in the aggregate average per-barrel margin would impact segment profit by approximately $2.6 million on an annualized basis.</w:t>
      </w:r>
    </w:p>
    <w:p>
      <w:pPr>
        <w:sectPr>
          <w:pgSz w:w="11900" w:h="16838" w:orient="portrait"/>
          <w:cols w:equalWidth="0" w:num="1">
            <w:col w:w="11392"/>
          </w:cols>
          <w:pgMar w:left="248" w:top="125" w:right="259" w:bottom="0" w:gutter="0" w:footer="0" w:header="0"/>
        </w:sectPr>
      </w:pPr>
    </w:p>
    <w:bookmarkStart w:id="3" w:name="page4"/>
    <w:bookmarkEnd w:id="3"/>
    <w:p>
      <w:pPr>
        <w:ind w:left="352" w:hanging="352"/>
        <w:spacing w:after="0" w:line="264" w:lineRule="auto"/>
        <w:tabs>
          <w:tab w:leader="none" w:pos="356"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are forecast based on our existing depreciable assets and forecasted capital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is computed using the straight-line method over estimated useful lives, which range from 3 years (for office property and equipment) to 40 years (for certain pipelines, crude oil terminals and facilities).</w:t>
      </w:r>
    </w:p>
    <w:p>
      <w:pPr>
        <w:spacing w:after="0" w:line="3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52" w:right="140" w:hanging="352"/>
        <w:spacing w:after="0" w:line="257" w:lineRule="auto"/>
        <w:tabs>
          <w:tab w:leader="none" w:pos="356"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Foreign Currency Revaluations and Statement of Financial Accounting Standards No. 133 “Accounting for Derivative Instruments and Hedging Activities” (SFAS 133). </w:t>
      </w:r>
      <w:r>
        <w:rPr>
          <w:rFonts w:ascii="Arial" w:cs="Arial" w:eastAsia="Arial" w:hAnsi="Arial"/>
          <w:sz w:val="18"/>
          <w:szCs w:val="18"/>
          <w:color w:val="auto"/>
        </w:rPr>
        <w:t>The guidance presented above does not include assumptions or projections with respect to potential gains or losses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currency revaluations and derivatives accounted for under SFAS 133, as there is no accurate way to forecast these potential gains or losses. The potential gains or losses related to these foreign currency revaluations and derivatives (primarily mark-to-market adjustments) could cause actual net income to differ materially from our projections.</w:t>
      </w:r>
    </w:p>
    <w:p>
      <w:pPr>
        <w:spacing w:after="0" w:line="66" w:lineRule="exact"/>
        <w:rPr>
          <w:rFonts w:ascii="Arial" w:cs="Arial" w:eastAsia="Arial" w:hAnsi="Arial"/>
          <w:sz w:val="18"/>
          <w:szCs w:val="18"/>
          <w:color w:val="auto"/>
        </w:rPr>
      </w:pPr>
    </w:p>
    <w:p>
      <w:pPr>
        <w:ind w:left="352" w:right="120" w:hanging="352"/>
        <w:spacing w:after="0" w:line="273" w:lineRule="auto"/>
        <w:tabs>
          <w:tab w:leader="none" w:pos="35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Acquisitions and Capital Expenditures. </w:t>
      </w:r>
      <w:r>
        <w:rPr>
          <w:rFonts w:ascii="Arial" w:cs="Arial" w:eastAsia="Arial" w:hAnsi="Arial"/>
          <w:sz w:val="17"/>
          <w:szCs w:val="17"/>
          <w:color w:val="auto"/>
        </w:rPr>
        <w:t>As indicated in Note 2 (Pipeline Operations), this guidance includes assets not subject to a right of first refusal</w:t>
      </w:r>
      <w:r>
        <w:rPr>
          <w:rFonts w:ascii="Arial" w:cs="Arial" w:eastAsia="Arial" w:hAnsi="Arial"/>
          <w:sz w:val="17"/>
          <w:szCs w:val="17"/>
          <w:i w:val="1"/>
          <w:iCs w:val="1"/>
          <w:color w:val="auto"/>
        </w:rPr>
        <w:t xml:space="preserve"> </w:t>
      </w:r>
      <w:r>
        <w:rPr>
          <w:rFonts w:ascii="Arial" w:cs="Arial" w:eastAsia="Arial" w:hAnsi="Arial"/>
          <w:sz w:val="17"/>
          <w:szCs w:val="17"/>
          <w:color w:val="auto"/>
        </w:rPr>
        <w:t>that we have agreed to purchase pursuant to definitive agreements with BP based on an estimated closing date of July 1, 2006. Although acquisitions constitute a key element of our growth strategy, the forecasted results and associated estimates do not include any assumptions or forecasts for any material acquisitions that may be made after the date hereof except for the pending acquisition. Capital expenditures for expansion projects are forecast to be approximately $250 million during calendar 2006 of which $45 million was incurred in the first quarter. Following are some of the more notable projects to be undertaken in 2006 and the estimated expenditures for the year.</w:t>
      </w:r>
    </w:p>
    <w:p>
      <w:pPr>
        <w:spacing w:after="0" w:line="157" w:lineRule="exact"/>
        <w:rPr>
          <w:sz w:val="20"/>
          <w:szCs w:val="20"/>
          <w:color w:val="auto"/>
        </w:rPr>
      </w:pPr>
    </w:p>
    <w:tbl>
      <w:tblPr>
        <w:tblLayout w:type="fixed"/>
        <w:tblInd w:w="2252"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Calendar 2006</w:t>
            </w:r>
          </w:p>
        </w:tc>
      </w:tr>
      <w:tr>
        <w:trPr>
          <w:trHeight w:val="129"/>
        </w:trPr>
        <w:tc>
          <w:tcPr>
            <w:tcW w:w="8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960" w:type="dxa"/>
            <w:vAlign w:val="bottom"/>
            <w:tcBorders>
              <w:top w:val="single" w:sz="8" w:color="auto"/>
            </w:tcBorders>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94"/>
              </w:rPr>
              <w:t>(in millions)</w:t>
            </w:r>
          </w:p>
        </w:tc>
        <w:tc>
          <w:tcPr>
            <w:tcW w:w="60" w:type="dxa"/>
            <w:vAlign w:val="bottom"/>
          </w:tcPr>
          <w:p>
            <w:pPr>
              <w:spacing w:after="0"/>
              <w:rPr>
                <w:sz w:val="11"/>
                <w:szCs w:val="11"/>
                <w:color w:val="auto"/>
              </w:rPr>
            </w:pPr>
          </w:p>
        </w:tc>
      </w:tr>
      <w:tr>
        <w:trPr>
          <w:trHeight w:val="324"/>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Expansion Capital</w:t>
            </w:r>
          </w:p>
        </w:tc>
        <w:tc>
          <w:tcPr>
            <w:tcW w:w="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324"/>
        </w:trPr>
        <w:tc>
          <w:tcPr>
            <w:tcW w:w="80" w:type="dxa"/>
            <w:vAlign w:val="bottom"/>
          </w:tcPr>
          <w:p>
            <w:pPr>
              <w:spacing w:after="0"/>
              <w:rPr>
                <w:sz w:val="20"/>
                <w:szCs w:val="20"/>
                <w:color w:val="auto"/>
              </w:rPr>
            </w:pPr>
            <w:r>
              <w:rPr>
                <w:rFonts w:ascii="Arial" w:cs="Arial" w:eastAsia="Arial" w:hAnsi="Arial"/>
                <w:sz w:val="18"/>
                <w:szCs w:val="18"/>
                <w:color w:val="auto"/>
                <w:w w:val="99"/>
              </w:rPr>
              <w:t>·</w:t>
            </w:r>
          </w:p>
        </w:tc>
        <w:tc>
          <w:tcPr>
            <w:tcW w:w="5820" w:type="dxa"/>
            <w:vAlign w:val="bottom"/>
          </w:tcPr>
          <w:p>
            <w:pPr>
              <w:ind w:left="60"/>
              <w:spacing w:after="0"/>
              <w:rPr>
                <w:sz w:val="20"/>
                <w:szCs w:val="20"/>
                <w:color w:val="auto"/>
              </w:rPr>
            </w:pPr>
            <w:r>
              <w:rPr>
                <w:rFonts w:ascii="Arial" w:cs="Arial" w:eastAsia="Arial" w:hAnsi="Arial"/>
                <w:sz w:val="18"/>
                <w:szCs w:val="18"/>
                <w:color w:val="auto"/>
              </w:rPr>
              <w:t>St. James, Louisiana storage facility</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$ 60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Kerrobert tankage and pumps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324"/>
        </w:trPr>
        <w:tc>
          <w:tcPr>
            <w:tcW w:w="80" w:type="dxa"/>
            <w:vAlign w:val="bottom"/>
          </w:tcPr>
          <w:p>
            <w:pPr>
              <w:spacing w:after="0"/>
              <w:rPr>
                <w:sz w:val="20"/>
                <w:szCs w:val="20"/>
                <w:color w:val="auto"/>
              </w:rPr>
            </w:pPr>
            <w:r>
              <w:rPr>
                <w:rFonts w:ascii="Arial" w:cs="Arial" w:eastAsia="Arial" w:hAnsi="Arial"/>
                <w:sz w:val="18"/>
                <w:szCs w:val="18"/>
                <w:color w:val="auto"/>
                <w:w w:val="99"/>
              </w:rPr>
              <w:t>·</w:t>
            </w:r>
          </w:p>
        </w:tc>
        <w:tc>
          <w:tcPr>
            <w:tcW w:w="5820" w:type="dxa"/>
            <w:vAlign w:val="bottom"/>
          </w:tcPr>
          <w:p>
            <w:pPr>
              <w:ind w:left="60"/>
              <w:spacing w:after="0"/>
              <w:rPr>
                <w:sz w:val="20"/>
                <w:szCs w:val="20"/>
                <w:color w:val="auto"/>
              </w:rPr>
            </w:pPr>
            <w:r>
              <w:rPr>
                <w:rFonts w:ascii="Arial" w:cs="Arial" w:eastAsia="Arial" w:hAnsi="Arial"/>
                <w:sz w:val="18"/>
                <w:szCs w:val="18"/>
                <w:color w:val="auto"/>
              </w:rPr>
              <w:t>Spraberry System expansion</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8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High Prairie truck and rail terminals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324"/>
        </w:trPr>
        <w:tc>
          <w:tcPr>
            <w:tcW w:w="80" w:type="dxa"/>
            <w:vAlign w:val="bottom"/>
          </w:tcPr>
          <w:p>
            <w:pPr>
              <w:spacing w:after="0"/>
              <w:rPr>
                <w:sz w:val="20"/>
                <w:szCs w:val="20"/>
                <w:color w:val="auto"/>
              </w:rPr>
            </w:pPr>
            <w:r>
              <w:rPr>
                <w:rFonts w:ascii="Arial" w:cs="Arial" w:eastAsia="Arial" w:hAnsi="Arial"/>
                <w:sz w:val="18"/>
                <w:szCs w:val="18"/>
                <w:color w:val="auto"/>
                <w:w w:val="99"/>
              </w:rPr>
              <w:t>·</w:t>
            </w:r>
          </w:p>
        </w:tc>
        <w:tc>
          <w:tcPr>
            <w:tcW w:w="5820" w:type="dxa"/>
            <w:vAlign w:val="bottom"/>
          </w:tcPr>
          <w:p>
            <w:pPr>
              <w:ind w:left="60"/>
              <w:spacing w:after="0"/>
              <w:rPr>
                <w:sz w:val="20"/>
                <w:szCs w:val="20"/>
                <w:color w:val="auto"/>
              </w:rPr>
            </w:pPr>
            <w:r>
              <w:rPr>
                <w:rFonts w:ascii="Arial" w:cs="Arial" w:eastAsia="Arial" w:hAnsi="Arial"/>
                <w:sz w:val="18"/>
                <w:szCs w:val="18"/>
                <w:color w:val="auto"/>
              </w:rPr>
              <w:t>East Texas/Louisiana tankage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8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Wichita Falls tankage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324"/>
        </w:trPr>
        <w:tc>
          <w:tcPr>
            <w:tcW w:w="80" w:type="dxa"/>
            <w:vAlign w:val="bottom"/>
          </w:tcPr>
          <w:p>
            <w:pPr>
              <w:spacing w:after="0"/>
              <w:rPr>
                <w:sz w:val="20"/>
                <w:szCs w:val="20"/>
                <w:color w:val="auto"/>
              </w:rPr>
            </w:pPr>
            <w:r>
              <w:rPr>
                <w:rFonts w:ascii="Arial" w:cs="Arial" w:eastAsia="Arial" w:hAnsi="Arial"/>
                <w:sz w:val="18"/>
                <w:szCs w:val="18"/>
                <w:color w:val="auto"/>
                <w:w w:val="99"/>
              </w:rPr>
              <w:t>·</w:t>
            </w:r>
          </w:p>
        </w:tc>
        <w:tc>
          <w:tcPr>
            <w:tcW w:w="5820" w:type="dxa"/>
            <w:vAlign w:val="bottom"/>
          </w:tcPr>
          <w:p>
            <w:pPr>
              <w:ind w:left="60"/>
              <w:spacing w:after="0"/>
              <w:rPr>
                <w:sz w:val="20"/>
                <w:szCs w:val="20"/>
                <w:color w:val="auto"/>
              </w:rPr>
            </w:pPr>
            <w:r>
              <w:rPr>
                <w:rFonts w:ascii="Arial" w:cs="Arial" w:eastAsia="Arial" w:hAnsi="Arial"/>
                <w:sz w:val="18"/>
                <w:szCs w:val="18"/>
                <w:color w:val="auto"/>
              </w:rPr>
              <w:t>Midale/Regina truck terminal</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8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Truck trailers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324"/>
        </w:trPr>
        <w:tc>
          <w:tcPr>
            <w:tcW w:w="80" w:type="dxa"/>
            <w:vAlign w:val="bottom"/>
          </w:tcPr>
          <w:p>
            <w:pPr>
              <w:spacing w:after="0"/>
              <w:rPr>
                <w:sz w:val="20"/>
                <w:szCs w:val="20"/>
                <w:color w:val="auto"/>
              </w:rPr>
            </w:pPr>
            <w:r>
              <w:rPr>
                <w:rFonts w:ascii="Arial" w:cs="Arial" w:eastAsia="Arial" w:hAnsi="Arial"/>
                <w:sz w:val="18"/>
                <w:szCs w:val="18"/>
                <w:color w:val="auto"/>
                <w:w w:val="99"/>
              </w:rPr>
              <w:t>·</w:t>
            </w:r>
          </w:p>
        </w:tc>
        <w:tc>
          <w:tcPr>
            <w:tcW w:w="5820" w:type="dxa"/>
            <w:vAlign w:val="bottom"/>
          </w:tcPr>
          <w:p>
            <w:pPr>
              <w:ind w:left="60"/>
              <w:spacing w:after="0"/>
              <w:rPr>
                <w:sz w:val="20"/>
                <w:szCs w:val="20"/>
                <w:color w:val="auto"/>
              </w:rPr>
            </w:pPr>
            <w:r>
              <w:rPr>
                <w:rFonts w:ascii="Arial" w:cs="Arial" w:eastAsia="Arial" w:hAnsi="Arial"/>
                <w:sz w:val="18"/>
                <w:szCs w:val="18"/>
                <w:color w:val="auto"/>
              </w:rPr>
              <w:t>Other Projects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80" w:type="dxa"/>
            <w:vAlign w:val="bottom"/>
            <w:tcBorders>
              <w:top w:val="single" w:sz="8" w:color="CCEEFF"/>
            </w:tcBorders>
            <w:shd w:val="clear" w:color="auto" w:fill="CCEEFF"/>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324"/>
        </w:trPr>
        <w:tc>
          <w:tcPr>
            <w:tcW w:w="5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Maintenance Capital</w:t>
            </w:r>
          </w:p>
        </w:tc>
        <w:tc>
          <w:tcPr>
            <w:tcW w:w="26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r>
      <w:tr>
        <w:trPr>
          <w:trHeight w:val="291"/>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Projected Capital Expenditures (excluding acquisitions)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$ 273</w:t>
            </w:r>
          </w:p>
        </w:tc>
        <w:tc>
          <w:tcPr>
            <w:tcW w:w="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ind w:left="352" w:right="100" w:hanging="352"/>
        <w:spacing w:after="0" w:line="257" w:lineRule="auto"/>
        <w:tabs>
          <w:tab w:leader="none" w:pos="356"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Capital Structure. </w:t>
      </w:r>
      <w:r>
        <w:rPr>
          <w:rFonts w:ascii="Arial" w:cs="Arial" w:eastAsia="Arial" w:hAnsi="Arial"/>
          <w:sz w:val="18"/>
          <w:szCs w:val="18"/>
          <w:color w:val="auto"/>
        </w:rPr>
        <w:t>This guidance is based on our capital structure as of March 31, 2006, as adjusted to give effect to the sale in April 2006 of 1.2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common units, the sale in May 2006 of $250 million of 30-year notes bearing a fixed rate of interest of 6.7% and the use of such proceeds to finance acquisitions completed in the second quarter of 2006. The Partnership intends to adhere to its policy of financing acquisitions and major growth capital projects with at least 50% equity or cash flow in excess of distributions; therefore, prospective changes in the capital structure will be made accordingly to comply with this policy.</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52" w:right="540" w:hanging="352"/>
        <w:spacing w:after="0" w:line="342" w:lineRule="auto"/>
        <w:tabs>
          <w:tab w:leader="none" w:pos="356"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Debt balances are projected based on estimated cash flows, current distribution rates, capital expenditures for maintenance and</w:t>
      </w:r>
      <w:r>
        <w:rPr>
          <w:rFonts w:ascii="Arial" w:cs="Arial" w:eastAsia="Arial" w:hAnsi="Arial"/>
          <w:sz w:val="16"/>
          <w:szCs w:val="16"/>
          <w:i w:val="1"/>
          <w:iCs w:val="1"/>
          <w:color w:val="auto"/>
        </w:rPr>
        <w:t xml:space="preserve"> </w:t>
      </w:r>
      <w:r>
        <w:rPr>
          <w:rFonts w:ascii="Arial" w:cs="Arial" w:eastAsia="Arial" w:hAnsi="Arial"/>
          <w:sz w:val="16"/>
          <w:szCs w:val="16"/>
          <w:color w:val="auto"/>
        </w:rPr>
        <w:t>expansion projects, expected timing of collections and payments, and forecasted levels of inventory and other working capital sources and uses.</w:t>
      </w:r>
    </w:p>
    <w:p>
      <w:pPr>
        <w:spacing w:after="0" w:line="15" w:lineRule="exact"/>
        <w:rPr>
          <w:rFonts w:ascii="Arial" w:cs="Arial" w:eastAsia="Arial" w:hAnsi="Arial"/>
          <w:sz w:val="16"/>
          <w:szCs w:val="16"/>
          <w:color w:val="auto"/>
        </w:rPr>
      </w:pPr>
    </w:p>
    <w:p>
      <w:pPr>
        <w:ind w:left="352" w:right="20"/>
        <w:spacing w:after="0" w:line="290" w:lineRule="auto"/>
        <w:rPr>
          <w:rFonts w:ascii="Arial" w:cs="Arial" w:eastAsia="Arial" w:hAnsi="Arial"/>
          <w:sz w:val="16"/>
          <w:szCs w:val="16"/>
          <w:color w:val="auto"/>
        </w:rPr>
      </w:pPr>
      <w:r>
        <w:rPr>
          <w:rFonts w:ascii="Arial" w:cs="Arial" w:eastAsia="Arial" w:hAnsi="Arial"/>
          <w:sz w:val="16"/>
          <w:szCs w:val="16"/>
          <w:color w:val="auto"/>
        </w:rPr>
        <w:t>Calendar 2006 interest expense is expected to be between $71.8 million and $74.2 million, assuming an average long-term debt balance of approximately $1.2 billion and an all-in average rate of approximately 6.1%. Included in the effective cost of debt are projected interest payments, as well as commitment fees, amortization of long-term debt discounts, deferred amounts associated with terminated interest-rate hedges and interest on short-term debt for non-contango inventory (primarily hedged LPG inventory and New York Mercantile Exchange margin deposits). At March 31, 2006, 100% of our long-term debt balance was fixed at an average interest rate of 6.0%. The amortization of deferred amounts associated with terminated interest rate hedges results in a non-cash component to interest expense of approximately $400,000 per quarter through September 2006, decreasing to approximately $100,000 per quarter thereafter until fully amortized over the next ten years. Interest expense does not include interest on borrowings for contango inventory. We treat these costs as carrying costs of crude oil and include it as part of the purchase price of crude oil.</w:t>
      </w:r>
    </w:p>
    <w:p>
      <w:pPr>
        <w:spacing w:after="0" w:line="3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52" w:hanging="352"/>
        <w:spacing w:after="0" w:line="302" w:lineRule="auto"/>
        <w:tabs>
          <w:tab w:leader="none" w:pos="356"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Net Income per Unit. </w:t>
      </w:r>
      <w:r>
        <w:rPr>
          <w:rFonts w:ascii="Arial" w:cs="Arial" w:eastAsia="Arial" w:hAnsi="Arial"/>
          <w:sz w:val="16"/>
          <w:szCs w:val="16"/>
          <w:color w:val="auto"/>
        </w:rPr>
        <w:t>Basic net income per limited partner unit is calculated by dividing net income allocated to limited partners by the basic weighted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average units outstanding during the period. Under </w:t>
      </w:r>
      <w:r>
        <w:rPr>
          <w:rFonts w:ascii="Arial" w:cs="Arial" w:eastAsia="Arial" w:hAnsi="Arial"/>
          <w:sz w:val="16"/>
          <w:szCs w:val="16"/>
          <w:i w:val="1"/>
          <w:iCs w:val="1"/>
          <w:color w:val="auto"/>
        </w:rPr>
        <w:t>Emerging Issues Task Force Issue 03-06: Participating Securities and the Two-Class Method under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FASB Statement No. 128 </w:t>
      </w:r>
      <w:r>
        <w:rPr>
          <w:rFonts w:ascii="Arial" w:cs="Arial" w:eastAsia="Arial" w:hAnsi="Arial"/>
          <w:sz w:val="16"/>
          <w:szCs w:val="16"/>
          <w:color w:val="auto"/>
        </w:rPr>
        <w:t>(“EITF 03-06”), when the Partnership’s aggregate net income exceeds the aggregate distribution made during such period,</w:t>
      </w:r>
      <w:r>
        <w:rPr>
          <w:rFonts w:ascii="Arial" w:cs="Arial" w:eastAsia="Arial" w:hAnsi="Arial"/>
          <w:sz w:val="16"/>
          <w:szCs w:val="16"/>
          <w:i w:val="1"/>
          <w:iCs w:val="1"/>
          <w:color w:val="auto"/>
        </w:rPr>
        <w:t xml:space="preserve"> </w:t>
      </w:r>
      <w:r>
        <w:rPr>
          <w:rFonts w:ascii="Arial" w:cs="Arial" w:eastAsia="Arial" w:hAnsi="Arial"/>
          <w:sz w:val="16"/>
          <w:szCs w:val="16"/>
          <w:color w:val="auto"/>
        </w:rPr>
        <w:t>earnings per limited partner unit are calculated as if all of the earnings for the period were distributed, regardless of the pro forma nature of the allocation</w:t>
      </w:r>
    </w:p>
    <w:p>
      <w:pPr>
        <w:sectPr>
          <w:pgSz w:w="11900" w:h="16838" w:orient="portrait"/>
          <w:cols w:equalWidth="0" w:num="1">
            <w:col w:w="11392"/>
          </w:cols>
          <w:pgMar w:left="248" w:top="125" w:right="259" w:bottom="0" w:gutter="0" w:footer="0" w:header="0"/>
        </w:sectPr>
      </w:pPr>
    </w:p>
    <w:bookmarkStart w:id="4" w:name="page5"/>
    <w:bookmarkEnd w:id="4"/>
    <w:p>
      <w:pPr>
        <w:ind w:left="360" w:right="340"/>
        <w:spacing w:after="0" w:line="259" w:lineRule="auto"/>
        <w:rPr>
          <w:sz w:val="20"/>
          <w:szCs w:val="20"/>
          <w:color w:val="auto"/>
        </w:rPr>
      </w:pPr>
      <w:r>
        <w:rPr>
          <w:rFonts w:ascii="Arial" w:cs="Arial" w:eastAsia="Arial" w:hAnsi="Arial"/>
          <w:sz w:val="18"/>
          <w:szCs w:val="18"/>
          <w:color w:val="auto"/>
        </w:rPr>
        <w:t>and whether those earnings would actually be distributed during a particular period from an economic or practical perspective. Although EITF 03-06 does not impact overall net income or other financial results of the Partnership, for periods in which aggregate net income exceeds the aggregate distributions for such period, earnings per limited partner unit will be reduced. The following table sets forth the computation of basic and diluted earnings per limited partner unit.</w:t>
      </w:r>
    </w:p>
    <w:p>
      <w:pPr>
        <w:spacing w:after="0" w:line="16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Guidance (in millions)</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860" w:type="dxa"/>
            <w:vAlign w:val="bottom"/>
          </w:tcPr>
          <w:p>
            <w:pPr>
              <w:spacing w:after="0"/>
              <w:rPr>
                <w:sz w:val="8"/>
                <w:szCs w:val="8"/>
                <w:color w:val="auto"/>
              </w:rPr>
            </w:pPr>
          </w:p>
        </w:tc>
        <w:tc>
          <w:tcPr>
            <w:tcW w:w="1820" w:type="dxa"/>
            <w:vAlign w:val="bottom"/>
            <w:gridSpan w:val="9"/>
          </w:tcPr>
          <w:p>
            <w:pPr>
              <w:jc w:val="center"/>
              <w:ind w:right="280"/>
              <w:spacing w:after="0" w:line="102" w:lineRule="exact"/>
              <w:rPr>
                <w:sz w:val="20"/>
                <w:szCs w:val="20"/>
                <w:color w:val="auto"/>
              </w:rPr>
            </w:pPr>
            <w:r>
              <w:rPr>
                <w:rFonts w:ascii="Arial" w:cs="Arial" w:eastAsia="Arial" w:hAnsi="Arial"/>
                <w:sz w:val="11"/>
                <w:szCs w:val="11"/>
                <w:b w:val="1"/>
                <w:bCs w:val="1"/>
                <w:color w:val="auto"/>
              </w:rPr>
              <w:t>Three Months Ending</w:t>
            </w:r>
          </w:p>
        </w:tc>
        <w:tc>
          <w:tcPr>
            <w:tcW w:w="1680" w:type="dxa"/>
            <w:vAlign w:val="bottom"/>
            <w:gridSpan w:val="8"/>
          </w:tcPr>
          <w:p>
            <w:pPr>
              <w:ind w:left="40"/>
              <w:spacing w:after="0" w:line="102" w:lineRule="exact"/>
              <w:rPr>
                <w:sz w:val="20"/>
                <w:szCs w:val="20"/>
                <w:color w:val="auto"/>
              </w:rPr>
            </w:pPr>
            <w:r>
              <w:rPr>
                <w:rFonts w:ascii="Arial" w:cs="Arial" w:eastAsia="Arial" w:hAnsi="Arial"/>
                <w:sz w:val="11"/>
                <w:szCs w:val="11"/>
                <w:b w:val="1"/>
                <w:bCs w:val="1"/>
                <w:color w:val="auto"/>
              </w:rPr>
              <w:t>Six Months Ending</w:t>
            </w:r>
          </w:p>
        </w:tc>
        <w:tc>
          <w:tcPr>
            <w:tcW w:w="1580" w:type="dxa"/>
            <w:vAlign w:val="bottom"/>
            <w:gridSpan w:val="6"/>
          </w:tcPr>
          <w:p>
            <w:pPr>
              <w:jc w:val="center"/>
              <w:ind w:right="160"/>
              <w:spacing w:after="0" w:line="102" w:lineRule="exact"/>
              <w:rPr>
                <w:sz w:val="20"/>
                <w:szCs w:val="20"/>
                <w:color w:val="auto"/>
              </w:rPr>
            </w:pPr>
            <w:r>
              <w:rPr>
                <w:rFonts w:ascii="Arial" w:cs="Arial" w:eastAsia="Arial" w:hAnsi="Arial"/>
                <w:sz w:val="11"/>
                <w:szCs w:val="11"/>
                <w:b w:val="1"/>
                <w:bCs w:val="1"/>
                <w:color w:val="auto"/>
              </w:rPr>
              <w:t>Twelve Months Ending</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w w:val="90"/>
              </w:rPr>
              <w:t>June 30, 2006</w:t>
            </w:r>
          </w:p>
        </w:tc>
        <w:tc>
          <w:tcPr>
            <w:tcW w:w="1680" w:type="dxa"/>
            <w:vAlign w:val="bottom"/>
            <w:gridSpan w:val="8"/>
          </w:tcPr>
          <w:p>
            <w:pPr>
              <w:ind w:left="60"/>
              <w:spacing w:after="0"/>
              <w:rPr>
                <w:sz w:val="20"/>
                <w:szCs w:val="20"/>
                <w:color w:val="auto"/>
              </w:rPr>
            </w:pPr>
            <w:r>
              <w:rPr>
                <w:rFonts w:ascii="Arial" w:cs="Arial" w:eastAsia="Arial" w:hAnsi="Arial"/>
                <w:sz w:val="14"/>
                <w:szCs w:val="14"/>
                <w:b w:val="1"/>
                <w:bCs w:val="1"/>
                <w:color w:val="auto"/>
              </w:rPr>
              <w:t>December 31, 2006</w:t>
            </w:r>
          </w:p>
        </w:tc>
        <w:tc>
          <w:tcPr>
            <w:tcW w:w="162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1"/>
              </w:rPr>
              <w:t>December 31, 2006</w:t>
            </w:r>
          </w:p>
        </w:tc>
        <w:tc>
          <w:tcPr>
            <w:tcW w:w="0" w:type="dxa"/>
            <w:vAlign w:val="bottom"/>
          </w:tcPr>
          <w:p>
            <w:pPr>
              <w:spacing w:after="0"/>
              <w:rPr>
                <w:sz w:val="1"/>
                <w:szCs w:val="1"/>
                <w:color w:val="auto"/>
              </w:rPr>
            </w:pPr>
          </w:p>
        </w:tc>
      </w:tr>
      <w:tr>
        <w:trPr>
          <w:trHeight w:val="129"/>
        </w:trPr>
        <w:tc>
          <w:tcPr>
            <w:tcW w:w="28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4"/>
          </w:tcPr>
          <w:p>
            <w:pPr>
              <w:ind w:left="60"/>
              <w:spacing w:after="0" w:line="129" w:lineRule="exact"/>
              <w:rPr>
                <w:sz w:val="20"/>
                <w:szCs w:val="20"/>
                <w:color w:val="auto"/>
              </w:rPr>
            </w:pPr>
            <w:r>
              <w:rPr>
                <w:rFonts w:ascii="Arial" w:cs="Arial" w:eastAsia="Arial" w:hAnsi="Arial"/>
                <w:sz w:val="14"/>
                <w:szCs w:val="14"/>
                <w:b w:val="1"/>
                <w:bCs w:val="1"/>
                <w:color w:val="auto"/>
              </w:rPr>
              <w:t>Low</w:t>
            </w:r>
          </w:p>
        </w:tc>
        <w:tc>
          <w:tcPr>
            <w:tcW w:w="520" w:type="dxa"/>
            <w:vAlign w:val="bottom"/>
            <w:tcBorders>
              <w:top w:val="single" w:sz="8" w:color="auto"/>
            </w:tcBorders>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4"/>
          </w:tcPr>
          <w:p>
            <w:pPr>
              <w:ind w:left="100"/>
              <w:spacing w:after="0" w:line="129" w:lineRule="exact"/>
              <w:rPr>
                <w:sz w:val="20"/>
                <w:szCs w:val="20"/>
                <w:color w:val="auto"/>
              </w:rPr>
            </w:pPr>
            <w:r>
              <w:rPr>
                <w:rFonts w:ascii="Arial" w:cs="Arial" w:eastAsia="Arial" w:hAnsi="Arial"/>
                <w:sz w:val="14"/>
                <w:szCs w:val="14"/>
                <w:b w:val="1"/>
                <w:bCs w:val="1"/>
                <w:color w:val="auto"/>
              </w:rPr>
              <w:t>Low</w:t>
            </w:r>
          </w:p>
        </w:tc>
        <w:tc>
          <w:tcPr>
            <w:tcW w:w="540" w:type="dxa"/>
            <w:vAlign w:val="bottom"/>
            <w:tcBorders>
              <w:top w:val="single" w:sz="8" w:color="auto"/>
            </w:tcBorders>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4"/>
          </w:tcPr>
          <w:p>
            <w:pPr>
              <w:ind w:left="80"/>
              <w:spacing w:after="0" w:line="129" w:lineRule="exact"/>
              <w:rPr>
                <w:sz w:val="20"/>
                <w:szCs w:val="20"/>
                <w:color w:val="auto"/>
              </w:rPr>
            </w:pPr>
            <w:r>
              <w:rPr>
                <w:rFonts w:ascii="Arial" w:cs="Arial" w:eastAsia="Arial" w:hAnsi="Arial"/>
                <w:sz w:val="14"/>
                <w:szCs w:val="14"/>
                <w:b w:val="1"/>
                <w:bCs w:val="1"/>
                <w:color w:val="auto"/>
              </w:rPr>
              <w:t>Low</w:t>
            </w:r>
          </w:p>
        </w:tc>
        <w:tc>
          <w:tcPr>
            <w:tcW w:w="64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rPr>
              <w:t>High</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86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Numerator for basic and diluted earnings</w:t>
            </w:r>
          </w:p>
        </w:tc>
        <w:tc>
          <w:tcPr>
            <w:tcW w:w="14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per limited partner unit:</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$ 65.0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92"/>
              </w:rPr>
              <w:t>$ 76.2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4"/>
              </w:rPr>
              <w:t>$ 124.3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4"/>
              </w:rPr>
              <w:t>$ 146.7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4"/>
              </w:rPr>
              <w:t>$ 252.7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4"/>
              </w:rPr>
              <w:t>$ 286.3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ind w:left="140"/>
              <w:spacing w:after="0" w:line="149" w:lineRule="exact"/>
              <w:rPr>
                <w:sz w:val="20"/>
                <w:szCs w:val="20"/>
                <w:color w:val="auto"/>
              </w:rPr>
            </w:pPr>
            <w:r>
              <w:rPr>
                <w:rFonts w:ascii="Arial" w:cs="Arial" w:eastAsia="Arial" w:hAnsi="Arial"/>
                <w:sz w:val="14"/>
                <w:szCs w:val="14"/>
                <w:color w:val="auto"/>
              </w:rPr>
              <w:t>General partner’s incentive distribution</w:t>
            </w: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57.7</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68.9</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109.6</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132.0</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225.1</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258.7</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ind w:left="140"/>
              <w:spacing w:after="0" w:line="149" w:lineRule="exact"/>
              <w:rPr>
                <w:sz w:val="20"/>
                <w:szCs w:val="20"/>
                <w:color w:val="auto"/>
              </w:rPr>
            </w:pPr>
            <w:r>
              <w:rPr>
                <w:rFonts w:ascii="Arial" w:cs="Arial" w:eastAsia="Arial" w:hAnsi="Arial"/>
                <w:sz w:val="14"/>
                <w:szCs w:val="14"/>
                <w:color w:val="auto"/>
              </w:rPr>
              <w:t>General partner 2% ownership</w:t>
            </w: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top w:val="single" w:sz="8" w:color="CCEEFF"/>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Net income available to limited partners</w:t>
            </w: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56.5</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67.5</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107.4</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129.3</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220.6</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253.5</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60" w:type="dxa"/>
            <w:vAlign w:val="bottom"/>
          </w:tcPr>
          <w:p>
            <w:pPr>
              <w:ind w:left="140"/>
              <w:spacing w:after="0" w:line="130" w:lineRule="exact"/>
              <w:rPr>
                <w:sz w:val="20"/>
                <w:szCs w:val="20"/>
                <w:color w:val="auto"/>
              </w:rPr>
            </w:pPr>
            <w:r>
              <w:rPr>
                <w:rFonts w:ascii="Arial" w:cs="Arial" w:eastAsia="Arial" w:hAnsi="Arial"/>
                <w:sz w:val="14"/>
                <w:szCs w:val="14"/>
                <w:color w:val="auto"/>
              </w:rPr>
              <w:t>Pro forma additional general partner’s</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300"/>
              <w:spacing w:after="0"/>
              <w:rPr>
                <w:sz w:val="20"/>
                <w:szCs w:val="20"/>
                <w:color w:val="auto"/>
              </w:rPr>
            </w:pPr>
            <w:r>
              <w:rPr>
                <w:rFonts w:ascii="Arial" w:cs="Arial" w:eastAsia="Arial" w:hAnsi="Arial"/>
                <w:sz w:val="14"/>
                <w:szCs w:val="14"/>
                <w:color w:val="auto"/>
              </w:rPr>
              <w:t>incentive distribution</w:t>
            </w:r>
          </w:p>
        </w:tc>
        <w:tc>
          <w:tcPr>
            <w:tcW w:w="14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(6.5)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right"/>
              <w:ind w:right="34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(10.0)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(2.9)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(19.4)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860" w:type="dxa"/>
            <w:vAlign w:val="bottom"/>
            <w:tcBorders>
              <w:top w:val="single" w:sz="8" w:color="CCEEFF"/>
            </w:tcBorders>
            <w:shd w:val="clear" w:color="auto" w:fill="CCEEFF"/>
          </w:tcPr>
          <w:p>
            <w:pPr>
              <w:ind w:left="140"/>
              <w:spacing w:after="0" w:line="110" w:lineRule="exact"/>
              <w:rPr>
                <w:sz w:val="20"/>
                <w:szCs w:val="20"/>
                <w:color w:val="auto"/>
              </w:rPr>
            </w:pPr>
            <w:r>
              <w:rPr>
                <w:rFonts w:ascii="Arial" w:cs="Arial" w:eastAsia="Arial" w:hAnsi="Arial"/>
                <w:sz w:val="12"/>
                <w:szCs w:val="12"/>
                <w:color w:val="auto"/>
              </w:rPr>
              <w:t>Net Income available for limited</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$ 55.5</w:t>
            </w:r>
          </w:p>
        </w:tc>
        <w:tc>
          <w:tcPr>
            <w:tcW w:w="14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$ 61.0</w:t>
            </w:r>
          </w:p>
        </w:tc>
        <w:tc>
          <w:tcPr>
            <w:tcW w:w="1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$ 107.4</w:t>
            </w: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$ 119.3</w:t>
            </w: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$ 217.7</w:t>
            </w:r>
          </w:p>
        </w:tc>
        <w:tc>
          <w:tcPr>
            <w:tcW w:w="1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$ 234.1</w:t>
            </w:r>
          </w:p>
        </w:tc>
        <w:tc>
          <w:tcPr>
            <w:tcW w:w="1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860" w:type="dxa"/>
            <w:vAlign w:val="bottom"/>
            <w:tcBorders>
              <w:bottom w:val="single" w:sz="8" w:color="CCEEFF"/>
            </w:tcBorders>
            <w:shd w:val="clear" w:color="auto" w:fill="CCEEFF"/>
          </w:tcPr>
          <w:p>
            <w:pPr>
              <w:ind w:left="300"/>
              <w:spacing w:after="0" w:line="154" w:lineRule="exact"/>
              <w:rPr>
                <w:sz w:val="20"/>
                <w:szCs w:val="20"/>
                <w:color w:val="auto"/>
              </w:rPr>
            </w:pPr>
            <w:r>
              <w:rPr>
                <w:rFonts w:ascii="Arial" w:cs="Arial" w:eastAsia="Arial" w:hAnsi="Arial"/>
                <w:sz w:val="14"/>
                <w:szCs w:val="14"/>
                <w:color w:val="auto"/>
              </w:rPr>
              <w:t>partners under EITF 03-06</w:t>
            </w:r>
          </w:p>
        </w:tc>
        <w:tc>
          <w:tcPr>
            <w:tcW w:w="140" w:type="dxa"/>
            <w:vAlign w:val="bottom"/>
            <w:tcBorders>
              <w:bottom w:val="single" w:sz="8" w:color="CCEEFF"/>
            </w:tcBorders>
            <w:vMerge w:val="continue"/>
            <w:shd w:val="clear" w:color="auto" w:fill="CCEEFF"/>
          </w:tcPr>
          <w:p>
            <w:pPr>
              <w:spacing w:after="0"/>
              <w:rPr>
                <w:sz w:val="13"/>
                <w:szCs w:val="13"/>
                <w:color w:val="auto"/>
              </w:rPr>
            </w:pPr>
          </w:p>
        </w:tc>
        <w:tc>
          <w:tcPr>
            <w:tcW w:w="40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line="142" w:lineRule="exact"/>
              <w:rPr>
                <w:sz w:val="20"/>
                <w:szCs w:val="20"/>
                <w:color w:val="auto"/>
              </w:rPr>
            </w:pPr>
            <w:r>
              <w:rPr>
                <w:rFonts w:ascii="Arial" w:cs="Arial" w:eastAsia="Arial" w:hAnsi="Arial"/>
                <w:sz w:val="14"/>
                <w:szCs w:val="14"/>
                <w:color w:val="auto"/>
              </w:rPr>
              <w:t>Denominator:</w:t>
            </w: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8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86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Denominator for basic earnings per</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limited partner unit- weighted average</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number of limited partner units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77.0</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60" w:type="dxa"/>
            <w:vAlign w:val="bottom"/>
          </w:tcPr>
          <w:p>
            <w:pPr>
              <w:ind w:left="140"/>
              <w:spacing w:after="0" w:line="149" w:lineRule="exact"/>
              <w:rPr>
                <w:sz w:val="20"/>
                <w:szCs w:val="20"/>
                <w:color w:val="auto"/>
              </w:rPr>
            </w:pPr>
            <w:r>
              <w:rPr>
                <w:rFonts w:ascii="Arial" w:cs="Arial" w:eastAsia="Arial" w:hAnsi="Arial"/>
                <w:sz w:val="14"/>
                <w:szCs w:val="14"/>
                <w:color w:val="auto"/>
              </w:rPr>
              <w:t>Effect of dilutive securities:</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Weighted average LTIP units</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860" w:type="dxa"/>
            <w:vAlign w:val="bottom"/>
          </w:tcPr>
          <w:p>
            <w:pPr>
              <w:ind w:left="140"/>
              <w:spacing w:after="0" w:line="110" w:lineRule="exact"/>
              <w:rPr>
                <w:sz w:val="20"/>
                <w:szCs w:val="20"/>
                <w:color w:val="auto"/>
              </w:rPr>
            </w:pPr>
            <w:r>
              <w:rPr>
                <w:rFonts w:ascii="Arial" w:cs="Arial" w:eastAsia="Arial" w:hAnsi="Arial"/>
                <w:sz w:val="12"/>
                <w:szCs w:val="12"/>
                <w:color w:val="auto"/>
              </w:rPr>
              <w:t>Denominator for diluted earnings per</w:t>
            </w:r>
          </w:p>
        </w:tc>
        <w:tc>
          <w:tcPr>
            <w:tcW w:w="14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60" w:type="dxa"/>
            <w:vAlign w:val="bottom"/>
          </w:tcPr>
          <w:p>
            <w:pPr>
              <w:ind w:left="300"/>
              <w:spacing w:after="0" w:line="149" w:lineRule="exact"/>
              <w:rPr>
                <w:sz w:val="20"/>
                <w:szCs w:val="20"/>
                <w:color w:val="auto"/>
              </w:rPr>
            </w:pPr>
            <w:r>
              <w:rPr>
                <w:rFonts w:ascii="Arial" w:cs="Arial" w:eastAsia="Arial" w:hAnsi="Arial"/>
                <w:sz w:val="14"/>
                <w:szCs w:val="14"/>
                <w:color w:val="auto"/>
              </w:rPr>
              <w:t>limited partner unit-weighted average</w:t>
            </w:r>
          </w:p>
        </w:tc>
        <w:tc>
          <w:tcPr>
            <w:tcW w:w="140" w:type="dxa"/>
            <w:vAlign w:val="bottom"/>
            <w:vMerge w:val="restart"/>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78.7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78.7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79.0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79.0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78.1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78.1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860" w:type="dxa"/>
            <w:vAlign w:val="bottom"/>
            <w:tcBorders>
              <w:bottom w:val="single" w:sz="8" w:color="CCEEFF"/>
            </w:tcBorders>
          </w:tcPr>
          <w:p>
            <w:pPr>
              <w:ind w:left="300"/>
              <w:spacing w:after="0" w:line="154" w:lineRule="exact"/>
              <w:rPr>
                <w:sz w:val="20"/>
                <w:szCs w:val="20"/>
                <w:color w:val="auto"/>
              </w:rPr>
            </w:pPr>
            <w:r>
              <w:rPr>
                <w:rFonts w:ascii="Arial" w:cs="Arial" w:eastAsia="Arial" w:hAnsi="Arial"/>
                <w:sz w:val="14"/>
                <w:szCs w:val="14"/>
                <w:color w:val="auto"/>
              </w:rPr>
              <w:t>number of limited partner units</w:t>
            </w:r>
          </w:p>
        </w:tc>
        <w:tc>
          <w:tcPr>
            <w:tcW w:w="1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Basic net income per limited partner unit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$ 0.72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$ 0.79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$ 1.39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$ 1.54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$ 2.85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$ 3.06</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Diluted net income per limited partner unit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2"/>
              </w:rPr>
              <w:t>$ 0.71</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2"/>
              </w:rPr>
              <w:t>$ 0.78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$ 1.36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$ 1.51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$ 2.79</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$ 3.00</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right="220"/>
        <w:spacing w:after="0" w:line="255" w:lineRule="auto"/>
        <w:rPr>
          <w:sz w:val="20"/>
          <w:szCs w:val="20"/>
          <w:color w:val="auto"/>
        </w:rPr>
      </w:pPr>
      <w:r>
        <w:rPr>
          <w:rFonts w:ascii="Arial" w:cs="Arial" w:eastAsia="Arial" w:hAnsi="Arial"/>
          <w:sz w:val="18"/>
          <w:szCs w:val="18"/>
          <w:color w:val="auto"/>
        </w:rPr>
        <w:t>Net income allocated to limited partners is impacted by the income allocated to the general partner and the amount of the incentive distribution paid to the general partner. The amount of income allocated to our limited partnership interests is 98% of the total partnership income after deducting the amount of the general partner’s incentive distribution. Based on our current annualized distribution rate of $2.83 per unit, our general partner’s distribution is forecast to be approximately $33.9 million annually, of which $29.4 million is attributed to the incentive distribution rights. The relative amount of the incentive distribution varies directionally with the number of units outstanding and the level of the distribution on the units. For distribution rates where EITF 03-06 does not apply,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400"/>
        <w:spacing w:after="0" w:line="277" w:lineRule="auto"/>
        <w:rPr>
          <w:sz w:val="20"/>
          <w:szCs w:val="20"/>
          <w:color w:val="auto"/>
        </w:rPr>
      </w:pPr>
      <w:r>
        <w:rPr>
          <w:rFonts w:ascii="Arial" w:cs="Arial" w:eastAsia="Arial" w:hAnsi="Arial"/>
          <w:sz w:val="18"/>
          <w:szCs w:val="18"/>
          <w:color w:val="auto"/>
        </w:rPr>
        <w:t>each $0.05 per unit annual increase in the distribution over $2.83 per unit decreases net income available for limited partners by approximately $3.7 million ($0.05 per unit) on an annualized basis.</w:t>
      </w:r>
    </w:p>
    <w:p>
      <w:pPr>
        <w:spacing w:after="0" w:line="62" w:lineRule="exact"/>
        <w:rPr>
          <w:sz w:val="20"/>
          <w:szCs w:val="20"/>
          <w:color w:val="auto"/>
        </w:rPr>
      </w:pPr>
    </w:p>
    <w:p>
      <w:pPr>
        <w:ind w:left="360" w:hanging="352"/>
        <w:spacing w:after="0" w:line="270" w:lineRule="auto"/>
        <w:tabs>
          <w:tab w:leader="none" w:pos="3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Long-term Incentive Plans</w:t>
      </w:r>
      <w:r>
        <w:rPr>
          <w:rFonts w:ascii="Arial" w:cs="Arial" w:eastAsia="Arial" w:hAnsi="Arial"/>
          <w:sz w:val="17"/>
          <w:szCs w:val="17"/>
          <w:color w:val="auto"/>
        </w:rPr>
        <w:t>. Effective January 1, 2006 we adopted SFAS 123(R) Share-Based Payment, resulting in a cumulative effect of change in</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principle gain of $6.3 million. The majority of phantom unit grants outstanding under our 1998 and 2005 Long-Term Incentive Plans contain vesting criteria that are based on a combination of performance benchmarks and service period. The majority of the phantom units awarded under the 2005 plan primarily vest in various percentages on the later of 1) May 2007, May 2009, and May 2010, or 2) achievement of annualized distribution levels of $2.60, $2.80, $3.00, respectively, and for certain grants, $3.10 per unit. The majority of the phantom units have a final service period vesting in 2011. In addition to exceeding the distribution level of $2.80, it has been deemed probable that the $3.10 distribution level will be achieved. Accordingly, guidance includes, for phantom units tied to performance levels of $3.10 or less, an accrual over the corresponding service period. For 2006, the guidance includes approximately $36.3 million of principally non-cash expense associated with these phantom units. The earliest significant vesting event for outstanding grants will occur in 2007.</w:t>
      </w:r>
    </w:p>
    <w:p>
      <w:pPr>
        <w:spacing w:after="0" w:line="73" w:lineRule="exact"/>
        <w:rPr>
          <w:rFonts w:ascii="Arial" w:cs="Arial" w:eastAsia="Arial" w:hAnsi="Arial"/>
          <w:sz w:val="17"/>
          <w:szCs w:val="17"/>
          <w:color w:val="auto"/>
        </w:rPr>
      </w:pPr>
    </w:p>
    <w:p>
      <w:pPr>
        <w:ind w:left="360" w:right="240"/>
        <w:spacing w:after="0" w:line="312" w:lineRule="auto"/>
        <w:rPr>
          <w:rFonts w:ascii="Arial" w:cs="Arial" w:eastAsia="Arial" w:hAnsi="Arial"/>
          <w:sz w:val="17"/>
          <w:szCs w:val="17"/>
          <w:color w:val="auto"/>
        </w:rPr>
      </w:pPr>
      <w:r>
        <w:rPr>
          <w:rFonts w:ascii="Arial" w:cs="Arial" w:eastAsia="Arial" w:hAnsi="Arial"/>
          <w:sz w:val="16"/>
          <w:szCs w:val="16"/>
          <w:color w:val="auto"/>
        </w:rPr>
        <w:t>The actual amount of LTIP expense amortization in any given year will be directly influenced by our unit price at the end of each reporting period and the amount of amortization in the early years, and will also be increased if a determination is made that achievement of any of the remaining performance thresholds is probable. Therefore, market variables could cause actual net income to differ materially from our projections.</w:t>
      </w:r>
    </w:p>
    <w:p>
      <w:pPr>
        <w:spacing w:after="0" w:line="38" w:lineRule="exact"/>
        <w:rPr>
          <w:rFonts w:ascii="Arial" w:cs="Arial" w:eastAsia="Arial" w:hAnsi="Arial"/>
          <w:sz w:val="17"/>
          <w:szCs w:val="17"/>
          <w:color w:val="auto"/>
        </w:rPr>
      </w:pPr>
    </w:p>
    <w:p>
      <w:pPr>
        <w:ind w:left="360" w:hanging="352"/>
        <w:spacing w:after="0"/>
        <w:tabs>
          <w:tab w:leader="none" w:pos="3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Reconciliation of EBITDA and EBIT to Net Income.  </w:t>
      </w:r>
      <w:r>
        <w:rPr>
          <w:rFonts w:ascii="Arial" w:cs="Arial" w:eastAsia="Arial" w:hAnsi="Arial"/>
          <w:sz w:val="17"/>
          <w:szCs w:val="17"/>
          <w:color w:val="auto"/>
        </w:rPr>
        <w:t>The following table reconciles the 2006 guidance ranges for EBITDA and EBIT to net income.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center"/>
              <w:ind w:right="380"/>
              <w:spacing w:after="0"/>
              <w:rPr>
                <w:sz w:val="20"/>
                <w:szCs w:val="20"/>
                <w:color w:val="auto"/>
              </w:rPr>
            </w:pPr>
            <w:r>
              <w:rPr>
                <w:rFonts w:ascii="Arial" w:cs="Arial" w:eastAsia="Arial" w:hAnsi="Arial"/>
                <w:sz w:val="14"/>
                <w:szCs w:val="14"/>
                <w:b w:val="1"/>
                <w:bCs w:val="1"/>
                <w:color w:val="auto"/>
                <w:w w:val="93"/>
              </w:rPr>
              <w:t>Calendar 2006 Guidance</w:t>
            </w: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02"/>
        </w:trPr>
        <w:tc>
          <w:tcPr>
            <w:tcW w:w="5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80" w:type="dxa"/>
            <w:vAlign w:val="bottom"/>
            <w:gridSpan w:val="5"/>
          </w:tcPr>
          <w:p>
            <w:pPr>
              <w:jc w:val="center"/>
              <w:ind w:right="320"/>
              <w:spacing w:after="0" w:line="102" w:lineRule="exact"/>
              <w:rPr>
                <w:sz w:val="20"/>
                <w:szCs w:val="20"/>
                <w:color w:val="auto"/>
              </w:rPr>
            </w:pPr>
            <w:r>
              <w:rPr>
                <w:rFonts w:ascii="Arial" w:cs="Arial" w:eastAsia="Arial" w:hAnsi="Arial"/>
                <w:sz w:val="11"/>
                <w:szCs w:val="11"/>
                <w:b w:val="1"/>
                <w:bCs w:val="1"/>
                <w:color w:val="auto"/>
              </w:rPr>
              <w:t>Three Months Ending</w:t>
            </w:r>
          </w:p>
        </w:tc>
        <w:tc>
          <w:tcPr>
            <w:tcW w:w="100" w:type="dxa"/>
            <w:vAlign w:val="bottom"/>
          </w:tcPr>
          <w:p>
            <w:pPr>
              <w:spacing w:after="0"/>
              <w:rPr>
                <w:sz w:val="8"/>
                <w:szCs w:val="8"/>
                <w:color w:val="auto"/>
              </w:rPr>
            </w:pPr>
          </w:p>
        </w:tc>
        <w:tc>
          <w:tcPr>
            <w:tcW w:w="2000" w:type="dxa"/>
            <w:vAlign w:val="bottom"/>
            <w:gridSpan w:val="6"/>
          </w:tcPr>
          <w:p>
            <w:pPr>
              <w:ind w:left="200"/>
              <w:spacing w:after="0" w:line="102" w:lineRule="exact"/>
              <w:rPr>
                <w:sz w:val="20"/>
                <w:szCs w:val="20"/>
                <w:color w:val="auto"/>
              </w:rPr>
            </w:pPr>
            <w:r>
              <w:rPr>
                <w:rFonts w:ascii="Arial" w:cs="Arial" w:eastAsia="Arial" w:hAnsi="Arial"/>
                <w:sz w:val="11"/>
                <w:szCs w:val="11"/>
                <w:b w:val="1"/>
                <w:bCs w:val="1"/>
                <w:color w:val="auto"/>
              </w:rPr>
              <w:t>Six Months Ending</w:t>
            </w:r>
          </w:p>
        </w:tc>
        <w:tc>
          <w:tcPr>
            <w:tcW w:w="1860" w:type="dxa"/>
            <w:vAlign w:val="bottom"/>
            <w:gridSpan w:val="4"/>
          </w:tcPr>
          <w:p>
            <w:pPr>
              <w:jc w:val="center"/>
              <w:ind w:right="160"/>
              <w:spacing w:after="0" w:line="102" w:lineRule="exact"/>
              <w:rPr>
                <w:sz w:val="20"/>
                <w:szCs w:val="20"/>
                <w:color w:val="auto"/>
              </w:rPr>
            </w:pPr>
            <w:r>
              <w:rPr>
                <w:rFonts w:ascii="Arial" w:cs="Arial" w:eastAsia="Arial" w:hAnsi="Arial"/>
                <w:sz w:val="11"/>
                <w:szCs w:val="11"/>
                <w:b w:val="1"/>
                <w:bCs w:val="1"/>
                <w:color w:val="auto"/>
              </w:rPr>
              <w:t>Twelve Months Ending</w:t>
            </w:r>
          </w:p>
        </w:tc>
        <w:tc>
          <w:tcPr>
            <w:tcW w:w="40" w:type="dxa"/>
            <w:vAlign w:val="bottom"/>
          </w:tcPr>
          <w:p>
            <w:pPr>
              <w:spacing w:after="0"/>
              <w:rPr>
                <w:sz w:val="8"/>
                <w:szCs w:val="8"/>
                <w:color w:val="auto"/>
              </w:rPr>
            </w:pPr>
          </w:p>
        </w:tc>
      </w:tr>
      <w:tr>
        <w:trPr>
          <w:trHeight w:val="162"/>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June 30, 2006</w:t>
            </w:r>
          </w:p>
        </w:tc>
        <w:tc>
          <w:tcPr>
            <w:tcW w:w="100" w:type="dxa"/>
            <w:vAlign w:val="bottom"/>
          </w:tcPr>
          <w:p>
            <w:pPr>
              <w:spacing w:after="0"/>
              <w:rPr>
                <w:sz w:val="14"/>
                <w:szCs w:val="14"/>
                <w:color w:val="auto"/>
              </w:rPr>
            </w:pPr>
          </w:p>
        </w:tc>
        <w:tc>
          <w:tcPr>
            <w:tcW w:w="2000" w:type="dxa"/>
            <w:vAlign w:val="bottom"/>
            <w:gridSpan w:val="6"/>
          </w:tcPr>
          <w:p>
            <w:pPr>
              <w:ind w:left="220"/>
              <w:spacing w:after="0"/>
              <w:rPr>
                <w:sz w:val="20"/>
                <w:szCs w:val="20"/>
                <w:color w:val="auto"/>
              </w:rPr>
            </w:pPr>
            <w:r>
              <w:rPr>
                <w:rFonts w:ascii="Arial" w:cs="Arial" w:eastAsia="Arial" w:hAnsi="Arial"/>
                <w:sz w:val="14"/>
                <w:szCs w:val="14"/>
                <w:b w:val="1"/>
                <w:bCs w:val="1"/>
                <w:color w:val="auto"/>
              </w:rPr>
              <w:t>December 31, 2006</w:t>
            </w:r>
          </w:p>
        </w:tc>
        <w:tc>
          <w:tcPr>
            <w:tcW w:w="19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December 31, 2006</w:t>
            </w:r>
          </w:p>
        </w:tc>
      </w:tr>
      <w:tr>
        <w:trPr>
          <w:trHeight w:val="129"/>
        </w:trPr>
        <w:tc>
          <w:tcPr>
            <w:tcW w:w="51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rPr>
              <w:t>Low</w:t>
            </w:r>
          </w:p>
        </w:tc>
        <w:tc>
          <w:tcPr>
            <w:tcW w:w="800" w:type="dxa"/>
            <w:vAlign w:val="bottom"/>
            <w:tcBorders>
              <w:top w:val="single" w:sz="8" w:color="auto"/>
              <w:bottom w:val="single" w:sz="8" w:color="auto"/>
            </w:tcBorders>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High</w:t>
            </w:r>
          </w:p>
        </w:tc>
        <w:tc>
          <w:tcPr>
            <w:tcW w:w="14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rPr>
              <w:t>Low</w:t>
            </w:r>
          </w:p>
        </w:tc>
        <w:tc>
          <w:tcPr>
            <w:tcW w:w="740" w:type="dxa"/>
            <w:vAlign w:val="bottom"/>
            <w:tcBorders>
              <w:top w:val="single" w:sz="8" w:color="auto"/>
              <w:bottom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High</w:t>
            </w:r>
          </w:p>
        </w:tc>
        <w:tc>
          <w:tcPr>
            <w:tcW w:w="140" w:type="dxa"/>
            <w:vAlign w:val="bottom"/>
            <w:tcBorders>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rPr>
              <w:t>Low</w:t>
            </w:r>
          </w:p>
        </w:tc>
        <w:tc>
          <w:tcPr>
            <w:tcW w:w="780" w:type="dxa"/>
            <w:vAlign w:val="bottom"/>
            <w:tcBorders>
              <w:top w:val="single" w:sz="8" w:color="auto"/>
              <w:bottom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High</w:t>
            </w:r>
          </w:p>
        </w:tc>
        <w:tc>
          <w:tcPr>
            <w:tcW w:w="40" w:type="dxa"/>
            <w:vAlign w:val="bottom"/>
          </w:tcPr>
          <w:p>
            <w:pPr>
              <w:spacing w:after="0"/>
              <w:rPr>
                <w:sz w:val="11"/>
                <w:szCs w:val="11"/>
                <w:color w:val="auto"/>
              </w:rPr>
            </w:pPr>
          </w:p>
        </w:tc>
      </w:tr>
      <w:tr>
        <w:trPr>
          <w:trHeight w:val="129"/>
        </w:trPr>
        <w:tc>
          <w:tcPr>
            <w:tcW w:w="5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gridSpan w:val="6"/>
          </w:tcPr>
          <w:p>
            <w:pPr>
              <w:jc w:val="center"/>
              <w:ind w:right="500"/>
              <w:spacing w:after="0" w:line="129" w:lineRule="exact"/>
              <w:rPr>
                <w:sz w:val="20"/>
                <w:szCs w:val="20"/>
                <w:color w:val="auto"/>
              </w:rPr>
            </w:pPr>
            <w:r>
              <w:rPr>
                <w:rFonts w:ascii="Arial" w:cs="Arial" w:eastAsia="Arial" w:hAnsi="Arial"/>
                <w:sz w:val="14"/>
                <w:szCs w:val="14"/>
                <w:b w:val="1"/>
                <w:bCs w:val="1"/>
                <w:color w:val="auto"/>
                <w:w w:val="94"/>
              </w:rPr>
              <w:t>(in millions)</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5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Reconciliation to Net Income</w:t>
            </w: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53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EBITDA</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$ 106.7</w:t>
            </w:r>
          </w:p>
        </w:tc>
        <w:tc>
          <w:tcPr>
            <w:tcW w:w="5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$ 116.7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$ 212.6</w:t>
            </w:r>
          </w:p>
        </w:tc>
        <w:tc>
          <w:tcPr>
            <w:tcW w:w="3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$ 232.6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$ 419.6</w:t>
            </w:r>
          </w:p>
        </w:tc>
        <w:tc>
          <w:tcPr>
            <w:tcW w:w="5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$ 449.6</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0"/>
        </w:trPr>
        <w:tc>
          <w:tcPr>
            <w:tcW w:w="53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Depreciation and</w:t>
            </w:r>
          </w:p>
        </w:tc>
        <w:tc>
          <w:tcPr>
            <w:tcW w:w="6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67"/>
        </w:trPr>
        <w:tc>
          <w:tcPr>
            <w:tcW w:w="534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amortization</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(23.1)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(22.7)</w:t>
            </w:r>
          </w:p>
        </w:tc>
        <w:tc>
          <w:tcPr>
            <w:tcW w:w="14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(48.0)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(47.2)</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(92.7)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(91.5)</w:t>
            </w:r>
          </w:p>
        </w:tc>
        <w:tc>
          <w:tcPr>
            <w:tcW w:w="40" w:type="dxa"/>
            <w:vAlign w:val="bottom"/>
            <w:shd w:val="clear" w:color="auto" w:fill="CCEEFF"/>
          </w:tcPr>
          <w:p>
            <w:pPr>
              <w:spacing w:after="0"/>
              <w:rPr>
                <w:sz w:val="14"/>
                <w:szCs w:val="14"/>
                <w:color w:val="auto"/>
              </w:rPr>
            </w:pPr>
          </w:p>
        </w:tc>
      </w:tr>
      <w:tr>
        <w:trPr>
          <w:trHeight w:val="142"/>
        </w:trPr>
        <w:tc>
          <w:tcPr>
            <w:tcW w:w="5340" w:type="dxa"/>
            <w:vAlign w:val="bottom"/>
            <w:gridSpan w:val="2"/>
          </w:tcPr>
          <w:p>
            <w:pPr>
              <w:ind w:left="160"/>
              <w:spacing w:after="0" w:line="142" w:lineRule="exact"/>
              <w:rPr>
                <w:sz w:val="20"/>
                <w:szCs w:val="20"/>
                <w:color w:val="auto"/>
              </w:rPr>
            </w:pPr>
            <w:r>
              <w:rPr>
                <w:rFonts w:ascii="Arial" w:cs="Arial" w:eastAsia="Arial" w:hAnsi="Arial"/>
                <w:sz w:val="14"/>
                <w:szCs w:val="14"/>
                <w:color w:val="auto"/>
              </w:rPr>
              <w:t>EBIT</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83.6</w:t>
            </w:r>
          </w:p>
        </w:tc>
        <w:tc>
          <w:tcPr>
            <w:tcW w:w="52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94.0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164.6</w:t>
            </w:r>
          </w:p>
        </w:tc>
        <w:tc>
          <w:tcPr>
            <w:tcW w:w="36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185.4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326.9</w:t>
            </w:r>
          </w:p>
        </w:tc>
        <w:tc>
          <w:tcPr>
            <w:tcW w:w="50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358.1</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53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(18.6)</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(17.8)</w:t>
            </w:r>
          </w:p>
        </w:tc>
        <w:tc>
          <w:tcPr>
            <w:tcW w:w="1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(40.3)</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(74.2)</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(71.8)</w:t>
            </w:r>
          </w:p>
        </w:tc>
        <w:tc>
          <w:tcPr>
            <w:tcW w:w="40" w:type="dxa"/>
            <w:vAlign w:val="bottom"/>
            <w:shd w:val="clear" w:color="auto" w:fill="CCEEFF"/>
          </w:tcPr>
          <w:p>
            <w:pPr>
              <w:spacing w:after="0"/>
              <w:rPr>
                <w:sz w:val="12"/>
                <w:szCs w:val="12"/>
                <w:color w:val="auto"/>
              </w:rPr>
            </w:pPr>
          </w:p>
        </w:tc>
      </w:tr>
      <w:tr>
        <w:trPr>
          <w:trHeight w:val="142"/>
        </w:trPr>
        <w:tc>
          <w:tcPr>
            <w:tcW w:w="5340" w:type="dxa"/>
            <w:vAlign w:val="bottom"/>
            <w:gridSpan w:val="2"/>
          </w:tcPr>
          <w:p>
            <w:pPr>
              <w:ind w:left="160"/>
              <w:spacing w:after="0" w:line="142" w:lineRule="exact"/>
              <w:rPr>
                <w:sz w:val="20"/>
                <w:szCs w:val="20"/>
                <w:color w:val="auto"/>
              </w:rPr>
            </w:pPr>
            <w:r>
              <w:rPr>
                <w:rFonts w:ascii="Arial" w:cs="Arial" w:eastAsia="Arial" w:hAnsi="Arial"/>
                <w:sz w:val="14"/>
                <w:szCs w:val="14"/>
                <w:color w:val="auto"/>
              </w:rPr>
              <w:t>Net Income</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$ 65.0</w:t>
            </w:r>
          </w:p>
        </w:tc>
        <w:tc>
          <w:tcPr>
            <w:tcW w:w="5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$ 76.2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$ 124.3</w:t>
            </w:r>
          </w:p>
        </w:tc>
        <w:tc>
          <w:tcPr>
            <w:tcW w:w="3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$ 146.7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$ 252.7</w:t>
            </w:r>
          </w:p>
        </w:tc>
        <w:tc>
          <w:tcPr>
            <w:tcW w:w="5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$ 286.3</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2007 Guidance</w:t>
      </w:r>
    </w:p>
    <w:p>
      <w:pPr>
        <w:spacing w:after="0" w:line="121"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This preliminary adjusted EBITDA guidance for 2007 is based on 1) continued operating and financial performance of our existing assets in line with recent performance trends, 2) achievement of targeted performance levels for recent acquisitions and the pending BP Asset acquisition that has not closed and</w:t>
      </w:r>
    </w:p>
    <w:p>
      <w:pPr>
        <w:ind w:right="480" w:firstLine="8"/>
        <w:spacing w:after="0" w:line="255" w:lineRule="auto"/>
        <w:tabs>
          <w:tab w:leader="none" w:pos="1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contributions from expansion capital expenditures in line with our expectations. In that regard, we would expect daily pipeline shipments to average approximately 270,000 Bbl/d for Basin, 47,000 Bbl/d for All American and 145,000 bbl/d for Capline, and gathering and marketing volumes to average approximately 730,000 Bbl/d.</w:t>
      </w:r>
    </w:p>
    <w:p>
      <w:pPr>
        <w:spacing w:after="0" w:line="82"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Projected operating results for the GMT&amp;S segment incorporate the expectation that market conditions will remain generally favorable, although not as favorable as the market conditions experienced over most of 2005 and 2006 to date.</w:t>
      </w:r>
    </w:p>
    <w:p>
      <w:pPr>
        <w:sectPr>
          <w:pgSz w:w="11900" w:h="16838" w:orient="portrait"/>
          <w:cols w:equalWidth="0" w:num="1">
            <w:col w:w="11420"/>
          </w:cols>
          <w:pgMar w:left="240" w:top="125" w:right="239" w:bottom="58"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range of selected key financial data of our preliminary sustainable projections for calendar year 2007.</w:t>
      </w:r>
    </w:p>
    <w:p>
      <w:pPr>
        <w:spacing w:after="0" w:line="203" w:lineRule="exact"/>
        <w:rPr>
          <w:sz w:val="20"/>
          <w:szCs w:val="20"/>
          <w:color w:val="auto"/>
        </w:rPr>
      </w:pPr>
    </w:p>
    <w:tbl>
      <w:tblPr>
        <w:tblLayout w:type="fixed"/>
        <w:tblInd w:w="19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Preliminary Calendar 2007 Guidance (in millions)</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60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rPr>
              <w:t>Low</w:t>
            </w:r>
          </w:p>
        </w:tc>
        <w:tc>
          <w:tcPr>
            <w:tcW w:w="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480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(102)</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(97)</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r>
      <w:tr>
        <w:trPr>
          <w:trHeight w:val="250"/>
        </w:trPr>
        <w:tc>
          <w:tcPr>
            <w:tcW w:w="20" w:type="dxa"/>
            <w:vAlign w:val="bottom"/>
          </w:tcPr>
          <w:p>
            <w:pPr>
              <w:spacing w:after="0"/>
              <w:rPr>
                <w:sz w:val="21"/>
                <w:szCs w:val="21"/>
                <w:color w:val="auto"/>
              </w:rPr>
            </w:pPr>
          </w:p>
        </w:tc>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286</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$ 336</w:t>
            </w:r>
          </w:p>
        </w:tc>
        <w:tc>
          <w:tcPr>
            <w:tcW w:w="100" w:type="dxa"/>
            <w:vAlign w:val="bottom"/>
            <w:tcBorders>
              <w:bottom w:val="single" w:sz="8" w:color="CCEEFF"/>
            </w:tcBorders>
          </w:tcPr>
          <w:p>
            <w:pPr>
              <w:spacing w:after="0"/>
              <w:rPr>
                <w:sz w:val="21"/>
                <w:szCs w:val="21"/>
                <w:color w:val="auto"/>
              </w:rPr>
            </w:pPr>
          </w:p>
        </w:tc>
      </w:tr>
      <w:tr>
        <w:trPr>
          <w:trHeight w:val="305"/>
        </w:trPr>
        <w:tc>
          <w:tcPr>
            <w:tcW w:w="20" w:type="dxa"/>
            <w:vAlign w:val="bottom"/>
          </w:tcPr>
          <w:p>
            <w:pPr>
              <w:spacing w:after="0"/>
              <w:rPr>
                <w:sz w:val="24"/>
                <w:szCs w:val="24"/>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 Expenditures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w:t>
            </w:r>
          </w:p>
        </w:tc>
        <w:tc>
          <w:tcPr>
            <w:tcW w:w="100" w:type="dxa"/>
            <w:vAlign w:val="bottom"/>
            <w:shd w:val="clear" w:color="auto" w:fill="CCEEFF"/>
          </w:tcPr>
          <w:p>
            <w:pPr>
              <w:spacing w:after="0"/>
              <w:rPr>
                <w:sz w:val="24"/>
                <w:szCs w:val="24"/>
                <w:color w:val="auto"/>
              </w:rPr>
            </w:pPr>
          </w:p>
        </w:tc>
      </w:tr>
    </w:tbl>
    <w:p>
      <w:pPr>
        <w:spacing w:after="0" w:line="256"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Our preliminary guidance for interest expense is based on our projected capital structure as of June 9, 2006, the current market outlook for floating interest rates and approved capital projects for 2007. Our preliminary guidance for depreciation and amortization is based on projected depreciation from our present asset base, and continued development of our portfolio of projects. Our preliminary guidance for maintenance capital expenditures is based on our estimated level of recurring expenditures of approximately $25 million. Adjusted net income and adjusted EBITDA exclude selected items impacting comparability such as LTIP’s, gains or losses from Foreign Exchange Revaluations and SFAS 133 (see Note 5 above). It is impractical to forecast selected items impacting comparability to arrive at net income and EBITDA and therefore adjusted net income and adjusted EBITDA are presented to provide information with respect to both the performance and fundamental business activities.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Associated Risks</w:t>
      </w:r>
    </w:p>
    <w:p>
      <w:pPr>
        <w:spacing w:after="0" w:line="121" w:lineRule="exact"/>
        <w:rPr>
          <w:sz w:val="20"/>
          <w:szCs w:val="20"/>
          <w:color w:val="auto"/>
        </w:rPr>
      </w:pPr>
    </w:p>
    <w:p>
      <w:pPr>
        <w:ind w:right="80" w:firstLine="360"/>
        <w:spacing w:after="0" w:line="297" w:lineRule="auto"/>
        <w:rPr>
          <w:sz w:val="20"/>
          <w:szCs w:val="20"/>
          <w:color w:val="auto"/>
        </w:rPr>
      </w:pPr>
      <w:r>
        <w:rPr>
          <w:rFonts w:ascii="Arial" w:cs="Arial" w:eastAsia="Arial" w:hAnsi="Arial"/>
          <w:sz w:val="16"/>
          <w:szCs w:val="16"/>
          <w:color w:val="auto"/>
        </w:rPr>
        <w:t>All statements included in this report, other than statements of historical fact,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However, the absence of these words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spacing w:after="0" w:line="50" w:lineRule="exact"/>
        <w:rPr>
          <w:sz w:val="20"/>
          <w:szCs w:val="20"/>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our risk management activities;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abrupt or severe declines or interruptions in outer continental shelf production located offshore California and transported on our pipeline system;</w:t>
      </w:r>
    </w:p>
    <w:p>
      <w:pPr>
        <w:spacing w:after="0" w:line="140" w:lineRule="exact"/>
        <w:rPr>
          <w:rFonts w:ascii="Arial" w:cs="Arial" w:eastAsia="Arial" w:hAnsi="Arial"/>
          <w:sz w:val="16"/>
          <w:szCs w:val="16"/>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declines in volumes shipped on the Basin Pipeline, Capline Pipeline and our other pipelines by us and third party shippers;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adequate third party production volumes for transportation and marketing in the areas in which we operate;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demand for natural gas or various grades of crude oil and resulting changes in pricing conditions or transmission throughput requirements;</w:t>
      </w:r>
    </w:p>
    <w:p>
      <w:pPr>
        <w:spacing w:after="0" w:line="128" w:lineRule="exact"/>
        <w:rPr>
          <w:rFonts w:ascii="Arial" w:cs="Arial" w:eastAsia="Arial" w:hAnsi="Arial"/>
          <w:sz w:val="17"/>
          <w:szCs w:val="17"/>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transmission lines;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hanging="13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availability of, and our ability to consummate, acquisition or combination opportunities;</w:t>
      </w:r>
    </w:p>
    <w:p>
      <w:pPr>
        <w:spacing w:after="0" w:line="117" w:lineRule="exact"/>
        <w:rPr>
          <w:rFonts w:ascii="Arial" w:cs="Arial" w:eastAsia="Arial" w:hAnsi="Arial"/>
          <w:sz w:val="18"/>
          <w:szCs w:val="18"/>
          <w:b w:val="1"/>
          <w:bCs w:val="1"/>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access to capital to fund additional acquisitions and our ability to obtain debt or equity financing on satisfactory terms;</w:t>
      </w:r>
    </w:p>
    <w:p>
      <w:pPr>
        <w:spacing w:after="0" w:line="117" w:lineRule="exact"/>
        <w:rPr>
          <w:rFonts w:ascii="Arial" w:cs="Arial" w:eastAsia="Arial" w:hAnsi="Arial"/>
          <w:sz w:val="18"/>
          <w:szCs w:val="18"/>
          <w:color w:val="auto"/>
        </w:rPr>
      </w:pPr>
    </w:p>
    <w:p>
      <w:pPr>
        <w:ind w:left="540" w:right="400" w:hanging="172"/>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integration and future performance of acquired assets or businesses and the risks associated with operating in lines of business that are distinct and separate from our historical operations;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and volatility (or lack thereof);</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current and future laws, rulings and governmental regulations;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interruptions in service and fluctuations in rates of third party pipelines;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crude oil and natural gas price fluctuations;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shortages or cost increases of power supplies, materials or labor;</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factors and uncertainties inherent in the marketing, transportation, terminalling, gathering and storage of crude oil and liquefied petroleum gas.</w:t>
      </w:r>
    </w:p>
    <w:p>
      <w:pPr>
        <w:spacing w:after="0" w:line="140"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sectPr>
          <w:pgSz w:w="11900" w:h="16838" w:orient="portrait"/>
          <w:cols w:equalWidth="0" w:num="1">
            <w:col w:w="11360"/>
          </w:cols>
          <w:pgMar w:left="240" w:top="125" w:right="299" w:bottom="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820"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5980" w:type="dxa"/>
            <w:vAlign w:val="bottom"/>
            <w:gridSpan w:val="3"/>
          </w:tcPr>
          <w:p>
            <w:pPr>
              <w:ind w:left="960"/>
              <w:spacing w:after="0"/>
              <w:rPr>
                <w:sz w:val="20"/>
                <w:szCs w:val="20"/>
                <w:color w:val="auto"/>
              </w:rPr>
            </w:pPr>
            <w:r>
              <w:rPr>
                <w:rFonts w:ascii="Arial" w:cs="Arial" w:eastAsia="Arial" w:hAnsi="Arial"/>
                <w:sz w:val="18"/>
                <w:szCs w:val="18"/>
                <w:color w:val="auto"/>
              </w:rPr>
              <w:t>PLAINS ALL AMERICAN PIPELINE, L.P.</w:t>
            </w:r>
          </w:p>
        </w:tc>
        <w:tc>
          <w:tcPr>
            <w:tcW w:w="1560" w:type="dxa"/>
            <w:vAlign w:val="bottom"/>
          </w:tcPr>
          <w:p>
            <w:pPr>
              <w:spacing w:after="0"/>
              <w:rPr>
                <w:sz w:val="20"/>
                <w:szCs w:val="20"/>
                <w:color w:val="auto"/>
              </w:rPr>
            </w:pPr>
          </w:p>
        </w:tc>
      </w:tr>
      <w:tr>
        <w:trPr>
          <w:trHeight w:val="324"/>
        </w:trPr>
        <w:tc>
          <w:tcPr>
            <w:tcW w:w="3920" w:type="dxa"/>
            <w:vAlign w:val="bottom"/>
          </w:tcPr>
          <w:p>
            <w:pPr>
              <w:spacing w:after="0"/>
              <w:rPr>
                <w:sz w:val="24"/>
                <w:szCs w:val="24"/>
                <w:color w:val="auto"/>
              </w:rPr>
            </w:pPr>
          </w:p>
        </w:tc>
        <w:tc>
          <w:tcPr>
            <w:tcW w:w="1520" w:type="dxa"/>
            <w:vAlign w:val="bottom"/>
          </w:tcPr>
          <w:p>
            <w:pPr>
              <w:ind w:left="960"/>
              <w:spacing w:after="0"/>
              <w:rPr>
                <w:sz w:val="20"/>
                <w:szCs w:val="20"/>
                <w:color w:val="auto"/>
              </w:rPr>
            </w:pPr>
            <w:r>
              <w:rPr>
                <w:rFonts w:ascii="Arial" w:cs="Arial" w:eastAsia="Arial" w:hAnsi="Arial"/>
                <w:sz w:val="18"/>
                <w:szCs w:val="18"/>
                <w:color w:val="auto"/>
              </w:rPr>
              <w:t>By:</w:t>
            </w:r>
          </w:p>
        </w:tc>
        <w:tc>
          <w:tcPr>
            <w:tcW w:w="4460" w:type="dxa"/>
            <w:vAlign w:val="bottom"/>
            <w:gridSpan w:val="2"/>
          </w:tcPr>
          <w:p>
            <w:pPr>
              <w:spacing w:after="0"/>
              <w:rPr>
                <w:sz w:val="20"/>
                <w:szCs w:val="20"/>
                <w:color w:val="auto"/>
              </w:rPr>
            </w:pPr>
            <w:r>
              <w:rPr>
                <w:rFonts w:ascii="Arial" w:cs="Arial" w:eastAsia="Arial" w:hAnsi="Arial"/>
                <w:sz w:val="18"/>
                <w:szCs w:val="18"/>
                <w:color w:val="auto"/>
              </w:rPr>
              <w:t>PLAINS AAP, L. P., its general partner</w:t>
            </w:r>
          </w:p>
        </w:tc>
        <w:tc>
          <w:tcPr>
            <w:tcW w:w="1560" w:type="dxa"/>
            <w:vAlign w:val="bottom"/>
          </w:tcPr>
          <w:p>
            <w:pPr>
              <w:spacing w:after="0"/>
              <w:rPr>
                <w:sz w:val="24"/>
                <w:szCs w:val="24"/>
                <w:color w:val="auto"/>
              </w:rPr>
            </w:pPr>
          </w:p>
        </w:tc>
      </w:tr>
      <w:tr>
        <w:trPr>
          <w:trHeight w:val="324"/>
        </w:trPr>
        <w:tc>
          <w:tcPr>
            <w:tcW w:w="3920" w:type="dxa"/>
            <w:vAlign w:val="bottom"/>
          </w:tcPr>
          <w:p>
            <w:pPr>
              <w:spacing w:after="0"/>
              <w:rPr>
                <w:sz w:val="24"/>
                <w:szCs w:val="24"/>
                <w:color w:val="auto"/>
              </w:rPr>
            </w:pPr>
          </w:p>
        </w:tc>
        <w:tc>
          <w:tcPr>
            <w:tcW w:w="1520" w:type="dxa"/>
            <w:vAlign w:val="bottom"/>
          </w:tcPr>
          <w:p>
            <w:pPr>
              <w:ind w:left="960"/>
              <w:spacing w:after="0"/>
              <w:rPr>
                <w:sz w:val="20"/>
                <w:szCs w:val="20"/>
                <w:color w:val="auto"/>
              </w:rPr>
            </w:pPr>
            <w:r>
              <w:rPr>
                <w:rFonts w:ascii="Arial" w:cs="Arial" w:eastAsia="Arial" w:hAnsi="Arial"/>
                <w:sz w:val="18"/>
                <w:szCs w:val="18"/>
                <w:color w:val="auto"/>
              </w:rPr>
              <w:t>By:</w:t>
            </w:r>
          </w:p>
        </w:tc>
        <w:tc>
          <w:tcPr>
            <w:tcW w:w="4460" w:type="dxa"/>
            <w:vAlign w:val="bottom"/>
            <w:gridSpan w:val="2"/>
          </w:tcPr>
          <w:p>
            <w:pPr>
              <w:spacing w:after="0"/>
              <w:rPr>
                <w:sz w:val="20"/>
                <w:szCs w:val="20"/>
                <w:color w:val="auto"/>
              </w:rPr>
            </w:pPr>
            <w:r>
              <w:rPr>
                <w:rFonts w:ascii="Arial" w:cs="Arial" w:eastAsia="Arial" w:hAnsi="Arial"/>
                <w:sz w:val="18"/>
                <w:szCs w:val="18"/>
                <w:color w:val="auto"/>
              </w:rPr>
              <w:t>PLAINS ALL AMERICAN GP LLC, its general partner</w:t>
            </w:r>
          </w:p>
        </w:tc>
        <w:tc>
          <w:tcPr>
            <w:tcW w:w="1560" w:type="dxa"/>
            <w:vAlign w:val="bottom"/>
          </w:tcPr>
          <w:p>
            <w:pPr>
              <w:spacing w:after="0"/>
              <w:rPr>
                <w:sz w:val="24"/>
                <w:szCs w:val="24"/>
                <w:color w:val="auto"/>
              </w:rPr>
            </w:pPr>
          </w:p>
        </w:tc>
      </w:tr>
      <w:tr>
        <w:trPr>
          <w:trHeight w:val="324"/>
        </w:trPr>
        <w:tc>
          <w:tcPr>
            <w:tcW w:w="3920" w:type="dxa"/>
            <w:vAlign w:val="bottom"/>
          </w:tcPr>
          <w:p>
            <w:pPr>
              <w:ind w:left="1540"/>
              <w:spacing w:after="0"/>
              <w:rPr>
                <w:sz w:val="20"/>
                <w:szCs w:val="20"/>
                <w:color w:val="auto"/>
              </w:rPr>
            </w:pPr>
            <w:r>
              <w:rPr>
                <w:rFonts w:ascii="Arial" w:cs="Arial" w:eastAsia="Arial" w:hAnsi="Arial"/>
                <w:sz w:val="18"/>
                <w:szCs w:val="18"/>
                <w:color w:val="auto"/>
              </w:rPr>
              <w:t>Date: June 12, 2006</w:t>
            </w:r>
          </w:p>
        </w:tc>
        <w:tc>
          <w:tcPr>
            <w:tcW w:w="1520" w:type="dxa"/>
            <w:vAlign w:val="bottom"/>
          </w:tcPr>
          <w:p>
            <w:pPr>
              <w:ind w:left="96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PHIL KRAMER</w:t>
            </w:r>
          </w:p>
        </w:tc>
        <w:tc>
          <w:tcPr>
            <w:tcW w:w="1560" w:type="dxa"/>
            <w:vAlign w:val="bottom"/>
          </w:tcPr>
          <w:p>
            <w:pPr>
              <w:spacing w:after="0"/>
              <w:rPr>
                <w:sz w:val="24"/>
                <w:szCs w:val="24"/>
                <w:color w:val="auto"/>
              </w:rPr>
            </w:pPr>
          </w:p>
        </w:tc>
      </w:tr>
      <w:tr>
        <w:trPr>
          <w:trHeight w:val="195"/>
        </w:trPr>
        <w:tc>
          <w:tcPr>
            <w:tcW w:w="39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ind w:left="200"/>
              <w:spacing w:after="0" w:line="195" w:lineRule="exact"/>
              <w:rPr>
                <w:sz w:val="20"/>
                <w:szCs w:val="20"/>
                <w:color w:val="auto"/>
              </w:rPr>
            </w:pPr>
            <w:r>
              <w:rPr>
                <w:rFonts w:ascii="Arial" w:cs="Arial" w:eastAsia="Arial" w:hAnsi="Arial"/>
                <w:sz w:val="18"/>
                <w:szCs w:val="18"/>
                <w:color w:val="auto"/>
              </w:rPr>
              <w:t>Phil Kramer</w:t>
            </w:r>
          </w:p>
        </w:tc>
        <w:tc>
          <w:tcPr>
            <w:tcW w:w="1560" w:type="dxa"/>
            <w:vAlign w:val="bottom"/>
          </w:tcPr>
          <w:p>
            <w:pPr>
              <w:spacing w:after="0"/>
              <w:rPr>
                <w:sz w:val="16"/>
                <w:szCs w:val="16"/>
                <w:color w:val="auto"/>
              </w:rPr>
            </w:pPr>
          </w:p>
        </w:tc>
      </w:tr>
      <w:tr>
        <w:trPr>
          <w:trHeight w:val="216"/>
        </w:trPr>
        <w:tc>
          <w:tcPr>
            <w:tcW w:w="3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200"/>
              <w:spacing w:after="0"/>
              <w:rPr>
                <w:sz w:val="20"/>
                <w:szCs w:val="20"/>
                <w:color w:val="auto"/>
              </w:rPr>
            </w:pPr>
            <w:r>
              <w:rPr>
                <w:rFonts w:ascii="Arial" w:cs="Arial" w:eastAsia="Arial" w:hAnsi="Arial"/>
                <w:sz w:val="18"/>
                <w:szCs w:val="18"/>
                <w:i w:val="1"/>
                <w:iCs w:val="1"/>
                <w:color w:val="auto"/>
                <w:w w:val="99"/>
              </w:rPr>
              <w:t>Executive Vice President and Chief Financial</w:t>
            </w:r>
          </w:p>
        </w:tc>
        <w:tc>
          <w:tcPr>
            <w:tcW w:w="1560" w:type="dxa"/>
            <w:vAlign w:val="bottom"/>
          </w:tcPr>
          <w:p>
            <w:pPr>
              <w:spacing w:after="0"/>
              <w:rPr>
                <w:sz w:val="18"/>
                <w:szCs w:val="18"/>
                <w:color w:val="auto"/>
              </w:rPr>
            </w:pPr>
          </w:p>
        </w:tc>
      </w:tr>
      <w:tr>
        <w:trPr>
          <w:trHeight w:val="230"/>
        </w:trPr>
        <w:tc>
          <w:tcPr>
            <w:tcW w:w="39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780" w:type="dxa"/>
            <w:vAlign w:val="bottom"/>
          </w:tcPr>
          <w:p>
            <w:pPr>
              <w:ind w:left="200"/>
              <w:spacing w:after="0"/>
              <w:rPr>
                <w:sz w:val="20"/>
                <w:szCs w:val="20"/>
                <w:color w:val="auto"/>
              </w:rPr>
            </w:pPr>
            <w:r>
              <w:rPr>
                <w:rFonts w:ascii="Arial" w:cs="Arial" w:eastAsia="Arial" w:hAnsi="Arial"/>
                <w:sz w:val="18"/>
                <w:szCs w:val="18"/>
                <w:i w:val="1"/>
                <w:iCs w:val="1"/>
                <w:color w:val="auto"/>
              </w:rPr>
              <w:t>Officer</w:t>
            </w:r>
          </w:p>
        </w:tc>
        <w:tc>
          <w:tcPr>
            <w:tcW w:w="1560" w:type="dxa"/>
            <w:vAlign w:val="bottom"/>
          </w:tcPr>
          <w:p>
            <w:pPr>
              <w:spacing w:after="0"/>
              <w:rPr>
                <w:sz w:val="20"/>
                <w:szCs w:val="20"/>
                <w:color w:val="auto"/>
              </w:rPr>
            </w:pPr>
          </w:p>
        </w:tc>
      </w:tr>
      <w:tr>
        <w:trPr>
          <w:trHeight w:val="702"/>
        </w:trPr>
        <w:tc>
          <w:tcPr>
            <w:tcW w:w="3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12</w:t>
            </w:r>
          </w:p>
        </w:tc>
        <w:tc>
          <w:tcPr>
            <w:tcW w:w="37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75"/>
        </w:trPr>
        <w:tc>
          <w:tcPr>
            <w:tcW w:w="3920" w:type="dxa"/>
            <w:vAlign w:val="bottom"/>
            <w:tcBorders>
              <w:bottom w:val="single" w:sz="8" w:color="010101"/>
            </w:tcBorders>
          </w:tcPr>
          <w:p>
            <w:pPr>
              <w:spacing w:after="0"/>
              <w:rPr>
                <w:sz w:val="24"/>
                <w:szCs w:val="24"/>
                <w:color w:val="auto"/>
              </w:rPr>
            </w:pPr>
          </w:p>
        </w:tc>
        <w:tc>
          <w:tcPr>
            <w:tcW w:w="1520" w:type="dxa"/>
            <w:vAlign w:val="bottom"/>
            <w:tcBorders>
              <w:bottom w:val="single" w:sz="8" w:color="010101"/>
            </w:tcBorders>
          </w:tcPr>
          <w:p>
            <w:pPr>
              <w:spacing w:after="0"/>
              <w:rPr>
                <w:sz w:val="24"/>
                <w:szCs w:val="24"/>
                <w:color w:val="auto"/>
              </w:rPr>
            </w:pPr>
          </w:p>
        </w:tc>
        <w:tc>
          <w:tcPr>
            <w:tcW w:w="680" w:type="dxa"/>
            <w:vAlign w:val="bottom"/>
            <w:tcBorders>
              <w:bottom w:val="single" w:sz="8" w:color="010101"/>
            </w:tcBorders>
          </w:tcPr>
          <w:p>
            <w:pPr>
              <w:spacing w:after="0"/>
              <w:rPr>
                <w:sz w:val="24"/>
                <w:szCs w:val="24"/>
                <w:color w:val="auto"/>
              </w:rPr>
            </w:pPr>
          </w:p>
        </w:tc>
        <w:tc>
          <w:tcPr>
            <w:tcW w:w="3780" w:type="dxa"/>
            <w:vAlign w:val="bottom"/>
            <w:tcBorders>
              <w:bottom w:val="single" w:sz="8" w:color="010101"/>
            </w:tcBorders>
          </w:tcPr>
          <w:p>
            <w:pPr>
              <w:spacing w:after="0"/>
              <w:rPr>
                <w:sz w:val="24"/>
                <w:szCs w:val="24"/>
                <w:color w:val="auto"/>
              </w:rPr>
            </w:pPr>
          </w:p>
        </w:tc>
        <w:tc>
          <w:tcPr>
            <w:tcW w:w="15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3"/>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4"/>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decimal"/>
      <w:start w:val="7"/>
    </w:lvl>
  </w:abstractNum>
  <w:abstractNum w:abstractNumId="8">
    <w:nsid w:val="1190CDE7"/>
    <w:multiLevelType w:val="hybridMultilevel"/>
    <w:lvl w:ilvl="0">
      <w:lvlJc w:val="left"/>
      <w:lvlText w:val="%1."/>
      <w:numFmt w:val="decimal"/>
      <w:start w:val="8"/>
    </w:lvl>
  </w:abstractNum>
  <w:abstractNum w:abstractNumId="9">
    <w:nsid w:val="66EF438D"/>
    <w:multiLevelType w:val="hybridMultilevel"/>
    <w:lvl w:ilvl="0">
      <w:lvlJc w:val="left"/>
      <w:lvlText w:val="%1."/>
      <w:numFmt w:val="decimal"/>
      <w:start w:val="9"/>
    </w:lvl>
  </w:abstractNum>
  <w:abstractNum w:abstractNumId="10">
    <w:nsid w:val="140E0F76"/>
    <w:multiLevelType w:val="hybridMultilevel"/>
    <w:lvl w:ilvl="0">
      <w:lvlJc w:val="left"/>
      <w:lvlText w:val="%1."/>
      <w:numFmt w:val="decimal"/>
      <w:start w:val="10"/>
    </w:lvl>
  </w:abstractNum>
  <w:abstractNum w:abstractNumId="11">
    <w:nsid w:val="3352255A"/>
    <w:multiLevelType w:val="hybridMultilevel"/>
    <w:lvl w:ilvl="0">
      <w:lvlJc w:val="left"/>
      <w:lvlText w:val="%1)"/>
      <w:numFmt w:val="decimal"/>
      <w:start w:val="3"/>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2020-02-09T06:58:59Z</dcterms:created>
  <dcterms:modified xsi:type="dcterms:W3CDTF">2020-02-09T06:58:59Z</dcterms:modified>
</cp:coreProperties>
</file>