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0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1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40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5400040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13970</wp:posOffset>
            </wp:positionV>
            <wp:extent cx="7326630" cy="6308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630809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560"/>
            <w:col w:w="8720"/>
          </w:cols>
          <w:pgMar w:left="240" w:top="220" w:right="139" w:bottom="68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Swanson Al</w:t>
        </w:r>
      </w:hyperlink>
    </w:p>
    <w:p>
      <w:pPr>
        <w:spacing w:after="0" w:line="30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 #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800" w:hanging="6"/>
        <w:spacing w:after="0" w:line="235"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6"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06"/>
        <w:spacing w:after="0"/>
        <w:rPr>
          <w:sz w:val="20"/>
          <w:szCs w:val="20"/>
          <w:color w:val="auto"/>
        </w:rPr>
      </w:pPr>
      <w:r>
        <w:rPr>
          <w:rFonts w:ascii="Arial" w:cs="Arial" w:eastAsia="Arial" w:hAnsi="Arial"/>
          <w:sz w:val="17"/>
          <w:szCs w:val="17"/>
          <w:color w:val="0000FF"/>
        </w:rPr>
        <w:t>Executive. VP &amp; CFO</w:t>
      </w:r>
    </w:p>
    <w:p>
      <w:pPr>
        <w:spacing w:after="0" w:line="327" w:lineRule="exact"/>
        <w:rPr>
          <w:sz w:val="24"/>
          <w:szCs w:val="24"/>
          <w:color w:val="auto"/>
        </w:rPr>
      </w:pPr>
    </w:p>
    <w:p>
      <w:pPr>
        <w:sectPr>
          <w:pgSz w:w="11900" w:h="16838" w:orient="portrait"/>
          <w:cols w:equalWidth="0" w:num="3">
            <w:col w:w="3340" w:space="720"/>
            <w:col w:w="3254" w:space="720"/>
            <w:col w:w="3486"/>
          </w:cols>
          <w:pgMar w:left="240" w:top="220" w:right="139" w:bottom="688"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3"/>
                <w:szCs w:val="13"/>
                <w:color w:val="auto"/>
                <w:w w:val="97"/>
              </w:rPr>
              <w:t>4. If Amendment, Date of Original Filed (Month/Day/Year)</w:t>
            </w:r>
          </w:p>
        </w:tc>
        <w:tc>
          <w:tcPr>
            <w:tcW w:w="22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3400" w:type="dxa"/>
            <w:vAlign w:val="bottom"/>
            <w:tcBorders>
              <w:top w:val="single" w:sz="8" w:color="2C2C2C"/>
            </w:tcBorders>
            <w:gridSpan w:val="10"/>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7"/>
                <w:szCs w:val="17"/>
                <w:color w:val="0000FF"/>
              </w:rPr>
              <w:t>HOUSTON</w:t>
            </w:r>
          </w:p>
        </w:tc>
        <w:tc>
          <w:tcPr>
            <w:tcW w:w="116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820" w:type="dxa"/>
            <w:vAlign w:val="bottom"/>
            <w:vMerge w:val="restart"/>
          </w:tcPr>
          <w:p>
            <w:pPr>
              <w:ind w:left="100"/>
              <w:spacing w:after="0"/>
              <w:rPr>
                <w:sz w:val="20"/>
                <w:szCs w:val="20"/>
                <w:color w:val="auto"/>
              </w:rPr>
            </w:pPr>
            <w:r>
              <w:rPr>
                <w:rFonts w:ascii="Arial" w:cs="Arial" w:eastAsia="Arial" w:hAnsi="Arial"/>
                <w:sz w:val="17"/>
                <w:szCs w:val="17"/>
                <w:color w:val="0000FF"/>
              </w:rPr>
              <w:t>77002</w:t>
            </w: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gridSpan w:val="6"/>
            <w:vMerge w:val="continue"/>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0" w:type="dxa"/>
            <w:vAlign w:val="bottom"/>
            <w:gridSpan w:val="10"/>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80" w:type="dxa"/>
            <w:vAlign w:val="bottom"/>
            <w:gridSpan w:val="9"/>
          </w:tcPr>
          <w:p>
            <w:pPr>
              <w:ind w:left="2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3200" w:type="dxa"/>
            <w:vAlign w:val="bottom"/>
            <w:gridSpan w:val="9"/>
            <w:vMerge w:val="restart"/>
          </w:tcPr>
          <w:p>
            <w:pPr>
              <w:ind w:left="2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32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480" w:type="dxa"/>
            <w:vAlign w:val="bottom"/>
            <w:tcBorders>
              <w:top w:val="single" w:sz="8" w:color="2C2C2C"/>
            </w:tcBorders>
            <w:gridSpan w:val="16"/>
          </w:tcPr>
          <w:p>
            <w:pPr>
              <w:jc w:val="center"/>
              <w:ind w:right="121"/>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2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5. Amount of</w:t>
            </w:r>
          </w:p>
        </w:tc>
        <w:tc>
          <w:tcPr>
            <w:tcW w:w="4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6. Ownership</w:t>
            </w: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80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11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Beneficially Owned</w:t>
            </w: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(D) or Indirect</w:t>
            </w: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Following Reported</w:t>
            </w: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(I) (Instr. 4)</w:t>
            </w: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360" w:type="dxa"/>
            <w:vAlign w:val="bottom"/>
            <w:tcBorders>
              <w:bottom w:val="single" w:sz="8" w:color="2C2C2C"/>
            </w:tcBorders>
            <w:gridSpan w:val="6"/>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60" w:type="dxa"/>
            <w:vAlign w:val="bottom"/>
            <w:gridSpan w:val="6"/>
          </w:tcPr>
          <w:p>
            <w:pPr>
              <w:ind w:left="60"/>
              <w:spacing w:after="0"/>
              <w:rPr>
                <w:sz w:val="20"/>
                <w:szCs w:val="20"/>
                <w:color w:val="auto"/>
              </w:rPr>
            </w:pPr>
            <w:r>
              <w:rPr>
                <w:rFonts w:ascii="Arial" w:cs="Arial" w:eastAsia="Arial" w:hAnsi="Arial"/>
                <w:sz w:val="17"/>
                <w:szCs w:val="17"/>
                <w:color w:val="0000FF"/>
                <w:w w:val="99"/>
              </w:rPr>
              <w:t>Class A Shares representing limited partner</w:t>
            </w:r>
          </w:p>
        </w:tc>
        <w:tc>
          <w:tcPr>
            <w:tcW w:w="106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89"/>
              </w:rPr>
              <w:t>01/26/2016</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jc w:val="center"/>
              <w:ind w:right="1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1180" w:type="dxa"/>
            <w:vAlign w:val="bottom"/>
            <w:gridSpan w:val="2"/>
            <w:vMerge w:val="restart"/>
          </w:tcPr>
          <w:p>
            <w:pPr>
              <w:ind w:left="300"/>
              <w:spacing w:after="0"/>
              <w:rPr>
                <w:sz w:val="20"/>
                <w:szCs w:val="20"/>
                <w:color w:val="auto"/>
              </w:rPr>
            </w:pPr>
            <w:r>
              <w:rPr>
                <w:rFonts w:ascii="Arial" w:cs="Arial" w:eastAsia="Arial" w:hAnsi="Arial"/>
                <w:sz w:val="17"/>
                <w:szCs w:val="17"/>
                <w:color w:val="0000FF"/>
              </w:rPr>
              <w:t>445,189</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17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21"/>
                <w:szCs w:val="21"/>
                <w:color w:val="auto"/>
              </w:rPr>
            </w:pPr>
          </w:p>
        </w:tc>
        <w:tc>
          <w:tcPr>
            <w:tcW w:w="1240" w:type="dxa"/>
            <w:vAlign w:val="bottom"/>
            <w:gridSpan w:val="3"/>
            <w:vMerge w:val="restart"/>
          </w:tcPr>
          <w:p>
            <w:pPr>
              <w:jc w:val="center"/>
              <w:ind w:right="41"/>
              <w:spacing w:after="0"/>
              <w:rPr>
                <w:sz w:val="20"/>
                <w:szCs w:val="20"/>
                <w:color w:val="auto"/>
              </w:rPr>
            </w:pPr>
            <w:r>
              <w:rPr>
                <w:rFonts w:ascii="Arial" w:cs="Arial" w:eastAsia="Arial" w:hAnsi="Arial"/>
                <w:sz w:val="17"/>
                <w:szCs w:val="17"/>
                <w:color w:val="0000FF"/>
                <w:w w:val="87"/>
              </w:rPr>
              <w:t>2,445,189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7"/>
                <w:szCs w:val="17"/>
                <w:color w:val="0000FF"/>
              </w:rPr>
              <w:t>interests</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360" w:type="dxa"/>
            <w:vAlign w:val="bottom"/>
            <w:tcBorders>
              <w:bottom w:val="single" w:sz="8" w:color="2C2C2C"/>
            </w:tcBorders>
            <w:gridSpan w:val="6"/>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60" w:type="dxa"/>
            <w:vAlign w:val="bottom"/>
            <w:gridSpan w:val="6"/>
          </w:tcPr>
          <w:p>
            <w:pPr>
              <w:ind w:left="60"/>
              <w:spacing w:after="0"/>
              <w:rPr>
                <w:sz w:val="20"/>
                <w:szCs w:val="20"/>
                <w:color w:val="auto"/>
              </w:rPr>
            </w:pPr>
            <w:r>
              <w:rPr>
                <w:rFonts w:ascii="Arial" w:cs="Arial" w:eastAsia="Arial" w:hAnsi="Arial"/>
                <w:sz w:val="17"/>
                <w:szCs w:val="17"/>
                <w:color w:val="0000FF"/>
                <w:w w:val="99"/>
              </w:rPr>
              <w:t>Class B Shares representing limited partner</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3"/>
            <w:vMerge w:val="restart"/>
          </w:tcPr>
          <w:p>
            <w:pPr>
              <w:jc w:val="center"/>
              <w:ind w:right="21"/>
              <w:spacing w:after="0"/>
              <w:rPr>
                <w:sz w:val="20"/>
                <w:szCs w:val="20"/>
                <w:color w:val="auto"/>
              </w:rPr>
            </w:pPr>
            <w:r>
              <w:rPr>
                <w:rFonts w:ascii="Arial" w:cs="Arial" w:eastAsia="Arial" w:hAnsi="Arial"/>
                <w:sz w:val="17"/>
                <w:szCs w:val="17"/>
                <w:color w:val="0000FF"/>
                <w:w w:val="83"/>
              </w:rPr>
              <w:t>1,154,716</w:t>
            </w:r>
            <w:r>
              <w:rPr>
                <w:rFonts w:ascii="Arial" w:cs="Arial" w:eastAsia="Arial" w:hAnsi="Arial"/>
                <w:sz w:val="21"/>
                <w:szCs w:val="21"/>
                <w:color w:val="008000"/>
                <w:w w:val="83"/>
                <w:vertAlign w:val="superscript"/>
              </w:rPr>
              <w:t>(2)(3)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280" w:type="dxa"/>
            <w:vAlign w:val="bottom"/>
          </w:tcPr>
          <w:p>
            <w:pPr>
              <w:ind w:left="60"/>
              <w:spacing w:after="0"/>
              <w:rPr>
                <w:sz w:val="20"/>
                <w:szCs w:val="20"/>
                <w:color w:val="auto"/>
              </w:rPr>
            </w:pPr>
            <w:r>
              <w:rPr>
                <w:rFonts w:ascii="Arial" w:cs="Arial" w:eastAsia="Arial" w:hAnsi="Arial"/>
                <w:sz w:val="17"/>
                <w:szCs w:val="17"/>
                <w:color w:val="0000FF"/>
                <w:w w:val="72"/>
              </w:rPr>
              <w:t>see</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7"/>
                <w:szCs w:val="17"/>
                <w:color w:val="0000FF"/>
              </w:rPr>
              <w:t>interests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7"/>
              </w:rPr>
              <w:t>footnotes</w:t>
            </w:r>
            <w:r>
              <w:rPr>
                <w:rFonts w:ascii="Arial" w:cs="Arial" w:eastAsia="Arial" w:hAnsi="Arial"/>
                <w:sz w:val="21"/>
                <w:szCs w:val="21"/>
                <w:color w:val="008000"/>
                <w:w w:val="97"/>
                <w:vertAlign w:val="superscript"/>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Units in PAA GP Holdings LLC</w:t>
            </w:r>
          </w:p>
        </w:tc>
        <w:tc>
          <w:tcPr>
            <w:tcW w:w="8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240" w:type="dxa"/>
            <w:vAlign w:val="bottom"/>
            <w:tcBorders>
              <w:top w:val="single" w:sz="8" w:color="2C2C2C"/>
            </w:tcBorders>
            <w:gridSpan w:val="3"/>
            <w:vMerge w:val="restart"/>
          </w:tcPr>
          <w:p>
            <w:pPr>
              <w:jc w:val="center"/>
              <w:ind w:right="21"/>
              <w:spacing w:after="0"/>
              <w:rPr>
                <w:sz w:val="20"/>
                <w:szCs w:val="20"/>
                <w:color w:val="auto"/>
              </w:rPr>
            </w:pPr>
            <w:r>
              <w:rPr>
                <w:rFonts w:ascii="Arial" w:cs="Arial" w:eastAsia="Arial" w:hAnsi="Arial"/>
                <w:sz w:val="17"/>
                <w:szCs w:val="17"/>
                <w:color w:val="0000FF"/>
                <w:w w:val="83"/>
              </w:rPr>
              <w:t>1,154,716</w:t>
            </w:r>
            <w:r>
              <w:rPr>
                <w:rFonts w:ascii="Arial" w:cs="Arial" w:eastAsia="Arial" w:hAnsi="Arial"/>
                <w:sz w:val="21"/>
                <w:szCs w:val="21"/>
                <w:color w:val="008000"/>
                <w:w w:val="83"/>
                <w:vertAlign w:val="superscript"/>
              </w:rPr>
              <w:t>(2)(3)</w:t>
            </w: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28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2"/>
              </w:rPr>
              <w:t>see</w:t>
            </w:r>
          </w:p>
        </w:tc>
        <w:tc>
          <w:tcPr>
            <w:tcW w:w="7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gridSpan w:val="5"/>
            <w:vMerge w:val="continue"/>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7"/>
              </w:rPr>
              <w:t>footnotes</w:t>
            </w:r>
            <w:r>
              <w:rPr>
                <w:rFonts w:ascii="Arial" w:cs="Arial" w:eastAsia="Arial" w:hAnsi="Arial"/>
                <w:sz w:val="21"/>
                <w:szCs w:val="21"/>
                <w:color w:val="008000"/>
                <w:w w:val="97"/>
                <w:vertAlign w:val="superscript"/>
              </w:rPr>
              <w:t>(2)(3)</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80" w:type="dxa"/>
            <w:vAlign w:val="bottom"/>
            <w:gridSpan w:val="16"/>
          </w:tcPr>
          <w:p>
            <w:pPr>
              <w:jc w:val="center"/>
              <w:ind w:right="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900" w:type="dxa"/>
            <w:vAlign w:val="bottom"/>
            <w:gridSpan w:val="13"/>
          </w:tcPr>
          <w:p>
            <w:pPr>
              <w:jc w:val="center"/>
              <w:ind w:right="14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 (Instr.</w:t>
            </w:r>
          </w:p>
        </w:tc>
        <w:tc>
          <w:tcPr>
            <w:tcW w:w="4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1"/>
                <w:szCs w:val="11"/>
                <w:color w:val="auto"/>
              </w:rPr>
            </w:pP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w w:val="96"/>
              </w:rPr>
              <w:t>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gridSpan w:val="2"/>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w w:val="96"/>
              </w:rPr>
              <w:t>(Instr. 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6"/>
              </w:rPr>
              <w:t>Class</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Units in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3"/>
            <w:vMerge w:val="restart"/>
          </w:tcPr>
          <w:p>
            <w:pPr>
              <w:jc w:val="center"/>
              <w:ind w:right="256"/>
              <w:spacing w:after="0" w:line="204"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(1)</w:t>
            </w: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2"/>
            <w:vMerge w:val="restart"/>
          </w:tcPr>
          <w:p>
            <w:pPr>
              <w:jc w:val="right"/>
              <w:ind w:right="113"/>
              <w:spacing w:after="0"/>
              <w:rPr>
                <w:sz w:val="20"/>
                <w:szCs w:val="20"/>
                <w:color w:val="auto"/>
              </w:rPr>
            </w:pPr>
            <w:r>
              <w:rPr>
                <w:rFonts w:ascii="Arial" w:cs="Arial" w:eastAsia="Arial" w:hAnsi="Arial"/>
                <w:sz w:val="17"/>
                <w:szCs w:val="17"/>
                <w:color w:val="0000FF"/>
                <w:w w:val="87"/>
              </w:rPr>
              <w:t>445,189</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40" w:type="dxa"/>
            <w:vAlign w:val="bottom"/>
          </w:tcPr>
          <w:p>
            <w:pPr>
              <w:spacing w:after="0"/>
              <w:rPr>
                <w:sz w:val="6"/>
                <w:szCs w:val="6"/>
                <w:color w:val="auto"/>
              </w:rPr>
            </w:pPr>
          </w:p>
        </w:tc>
        <w:tc>
          <w:tcPr>
            <w:tcW w:w="1020" w:type="dxa"/>
            <w:vAlign w:val="bottom"/>
            <w:vMerge w:val="restart"/>
          </w:tcPr>
          <w:p>
            <w:pPr>
              <w:jc w:val="right"/>
              <w:ind w:right="120"/>
              <w:spacing w:after="0" w:line="141" w:lineRule="exact"/>
              <w:rPr>
                <w:sz w:val="20"/>
                <w:szCs w:val="20"/>
                <w:color w:val="auto"/>
              </w:rPr>
            </w:pPr>
            <w:r>
              <w:rPr>
                <w:rFonts w:ascii="Arial" w:cs="Arial" w:eastAsia="Arial" w:hAnsi="Arial"/>
                <w:sz w:val="13"/>
                <w:szCs w:val="13"/>
                <w:color w:val="0000FF"/>
              </w:rPr>
              <w:t>01/26/2016</w:t>
            </w: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920" w:type="dxa"/>
            <w:vAlign w:val="bottom"/>
            <w:vMerge w:val="restart"/>
          </w:tcPr>
          <w:p>
            <w:pPr>
              <w:ind w:left="420"/>
              <w:spacing w:after="0" w:line="141" w:lineRule="exact"/>
              <w:rPr>
                <w:sz w:val="20"/>
                <w:szCs w:val="20"/>
                <w:color w:val="auto"/>
              </w:rPr>
            </w:pPr>
            <w:r>
              <w:rPr>
                <w:rFonts w:ascii="Arial" w:cs="Arial" w:eastAsia="Arial" w:hAnsi="Arial"/>
                <w:sz w:val="13"/>
                <w:szCs w:val="13"/>
                <w:color w:val="0000FF"/>
              </w:rPr>
              <w:t>445,189</w:t>
            </w:r>
          </w:p>
        </w:tc>
        <w:tc>
          <w:tcPr>
            <w:tcW w:w="76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9"/>
              </w:rPr>
              <w:t>12/31/2015</w:t>
            </w:r>
          </w:p>
        </w:tc>
        <w:tc>
          <w:tcPr>
            <w:tcW w:w="700" w:type="dxa"/>
            <w:vAlign w:val="bottom"/>
            <w:vMerge w:val="continue"/>
          </w:tcPr>
          <w:p>
            <w:pPr>
              <w:spacing w:after="0"/>
              <w:rPr>
                <w:sz w:val="6"/>
                <w:szCs w:val="6"/>
                <w:color w:val="auto"/>
              </w:rPr>
            </w:pPr>
          </w:p>
        </w:tc>
        <w:tc>
          <w:tcPr>
            <w:tcW w:w="4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gridSpan w:val="2"/>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80" w:type="dxa"/>
            <w:vAlign w:val="bottom"/>
            <w:vMerge w:val="restart"/>
          </w:tcPr>
          <w:p>
            <w:pPr>
              <w:ind w:left="400"/>
              <w:spacing w:after="0" w:line="141" w:lineRule="exact"/>
              <w:rPr>
                <w:sz w:val="20"/>
                <w:szCs w:val="20"/>
                <w:color w:val="auto"/>
              </w:rPr>
            </w:pPr>
            <w:r>
              <w:rPr>
                <w:rFonts w:ascii="Arial" w:cs="Arial" w:eastAsia="Arial" w:hAnsi="Arial"/>
                <w:sz w:val="13"/>
                <w:szCs w:val="13"/>
                <w:color w:val="0000FF"/>
                <w:w w:val="82"/>
              </w:rPr>
              <w:t>0</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vMerge w:val="restart"/>
          </w:tcPr>
          <w:p>
            <w:pPr>
              <w:jc w:val="center"/>
              <w:ind w:left="235"/>
              <w:spacing w:after="0" w:line="141" w:lineRule="exact"/>
              <w:rPr>
                <w:sz w:val="20"/>
                <w:szCs w:val="20"/>
                <w:color w:val="auto"/>
              </w:rPr>
            </w:pPr>
            <w:r>
              <w:rPr>
                <w:rFonts w:ascii="Arial" w:cs="Arial" w:eastAsia="Arial" w:hAnsi="Arial"/>
                <w:sz w:val="13"/>
                <w:szCs w:val="13"/>
                <w:color w:val="0000FF"/>
                <w:w w:val="84"/>
              </w:rPr>
              <w:t>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w w:val="98"/>
              </w:rPr>
              <w:t>Plains AAP,</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L.P.</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Shares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6"/>
              </w:rPr>
              <w:t>Class</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w w:val="94"/>
              </w:rPr>
              <w:t>representing</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3"/>
            <w:vMerge w:val="restart"/>
          </w:tcPr>
          <w:p>
            <w:pPr>
              <w:jc w:val="center"/>
              <w:ind w:right="256"/>
              <w:spacing w:after="0" w:line="204"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(1)</w:t>
            </w: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2"/>
            <w:vMerge w:val="restart"/>
          </w:tcPr>
          <w:p>
            <w:pPr>
              <w:jc w:val="right"/>
              <w:ind w:right="113"/>
              <w:spacing w:after="0"/>
              <w:rPr>
                <w:sz w:val="20"/>
                <w:szCs w:val="20"/>
                <w:color w:val="auto"/>
              </w:rPr>
            </w:pPr>
            <w:r>
              <w:rPr>
                <w:rFonts w:ascii="Arial" w:cs="Arial" w:eastAsia="Arial" w:hAnsi="Arial"/>
                <w:sz w:val="17"/>
                <w:szCs w:val="17"/>
                <w:color w:val="0000FF"/>
                <w:w w:val="87"/>
              </w:rPr>
              <w:t>445,189</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40" w:type="dxa"/>
            <w:vAlign w:val="bottom"/>
          </w:tcPr>
          <w:p>
            <w:pPr>
              <w:spacing w:after="0"/>
              <w:rPr>
                <w:sz w:val="6"/>
                <w:szCs w:val="6"/>
                <w:color w:val="auto"/>
              </w:rPr>
            </w:pPr>
          </w:p>
        </w:tc>
        <w:tc>
          <w:tcPr>
            <w:tcW w:w="1020" w:type="dxa"/>
            <w:vAlign w:val="bottom"/>
            <w:vMerge w:val="restart"/>
          </w:tcPr>
          <w:p>
            <w:pPr>
              <w:jc w:val="right"/>
              <w:ind w:right="120"/>
              <w:spacing w:after="0" w:line="141" w:lineRule="exact"/>
              <w:rPr>
                <w:sz w:val="20"/>
                <w:szCs w:val="20"/>
                <w:color w:val="auto"/>
              </w:rPr>
            </w:pPr>
            <w:r>
              <w:rPr>
                <w:rFonts w:ascii="Arial" w:cs="Arial" w:eastAsia="Arial" w:hAnsi="Arial"/>
                <w:sz w:val="13"/>
                <w:szCs w:val="13"/>
                <w:color w:val="0000FF"/>
              </w:rPr>
              <w:t>01/26/2016</w:t>
            </w: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920" w:type="dxa"/>
            <w:vAlign w:val="bottom"/>
            <w:vMerge w:val="restart"/>
          </w:tcPr>
          <w:p>
            <w:pPr>
              <w:ind w:left="420"/>
              <w:spacing w:after="0" w:line="141" w:lineRule="exact"/>
              <w:rPr>
                <w:sz w:val="20"/>
                <w:szCs w:val="20"/>
                <w:color w:val="auto"/>
              </w:rPr>
            </w:pPr>
            <w:r>
              <w:rPr>
                <w:rFonts w:ascii="Arial" w:cs="Arial" w:eastAsia="Arial" w:hAnsi="Arial"/>
                <w:sz w:val="13"/>
                <w:szCs w:val="13"/>
                <w:color w:val="0000FF"/>
              </w:rPr>
              <w:t>445,189</w:t>
            </w:r>
          </w:p>
        </w:tc>
        <w:tc>
          <w:tcPr>
            <w:tcW w:w="76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9"/>
              </w:rPr>
              <w:t>12/31/2015</w:t>
            </w:r>
          </w:p>
        </w:tc>
        <w:tc>
          <w:tcPr>
            <w:tcW w:w="700" w:type="dxa"/>
            <w:vAlign w:val="bottom"/>
            <w:vMerge w:val="continue"/>
          </w:tcPr>
          <w:p>
            <w:pPr>
              <w:spacing w:after="0"/>
              <w:rPr>
                <w:sz w:val="6"/>
                <w:szCs w:val="6"/>
                <w:color w:val="auto"/>
              </w:rPr>
            </w:pPr>
          </w:p>
        </w:tc>
        <w:tc>
          <w:tcPr>
            <w:tcW w:w="4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rPr>
              <w:t>A</w:t>
            </w:r>
          </w:p>
        </w:tc>
        <w:tc>
          <w:tcPr>
            <w:tcW w:w="2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gridSpan w:val="2"/>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480" w:type="dxa"/>
            <w:vAlign w:val="bottom"/>
            <w:vMerge w:val="restart"/>
          </w:tcPr>
          <w:p>
            <w:pPr>
              <w:ind w:left="400"/>
              <w:spacing w:after="0" w:line="141" w:lineRule="exact"/>
              <w:rPr>
                <w:sz w:val="20"/>
                <w:szCs w:val="20"/>
                <w:color w:val="auto"/>
              </w:rPr>
            </w:pPr>
            <w:r>
              <w:rPr>
                <w:rFonts w:ascii="Arial" w:cs="Arial" w:eastAsia="Arial" w:hAnsi="Arial"/>
                <w:sz w:val="13"/>
                <w:szCs w:val="13"/>
                <w:color w:val="0000FF"/>
                <w:w w:val="82"/>
              </w:rPr>
              <w:t>0</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vMerge w:val="restart"/>
          </w:tcPr>
          <w:p>
            <w:pPr>
              <w:jc w:val="center"/>
              <w:ind w:left="235"/>
              <w:spacing w:after="0" w:line="141" w:lineRule="exact"/>
              <w:rPr>
                <w:sz w:val="20"/>
                <w:szCs w:val="20"/>
                <w:color w:val="auto"/>
              </w:rPr>
            </w:pPr>
            <w:r>
              <w:rPr>
                <w:rFonts w:ascii="Arial" w:cs="Arial" w:eastAsia="Arial" w:hAnsi="Arial"/>
                <w:sz w:val="13"/>
                <w:szCs w:val="13"/>
                <w:color w:val="0000FF"/>
                <w:w w:val="84"/>
              </w:rPr>
              <w:t>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limited</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6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partner</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interest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6"/>
              </w:rPr>
              <w:t>Class</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24" w:lineRule="exact"/>
              <w:rPr>
                <w:sz w:val="20"/>
                <w:szCs w:val="20"/>
                <w:color w:val="auto"/>
              </w:rPr>
            </w:pPr>
            <w:r>
              <w:rPr>
                <w:rFonts w:ascii="Arial" w:cs="Arial" w:eastAsia="Arial" w:hAnsi="Arial"/>
                <w:sz w:val="13"/>
                <w:szCs w:val="13"/>
                <w:color w:val="0000FF"/>
              </w:rPr>
              <w:t>Units in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9"/>
              </w:rPr>
              <w:t>(2)(3)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9"/>
              </w:rPr>
              <w:t>(2)(3)</w:t>
            </w:r>
          </w:p>
        </w:tc>
        <w:tc>
          <w:tcPr>
            <w:tcW w:w="480" w:type="dxa"/>
            <w:vAlign w:val="bottom"/>
            <w:vMerge w:val="continue"/>
          </w:tcPr>
          <w:p>
            <w:pPr>
              <w:spacing w:after="0"/>
              <w:rPr>
                <w:sz w:val="5"/>
                <w:szCs w:val="5"/>
                <w:color w:val="auto"/>
              </w:rPr>
            </w:pPr>
          </w:p>
        </w:tc>
        <w:tc>
          <w:tcPr>
            <w:tcW w:w="720" w:type="dxa"/>
            <w:vAlign w:val="bottom"/>
            <w:gridSpan w:val="2"/>
            <w:vMerge w:val="restart"/>
          </w:tcPr>
          <w:p>
            <w:pPr>
              <w:ind w:left="40"/>
              <w:spacing w:after="0" w:line="188" w:lineRule="exact"/>
              <w:rPr>
                <w:sz w:val="20"/>
                <w:szCs w:val="20"/>
                <w:color w:val="auto"/>
              </w:rPr>
            </w:pPr>
            <w:r>
              <w:rPr>
                <w:rFonts w:ascii="Arial" w:cs="Arial" w:eastAsia="Arial" w:hAnsi="Arial"/>
                <w:sz w:val="17"/>
                <w:szCs w:val="17"/>
                <w:color w:val="0000FF"/>
                <w:w w:val="87"/>
              </w:rPr>
              <w:t>1,154,716</w:t>
            </w:r>
          </w:p>
        </w:tc>
        <w:tc>
          <w:tcPr>
            <w:tcW w:w="260" w:type="dxa"/>
            <w:vAlign w:val="bottom"/>
            <w:gridSpan w:val="2"/>
            <w:vMerge w:val="restart"/>
          </w:tcPr>
          <w:p>
            <w:pPr>
              <w:spacing w:after="0"/>
              <w:rPr>
                <w:sz w:val="20"/>
                <w:szCs w:val="20"/>
                <w:color w:val="auto"/>
              </w:rPr>
            </w:pPr>
            <w:r>
              <w:rPr>
                <w:rFonts w:ascii="Arial" w:cs="Arial" w:eastAsia="Arial" w:hAnsi="Arial"/>
                <w:sz w:val="11"/>
                <w:szCs w:val="11"/>
                <w:color w:val="008000"/>
                <w:w w:val="89"/>
              </w:rPr>
              <w:t>(2)(3)</w:t>
            </w: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vMerge w:val="restart"/>
          </w:tcPr>
          <w:p>
            <w:pPr>
              <w:jc w:val="right"/>
              <w:spacing w:after="0"/>
              <w:rPr>
                <w:sz w:val="20"/>
                <w:szCs w:val="20"/>
                <w:color w:val="auto"/>
              </w:rPr>
            </w:pPr>
            <w:r>
              <w:rPr>
                <w:rFonts w:ascii="Arial" w:cs="Arial" w:eastAsia="Arial" w:hAnsi="Arial"/>
                <w:sz w:val="11"/>
                <w:szCs w:val="11"/>
                <w:color w:val="008000"/>
                <w:w w:val="89"/>
              </w:rPr>
              <w:t>(2)(3)</w:t>
            </w: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rPr>
              <w:t>A</w:t>
            </w:r>
          </w:p>
        </w:tc>
        <w:tc>
          <w:tcPr>
            <w:tcW w:w="720" w:type="dxa"/>
            <w:vAlign w:val="bottom"/>
            <w:gridSpan w:val="2"/>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gridSpan w:val="2"/>
            <w:vMerge w:val="restart"/>
          </w:tcPr>
          <w:p>
            <w:pPr>
              <w:ind w:left="60"/>
              <w:spacing w:after="0" w:line="124" w:lineRule="exact"/>
              <w:rPr>
                <w:sz w:val="20"/>
                <w:szCs w:val="20"/>
                <w:color w:val="auto"/>
              </w:rPr>
            </w:pPr>
            <w:r>
              <w:rPr>
                <w:rFonts w:ascii="Arial" w:cs="Arial" w:eastAsia="Arial" w:hAnsi="Arial"/>
                <w:sz w:val="13"/>
                <w:szCs w:val="13"/>
                <w:color w:val="0000FF"/>
                <w:w w:val="82"/>
              </w:rPr>
              <w:t>1,154,716</w:t>
            </w:r>
          </w:p>
        </w:tc>
        <w:tc>
          <w:tcPr>
            <w:tcW w:w="280" w:type="dxa"/>
            <w:vAlign w:val="bottom"/>
            <w:vMerge w:val="continue"/>
          </w:tcPr>
          <w:p>
            <w:pPr>
              <w:spacing w:after="0"/>
              <w:rPr>
                <w:sz w:val="5"/>
                <w:szCs w:val="5"/>
                <w:color w:val="auto"/>
              </w:rPr>
            </w:pPr>
          </w:p>
        </w:tc>
        <w:tc>
          <w:tcPr>
            <w:tcW w:w="540" w:type="dxa"/>
            <w:vAlign w:val="bottom"/>
            <w:vMerge w:val="restart"/>
          </w:tcPr>
          <w:p>
            <w:pPr>
              <w:jc w:val="center"/>
              <w:ind w:left="235"/>
              <w:spacing w:after="0"/>
              <w:rPr>
                <w:sz w:val="20"/>
                <w:szCs w:val="20"/>
                <w:color w:val="auto"/>
              </w:rPr>
            </w:pPr>
            <w:r>
              <w:rPr>
                <w:rFonts w:ascii="Arial" w:cs="Arial" w:eastAsia="Arial" w:hAnsi="Arial"/>
                <w:sz w:val="13"/>
                <w:szCs w:val="13"/>
                <w:color w:val="0000FF"/>
              </w:rPr>
              <w:t>I</w:t>
            </w:r>
          </w:p>
        </w:tc>
        <w:tc>
          <w:tcPr>
            <w:tcW w:w="2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tcPr>
          <w:p>
            <w:pPr>
              <w:ind w:left="60"/>
              <w:spacing w:after="0" w:line="64" w:lineRule="exact"/>
              <w:rPr>
                <w:sz w:val="20"/>
                <w:szCs w:val="20"/>
                <w:color w:val="auto"/>
              </w:rPr>
            </w:pPr>
            <w:r>
              <w:rPr>
                <w:rFonts w:ascii="Arial" w:cs="Arial" w:eastAsia="Arial" w:hAnsi="Arial"/>
                <w:sz w:val="7"/>
                <w:szCs w:val="7"/>
                <w:color w:val="0000FF"/>
              </w:rPr>
              <w:t>Plains AAP,</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gridSpan w:val="3"/>
          </w:tcPr>
          <w:p>
            <w:pPr>
              <w:ind w:left="20"/>
              <w:spacing w:after="0" w:line="64" w:lineRule="exact"/>
              <w:rPr>
                <w:sz w:val="20"/>
                <w:szCs w:val="20"/>
                <w:color w:val="auto"/>
              </w:rPr>
            </w:pPr>
            <w:r>
              <w:rPr>
                <w:rFonts w:ascii="Arial" w:cs="Arial" w:eastAsia="Arial" w:hAnsi="Arial"/>
                <w:sz w:val="6"/>
                <w:szCs w:val="6"/>
                <w:color w:val="0000FF"/>
              </w:rPr>
              <w:t>footnotes</w:t>
            </w:r>
            <w:r>
              <w:rPr>
                <w:rFonts w:ascii="Arial" w:cs="Arial" w:eastAsia="Arial" w:hAnsi="Arial"/>
                <w:sz w:val="7"/>
                <w:szCs w:val="7"/>
                <w:color w:val="008000"/>
                <w:vertAlign w:val="superscript"/>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3500" w:type="dxa"/>
            <w:vAlign w:val="bottom"/>
            <w:vMerge w:val="restart"/>
          </w:tcPr>
          <w:p>
            <w:pPr>
              <w:spacing w:after="0"/>
              <w:rPr>
                <w:sz w:val="20"/>
                <w:szCs w:val="20"/>
                <w:color w:val="auto"/>
              </w:rPr>
            </w:pPr>
            <w:r>
              <w:rPr>
                <w:rFonts w:ascii="Arial" w:cs="Arial" w:eastAsia="Arial" w:hAnsi="Arial"/>
                <w:sz w:val="13"/>
                <w:szCs w:val="13"/>
                <w:color w:val="0000FF"/>
              </w:rPr>
              <w:t>L.P.</w:t>
            </w:r>
          </w:p>
        </w:tc>
        <w:tc>
          <w:tcPr>
            <w:tcW w:w="3640" w:type="dxa"/>
            <w:vAlign w:val="bottom"/>
          </w:tcPr>
          <w:p>
            <w:pPr>
              <w:ind w:left="3300"/>
              <w:spacing w:after="0"/>
              <w:rPr>
                <w:sz w:val="20"/>
                <w:szCs w:val="20"/>
                <w:color w:val="auto"/>
              </w:rPr>
            </w:pPr>
            <w:r>
              <w:rPr>
                <w:rFonts w:ascii="Arial" w:cs="Arial" w:eastAsia="Arial" w:hAnsi="Arial"/>
                <w:sz w:val="13"/>
                <w:szCs w:val="13"/>
                <w:color w:val="0000FF"/>
                <w:w w:val="77"/>
              </w:rPr>
              <w:t>Shares</w:t>
            </w:r>
          </w:p>
        </w:tc>
        <w:tc>
          <w:tcPr>
            <w:tcW w:w="0" w:type="dxa"/>
            <w:vAlign w:val="bottom"/>
          </w:tcPr>
          <w:p>
            <w:pPr>
              <w:spacing w:after="0"/>
              <w:rPr>
                <w:sz w:val="1"/>
                <w:szCs w:val="1"/>
                <w:color w:val="auto"/>
              </w:rPr>
            </w:pPr>
          </w:p>
        </w:tc>
      </w:tr>
      <w:tr>
        <w:trPr>
          <w:trHeight w:val="67"/>
        </w:trPr>
        <w:tc>
          <w:tcPr>
            <w:tcW w:w="3500" w:type="dxa"/>
            <w:vAlign w:val="bottom"/>
            <w:vMerge w:val="continue"/>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after December 31, 2015, a holder of vested Class B Units of AAP (the "Class B Units") may convert, from time to time, such Class B Units into an equal number of Class A Units of AAP (the "Class A Units") and Class B shares (the "Class B shares") of Plains GP Holdings, L.P. (the "Issuer"), at the then applicable conversion ratio. Following such conversion, the Class A Units and Class B shares are then together exchangeable for an equal number of Class A shares of the Issuer (the "Class A shares"). On 1/26/2016, the Reporting Person elected to exchange 445,189 Class A Units and 445,189 Class B shares for 445,189 Class A shares.</w:t>
      </w:r>
    </w:p>
    <w:p>
      <w:pPr>
        <w:spacing w:after="0" w:line="31" w:lineRule="exact"/>
        <w:rPr>
          <w:rFonts w:ascii="Arial" w:cs="Arial" w:eastAsia="Arial" w:hAnsi="Arial"/>
          <w:sz w:val="13"/>
          <w:szCs w:val="13"/>
          <w:color w:val="008000"/>
        </w:rPr>
      </w:pPr>
    </w:p>
    <w:p>
      <w:pPr>
        <w:ind w:left="40" w:right="180"/>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member of PAA Management LLC, the general partner of PAA Management, L.P. ("PAA Management"). As of the date of this Form 4, the Reporting Person holds an indirect ownership interest in the Issuer through his ownership in PAA Management. Therefore he may be deemed to be a beneficial owner of the interests held by PAA Management. The limited partnership agreement of AAP provides that each limited partner of AAP, including PAA Management, will have the right, at any time and from time to time, to exchange (the "Exchange Right") its Class A Units in AAP, together with a like number of Class B shares and units of the Issuer's general partner (the "GP Units"), for Class A shares on a one-for-one basis.</w:t>
      </w:r>
    </w:p>
    <w:p>
      <w:pPr>
        <w:spacing w:after="0" w:line="31" w:lineRule="exact"/>
        <w:rPr>
          <w:rFonts w:ascii="Arial" w:cs="Arial" w:eastAsia="Arial" w:hAnsi="Arial"/>
          <w:sz w:val="13"/>
          <w:szCs w:val="13"/>
          <w:color w:val="008000"/>
        </w:rPr>
      </w:pPr>
    </w:p>
    <w:p>
      <w:pPr>
        <w:ind w:left="40" w:right="24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Exchange Right does not expire and may be settled in cash at the option of the Issuer. As such, the Reporting Person may not be deemed to beneficially own the Class A shares reported herein. The number of Class A shares included in the table above represents the number of Class B shares, Class A Units and GP Units owned by PAA Management that are exchangeable for an equivalent number of Class A shares. The Reporting Person disclaims beneficial ownership of the securities held by PAA Management, except to the extent of his pecuniary interest therein.</w:t>
      </w:r>
    </w:p>
    <w:p>
      <w:pPr>
        <w:spacing w:after="0" w:line="30"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AAP, the right to exchange Class A Units and Class B shares (acquired in a conversion from Class B Units) for Class A shares does not expire.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Al Swanson</w:t>
            </w: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01/28/2016</w:t>
            </w:r>
          </w:p>
        </w:tc>
      </w:tr>
      <w:tr>
        <w:trPr>
          <w:trHeight w:val="20"/>
        </w:trPr>
        <w:tc>
          <w:tcPr>
            <w:tcW w:w="10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2"/>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412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6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270"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2020-01-19T05:29:13Z</dcterms:created>
  <dcterms:modified xsi:type="dcterms:W3CDTF">2020-01-19T05:29:13Z</dcterms:modified>
</cp:coreProperties>
</file>