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279005" cy="9395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005" cy="939546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560"/>
            <w:col w:w="8720"/>
          </w:cols>
          <w:pgMar w:left="240" w:top="221"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L.P.</w:t>
        </w:r>
      </w:hyperlink>
    </w:p>
    <w:p>
      <w:pPr>
        <w:spacing w:after="0" w:line="30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20"/>
        <w:spacing w:after="0" w:line="336" w:lineRule="auto"/>
        <w:rPr>
          <w:sz w:val="20"/>
          <w:szCs w:val="20"/>
          <w:color w:val="auto"/>
        </w:rPr>
      </w:pPr>
      <w:r>
        <w:rPr>
          <w:rFonts w:ascii="Arial" w:cs="Arial" w:eastAsia="Arial" w:hAnsi="Arial"/>
          <w:sz w:val="17"/>
          <w:szCs w:val="17"/>
          <w:color w:val="0000FF"/>
        </w:rPr>
        <w:t>1800 AVENUE OF THE STARS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jc w:val="center"/>
        <w:ind w:right="137"/>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PLAINS GP HOLDINGS LP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PAGP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12/30/2014</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3" w:right="780" w:hanging="3"/>
        <w:spacing w:after="0" w:line="237"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1842" w:val="left"/>
          <w:tab w:leader="none" w:pos="218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8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1" w:lineRule="exact"/>
        <w:rPr>
          <w:sz w:val="24"/>
          <w:szCs w:val="24"/>
          <w:color w:val="auto"/>
        </w:rPr>
      </w:pPr>
    </w:p>
    <w:p>
      <w:pPr>
        <w:sectPr>
          <w:pgSz w:w="11900" w:h="16838" w:orient="portrait"/>
          <w:cols w:equalWidth="0" w:num="3">
            <w:col w:w="3340" w:space="720"/>
            <w:col w:w="3257" w:space="720"/>
            <w:col w:w="3483"/>
          </w:cols>
          <w:pgMar w:left="240" w:top="221" w:right="139" w:bottom="0" w:gutter="0" w:footer="0" w:header="0"/>
          <w:type w:val="continuous"/>
        </w:sectPr>
      </w:pPr>
    </w:p>
    <w:tbl>
      <w:tblPr>
        <w:tblLayout w:type="fixed"/>
        <w:tblInd w:w="8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3800" w:type="dxa"/>
            <w:vAlign w:val="bottom"/>
            <w:tcBorders>
              <w:top w:val="single" w:sz="8" w:color="9A9A9A"/>
            </w:tcBorders>
          </w:tcPr>
          <w:p>
            <w:pPr>
              <w:spacing w:after="0"/>
              <w:rPr>
                <w:sz w:val="11"/>
                <w:szCs w:val="11"/>
                <w:color w:val="auto"/>
              </w:rPr>
            </w:pPr>
          </w:p>
        </w:tc>
        <w:tc>
          <w:tcPr>
            <w:tcW w:w="3780" w:type="dxa"/>
            <w:vAlign w:val="bottom"/>
          </w:tcPr>
          <w:p>
            <w:pPr>
              <w:ind w:left="160"/>
              <w:spacing w:after="0" w:line="129" w:lineRule="exact"/>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tcPr>
          <w:p>
            <w:pPr>
              <w:ind w:left="360"/>
              <w:spacing w:after="0" w:line="129" w:lineRule="exact"/>
              <w:rPr>
                <w:sz w:val="20"/>
                <w:szCs w:val="20"/>
                <w:color w:val="auto"/>
              </w:rPr>
            </w:pPr>
            <w:r>
              <w:rPr>
                <w:rFonts w:ascii="Arial" w:cs="Arial" w:eastAsia="Arial" w:hAnsi="Arial"/>
                <w:sz w:val="13"/>
                <w:szCs w:val="13"/>
                <w:color w:val="auto"/>
                <w:w w:val="97"/>
              </w:rPr>
              <w:t>6. Individual or Joint/Group Filing (Check Applicable Line)</w:t>
            </w:r>
          </w:p>
        </w:tc>
        <w:tc>
          <w:tcPr>
            <w:tcW w:w="0" w:type="dxa"/>
            <w:vAlign w:val="bottom"/>
          </w:tcPr>
          <w:p>
            <w:pPr>
              <w:spacing w:after="0"/>
              <w:rPr>
                <w:sz w:val="1"/>
                <w:szCs w:val="1"/>
                <w:color w:val="auto"/>
              </w:rPr>
            </w:pPr>
          </w:p>
        </w:tc>
      </w:tr>
      <w:tr>
        <w:trPr>
          <w:trHeight w:val="154"/>
        </w:trPr>
        <w:tc>
          <w:tcPr>
            <w:tcW w:w="7600" w:type="dxa"/>
            <w:vAlign w:val="bottom"/>
            <w:gridSpan w:val="3"/>
          </w:tcPr>
          <w:p>
            <w:pPr>
              <w:spacing w:after="0"/>
              <w:rPr>
                <w:sz w:val="20"/>
                <w:szCs w:val="20"/>
                <w:color w:val="auto"/>
              </w:rPr>
            </w:pPr>
            <w:r>
              <w:rPr>
                <w:rFonts w:ascii="Arial" w:cs="Arial" w:eastAsia="Arial" w:hAnsi="Arial"/>
                <w:sz w:val="13"/>
                <w:szCs w:val="13"/>
                <w:color w:val="auto"/>
              </w:rPr>
              <w:t>(Street)</w:t>
            </w:r>
          </w:p>
        </w:tc>
        <w:tc>
          <w:tcPr>
            <w:tcW w:w="3620" w:type="dxa"/>
            <w:vAlign w:val="bottom"/>
            <w:vMerge w:val="restart"/>
          </w:tcPr>
          <w:p>
            <w:pPr>
              <w:ind w:left="9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60" w:type="dxa"/>
            <w:vAlign w:val="bottom"/>
            <w:gridSpan w:val="4"/>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120"/>
              <w:spacing w:after="0"/>
              <w:rPr>
                <w:sz w:val="20"/>
                <w:szCs w:val="20"/>
                <w:color w:val="auto"/>
              </w:rPr>
            </w:pPr>
            <w:r>
              <w:rPr>
                <w:rFonts w:ascii="Arial" w:cs="Arial" w:eastAsia="Arial" w:hAnsi="Arial"/>
                <w:sz w:val="17"/>
                <w:szCs w:val="17"/>
                <w:color w:val="0000FF"/>
              </w:rPr>
              <w:t>90067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40" w:type="dxa"/>
            <w:vAlign w:val="bottom"/>
            <w:gridSpan w:val="9"/>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4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gridSpan w:val="2"/>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1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860" w:type="dxa"/>
            <w:vAlign w:val="bottom"/>
            <w:tcBorders>
              <w:bottom w:val="single" w:sz="8" w:color="2C2C2C"/>
            </w:tcBorders>
            <w:gridSpan w:val="6"/>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80" w:type="dxa"/>
            <w:vAlign w:val="bottom"/>
            <w:gridSpan w:val="6"/>
          </w:tcPr>
          <w:p>
            <w:pPr>
              <w:ind w:left="100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gridSpan w:val="2"/>
          </w:tcPr>
          <w:p>
            <w:pPr>
              <w:ind w:left="1000"/>
              <w:spacing w:after="0" w:line="12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280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68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8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80" w:type="dxa"/>
            <w:vAlign w:val="bottom"/>
            <w:gridSpan w:val="6"/>
          </w:tcPr>
          <w:p>
            <w:pPr>
              <w:ind w:left="100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58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(I) (Instr. 4)</w:t>
            </w:r>
          </w:p>
        </w:tc>
        <w:tc>
          <w:tcPr>
            <w:tcW w:w="34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96"/>
              </w:rPr>
              <w:t>Amount</w:t>
            </w:r>
          </w:p>
        </w:tc>
        <w:tc>
          <w:tcPr>
            <w:tcW w:w="740" w:type="dxa"/>
            <w:vAlign w:val="bottom"/>
          </w:tcPr>
          <w:p>
            <w:pPr>
              <w:ind w:left="400"/>
              <w:spacing w:after="0" w:line="129"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vMerge w:val="restart"/>
          </w:tcPr>
          <w:p>
            <w:pPr>
              <w:ind w:left="40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60" w:type="dxa"/>
            <w:vAlign w:val="bottom"/>
            <w:tcBorders>
              <w:bottom w:val="single" w:sz="8" w:color="2C2C2C"/>
            </w:tcBorders>
            <w:gridSpan w:val="6"/>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5"/>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900" w:type="dxa"/>
            <w:vAlign w:val="bottom"/>
            <w:gridSpan w:val="14"/>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5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5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Derivative Security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Acquired (A)</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3 and 4)</w:t>
            </w:r>
          </w:p>
        </w:tc>
        <w:tc>
          <w:tcPr>
            <w:tcW w:w="7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 of</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 (Instr. 3, 4</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See</w:t>
            </w:r>
          </w:p>
        </w:tc>
        <w:tc>
          <w:tcPr>
            <w:tcW w:w="6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40" w:type="dxa"/>
            <w:vAlign w:val="bottom"/>
          </w:tcPr>
          <w:p>
            <w:pPr>
              <w:spacing w:after="0"/>
              <w:rPr>
                <w:sz w:val="15"/>
                <w:szCs w:val="15"/>
                <w:color w:val="auto"/>
              </w:rPr>
            </w:pPr>
          </w:p>
        </w:tc>
        <w:tc>
          <w:tcPr>
            <w:tcW w:w="1020" w:type="dxa"/>
            <w:vAlign w:val="bottom"/>
            <w:gridSpan w:val="3"/>
            <w:vMerge w:val="restart"/>
          </w:tcPr>
          <w:p>
            <w:pPr>
              <w:ind w:left="240"/>
              <w:spacing w:after="0"/>
              <w:rPr>
                <w:sz w:val="20"/>
                <w:szCs w:val="20"/>
                <w:color w:val="auto"/>
              </w:rPr>
            </w:pPr>
            <w:r>
              <w:rPr>
                <w:rFonts w:ascii="Arial" w:cs="Arial" w:eastAsia="Arial" w:hAnsi="Arial"/>
                <w:sz w:val="13"/>
                <w:szCs w:val="13"/>
                <w:color w:val="0000FF"/>
              </w:rPr>
              <w:t>12/30/2014</w:t>
            </w:r>
          </w:p>
        </w:tc>
        <w:tc>
          <w:tcPr>
            <w:tcW w:w="1140" w:type="dxa"/>
            <w:vAlign w:val="bottom"/>
          </w:tcPr>
          <w:p>
            <w:pPr>
              <w:spacing w:after="0"/>
              <w:rPr>
                <w:sz w:val="15"/>
                <w:szCs w:val="15"/>
                <w:color w:val="auto"/>
              </w:rPr>
            </w:pPr>
          </w:p>
        </w:tc>
        <w:tc>
          <w:tcPr>
            <w:tcW w:w="160" w:type="dxa"/>
            <w:vAlign w:val="bottom"/>
            <w:vMerge w:val="restart"/>
          </w:tcPr>
          <w:p>
            <w:pPr>
              <w:ind w:left="120"/>
              <w:spacing w:after="0"/>
              <w:rPr>
                <w:sz w:val="20"/>
                <w:szCs w:val="20"/>
                <w:color w:val="auto"/>
              </w:rPr>
            </w:pPr>
            <w:r>
              <w:rPr>
                <w:rFonts w:ascii="Arial" w:cs="Arial" w:eastAsia="Arial" w:hAnsi="Arial"/>
                <w:sz w:val="5"/>
                <w:szCs w:val="5"/>
                <w:color w:val="0000FF"/>
                <w:w w:val="78"/>
              </w:rPr>
              <w:t>J</w:t>
            </w:r>
          </w:p>
        </w:tc>
        <w:tc>
          <w:tcPr>
            <w:tcW w:w="42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vMerge w:val="restart"/>
          </w:tcPr>
          <w:p>
            <w:pPr>
              <w:ind w:left="320"/>
              <w:spacing w:after="0"/>
              <w:rPr>
                <w:sz w:val="20"/>
                <w:szCs w:val="20"/>
                <w:color w:val="auto"/>
              </w:rPr>
            </w:pPr>
            <w:r>
              <w:rPr>
                <w:rFonts w:ascii="Arial" w:cs="Arial" w:eastAsia="Arial" w:hAnsi="Arial"/>
                <w:sz w:val="13"/>
                <w:szCs w:val="13"/>
                <w:color w:val="0000FF"/>
                <w:w w:val="96"/>
              </w:rPr>
              <w:t>1,886,637</w:t>
            </w:r>
          </w:p>
        </w:tc>
        <w:tc>
          <w:tcPr>
            <w:tcW w:w="220" w:type="dxa"/>
            <w:vAlign w:val="bottom"/>
          </w:tcPr>
          <w:p>
            <w:pPr>
              <w:spacing w:after="0"/>
              <w:rPr>
                <w:sz w:val="15"/>
                <w:szCs w:val="15"/>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740" w:type="dxa"/>
            <w:vAlign w:val="bottom"/>
          </w:tcPr>
          <w:p>
            <w:pPr>
              <w:ind w:left="140"/>
              <w:spacing w:after="0"/>
              <w:rPr>
                <w:sz w:val="20"/>
                <w:szCs w:val="20"/>
                <w:color w:val="auto"/>
              </w:rPr>
            </w:pPr>
            <w:r>
              <w:rPr>
                <w:rFonts w:ascii="Arial" w:cs="Arial" w:eastAsia="Arial" w:hAnsi="Arial"/>
                <w:sz w:val="13"/>
                <w:szCs w:val="13"/>
                <w:color w:val="0000FF"/>
              </w:rPr>
              <w:t>Class A</w:t>
            </w:r>
          </w:p>
        </w:tc>
        <w:tc>
          <w:tcPr>
            <w:tcW w:w="760" w:type="dxa"/>
            <w:vAlign w:val="bottom"/>
            <w:vMerge w:val="restart"/>
          </w:tcPr>
          <w:p>
            <w:pPr>
              <w:ind w:left="20"/>
              <w:spacing w:after="0"/>
              <w:rPr>
                <w:sz w:val="20"/>
                <w:szCs w:val="20"/>
                <w:color w:val="auto"/>
              </w:rPr>
            </w:pPr>
            <w:r>
              <w:rPr>
                <w:rFonts w:ascii="Arial" w:cs="Arial" w:eastAsia="Arial" w:hAnsi="Arial"/>
                <w:sz w:val="17"/>
                <w:szCs w:val="17"/>
                <w:color w:val="0000FF"/>
                <w:w w:val="95"/>
              </w:rPr>
              <w:t>1,886,637</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101,315,939</w:t>
            </w:r>
          </w:p>
        </w:tc>
        <w:tc>
          <w:tcPr>
            <w:tcW w:w="300" w:type="dxa"/>
            <w:vAlign w:val="bottom"/>
            <w:vMerge w:val="restart"/>
          </w:tcPr>
          <w:p>
            <w:pPr>
              <w:ind w:left="200"/>
              <w:spacing w:after="0"/>
              <w:rPr>
                <w:sz w:val="20"/>
                <w:szCs w:val="20"/>
                <w:color w:val="auto"/>
              </w:rPr>
            </w:pPr>
            <w:r>
              <w:rPr>
                <w:rFonts w:ascii="Arial" w:cs="Arial" w:eastAsia="Arial" w:hAnsi="Arial"/>
                <w:sz w:val="13"/>
                <w:szCs w:val="13"/>
                <w:color w:val="0000FF"/>
                <w:w w:val="84"/>
              </w:rPr>
              <w:t>D</w:t>
            </w:r>
          </w:p>
        </w:tc>
        <w:tc>
          <w:tcPr>
            <w:tcW w:w="340" w:type="dxa"/>
            <w:vAlign w:val="bottom"/>
            <w:vMerge w:val="restart"/>
          </w:tcPr>
          <w:p>
            <w:pPr>
              <w:jc w:val="right"/>
              <w:ind w:right="47"/>
              <w:spacing w:after="0"/>
              <w:rPr>
                <w:sz w:val="20"/>
                <w:szCs w:val="20"/>
                <w:color w:val="auto"/>
              </w:rPr>
            </w:pPr>
            <w:r>
              <w:rPr>
                <w:rFonts w:ascii="Arial" w:cs="Arial" w:eastAsia="Arial" w:hAnsi="Arial"/>
                <w:sz w:val="11"/>
                <w:szCs w:val="11"/>
                <w:color w:val="008000"/>
                <w:w w:val="81"/>
              </w:rPr>
              <w:t>(1)(2)</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3"/>
          </w:tcPr>
          <w:p>
            <w:pPr>
              <w:ind w:left="60"/>
              <w:spacing w:after="0" w:line="65" w:lineRule="exact"/>
              <w:rPr>
                <w:sz w:val="20"/>
                <w:szCs w:val="20"/>
                <w:color w:val="auto"/>
              </w:rPr>
            </w:pPr>
            <w:r>
              <w:rPr>
                <w:rFonts w:ascii="Arial" w:cs="Arial" w:eastAsia="Arial" w:hAnsi="Arial"/>
                <w:sz w:val="6"/>
                <w:szCs w:val="6"/>
                <w:color w:val="0000FF"/>
              </w:rPr>
              <w:t>footnotes</w:t>
            </w:r>
            <w:r>
              <w:rPr>
                <w:rFonts w:ascii="Arial" w:cs="Arial" w:eastAsia="Arial" w:hAnsi="Arial"/>
                <w:sz w:val="7"/>
                <w:szCs w:val="7"/>
                <w:color w:val="008000"/>
                <w:vertAlign w:val="superscript"/>
              </w:rPr>
              <w:t>(1)</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ind w:left="40"/>
              <w:spacing w:after="0" w:line="65"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(1)(2)</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gridSpan w:val="2"/>
          </w:tcPr>
          <w:p>
            <w:pPr>
              <w:spacing w:after="0"/>
              <w:rPr>
                <w:sz w:val="15"/>
                <w:szCs w:val="15"/>
                <w:color w:val="auto"/>
              </w:rPr>
            </w:pPr>
          </w:p>
        </w:tc>
        <w:tc>
          <w:tcPr>
            <w:tcW w:w="1980" w:type="dxa"/>
            <w:vAlign w:val="bottom"/>
            <w:tcBorders>
              <w:bottom w:val="single" w:sz="8" w:color="2C2C2C"/>
            </w:tcBorders>
            <w:gridSpan w:val="4"/>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8"/>
          </w:tcPr>
          <w:p>
            <w:pPr>
              <w:ind w:left="60"/>
              <w:spacing w:after="0" w:line="234"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4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14" w:lineRule="exact"/>
              <w:rPr>
                <w:rFonts w:ascii="Arial" w:cs="Arial" w:eastAsia="Arial" w:hAnsi="Arial"/>
                <w:sz w:val="21"/>
                <w:szCs w:val="21"/>
                <w:color w:val="0000EE"/>
              </w:rPr>
            </w:pPr>
            <w:hyperlink r:id="rId12">
              <w:r>
                <w:rPr>
                  <w:rFonts w:ascii="Arial" w:cs="Arial" w:eastAsia="Arial" w:hAnsi="Arial"/>
                  <w:sz w:val="21"/>
                  <w:szCs w:val="21"/>
                  <w:color w:val="0000EE"/>
                </w:rPr>
                <w:t>KAFU HOLDINGS, L.P.</w:t>
              </w:r>
            </w:hyperlink>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5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6"/>
          </w:tcPr>
          <w:p>
            <w:pPr>
              <w:spacing w:after="0"/>
              <w:rPr>
                <w:sz w:val="20"/>
                <w:szCs w:val="20"/>
                <w:color w:val="auto"/>
              </w:rPr>
            </w:pPr>
            <w:r>
              <w:rPr>
                <w:rFonts w:ascii="Arial" w:cs="Arial" w:eastAsia="Arial" w:hAnsi="Arial"/>
                <w:sz w:val="17"/>
                <w:szCs w:val="17"/>
                <w:color w:val="0000FF"/>
                <w:w w:val="99"/>
              </w:rPr>
              <w:t>1800 AVENUE OF THE STARS</w:t>
            </w: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40" w:type="dxa"/>
            <w:vAlign w:val="bottom"/>
          </w:tcPr>
          <w:p>
            <w:pPr>
              <w:spacing w:after="0"/>
              <w:rPr>
                <w:sz w:val="20"/>
                <w:szCs w:val="20"/>
                <w:color w:val="auto"/>
              </w:rPr>
            </w:pPr>
          </w:p>
        </w:tc>
        <w:tc>
          <w:tcPr>
            <w:tcW w:w="1020" w:type="dxa"/>
            <w:vAlign w:val="bottom"/>
            <w:gridSpan w:val="3"/>
          </w:tcPr>
          <w:p>
            <w:pPr>
              <w:ind w:left="60"/>
              <w:spacing w:after="0"/>
              <w:rPr>
                <w:sz w:val="20"/>
                <w:szCs w:val="20"/>
                <w:color w:val="auto"/>
              </w:rPr>
            </w:pPr>
            <w:r>
              <w:rPr>
                <w:rFonts w:ascii="Arial" w:cs="Arial" w:eastAsia="Arial" w:hAnsi="Arial"/>
                <w:sz w:val="17"/>
                <w:szCs w:val="17"/>
                <w:color w:val="0000FF"/>
              </w:rPr>
              <w:t>CA</w:t>
            </w:r>
          </w:p>
        </w:tc>
        <w:tc>
          <w:tcPr>
            <w:tcW w:w="1140" w:type="dxa"/>
            <w:vAlign w:val="bottom"/>
          </w:tcPr>
          <w:p>
            <w:pPr>
              <w:ind w:left="500"/>
              <w:spacing w:after="0"/>
              <w:rPr>
                <w:sz w:val="20"/>
                <w:szCs w:val="20"/>
                <w:color w:val="auto"/>
              </w:rPr>
            </w:pPr>
            <w:r>
              <w:rPr>
                <w:rFonts w:ascii="Arial" w:cs="Arial" w:eastAsia="Arial" w:hAnsi="Arial"/>
                <w:sz w:val="17"/>
                <w:szCs w:val="17"/>
                <w:color w:val="0000FF"/>
              </w:rPr>
              <w:t>90067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5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8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14" w:lineRule="exact"/>
              <w:rPr>
                <w:rFonts w:ascii="Arial" w:cs="Arial" w:eastAsia="Arial" w:hAnsi="Arial"/>
                <w:sz w:val="21"/>
                <w:szCs w:val="21"/>
                <w:color w:val="0000EE"/>
              </w:rPr>
            </w:pPr>
            <w:hyperlink r:id="rId14">
              <w:r>
                <w:rPr>
                  <w:rFonts w:ascii="Arial" w:cs="Arial" w:eastAsia="Arial" w:hAnsi="Arial"/>
                  <w:sz w:val="21"/>
                  <w:szCs w:val="21"/>
                  <w:color w:val="0000EE"/>
                </w:rPr>
                <w:t>KAFU Holdings II, L.P.</w:t>
              </w:r>
            </w:hyperlink>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5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6"/>
          </w:tcPr>
          <w:p>
            <w:pPr>
              <w:spacing w:after="0"/>
              <w:rPr>
                <w:sz w:val="20"/>
                <w:szCs w:val="20"/>
                <w:color w:val="auto"/>
              </w:rPr>
            </w:pPr>
            <w:r>
              <w:rPr>
                <w:rFonts w:ascii="Arial" w:cs="Arial" w:eastAsia="Arial" w:hAnsi="Arial"/>
                <w:sz w:val="17"/>
                <w:szCs w:val="17"/>
                <w:color w:val="0000FF"/>
                <w:w w:val="99"/>
              </w:rPr>
              <w:t>1800 AVENUE OF THE STARS</w:t>
            </w: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40" w:type="dxa"/>
            <w:vAlign w:val="bottom"/>
          </w:tcPr>
          <w:p>
            <w:pPr>
              <w:spacing w:after="0"/>
              <w:rPr>
                <w:sz w:val="20"/>
                <w:szCs w:val="20"/>
                <w:color w:val="auto"/>
              </w:rPr>
            </w:pPr>
          </w:p>
        </w:tc>
        <w:tc>
          <w:tcPr>
            <w:tcW w:w="1020" w:type="dxa"/>
            <w:vAlign w:val="bottom"/>
            <w:gridSpan w:val="3"/>
          </w:tcPr>
          <w:p>
            <w:pPr>
              <w:ind w:left="60"/>
              <w:spacing w:after="0"/>
              <w:rPr>
                <w:sz w:val="20"/>
                <w:szCs w:val="20"/>
                <w:color w:val="auto"/>
              </w:rPr>
            </w:pPr>
            <w:r>
              <w:rPr>
                <w:rFonts w:ascii="Arial" w:cs="Arial" w:eastAsia="Arial" w:hAnsi="Arial"/>
                <w:sz w:val="17"/>
                <w:szCs w:val="17"/>
                <w:color w:val="0000FF"/>
              </w:rPr>
              <w:t>CA</w:t>
            </w:r>
          </w:p>
        </w:tc>
        <w:tc>
          <w:tcPr>
            <w:tcW w:w="1140" w:type="dxa"/>
            <w:vAlign w:val="bottom"/>
          </w:tcPr>
          <w:p>
            <w:pPr>
              <w:ind w:left="500"/>
              <w:spacing w:after="0"/>
              <w:rPr>
                <w:sz w:val="20"/>
                <w:szCs w:val="20"/>
                <w:color w:val="auto"/>
              </w:rPr>
            </w:pPr>
            <w:r>
              <w:rPr>
                <w:rFonts w:ascii="Arial" w:cs="Arial" w:eastAsia="Arial" w:hAnsi="Arial"/>
                <w:sz w:val="17"/>
                <w:szCs w:val="17"/>
                <w:color w:val="0000FF"/>
              </w:rPr>
              <w:t>90067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5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8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gridSpan w:val="12"/>
          </w:tcPr>
          <w:p>
            <w:pPr>
              <w:spacing w:after="0" w:line="214" w:lineRule="exact"/>
              <w:rPr>
                <w:rFonts w:ascii="Arial" w:cs="Arial" w:eastAsia="Arial" w:hAnsi="Arial"/>
                <w:sz w:val="21"/>
                <w:szCs w:val="21"/>
                <w:color w:val="0000EE"/>
              </w:rPr>
            </w:pPr>
            <w:hyperlink r:id="rId15">
              <w:r>
                <w:rPr>
                  <w:rFonts w:ascii="Arial" w:cs="Arial" w:eastAsia="Arial" w:hAnsi="Arial"/>
                  <w:sz w:val="21"/>
                  <w:szCs w:val="21"/>
                  <w:color w:val="0000EE"/>
                </w:rPr>
                <w:t>KAYNE ANDERSON CAPITAL ADVISORS LP</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5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6"/>
          </w:tcPr>
          <w:p>
            <w:pPr>
              <w:spacing w:after="0"/>
              <w:rPr>
                <w:sz w:val="20"/>
                <w:szCs w:val="20"/>
                <w:color w:val="auto"/>
              </w:rPr>
            </w:pPr>
            <w:r>
              <w:rPr>
                <w:rFonts w:ascii="Arial" w:cs="Arial" w:eastAsia="Arial" w:hAnsi="Arial"/>
                <w:sz w:val="17"/>
                <w:szCs w:val="17"/>
                <w:color w:val="0000FF"/>
                <w:w w:val="99"/>
              </w:rPr>
              <w:t>1800 AVENUE OF THE STARS</w:t>
            </w: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40" w:type="dxa"/>
            <w:vAlign w:val="bottom"/>
          </w:tcPr>
          <w:p>
            <w:pPr>
              <w:spacing w:after="0"/>
              <w:rPr>
                <w:sz w:val="20"/>
                <w:szCs w:val="20"/>
                <w:color w:val="auto"/>
              </w:rPr>
            </w:pPr>
          </w:p>
        </w:tc>
        <w:tc>
          <w:tcPr>
            <w:tcW w:w="1020" w:type="dxa"/>
            <w:vAlign w:val="bottom"/>
            <w:gridSpan w:val="3"/>
          </w:tcPr>
          <w:p>
            <w:pPr>
              <w:ind w:left="60"/>
              <w:spacing w:after="0"/>
              <w:rPr>
                <w:sz w:val="20"/>
                <w:szCs w:val="20"/>
                <w:color w:val="auto"/>
              </w:rPr>
            </w:pPr>
            <w:r>
              <w:rPr>
                <w:rFonts w:ascii="Arial" w:cs="Arial" w:eastAsia="Arial" w:hAnsi="Arial"/>
                <w:sz w:val="17"/>
                <w:szCs w:val="17"/>
                <w:color w:val="0000FF"/>
              </w:rPr>
              <w:t>CA</w:t>
            </w:r>
          </w:p>
        </w:tc>
        <w:tc>
          <w:tcPr>
            <w:tcW w:w="1140" w:type="dxa"/>
            <w:vAlign w:val="bottom"/>
          </w:tcPr>
          <w:p>
            <w:pPr>
              <w:ind w:left="500"/>
              <w:spacing w:after="0"/>
              <w:rPr>
                <w:sz w:val="20"/>
                <w:szCs w:val="20"/>
                <w:color w:val="auto"/>
              </w:rPr>
            </w:pPr>
            <w:r>
              <w:rPr>
                <w:rFonts w:ascii="Arial" w:cs="Arial" w:eastAsia="Arial" w:hAnsi="Arial"/>
                <w:sz w:val="17"/>
                <w:szCs w:val="17"/>
                <w:color w:val="0000FF"/>
              </w:rPr>
              <w:t>90067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-6424930</wp:posOffset>
            </wp:positionV>
            <wp:extent cx="24130" cy="1623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623060"/>
                    </a:xfrm>
                    <a:prstGeom prst="rect">
                      <a:avLst/>
                    </a:prstGeom>
                    <a:noFill/>
                  </pic:spPr>
                </pic:pic>
              </a:graphicData>
            </a:graphic>
          </wp:anchor>
        </w:drawing>
      </w:r>
    </w:p>
    <w:p>
      <w:pPr>
        <w:sectPr>
          <w:pgSz w:w="11900" w:h="16838" w:orient="portrait"/>
          <w:cols w:equalWidth="0" w:num="1">
            <w:col w:w="11520"/>
          </w:cols>
          <w:pgMar w:left="240" w:top="221" w:right="139" w:bottom="0" w:gutter="0" w:footer="0" w:header="0"/>
          <w:type w:val="continuous"/>
        </w:sectPr>
      </w:pPr>
    </w:p>
    <w:p>
      <w:pPr>
        <w:spacing w:after="0" w:line="309"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520"/>
          </w:cols>
          <w:pgMar w:left="240" w:top="221"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firstLine="1"/>
        <w:spacing w:after="0" w:line="235"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KAFU Holdings, L.P. and KAFU Holdings II, L.P. (collectively, "KAFU") hold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limited partnership agreement of AAP was amended and restated to provide that each limited partner of AAP, including KAFU, will have the right at any time (without expiration) to immediately exchange (the "Exchange Right") its Class A units in AAP together with a like number of Class B shares and the GP Units, for a like number of Class A shares of the Issuer.</w:t>
      </w:r>
    </w:p>
    <w:p>
      <w:pPr>
        <w:spacing w:after="0" w:line="30" w:lineRule="exact"/>
        <w:rPr>
          <w:rFonts w:ascii="Arial" w:cs="Arial" w:eastAsia="Arial" w:hAnsi="Arial"/>
          <w:sz w:val="13"/>
          <w:szCs w:val="13"/>
          <w:color w:val="008000"/>
        </w:rPr>
      </w:pPr>
    </w:p>
    <w:p>
      <w:pPr>
        <w:ind w:firstLine="1"/>
        <w:spacing w:after="0" w:line="287"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Kayne Anderson Capital Advisors, L.P. ("KACALP") is the manager of the general partner of KAFU and may be deemed to beneficially own the Class B shares, Class A Units in AAP, and the GP Units held by KAFU. The filing of this statement shall not be construed as an admission that either KAFU or KACALP are, for purposes of Section 13(d) of the Exchange Act, as amended, the beneficial owner of any security.</w:t>
      </w:r>
    </w:p>
    <w:p>
      <w:pPr>
        <w:spacing w:after="0" w:line="3" w:lineRule="exact"/>
        <w:rPr>
          <w:rFonts w:ascii="Arial" w:cs="Arial" w:eastAsia="Arial" w:hAnsi="Arial"/>
          <w:sz w:val="12"/>
          <w:szCs w:val="12"/>
          <w:color w:val="008000"/>
        </w:rPr>
      </w:pPr>
    </w:p>
    <w:p>
      <w:pPr>
        <w:ind w:left="120" w:hanging="119"/>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is an in-kind distribution to several limited partners of KAFU Holdings, L.P. for the sole purpose of affecting charitable gifts.</w:t>
      </w:r>
    </w:p>
    <w:p>
      <w:pPr>
        <w:spacing w:after="0" w:line="49"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40" w:type="dxa"/>
            <w:vAlign w:val="bottom"/>
          </w:tcPr>
          <w:p>
            <w:pPr>
              <w:spacing w:after="0"/>
              <w:rPr>
                <w:sz w:val="20"/>
                <w:szCs w:val="20"/>
                <w:color w:val="auto"/>
              </w:rPr>
            </w:pPr>
            <w:r>
              <w:rPr>
                <w:rFonts w:ascii="Arial" w:cs="Arial" w:eastAsia="Arial" w:hAnsi="Arial"/>
                <w:sz w:val="17"/>
                <w:szCs w:val="17"/>
                <w:color w:val="0000FF"/>
                <w:w w:val="90"/>
              </w:rPr>
              <w:t>David Shladovsky</w:t>
            </w:r>
          </w:p>
        </w:tc>
        <w:tc>
          <w:tcPr>
            <w:tcW w:w="84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12/31/2014</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940" w:firstLine="1"/>
        <w:spacing w:after="0" w:line="331"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4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59001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087" TargetMode="External"/><Relationship Id="rId15"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2019-12-06T11:43:48Z</dcterms:created>
  <dcterms:modified xsi:type="dcterms:W3CDTF">2019-12-06T11:43:48Z</dcterms:modified>
</cp:coreProperties>
</file>