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190434z10-k.htm"/>
      <w:bookmarkStart w:id="1" w:name="ksa2190434z10k"/>
      <w:bookmarkStart w:id="2" w:name="a2190434z10-k.htm"/>
      <w:bookmarkStart w:id="3" w:name="ksa2190434z10k"/>
      <w:bookmarkEnd w:id="2"/>
      <w:bookmarkEnd w:id="3"/>
    </w:p>
    <w:p>
      <w:pPr>
        <w:pStyle w:val="TextBody"/>
        <w:rPr/>
      </w:pPr>
      <w:hyperlink w:anchor="bg121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r>
        <w:rPr>
          <w:rFonts w:ascii="times" w:hAnsi="times"/>
          <w:b/>
          <w:sz w:val="36"/>
        </w:rPr>
        <w:t>UNITED STATES</w:t>
        <w:br/>
        <w:t>SECURITIES AND EXCHANGE COMMISSION</w:t>
        <w:br/>
      </w:r>
      <w:r>
        <w:rPr>
          <w:rFonts w:ascii="times" w:hAnsi="times"/>
          <w:b/>
          <w:sz w:val="20"/>
        </w:rPr>
        <w:t xml:space="preserve">Washington, D.C. 20549 </w:t>
      </w:r>
    </w:p>
    <w:p>
      <w:pPr>
        <w:pStyle w:val="TextBody"/>
        <w:jc w:val="center"/>
        <w:rPr>
          <w:rFonts w:ascii="times" w:hAnsi="times"/>
          <w:b/>
          <w:sz w:val="36"/>
        </w:rPr>
      </w:pPr>
      <w:r>
        <w:rPr>
          <w:rFonts w:ascii="times" w:hAnsi="times"/>
          <w:b/>
          <w:sz w:val="36"/>
        </w:rPr>
        <w:t xml:space="preserve">Form 10-K </w:t>
      </w:r>
    </w:p>
    <w:tbl>
      <w:tblPr>
        <w:tblW w:w="7410" w:type="dxa"/>
        <w:jc w:val="center"/>
        <w:tblInd w:w="0" w:type="dxa"/>
        <w:tblCellMar>
          <w:top w:w="0" w:type="dxa"/>
          <w:left w:w="0" w:type="dxa"/>
          <w:bottom w:w="0" w:type="dxa"/>
          <w:right w:w="0" w:type="dxa"/>
        </w:tblCellMar>
      </w:tblPr>
      <w:tblGrid>
        <w:gridCol w:w="735"/>
        <w:gridCol w:w="180"/>
        <w:gridCol w:w="6495"/>
      </w:tblGrid>
      <w:tr>
        <w:trPr/>
        <w:tc>
          <w:tcPr>
            <w:tcW w:w="7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495" w:type="dxa"/>
            <w:tcBorders/>
            <w:shd w:fill="auto" w:val="clear"/>
            <w:vAlign w:val="center"/>
          </w:tcPr>
          <w:p>
            <w:pPr>
              <w:pStyle w:val="TableContents"/>
              <w:spacing w:before="0" w:after="283"/>
              <w:rPr>
                <w:sz w:val="4"/>
                <w:szCs w:val="4"/>
              </w:rPr>
            </w:pPr>
            <w:r>
              <w:rPr>
                <w:sz w:val="4"/>
                <w:szCs w:val="4"/>
              </w:rPr>
            </w:r>
          </w:p>
        </w:tc>
      </w:tr>
      <w:tr>
        <w:trPr/>
        <w:tc>
          <w:tcPr>
            <w:tcW w:w="735" w:type="dxa"/>
            <w:tcBorders/>
            <w:shd w:fill="auto" w:val="clear"/>
          </w:tcPr>
          <w:p>
            <w:pPr>
              <w:pStyle w:val="TableContents"/>
              <w:spacing w:before="0" w:after="283"/>
              <w:jc w:val="center"/>
              <w:rPr>
                <w:rFonts w:ascii="times" w:hAnsi="times"/>
                <w:b/>
                <w:sz w:val="20"/>
              </w:rPr>
            </w:pPr>
            <w:r>
              <w:rPr>
                <w:rFonts w:ascii="times" w:hAnsi="times"/>
                <w:b/>
                <w:sz w:val="20"/>
              </w:rPr>
              <w:t>(Mark One)</w:t>
            </w:r>
          </w:p>
        </w:tc>
        <w:tc>
          <w:tcPr>
            <w:tcW w:w="180" w:type="dxa"/>
            <w:tcBorders/>
            <w:shd w:fill="auto" w:val="clear"/>
          </w:tcPr>
          <w:p>
            <w:pPr>
              <w:pStyle w:val="TableContents"/>
              <w:spacing w:before="0" w:after="283"/>
              <w:rPr/>
            </w:pPr>
            <w:r>
              <w:rPr/>
              <w:t> </w:t>
            </w:r>
          </w:p>
        </w:tc>
        <w:tc>
          <w:tcPr>
            <w:tcW w:w="6495" w:type="dxa"/>
            <w:tcBorders/>
            <w:shd w:fill="auto" w:val="clear"/>
          </w:tcPr>
          <w:p>
            <w:pPr>
              <w:pStyle w:val="TableContents"/>
              <w:spacing w:before="0" w:after="283"/>
              <w:rPr/>
            </w:pPr>
            <w:r>
              <w:rPr/>
              <w:t> </w:t>
            </w:r>
          </w:p>
        </w:tc>
      </w:tr>
      <w:tr>
        <w:trPr/>
        <w:tc>
          <w:tcPr>
            <w:tcW w:w="735" w:type="dxa"/>
            <w:tcBorders/>
            <w:shd w:fill="auto" w:val="clear"/>
          </w:tcPr>
          <w:p>
            <w:pPr>
              <w:pStyle w:val="TableContents"/>
              <w:spacing w:before="0" w:after="283"/>
              <w:jc w:val="center"/>
              <w:rPr>
                <w:rFonts w:ascii="times" w:hAnsi="times"/>
              </w:rPr>
            </w:pPr>
            <w:r>
              <w:rPr>
                <w:rFonts w:ascii="times" w:hAnsi="times"/>
              </w:rPr>
              <w:br/>
              <w:t>☒</w:t>
            </w:r>
          </w:p>
        </w:tc>
        <w:tc>
          <w:tcPr>
            <w:tcW w:w="180" w:type="dxa"/>
            <w:tcBorders/>
            <w:shd w:fill="auto" w:val="clear"/>
          </w:tcPr>
          <w:p>
            <w:pPr>
              <w:pStyle w:val="TableContents"/>
              <w:spacing w:before="0" w:after="283"/>
              <w:rPr>
                <w:rFonts w:ascii="times" w:hAnsi="times"/>
                <w:sz w:val="24"/>
              </w:rPr>
            </w:pPr>
            <w:r>
              <w:rPr>
                <w:rFonts w:ascii="times" w:hAnsi="times"/>
                <w:sz w:val="24"/>
              </w:rPr>
              <w:br/>
              <w:t> </w:t>
            </w:r>
          </w:p>
        </w:tc>
        <w:tc>
          <w:tcPr>
            <w:tcW w:w="6495" w:type="dxa"/>
            <w:tcBorders/>
            <w:shd w:fill="auto" w:val="clear"/>
          </w:tcPr>
          <w:p>
            <w:pPr>
              <w:pStyle w:val="TableContents"/>
              <w:spacing w:before="0" w:after="283"/>
              <w:rPr>
                <w:rFonts w:ascii="times" w:hAnsi="times"/>
              </w:rPr>
            </w:pPr>
            <w:r>
              <w:rPr>
                <w:rFonts w:ascii="times" w:hAnsi="times"/>
              </w:rPr>
              <w:br/>
            </w:r>
            <w:r>
              <w:rPr>
                <w:rFonts w:ascii="times" w:hAnsi="times"/>
                <w:b/>
                <w:sz w:val="24"/>
              </w:rPr>
              <w:t>ANNUAL REPORT PURSUANT TO SECTION 13 OR 15(d) OF THE SECURITIES EXCHANGE ACT OF 1934</w:t>
            </w:r>
          </w:p>
        </w:tc>
      </w:tr>
      <w:tr>
        <w:trPr/>
        <w:tc>
          <w:tcPr>
            <w:tcW w:w="7410" w:type="dxa"/>
            <w:gridSpan w:val="3"/>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For the fiscal year ended December 31, 2008</w:t>
            </w:r>
          </w:p>
        </w:tc>
      </w:tr>
      <w:tr>
        <w:trPr/>
        <w:tc>
          <w:tcPr>
            <w:tcW w:w="7410" w:type="dxa"/>
            <w:gridSpan w:val="3"/>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or</w:t>
            </w:r>
          </w:p>
        </w:tc>
      </w:tr>
      <w:tr>
        <w:trPr/>
        <w:tc>
          <w:tcPr>
            <w:tcW w:w="735" w:type="dxa"/>
            <w:tcBorders/>
            <w:shd w:fill="auto" w:val="clear"/>
          </w:tcPr>
          <w:p>
            <w:pPr>
              <w:pStyle w:val="TableContents"/>
              <w:spacing w:before="0" w:after="283"/>
              <w:jc w:val="center"/>
              <w:rPr>
                <w:rFonts w:ascii="times" w:hAnsi="times"/>
              </w:rPr>
            </w:pPr>
            <w:r>
              <w:rPr>
                <w:rFonts w:ascii="times" w:hAnsi="times"/>
              </w:rPr>
              <w:br/>
            </w:r>
            <w:r>
              <w:rPr>
                <w:rFonts w:ascii="WINGDINGS" w:hAnsi="WINGDINGS"/>
                <w:sz w:val="24"/>
              </w:rPr>
              <w:t>o</w:t>
            </w:r>
          </w:p>
        </w:tc>
        <w:tc>
          <w:tcPr>
            <w:tcW w:w="180" w:type="dxa"/>
            <w:tcBorders/>
            <w:shd w:fill="auto" w:val="clear"/>
          </w:tcPr>
          <w:p>
            <w:pPr>
              <w:pStyle w:val="TableContents"/>
              <w:spacing w:before="0" w:after="283"/>
              <w:rPr>
                <w:rFonts w:ascii="times" w:hAnsi="times"/>
                <w:sz w:val="24"/>
              </w:rPr>
            </w:pPr>
            <w:r>
              <w:rPr>
                <w:rFonts w:ascii="times" w:hAnsi="times"/>
                <w:sz w:val="24"/>
              </w:rPr>
              <w:br/>
              <w:t> </w:t>
            </w:r>
          </w:p>
        </w:tc>
        <w:tc>
          <w:tcPr>
            <w:tcW w:w="6495" w:type="dxa"/>
            <w:tcBorders/>
            <w:shd w:fill="auto" w:val="clear"/>
          </w:tcPr>
          <w:p>
            <w:pPr>
              <w:pStyle w:val="TableContents"/>
              <w:spacing w:before="0" w:after="283"/>
              <w:rPr>
                <w:rFonts w:ascii="times" w:hAnsi="times"/>
              </w:rPr>
            </w:pPr>
            <w:r>
              <w:rPr>
                <w:rFonts w:ascii="times" w:hAnsi="times"/>
              </w:rPr>
              <w:br/>
            </w:r>
            <w:r>
              <w:rPr>
                <w:rFonts w:ascii="times" w:hAnsi="times"/>
                <w:b/>
                <w:sz w:val="24"/>
              </w:rPr>
              <w:t>TRANSITION REPORT PURSUANT TO SECTION 13 OR 15(d) OF THE SECURITIES EXCHANGE ACT OF 1934</w:t>
            </w:r>
          </w:p>
        </w:tc>
      </w:tr>
    </w:tbl>
    <w:p>
      <w:pPr>
        <w:pStyle w:val="TextBody"/>
        <w:jc w:val="center"/>
        <w:rPr>
          <w:rFonts w:ascii="times" w:hAnsi="times"/>
          <w:b/>
          <w:sz w:val="20"/>
        </w:rPr>
      </w:pPr>
      <w:r>
        <w:rPr>
          <w:rFonts w:ascii="times" w:hAnsi="times"/>
          <w:b/>
          <w:sz w:val="20"/>
        </w:rPr>
        <w:t xml:space="preserve">Commission file number 1-14569 </w:t>
      </w:r>
    </w:p>
    <w:p>
      <w:pPr>
        <w:pStyle w:val="TextBody"/>
        <w:jc w:val="center"/>
        <w:rPr>
          <w:rFonts w:ascii="times" w:hAnsi="times"/>
        </w:rPr>
      </w:pPr>
      <w:r>
        <w:rPr>
          <w:rFonts w:ascii="times" w:hAnsi="times"/>
          <w:b/>
          <w:sz w:val="36"/>
        </w:rPr>
        <w:t>PLAINS ALL AMERICAN PIPELINE, L.P.</w:t>
        <w:br/>
      </w:r>
      <w:r>
        <w:rPr>
          <w:rFonts w:ascii="times" w:hAnsi="times"/>
          <w:sz w:val="20"/>
        </w:rPr>
        <w:t xml:space="preserve">(Exact name of registrant as specified in its charter) </w:t>
      </w:r>
    </w:p>
    <w:tbl>
      <w:tblPr>
        <w:tblW w:w="7578" w:type="dxa"/>
        <w:jc w:val="center"/>
        <w:tblInd w:w="0" w:type="dxa"/>
        <w:tblCellMar>
          <w:top w:w="0" w:type="dxa"/>
          <w:left w:w="0" w:type="dxa"/>
          <w:bottom w:w="0" w:type="dxa"/>
          <w:right w:w="0" w:type="dxa"/>
        </w:tblCellMar>
      </w:tblPr>
      <w:tblGrid>
        <w:gridCol w:w="3699"/>
        <w:gridCol w:w="180"/>
        <w:gridCol w:w="3699"/>
      </w:tblGrid>
      <w:tr>
        <w:trPr/>
        <w:tc>
          <w:tcPr>
            <w:tcW w:w="369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699" w:type="dxa"/>
            <w:tcBorders/>
            <w:shd w:fill="auto" w:val="clear"/>
            <w:vAlign w:val="center"/>
          </w:tcPr>
          <w:p>
            <w:pPr>
              <w:pStyle w:val="TableContents"/>
              <w:spacing w:before="0" w:after="283"/>
              <w:rPr>
                <w:sz w:val="4"/>
                <w:szCs w:val="4"/>
              </w:rPr>
            </w:pPr>
            <w:r>
              <w:rPr>
                <w:sz w:val="4"/>
                <w:szCs w:val="4"/>
              </w:rPr>
            </w:r>
          </w:p>
        </w:tc>
      </w:tr>
      <w:tr>
        <w:trPr/>
        <w:tc>
          <w:tcPr>
            <w:tcW w:w="3699" w:type="dxa"/>
            <w:tcBorders/>
            <w:shd w:fill="auto" w:val="clear"/>
          </w:tcPr>
          <w:p>
            <w:pPr>
              <w:pStyle w:val="TableContents"/>
              <w:spacing w:before="0" w:after="283"/>
              <w:jc w:val="center"/>
              <w:rPr>
                <w:rFonts w:ascii="times" w:hAnsi="times"/>
              </w:rPr>
            </w:pPr>
            <w:r>
              <w:rPr>
                <w:rFonts w:ascii="times" w:hAnsi="times"/>
                <w:b/>
                <w:sz w:val="20"/>
              </w:rPr>
              <w:t>Delaware</w:t>
            </w:r>
            <w:r>
              <w:rPr>
                <w:rFonts w:ascii="times" w:hAnsi="times"/>
                <w:sz w:val="20"/>
              </w:rPr>
              <w:br/>
              <w:t>(State or other jurisdiction of</w:t>
              <w:br/>
              <w:t>incorporation or organization)</w:t>
            </w:r>
          </w:p>
        </w:tc>
        <w:tc>
          <w:tcPr>
            <w:tcW w:w="180" w:type="dxa"/>
            <w:tcBorders/>
            <w:shd w:fill="auto" w:val="clear"/>
          </w:tcPr>
          <w:p>
            <w:pPr>
              <w:pStyle w:val="TableContents"/>
              <w:spacing w:before="0" w:after="283"/>
              <w:rPr/>
            </w:pPr>
            <w:r>
              <w:rPr/>
              <w:t> </w:t>
            </w:r>
          </w:p>
        </w:tc>
        <w:tc>
          <w:tcPr>
            <w:tcW w:w="3699" w:type="dxa"/>
            <w:tcBorders/>
            <w:shd w:fill="auto" w:val="clear"/>
          </w:tcPr>
          <w:p>
            <w:pPr>
              <w:pStyle w:val="TableContents"/>
              <w:spacing w:before="0" w:after="283"/>
              <w:jc w:val="center"/>
              <w:rPr>
                <w:rFonts w:ascii="times" w:hAnsi="times"/>
              </w:rPr>
            </w:pPr>
            <w:r>
              <w:rPr>
                <w:rFonts w:ascii="times" w:hAnsi="times"/>
                <w:b/>
                <w:sz w:val="20"/>
              </w:rPr>
              <w:t>76-0582150</w:t>
            </w:r>
            <w:r>
              <w:rPr>
                <w:rFonts w:ascii="times" w:hAnsi="times"/>
                <w:sz w:val="20"/>
              </w:rPr>
              <w:br/>
              <w:t>(I.R.S. Employer</w:t>
              <w:br/>
              <w:t>Identification No.)</w:t>
            </w:r>
          </w:p>
        </w:tc>
      </w:tr>
      <w:tr>
        <w:trPr/>
        <w:tc>
          <w:tcPr>
            <w:tcW w:w="3699"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333 Clay Street, Suite 1600, Houston, Texas</w:t>
            </w:r>
            <w:r>
              <w:rPr>
                <w:rFonts w:ascii="times" w:hAnsi="times"/>
                <w:sz w:val="20"/>
              </w:rPr>
              <w:br/>
              <w:t>(Address of principal executive offices)</w:t>
            </w:r>
          </w:p>
        </w:tc>
        <w:tc>
          <w:tcPr>
            <w:tcW w:w="180" w:type="dxa"/>
            <w:tcBorders/>
            <w:shd w:fill="auto" w:val="clear"/>
          </w:tcPr>
          <w:p>
            <w:pPr>
              <w:pStyle w:val="TableContents"/>
              <w:spacing w:before="0" w:after="283"/>
              <w:rPr>
                <w:rFonts w:ascii="times" w:hAnsi="times"/>
                <w:sz w:val="20"/>
              </w:rPr>
            </w:pPr>
            <w:r>
              <w:rPr>
                <w:rFonts w:ascii="times" w:hAnsi="times"/>
                <w:sz w:val="20"/>
              </w:rPr>
              <w:br/>
              <w:t> </w:t>
            </w:r>
          </w:p>
        </w:tc>
        <w:tc>
          <w:tcPr>
            <w:tcW w:w="3699"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77002</w:t>
            </w:r>
            <w:r>
              <w:rPr>
                <w:rFonts w:ascii="times" w:hAnsi="times"/>
                <w:sz w:val="20"/>
              </w:rPr>
              <w:br/>
              <w:t>(Zip Code)</w:t>
            </w:r>
          </w:p>
        </w:tc>
      </w:tr>
    </w:tbl>
    <w:p>
      <w:pPr>
        <w:pStyle w:val="TextBody"/>
        <w:jc w:val="center"/>
        <w:rPr>
          <w:rFonts w:ascii="times" w:hAnsi="times"/>
        </w:rPr>
      </w:pPr>
      <w:r>
        <w:rPr>
          <w:rFonts w:ascii="times" w:hAnsi="times"/>
          <w:b/>
          <w:sz w:val="20"/>
        </w:rPr>
        <w:t>(713) 646-4100</w:t>
      </w:r>
      <w:r>
        <w:rPr>
          <w:rFonts w:ascii="times" w:hAnsi="times"/>
          <w:sz w:val="20"/>
        </w:rPr>
        <w:br/>
        <w:t xml:space="preserve">(Registrant's telephone number, including area code) </w:t>
      </w:r>
    </w:p>
    <w:p>
      <w:pPr>
        <w:pStyle w:val="TextBody"/>
        <w:jc w:val="center"/>
        <w:rPr>
          <w:rFonts w:ascii="times" w:hAnsi="times"/>
          <w:b/>
          <w:sz w:val="20"/>
        </w:rPr>
      </w:pPr>
      <w:r>
        <w:rPr>
          <w:rFonts w:ascii="times" w:hAnsi="times"/>
          <w:b/>
          <w:sz w:val="20"/>
        </w:rPr>
        <w:t xml:space="preserve">Securities registered pursuant to Section 12(b) of the Act: </w:t>
      </w:r>
    </w:p>
    <w:tbl>
      <w:tblPr>
        <w:tblW w:w="5688" w:type="dxa"/>
        <w:jc w:val="center"/>
        <w:tblInd w:w="0" w:type="dxa"/>
        <w:tblCellMar>
          <w:top w:w="0" w:type="dxa"/>
          <w:left w:w="0" w:type="dxa"/>
          <w:bottom w:w="0" w:type="dxa"/>
          <w:right w:w="0" w:type="dxa"/>
        </w:tblCellMar>
      </w:tblPr>
      <w:tblGrid>
        <w:gridCol w:w="2754"/>
        <w:gridCol w:w="180"/>
        <w:gridCol w:w="2754"/>
      </w:tblGrid>
      <w:tr>
        <w:trPr/>
        <w:tc>
          <w:tcPr>
            <w:tcW w:w="275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r>
      <w:tr>
        <w:trPr/>
        <w:tc>
          <w:tcPr>
            <w:tcW w:w="275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Title of Each Class </w:t>
            </w:r>
          </w:p>
        </w:tc>
        <w:tc>
          <w:tcPr>
            <w:tcW w:w="180" w:type="dxa"/>
            <w:tcBorders/>
            <w:shd w:fill="auto" w:val="clear"/>
            <w:vAlign w:val="bottom"/>
          </w:tcPr>
          <w:p>
            <w:pPr>
              <w:pStyle w:val="TableHeading"/>
              <w:suppressLineNumbers/>
              <w:spacing w:before="0" w:after="283"/>
              <w:jc w:val="center"/>
              <w:rPr/>
            </w:pPr>
            <w:r>
              <w:rPr/>
              <w:t> </w:t>
            </w:r>
          </w:p>
        </w:tc>
        <w:tc>
          <w:tcPr>
            <w:tcW w:w="275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Name of Each Exchange on Which Registered </w:t>
            </w:r>
          </w:p>
        </w:tc>
      </w:tr>
      <w:tr>
        <w:trPr/>
        <w:tc>
          <w:tcPr>
            <w:tcW w:w="2754" w:type="dxa"/>
            <w:tcBorders/>
            <w:shd w:fill="auto" w:val="clear"/>
          </w:tcPr>
          <w:p>
            <w:pPr>
              <w:pStyle w:val="TableContents"/>
              <w:spacing w:before="0" w:after="283"/>
              <w:jc w:val="center"/>
              <w:rPr>
                <w:rFonts w:ascii="times" w:hAnsi="times"/>
                <w:sz w:val="20"/>
              </w:rPr>
            </w:pPr>
            <w:r>
              <w:rPr>
                <w:rFonts w:ascii="times" w:hAnsi="times"/>
                <w:sz w:val="20"/>
              </w:rPr>
              <w:t>Common Units</w:t>
            </w:r>
          </w:p>
        </w:tc>
        <w:tc>
          <w:tcPr>
            <w:tcW w:w="180" w:type="dxa"/>
            <w:tcBorders/>
            <w:shd w:fill="auto" w:val="clear"/>
          </w:tcPr>
          <w:p>
            <w:pPr>
              <w:pStyle w:val="TableContents"/>
              <w:spacing w:before="0" w:after="283"/>
              <w:rPr/>
            </w:pPr>
            <w:r>
              <w:rPr/>
              <w:t> </w:t>
            </w:r>
          </w:p>
        </w:tc>
        <w:tc>
          <w:tcPr>
            <w:tcW w:w="2754" w:type="dxa"/>
            <w:tcBorders/>
            <w:shd w:fill="auto" w:val="clear"/>
          </w:tcPr>
          <w:p>
            <w:pPr>
              <w:pStyle w:val="TableContents"/>
              <w:spacing w:before="0" w:after="283"/>
              <w:jc w:val="center"/>
              <w:rPr>
                <w:rFonts w:ascii="times" w:hAnsi="times"/>
                <w:sz w:val="20"/>
              </w:rPr>
            </w:pPr>
            <w:r>
              <w:rPr>
                <w:rFonts w:ascii="times" w:hAnsi="times"/>
                <w:sz w:val="20"/>
              </w:rPr>
              <w:t>New York Stock Exchange</w:t>
            </w:r>
          </w:p>
        </w:tc>
      </w:tr>
    </w:tbl>
    <w:p>
      <w:pPr>
        <w:pStyle w:val="TextBody"/>
        <w:jc w:val="center"/>
        <w:rPr>
          <w:rFonts w:ascii="times" w:hAnsi="times"/>
          <w:b/>
          <w:sz w:val="20"/>
        </w:rPr>
      </w:pPr>
      <w:r>
        <w:rPr>
          <w:rFonts w:ascii="times" w:hAnsi="times"/>
          <w:b/>
          <w:sz w:val="20"/>
        </w:rPr>
        <w:t>Securities registered pursuant to Section 12(g) of the Act:</w:t>
        <w:br/>
        <w:t xml:space="preserve">None </w:t>
      </w:r>
    </w:p>
    <w:p>
      <w:pPr>
        <w:pStyle w:val="TextBody"/>
        <w:rPr/>
      </w:pPr>
      <w:r>
        <w:rPr/>
        <w:t>         </w:t>
      </w:r>
      <w:r>
        <w:rPr>
          <w:rFonts w:ascii="times" w:hAnsi="times"/>
          <w:sz w:val="20"/>
        </w:rPr>
        <w:t>Indicate by check mark if the registrant is a well-known seasoned issuer, as defined in Rule 405 of the Securities Act. Yes ☒    No </w:t>
      </w:r>
      <w:r>
        <w:rPr>
          <w:rFonts w:ascii="WINGDINGS" w:hAnsi="WINGDINGS"/>
          <w:sz w:val="20"/>
        </w:rPr>
        <w:t>o</w:t>
      </w:r>
      <w:r>
        <w:rPr>
          <w:rFonts w:ascii="times" w:hAnsi="times"/>
          <w:sz w:val="20"/>
        </w:rPr>
        <w:t xml:space="preserve"> </w:t>
      </w:r>
    </w:p>
    <w:p>
      <w:pPr>
        <w:pStyle w:val="TextBody"/>
        <w:rPr/>
      </w:pPr>
      <w:r>
        <w:rPr/>
        <w:t>         </w:t>
      </w:r>
      <w:r>
        <w:rPr>
          <w:rFonts w:ascii="times" w:hAnsi="times"/>
          <w:sz w:val="20"/>
        </w:rPr>
        <w:t>Indicate by check mark if the registrant is not required to file reports pursuant to Section 13 or Section 15(d) of the Act. Yes </w:t>
      </w:r>
      <w:r>
        <w:rPr>
          <w:rFonts w:ascii="WINGDINGS" w:hAnsi="WINGDINGS"/>
          <w:sz w:val="20"/>
        </w:rPr>
        <w:t>o</w:t>
      </w:r>
      <w:r>
        <w:rPr>
          <w:rFonts w:ascii="times" w:hAnsi="times"/>
          <w:sz w:val="20"/>
        </w:rPr>
        <w:t xml:space="preserve">    No ☒ </w:t>
      </w:r>
    </w:p>
    <w:p>
      <w:pPr>
        <w:pStyle w:val="TextBody"/>
        <w:rPr/>
      </w:pPr>
      <w:r>
        <w:rPr/>
        <w:t>         </w:t>
      </w:r>
      <w:r>
        <w:rPr>
          <w:rFonts w:ascii="times" w:hAnsi="times"/>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20"/>
        </w:rPr>
        <w:t>o</w:t>
      </w:r>
      <w:r>
        <w:rPr>
          <w:rFonts w:ascii="times" w:hAnsi="times"/>
          <w:sz w:val="20"/>
        </w:rPr>
        <w:t xml:space="preserve"> </w:t>
      </w:r>
    </w:p>
    <w:p>
      <w:pPr>
        <w:pStyle w:val="TextBody"/>
        <w:rPr/>
      </w:pPr>
      <w:r>
        <w:rPr/>
        <w:t>         </w:t>
      </w:r>
      <w:r>
        <w:rPr>
          <w:rFonts w:ascii="times" w:hAnsi="times"/>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rPr/>
      </w:pPr>
      <w:r>
        <w:rPr/>
        <w:t>         </w:t>
      </w:r>
      <w:r>
        <w:rPr>
          <w:rFonts w:ascii="times" w:hAnsi="times"/>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tbl>
      <w:tblPr>
        <w:tblW w:w="9305" w:type="dxa"/>
        <w:jc w:val="center"/>
        <w:tblInd w:w="0" w:type="dxa"/>
        <w:tblCellMar>
          <w:top w:w="0" w:type="dxa"/>
          <w:left w:w="0" w:type="dxa"/>
          <w:bottom w:w="0" w:type="dxa"/>
          <w:right w:w="0" w:type="dxa"/>
        </w:tblCellMar>
      </w:tblPr>
      <w:tblGrid>
        <w:gridCol w:w="2135"/>
        <w:gridCol w:w="375"/>
        <w:gridCol w:w="1565"/>
        <w:gridCol w:w="375"/>
        <w:gridCol w:w="1970"/>
        <w:gridCol w:w="375"/>
        <w:gridCol w:w="2510"/>
      </w:tblGrid>
      <w:tr>
        <w:trPr/>
        <w:tc>
          <w:tcPr>
            <w:tcW w:w="213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tcPr>
          <w:p>
            <w:pPr>
              <w:pStyle w:val="TableContents"/>
              <w:spacing w:before="0" w:after="283"/>
              <w:jc w:val="center"/>
              <w:rPr>
                <w:rFonts w:ascii="times" w:hAnsi="times"/>
                <w:sz w:val="20"/>
              </w:rPr>
            </w:pPr>
            <w:r>
              <w:rPr>
                <w:rFonts w:ascii="times" w:hAnsi="times"/>
                <w:sz w:val="20"/>
              </w:rPr>
              <w:t>Large Accelerated Filer ☒</w:t>
            </w:r>
          </w:p>
        </w:tc>
        <w:tc>
          <w:tcPr>
            <w:tcW w:w="375" w:type="dxa"/>
            <w:tcBorders/>
            <w:shd w:fill="auto" w:val="clear"/>
          </w:tcPr>
          <w:p>
            <w:pPr>
              <w:pStyle w:val="TableContents"/>
              <w:spacing w:before="0" w:after="283"/>
              <w:rPr/>
            </w:pPr>
            <w:r>
              <w:rPr/>
              <w:t> </w:t>
            </w:r>
          </w:p>
        </w:tc>
        <w:tc>
          <w:tcPr>
            <w:tcW w:w="1565" w:type="dxa"/>
            <w:tcBorders/>
            <w:shd w:fill="auto" w:val="clear"/>
          </w:tcPr>
          <w:p>
            <w:pPr>
              <w:pStyle w:val="TableContents"/>
              <w:spacing w:before="0" w:after="283"/>
              <w:jc w:val="center"/>
              <w:rPr>
                <w:rFonts w:ascii="times" w:hAnsi="times"/>
                <w:sz w:val="20"/>
              </w:rPr>
            </w:pPr>
            <w:r>
              <w:rPr>
                <w:rFonts w:ascii="times" w:hAnsi="times"/>
                <w:sz w:val="20"/>
              </w:rPr>
              <w:t>Accelerated Filer </w:t>
            </w:r>
            <w:r>
              <w:rPr>
                <w:rFonts w:ascii="WINGDINGS" w:hAnsi="WINGDINGS"/>
                <w:sz w:val="20"/>
              </w:rPr>
              <w:t>o</w:t>
            </w:r>
          </w:p>
        </w:tc>
        <w:tc>
          <w:tcPr>
            <w:tcW w:w="375" w:type="dxa"/>
            <w:tcBorders/>
            <w:shd w:fill="auto" w:val="clear"/>
          </w:tcPr>
          <w:p>
            <w:pPr>
              <w:pStyle w:val="TableContents"/>
              <w:spacing w:before="0" w:after="283"/>
              <w:rPr/>
            </w:pPr>
            <w:r>
              <w:rPr/>
              <w:t> </w:t>
            </w:r>
          </w:p>
        </w:tc>
        <w:tc>
          <w:tcPr>
            <w:tcW w:w="1970" w:type="dxa"/>
            <w:tcBorders/>
            <w:shd w:fill="auto" w:val="clear"/>
          </w:tcPr>
          <w:p>
            <w:pPr>
              <w:pStyle w:val="TableContents"/>
              <w:spacing w:before="0" w:after="283"/>
              <w:jc w:val="center"/>
              <w:rPr>
                <w:rFonts w:ascii="times" w:hAnsi="times"/>
              </w:rPr>
            </w:pPr>
            <w:r>
              <w:rPr>
                <w:rFonts w:ascii="times" w:hAnsi="times"/>
                <w:sz w:val="20"/>
              </w:rPr>
              <w:t>Non-Accelerated Filer </w:t>
            </w:r>
            <w:r>
              <w:rPr>
                <w:rFonts w:ascii="WINGDINGS" w:hAnsi="WINGDINGS"/>
                <w:sz w:val="20"/>
              </w:rPr>
              <w:t>o</w:t>
            </w:r>
            <w:r>
              <w:rPr>
                <w:rFonts w:ascii="times" w:hAnsi="times"/>
                <w:sz w:val="20"/>
              </w:rPr>
              <w:br/>
            </w:r>
            <w:r>
              <w:rPr>
                <w:rFonts w:ascii="times" w:hAnsi="times"/>
                <w:sz w:val="14"/>
              </w:rPr>
              <w:t>(Do not check if a smaller</w:t>
              <w:br/>
              <w:t>reporting company)</w:t>
            </w:r>
          </w:p>
        </w:tc>
        <w:tc>
          <w:tcPr>
            <w:tcW w:w="375" w:type="dxa"/>
            <w:tcBorders/>
            <w:shd w:fill="auto" w:val="clear"/>
          </w:tcPr>
          <w:p>
            <w:pPr>
              <w:pStyle w:val="TableContents"/>
              <w:spacing w:before="0" w:after="283"/>
              <w:rPr/>
            </w:pPr>
            <w:r>
              <w:rPr/>
              <w:t> </w:t>
            </w:r>
          </w:p>
        </w:tc>
        <w:tc>
          <w:tcPr>
            <w:tcW w:w="2510" w:type="dxa"/>
            <w:tcBorders/>
            <w:shd w:fill="auto" w:val="clear"/>
          </w:tcPr>
          <w:p>
            <w:pPr>
              <w:pStyle w:val="TableContents"/>
              <w:spacing w:before="0" w:after="283"/>
              <w:jc w:val="center"/>
              <w:rPr>
                <w:rFonts w:ascii="times" w:hAnsi="times"/>
                <w:sz w:val="20"/>
              </w:rPr>
            </w:pPr>
            <w:r>
              <w:rPr>
                <w:rFonts w:ascii="times" w:hAnsi="times"/>
                <w:sz w:val="20"/>
              </w:rPr>
              <w:t>Smaller Reporting Company </w:t>
            </w:r>
            <w:r>
              <w:rPr>
                <w:rFonts w:ascii="WINGDINGS" w:hAnsi="WINGDINGS"/>
                <w:sz w:val="20"/>
              </w:rPr>
              <w:t>o</w:t>
            </w:r>
          </w:p>
        </w:tc>
      </w:tr>
    </w:tbl>
    <w:p>
      <w:pPr>
        <w:pStyle w:val="TextBody"/>
        <w:rPr/>
      </w:pPr>
      <w:r>
        <w:rPr/>
        <w:t>         </w:t>
      </w:r>
      <w:r>
        <w:rPr>
          <w:rFonts w:ascii="times" w:hAnsi="times"/>
          <w:sz w:val="20"/>
        </w:rPr>
        <w:t>Indicate by check mark whether the registrant is a shell company (as defined in Rule 12b-2 of the Exchange Act). Yes </w:t>
      </w:r>
      <w:r>
        <w:rPr>
          <w:rFonts w:ascii="WINGDINGS" w:hAnsi="WINGDINGS"/>
          <w:sz w:val="20"/>
        </w:rPr>
        <w:t>o</w:t>
      </w:r>
      <w:r>
        <w:rPr>
          <w:rFonts w:ascii="times" w:hAnsi="times"/>
          <w:sz w:val="20"/>
        </w:rPr>
        <w:t xml:space="preserve">     No ☒ </w:t>
      </w:r>
    </w:p>
    <w:p>
      <w:pPr>
        <w:pStyle w:val="TextBody"/>
        <w:rPr/>
      </w:pPr>
      <w:r>
        <w:rPr/>
        <w:t>         </w:t>
      </w:r>
      <w:r>
        <w:rPr>
          <w:rFonts w:ascii="times" w:hAnsi="times"/>
          <w:sz w:val="20"/>
        </w:rPr>
        <w:t xml:space="preserve">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$4.9 billion on June 30, 2008, based on $45.11 per unit, the closing price of the Common Units as reported on the New York Stock Exchange on such date. </w:t>
      </w:r>
    </w:p>
    <w:p>
      <w:pPr>
        <w:pStyle w:val="TextBody"/>
        <w:rPr/>
      </w:pPr>
      <w:r>
        <w:rPr/>
        <w:t>         </w:t>
      </w:r>
      <w:r>
        <w:rPr>
          <w:rFonts w:ascii="times" w:hAnsi="times"/>
          <w:sz w:val="20"/>
        </w:rPr>
        <w:t xml:space="preserve">At February 20, 2009, there were outstanding 122,911,645 Common Units. </w:t>
      </w:r>
    </w:p>
    <w:p>
      <w:pPr>
        <w:pStyle w:val="TextBody"/>
        <w:jc w:val="center"/>
        <w:rPr>
          <w:rFonts w:ascii="times" w:hAnsi="times"/>
          <w:b/>
          <w:sz w:val="20"/>
        </w:rPr>
      </w:pPr>
      <w:r>
        <w:rPr>
          <w:rFonts w:ascii="times" w:hAnsi="times"/>
          <w:b/>
          <w:sz w:val="20"/>
        </w:rPr>
        <w:t>DOCUMENTS INCORPORATED BY REFERENCE</w:t>
        <w:br/>
        <w:t xml:space="preserve">NONE </w:t>
      </w:r>
    </w:p>
    <w:p>
      <w:pPr>
        <w:pStyle w:val="HorizontalLine"/>
        <w:pBdr>
          <w:bottom w:val="single" w:sz="20" w:space="0" w:color="808080"/>
        </w:pBdr>
        <w:rPr/>
      </w:pPr>
      <w:r>
        <w:rPr/>
      </w:r>
      <w:r>
        <w:br w:type="page"/>
      </w:r>
    </w:p>
    <w:p>
      <w:pPr>
        <w:pStyle w:val="TextBody"/>
        <w:rPr/>
      </w:pPr>
      <w:hyperlink w:anchor="bg12101a_main_toc">
        <w:bookmarkStart w:id="4" w:name="page_bg12101_1_2"/>
        <w:bookmarkEnd w:id="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 w:name="bg12101_plains_all_american_pipeline,___"/>
      <w:bookmarkStart w:id="6" w:name="BG12101A_main_toc"/>
      <w:bookmarkEnd w:id="5"/>
      <w:bookmarkEnd w:id="6"/>
      <w:r>
        <w:rPr>
          <w:rFonts w:ascii="times" w:hAnsi="times"/>
          <w:sz w:val="20"/>
        </w:rPr>
        <w:br/>
      </w:r>
      <w:r>
        <w:rPr>
          <w:rFonts w:ascii="times" w:hAnsi="times"/>
          <w:b/>
          <w:sz w:val="20"/>
        </w:rPr>
        <w:t>PLAINS ALL AMERICAN PIPELINE, L.P. AND SUBSIDIARIES</w:t>
        <w:br/>
        <w:t xml:space="preserve">FORM 10-K2008 ANNUAL REPORT </w:t>
        <w:br/>
        <w:br/>
        <w:t xml:space="preserve">Table of Contents </w:t>
      </w:r>
    </w:p>
    <w:p>
      <w:pPr>
        <w:pStyle w:val="Normal"/>
        <w:spacing w:before="0" w:after="0"/>
        <w:rPr>
          <w:sz w:val="4"/>
          <w:szCs w:val="4"/>
        </w:rPr>
      </w:pPr>
      <w:r>
        <w:rPr>
          <w:sz w:val="4"/>
          <w:szCs w:val="4"/>
        </w:rPr>
      </w:r>
      <w:bookmarkStart w:id="7" w:name="BG12101_TOC"/>
      <w:bookmarkStart w:id="8" w:name="BG12101_TOC"/>
      <w:bookmarkEnd w:id="8"/>
    </w:p>
    <w:tbl>
      <w:tblPr>
        <w:tblW w:w="6965" w:type="dxa"/>
        <w:jc w:val="center"/>
        <w:tblInd w:w="0" w:type="dxa"/>
        <w:tblCellMar>
          <w:top w:w="0" w:type="dxa"/>
          <w:left w:w="0" w:type="dxa"/>
          <w:bottom w:w="0" w:type="dxa"/>
          <w:right w:w="0" w:type="dxa"/>
        </w:tblCellMar>
      </w:tblPr>
      <w:tblGrid>
        <w:gridCol w:w="960"/>
        <w:gridCol w:w="180"/>
        <w:gridCol w:w="5310"/>
        <w:gridCol w:w="180"/>
        <w:gridCol w:w="335"/>
      </w:tblGrid>
      <w:tr>
        <w:trPr/>
        <w:tc>
          <w:tcPr>
            <w:tcW w:w="9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31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96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31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3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r>
      <w:tr>
        <w:trPr/>
        <w:tc>
          <w:tcPr>
            <w:tcW w:w="6965" w:type="dxa"/>
            <w:gridSpan w:val="5"/>
            <w:tcBorders/>
            <w:shd w:fill="auto" w:val="clear"/>
          </w:tcPr>
          <w:p>
            <w:pPr>
              <w:pStyle w:val="TableContents"/>
              <w:spacing w:before="0" w:after="283"/>
              <w:ind w:left="0" w:right="0" w:hanging="0"/>
              <w:jc w:val="center"/>
              <w:rPr/>
            </w:pPr>
            <w:hyperlink w:anchor="dg12101_part_i">
              <w:r>
                <w:rPr>
                  <w:rStyle w:val="InternetLink"/>
                  <w:rFonts w:ascii="times" w:hAnsi="times"/>
                  <w:b/>
                  <w:sz w:val="20"/>
                </w:rPr>
                <w:t>PART I</w:t>
              </w:r>
            </w:hyperlink>
          </w:p>
        </w:tc>
      </w:tr>
      <w:tr>
        <w:trPr/>
        <w:tc>
          <w:tcPr>
            <w:tcW w:w="960" w:type="dxa"/>
            <w:tcBorders/>
            <w:shd w:fill="auto" w:val="clear"/>
          </w:tcPr>
          <w:p>
            <w:pPr>
              <w:pStyle w:val="TableContents"/>
              <w:spacing w:before="0" w:after="283"/>
              <w:ind w:left="0" w:right="0" w:hanging="0"/>
              <w:rPr/>
            </w:pPr>
            <w:hyperlink w:anchor="dg12101_items_1_and_2._business_and_properties">
              <w:r>
                <w:rPr>
                  <w:rStyle w:val="InternetLink"/>
                  <w:rFonts w:ascii="times" w:hAnsi="times"/>
                  <w:sz w:val="20"/>
                </w:rPr>
                <w:t>Items 1 and 2.</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g12101_items_1_and_2._business_and_properties">
              <w:r>
                <w:rPr>
                  <w:rStyle w:val="InternetLink"/>
                  <w:rFonts w:ascii="times" w:hAnsi="times"/>
                  <w:sz w:val="20"/>
                </w:rPr>
                <w:t>Business and Properties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g12101_items_1_and_2._business_and_properties">
              <w:r>
                <w:rPr>
                  <w:rStyle w:val="InternetLink"/>
                  <w:rFonts w:ascii="times" w:hAnsi="times"/>
                  <w:sz w:val="20"/>
                </w:rPr>
                <w:t>5</w:t>
              </w:r>
            </w:hyperlink>
          </w:p>
        </w:tc>
      </w:tr>
      <w:tr>
        <w:trPr/>
        <w:tc>
          <w:tcPr>
            <w:tcW w:w="960" w:type="dxa"/>
            <w:tcBorders/>
            <w:shd w:fill="auto" w:val="clear"/>
          </w:tcPr>
          <w:p>
            <w:pPr>
              <w:pStyle w:val="TableContents"/>
              <w:spacing w:before="0" w:after="283"/>
              <w:ind w:left="0" w:right="0" w:hanging="0"/>
              <w:rPr/>
            </w:pPr>
            <w:hyperlink w:anchor="dq12101_item_1a._risk_factors">
              <w:r>
                <w:rPr>
                  <w:rStyle w:val="InternetLink"/>
                  <w:rFonts w:ascii="times" w:hAnsi="times"/>
                  <w:sz w:val="20"/>
                </w:rPr>
                <w:t>Item 1A.</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q12101_item_1a._risk_factors">
              <w:r>
                <w:rPr>
                  <w:rStyle w:val="InternetLink"/>
                  <w:rFonts w:ascii="times" w:hAnsi="times"/>
                  <w:sz w:val="20"/>
                </w:rPr>
                <w:t>Risk Factors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q12101_item_1a._risk_factors">
              <w:r>
                <w:rPr>
                  <w:rStyle w:val="InternetLink"/>
                  <w:rFonts w:ascii="times" w:hAnsi="times"/>
                  <w:sz w:val="20"/>
                </w:rPr>
                <w:t>45</w:t>
              </w:r>
            </w:hyperlink>
          </w:p>
        </w:tc>
      </w:tr>
      <w:tr>
        <w:trPr/>
        <w:tc>
          <w:tcPr>
            <w:tcW w:w="960" w:type="dxa"/>
            <w:tcBorders/>
            <w:shd w:fill="auto" w:val="clear"/>
          </w:tcPr>
          <w:p>
            <w:pPr>
              <w:pStyle w:val="TableContents"/>
              <w:spacing w:before="0" w:after="283"/>
              <w:ind w:left="0" w:right="0" w:hanging="0"/>
              <w:rPr/>
            </w:pPr>
            <w:hyperlink w:anchor="ds12101_item_1b._unresolved_staff_comments">
              <w:r>
                <w:rPr>
                  <w:rStyle w:val="InternetLink"/>
                  <w:rFonts w:ascii="times" w:hAnsi="times"/>
                  <w:sz w:val="20"/>
                </w:rPr>
                <w:t>Item 1B.</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s12101_item_1b._unresolved_staff_comments">
              <w:r>
                <w:rPr>
                  <w:rStyle w:val="InternetLink"/>
                  <w:rFonts w:ascii="times" w:hAnsi="times"/>
                  <w:sz w:val="20"/>
                </w:rPr>
                <w:t>Unresolved Staff Comments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s12101_item_1b._unresolved_staff_comments">
              <w:r>
                <w:rPr>
                  <w:rStyle w:val="InternetLink"/>
                  <w:rFonts w:ascii="times" w:hAnsi="times"/>
                  <w:sz w:val="20"/>
                </w:rPr>
                <w:t>64</w:t>
              </w:r>
            </w:hyperlink>
          </w:p>
        </w:tc>
      </w:tr>
      <w:tr>
        <w:trPr/>
        <w:tc>
          <w:tcPr>
            <w:tcW w:w="960" w:type="dxa"/>
            <w:tcBorders/>
            <w:shd w:fill="auto" w:val="clear"/>
          </w:tcPr>
          <w:p>
            <w:pPr>
              <w:pStyle w:val="TableContents"/>
              <w:spacing w:before="0" w:after="283"/>
              <w:ind w:left="0" w:right="0" w:hanging="0"/>
              <w:rPr/>
            </w:pPr>
            <w:hyperlink w:anchor="ds12101_item_3._legal_proceedings">
              <w:r>
                <w:rPr>
                  <w:rStyle w:val="InternetLink"/>
                  <w:rFonts w:ascii="times" w:hAnsi="times"/>
                  <w:sz w:val="20"/>
                </w:rPr>
                <w:t>Item 3.</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s12101_item_3._legal_proceedings">
              <w:r>
                <w:rPr>
                  <w:rStyle w:val="InternetLink"/>
                  <w:rFonts w:ascii="times" w:hAnsi="times"/>
                  <w:sz w:val="20"/>
                </w:rPr>
                <w:t>Legal Proceedings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s12101_item_3._legal_proceedings">
              <w:r>
                <w:rPr>
                  <w:rStyle w:val="InternetLink"/>
                  <w:rFonts w:ascii="times" w:hAnsi="times"/>
                  <w:sz w:val="20"/>
                </w:rPr>
                <w:t>64</w:t>
              </w:r>
            </w:hyperlink>
          </w:p>
        </w:tc>
      </w:tr>
      <w:tr>
        <w:trPr/>
        <w:tc>
          <w:tcPr>
            <w:tcW w:w="960" w:type="dxa"/>
            <w:tcBorders/>
            <w:shd w:fill="auto" w:val="clear"/>
          </w:tcPr>
          <w:p>
            <w:pPr>
              <w:pStyle w:val="TableContents"/>
              <w:spacing w:before="0" w:after="283"/>
              <w:ind w:left="0" w:right="0" w:hanging="0"/>
              <w:rPr/>
            </w:pPr>
            <w:hyperlink w:anchor="ds12101_item_4._submission_of___ds102384">
              <w:r>
                <w:rPr>
                  <w:rStyle w:val="InternetLink"/>
                  <w:rFonts w:ascii="times" w:hAnsi="times"/>
                  <w:sz w:val="20"/>
                </w:rPr>
                <w:t>Item 4.</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s12101_item_4._submission_of___ds102384">
              <w:r>
                <w:rPr>
                  <w:rStyle w:val="InternetLink"/>
                  <w:rFonts w:ascii="times" w:hAnsi="times"/>
                  <w:sz w:val="20"/>
                </w:rPr>
                <w:t>Submission of Matters to a Vote of Security Holders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s12101_item_4._submission_of___ds102384">
              <w:r>
                <w:rPr>
                  <w:rStyle w:val="InternetLink"/>
                  <w:rFonts w:ascii="times" w:hAnsi="times"/>
                  <w:sz w:val="20"/>
                </w:rPr>
                <w:t>67</w:t>
              </w:r>
            </w:hyperlink>
          </w:p>
        </w:tc>
      </w:tr>
      <w:tr>
        <w:trPr/>
        <w:tc>
          <w:tcPr>
            <w:tcW w:w="6965" w:type="dxa"/>
            <w:gridSpan w:val="5"/>
            <w:tcBorders/>
            <w:shd w:fill="auto" w:val="clear"/>
          </w:tcPr>
          <w:p>
            <w:pPr>
              <w:pStyle w:val="TableContents"/>
              <w:spacing w:before="0" w:after="283"/>
              <w:ind w:left="0" w:right="0" w:hanging="0"/>
              <w:jc w:val="center"/>
              <w:rPr/>
            </w:pPr>
            <w:hyperlink w:anchor="du12101_part_ii">
              <w:r>
                <w:rPr>
                  <w:rStyle w:val="InternetLink"/>
                  <w:rFonts w:ascii="times" w:hAnsi="times"/>
                  <w:b/>
                  <w:sz w:val="20"/>
                </w:rPr>
                <w:t>PART II</w:t>
              </w:r>
            </w:hyperlink>
          </w:p>
        </w:tc>
      </w:tr>
      <w:tr>
        <w:trPr/>
        <w:tc>
          <w:tcPr>
            <w:tcW w:w="960" w:type="dxa"/>
            <w:tcBorders/>
            <w:shd w:fill="auto" w:val="clear"/>
          </w:tcPr>
          <w:p>
            <w:pPr>
              <w:pStyle w:val="TableContents"/>
              <w:spacing w:before="0" w:after="283"/>
              <w:ind w:left="0" w:right="0" w:hanging="0"/>
              <w:rPr/>
            </w:pPr>
            <w:hyperlink w:anchor="du12101_item_5._market_for_registrant___ite04586">
              <w:r>
                <w:rPr>
                  <w:rStyle w:val="InternetLink"/>
                  <w:rFonts w:ascii="times" w:hAnsi="times"/>
                  <w:sz w:val="20"/>
                </w:rPr>
                <w:t>Item 5.</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u12101_item_5._market_for_registrant___ite04586">
              <w:r>
                <w:rPr>
                  <w:rStyle w:val="InternetLink"/>
                  <w:rFonts w:ascii="times" w:hAnsi="times"/>
                  <w:sz w:val="20"/>
                </w:rPr>
                <w:t>Market for Registrant's Common Units, Related Unitholder Matters and Issuer Purchases of Equity Securities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u12101_item_5._market_for_registrant___ite04586">
              <w:r>
                <w:rPr>
                  <w:rStyle w:val="InternetLink"/>
                  <w:rFonts w:ascii="times" w:hAnsi="times"/>
                  <w:sz w:val="20"/>
                </w:rPr>
                <w:t>68</w:t>
              </w:r>
            </w:hyperlink>
          </w:p>
        </w:tc>
      </w:tr>
      <w:tr>
        <w:trPr/>
        <w:tc>
          <w:tcPr>
            <w:tcW w:w="960" w:type="dxa"/>
            <w:tcBorders/>
            <w:shd w:fill="auto" w:val="clear"/>
          </w:tcPr>
          <w:p>
            <w:pPr>
              <w:pStyle w:val="TableContents"/>
              <w:spacing w:before="0" w:after="283"/>
              <w:ind w:left="0" w:right="0" w:hanging="0"/>
              <w:rPr/>
            </w:pPr>
            <w:hyperlink w:anchor="du12101_item_6._selected_financial_data">
              <w:r>
                <w:rPr>
                  <w:rStyle w:val="InternetLink"/>
                  <w:rFonts w:ascii="times" w:hAnsi="times"/>
                  <w:sz w:val="20"/>
                </w:rPr>
                <w:t>Item 6.</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u12101_item_6._selected_financial_data">
              <w:r>
                <w:rPr>
                  <w:rStyle w:val="InternetLink"/>
                  <w:rFonts w:ascii="times" w:hAnsi="times"/>
                  <w:sz w:val="20"/>
                </w:rPr>
                <w:t>Selected Financial Data</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u12101_item_6._selected_financial_data">
              <w:r>
                <w:rPr>
                  <w:rStyle w:val="InternetLink"/>
                  <w:rFonts w:ascii="times" w:hAnsi="times"/>
                  <w:sz w:val="20"/>
                </w:rPr>
                <w:t>70</w:t>
              </w:r>
            </w:hyperlink>
          </w:p>
        </w:tc>
      </w:tr>
      <w:tr>
        <w:trPr/>
        <w:tc>
          <w:tcPr>
            <w:tcW w:w="960" w:type="dxa"/>
            <w:tcBorders/>
            <w:shd w:fill="auto" w:val="clear"/>
          </w:tcPr>
          <w:p>
            <w:pPr>
              <w:pStyle w:val="TableContents"/>
              <w:spacing w:before="0" w:after="283"/>
              <w:ind w:left="0" w:right="0" w:hanging="0"/>
              <w:rPr/>
            </w:pPr>
            <w:hyperlink w:anchor="du12101_item_7._management_s_discussio__ite03668">
              <w:r>
                <w:rPr>
                  <w:rStyle w:val="InternetLink"/>
                  <w:rFonts w:ascii="times" w:hAnsi="times"/>
                  <w:sz w:val="20"/>
                </w:rPr>
                <w:t>Item 7.</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du12101_item_7._management_s_discussio__ite03668">
              <w:r>
                <w:rPr>
                  <w:rStyle w:val="InternetLink"/>
                  <w:rFonts w:ascii="times" w:hAnsi="times"/>
                  <w:sz w:val="20"/>
                </w:rPr>
                <w:t>Management's Discussion and Analysis of Financial Condition and Results of Operations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du12101_item_7._management_s_discussio__ite03668">
              <w:r>
                <w:rPr>
                  <w:rStyle w:val="InternetLink"/>
                  <w:rFonts w:ascii="times" w:hAnsi="times"/>
                  <w:sz w:val="20"/>
                </w:rPr>
                <w:t>72</w:t>
              </w:r>
            </w:hyperlink>
          </w:p>
        </w:tc>
      </w:tr>
      <w:tr>
        <w:trPr/>
        <w:tc>
          <w:tcPr>
            <w:tcW w:w="960" w:type="dxa"/>
            <w:tcBorders/>
            <w:shd w:fill="auto" w:val="clear"/>
          </w:tcPr>
          <w:p>
            <w:pPr>
              <w:pStyle w:val="TableContents"/>
              <w:spacing w:before="0" w:after="283"/>
              <w:ind w:left="0" w:right="0" w:hanging="0"/>
              <w:rPr/>
            </w:pPr>
            <w:hyperlink w:anchor="ea12101_item_7a._quantitative_and_qual__ite02669">
              <w:r>
                <w:rPr>
                  <w:rStyle w:val="InternetLink"/>
                  <w:rFonts w:ascii="times" w:hAnsi="times"/>
                  <w:sz w:val="20"/>
                </w:rPr>
                <w:t>Item 7A.</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a12101_item_7a._quantitative_and_qual__ite02669">
              <w:r>
                <w:rPr>
                  <w:rStyle w:val="InternetLink"/>
                  <w:rFonts w:ascii="times" w:hAnsi="times"/>
                  <w:sz w:val="20"/>
                </w:rPr>
                <w:t>Quantitative and Qualitative Disclosures About Market Risk</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a12101_item_7a._quantitative_and_qual__ite02669">
              <w:r>
                <w:rPr>
                  <w:rStyle w:val="InternetLink"/>
                  <w:rFonts w:ascii="times" w:hAnsi="times"/>
                  <w:sz w:val="20"/>
                </w:rPr>
                <w:t>97</w:t>
              </w:r>
            </w:hyperlink>
          </w:p>
        </w:tc>
      </w:tr>
      <w:tr>
        <w:trPr/>
        <w:tc>
          <w:tcPr>
            <w:tcW w:w="960" w:type="dxa"/>
            <w:tcBorders/>
            <w:shd w:fill="auto" w:val="clear"/>
          </w:tcPr>
          <w:p>
            <w:pPr>
              <w:pStyle w:val="TableContents"/>
              <w:spacing w:before="0" w:after="283"/>
              <w:ind w:left="0" w:right="0" w:hanging="0"/>
              <w:rPr/>
            </w:pPr>
            <w:hyperlink w:anchor="ea12101_item_8._financial_statements_and_supplementary_data">
              <w:r>
                <w:rPr>
                  <w:rStyle w:val="InternetLink"/>
                  <w:rFonts w:ascii="times" w:hAnsi="times"/>
                  <w:sz w:val="20"/>
                </w:rPr>
                <w:t>Item 8.</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a12101_item_8._financial_statements_and_supplementary_data">
              <w:r>
                <w:rPr>
                  <w:rStyle w:val="InternetLink"/>
                  <w:rFonts w:ascii="times" w:hAnsi="times"/>
                  <w:sz w:val="20"/>
                </w:rPr>
                <w:t>Financial Statements and Supplementary Data</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a12101_item_8._financial_statements_and_supplementary_data">
              <w:r>
                <w:rPr>
                  <w:rStyle w:val="InternetLink"/>
                  <w:rFonts w:ascii="times" w:hAnsi="times"/>
                  <w:sz w:val="20"/>
                </w:rPr>
                <w:t>99</w:t>
              </w:r>
            </w:hyperlink>
          </w:p>
        </w:tc>
      </w:tr>
      <w:tr>
        <w:trPr/>
        <w:tc>
          <w:tcPr>
            <w:tcW w:w="960" w:type="dxa"/>
            <w:tcBorders/>
            <w:shd w:fill="auto" w:val="clear"/>
          </w:tcPr>
          <w:p>
            <w:pPr>
              <w:pStyle w:val="TableContents"/>
              <w:spacing w:before="0" w:after="283"/>
              <w:ind w:left="0" w:right="0" w:hanging="0"/>
              <w:rPr/>
            </w:pPr>
            <w:hyperlink w:anchor="ea12101_item_9._changes_in_and_disagre__ite03576">
              <w:r>
                <w:rPr>
                  <w:rStyle w:val="InternetLink"/>
                  <w:rFonts w:ascii="times" w:hAnsi="times"/>
                  <w:sz w:val="20"/>
                </w:rPr>
                <w:t>Item 9.</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a12101_item_9._changes_in_and_disagre__ite03576">
              <w:r>
                <w:rPr>
                  <w:rStyle w:val="InternetLink"/>
                  <w:rFonts w:ascii="times" w:hAnsi="times"/>
                  <w:sz w:val="20"/>
                </w:rPr>
                <w:t>Changes in and Disagreements With Accountants on Accounting and Financial Disclosure</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a12101_item_9._changes_in_and_disagre__ite03576">
              <w:r>
                <w:rPr>
                  <w:rStyle w:val="InternetLink"/>
                  <w:rFonts w:ascii="times" w:hAnsi="times"/>
                  <w:sz w:val="20"/>
                </w:rPr>
                <w:t>99</w:t>
              </w:r>
            </w:hyperlink>
          </w:p>
        </w:tc>
      </w:tr>
      <w:tr>
        <w:trPr/>
        <w:tc>
          <w:tcPr>
            <w:tcW w:w="960" w:type="dxa"/>
            <w:tcBorders/>
            <w:shd w:fill="auto" w:val="clear"/>
          </w:tcPr>
          <w:p>
            <w:pPr>
              <w:pStyle w:val="TableContents"/>
              <w:spacing w:before="0" w:after="283"/>
              <w:ind w:left="0" w:right="0" w:hanging="0"/>
              <w:rPr/>
            </w:pPr>
            <w:hyperlink w:anchor="ea12101_item_9a._controls_and_procedures">
              <w:r>
                <w:rPr>
                  <w:rStyle w:val="InternetLink"/>
                  <w:rFonts w:ascii="times" w:hAnsi="times"/>
                  <w:sz w:val="20"/>
                </w:rPr>
                <w:t>Item 9A.</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a12101_item_9a._controls_and_procedures">
              <w:r>
                <w:rPr>
                  <w:rStyle w:val="InternetLink"/>
                  <w:rFonts w:ascii="times" w:hAnsi="times"/>
                  <w:sz w:val="20"/>
                </w:rPr>
                <w:t>Controls and Procedures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a12101_item_9a._controls_and_procedures">
              <w:r>
                <w:rPr>
                  <w:rStyle w:val="InternetLink"/>
                  <w:rFonts w:ascii="times" w:hAnsi="times"/>
                  <w:sz w:val="20"/>
                </w:rPr>
                <w:t>100</w:t>
              </w:r>
            </w:hyperlink>
          </w:p>
        </w:tc>
      </w:tr>
      <w:tr>
        <w:trPr/>
        <w:tc>
          <w:tcPr>
            <w:tcW w:w="960" w:type="dxa"/>
            <w:tcBorders/>
            <w:shd w:fill="auto" w:val="clear"/>
          </w:tcPr>
          <w:p>
            <w:pPr>
              <w:pStyle w:val="TableContents"/>
              <w:spacing w:before="0" w:after="283"/>
              <w:ind w:left="0" w:right="0" w:hanging="0"/>
              <w:rPr/>
            </w:pPr>
            <w:hyperlink w:anchor="ea12101_item_9b._other_information">
              <w:r>
                <w:rPr>
                  <w:rStyle w:val="InternetLink"/>
                  <w:rFonts w:ascii="times" w:hAnsi="times"/>
                  <w:sz w:val="20"/>
                </w:rPr>
                <w:t>Item 9B.</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a12101_item_9b._other_information">
              <w:r>
                <w:rPr>
                  <w:rStyle w:val="InternetLink"/>
                  <w:rFonts w:ascii="times" w:hAnsi="times"/>
                  <w:sz w:val="20"/>
                </w:rPr>
                <w:t>Other Information</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a12101_item_9b._other_information">
              <w:r>
                <w:rPr>
                  <w:rStyle w:val="InternetLink"/>
                  <w:rFonts w:ascii="times" w:hAnsi="times"/>
                  <w:sz w:val="20"/>
                </w:rPr>
                <w:t>100</w:t>
              </w:r>
            </w:hyperlink>
          </w:p>
        </w:tc>
      </w:tr>
      <w:tr>
        <w:trPr/>
        <w:tc>
          <w:tcPr>
            <w:tcW w:w="6965" w:type="dxa"/>
            <w:gridSpan w:val="5"/>
            <w:tcBorders/>
            <w:shd w:fill="auto" w:val="clear"/>
          </w:tcPr>
          <w:p>
            <w:pPr>
              <w:pStyle w:val="TableContents"/>
              <w:spacing w:before="0" w:after="283"/>
              <w:ind w:left="0" w:right="0" w:hanging="0"/>
              <w:jc w:val="center"/>
              <w:rPr/>
            </w:pPr>
            <w:hyperlink w:anchor="ec12101_part_iii">
              <w:r>
                <w:rPr>
                  <w:rStyle w:val="InternetLink"/>
                  <w:rFonts w:ascii="times" w:hAnsi="times"/>
                  <w:b/>
                  <w:sz w:val="20"/>
                </w:rPr>
                <w:t>PART III</w:t>
              </w:r>
            </w:hyperlink>
          </w:p>
        </w:tc>
      </w:tr>
      <w:tr>
        <w:trPr/>
        <w:tc>
          <w:tcPr>
            <w:tcW w:w="960" w:type="dxa"/>
            <w:tcBorders/>
            <w:shd w:fill="auto" w:val="clear"/>
          </w:tcPr>
          <w:p>
            <w:pPr>
              <w:pStyle w:val="TableContents"/>
              <w:spacing w:before="0" w:after="283"/>
              <w:ind w:left="0" w:right="0" w:hanging="0"/>
              <w:rPr/>
            </w:pPr>
            <w:hyperlink w:anchor="ec12101_item_10._directors_and_executi__ite03437">
              <w:r>
                <w:rPr>
                  <w:rStyle w:val="InternetLink"/>
                  <w:rFonts w:ascii="times" w:hAnsi="times"/>
                  <w:sz w:val="20"/>
                </w:rPr>
                <w:t>Item 10.</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c12101_item_10._directors_and_executi__ite03437">
              <w:r>
                <w:rPr>
                  <w:rStyle w:val="InternetLink"/>
                  <w:rFonts w:ascii="times" w:hAnsi="times"/>
                  <w:sz w:val="20"/>
                </w:rPr>
                <w:t>Directors and Executive Officers of Our General Partner and Corporate Governance</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c12101_item_10._directors_and_executi__ite03437">
              <w:r>
                <w:rPr>
                  <w:rStyle w:val="InternetLink"/>
                  <w:rFonts w:ascii="times" w:hAnsi="times"/>
                  <w:sz w:val="20"/>
                </w:rPr>
                <w:t>101</w:t>
              </w:r>
            </w:hyperlink>
          </w:p>
        </w:tc>
      </w:tr>
      <w:tr>
        <w:trPr/>
        <w:tc>
          <w:tcPr>
            <w:tcW w:w="960" w:type="dxa"/>
            <w:tcBorders/>
            <w:shd w:fill="auto" w:val="clear"/>
          </w:tcPr>
          <w:p>
            <w:pPr>
              <w:pStyle w:val="TableContents"/>
              <w:spacing w:before="0" w:after="283"/>
              <w:ind w:left="0" w:right="0" w:hanging="0"/>
              <w:rPr/>
            </w:pPr>
            <w:hyperlink w:anchor="ee12101_item_11._executive_compensation">
              <w:r>
                <w:rPr>
                  <w:rStyle w:val="InternetLink"/>
                  <w:rFonts w:ascii="times" w:hAnsi="times"/>
                  <w:sz w:val="20"/>
                </w:rPr>
                <w:t>Item 11.</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e12101_item_11._executive_compensation">
              <w:r>
                <w:rPr>
                  <w:rStyle w:val="InternetLink"/>
                  <w:rFonts w:ascii="times" w:hAnsi="times"/>
                  <w:sz w:val="20"/>
                </w:rPr>
                <w:t>Executive Compensation</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e12101_item_11._executive_compensation">
              <w:r>
                <w:rPr>
                  <w:rStyle w:val="InternetLink"/>
                  <w:rFonts w:ascii="times" w:hAnsi="times"/>
                  <w:sz w:val="20"/>
                </w:rPr>
                <w:t>112</w:t>
              </w:r>
            </w:hyperlink>
          </w:p>
        </w:tc>
      </w:tr>
      <w:tr>
        <w:trPr/>
        <w:tc>
          <w:tcPr>
            <w:tcW w:w="960" w:type="dxa"/>
            <w:tcBorders/>
            <w:shd w:fill="auto" w:val="clear"/>
          </w:tcPr>
          <w:p>
            <w:pPr>
              <w:pStyle w:val="TableContents"/>
              <w:spacing w:before="0" w:after="283"/>
              <w:ind w:left="0" w:right="0" w:hanging="0"/>
              <w:rPr/>
            </w:pPr>
            <w:hyperlink w:anchor="ek12101_item_12._security_ownership_of__ite03969">
              <w:r>
                <w:rPr>
                  <w:rStyle w:val="InternetLink"/>
                  <w:rFonts w:ascii="times" w:hAnsi="times"/>
                  <w:sz w:val="20"/>
                </w:rPr>
                <w:t>Item 12.</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k12101_item_12._security_ownership_of__ite03969">
              <w:r>
                <w:rPr>
                  <w:rStyle w:val="InternetLink"/>
                  <w:rFonts w:ascii="times" w:hAnsi="times"/>
                  <w:sz w:val="20"/>
                </w:rPr>
                <w:t>Security Ownership of Certain Beneficial Owners and Management and Related Unitholder Matters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k12101_item_12._security_ownership_of__ite03969">
              <w:r>
                <w:rPr>
                  <w:rStyle w:val="InternetLink"/>
                  <w:rFonts w:ascii="times" w:hAnsi="times"/>
                  <w:sz w:val="20"/>
                </w:rPr>
                <w:t>131</w:t>
              </w:r>
            </w:hyperlink>
          </w:p>
        </w:tc>
      </w:tr>
      <w:tr>
        <w:trPr/>
        <w:tc>
          <w:tcPr>
            <w:tcW w:w="960" w:type="dxa"/>
            <w:tcBorders/>
            <w:shd w:fill="auto" w:val="clear"/>
          </w:tcPr>
          <w:p>
            <w:pPr>
              <w:pStyle w:val="TableContents"/>
              <w:spacing w:before="0" w:after="283"/>
              <w:ind w:left="0" w:right="0" w:hanging="0"/>
              <w:rPr/>
            </w:pPr>
            <w:hyperlink w:anchor="em12101_item_13._certain_relationships__ite03067">
              <w:r>
                <w:rPr>
                  <w:rStyle w:val="InternetLink"/>
                  <w:rFonts w:ascii="times" w:hAnsi="times"/>
                  <w:sz w:val="20"/>
                </w:rPr>
                <w:t>Item 13.</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m12101_item_13._certain_relationships__ite03067">
              <w:r>
                <w:rPr>
                  <w:rStyle w:val="InternetLink"/>
                  <w:rFonts w:ascii="times" w:hAnsi="times"/>
                  <w:sz w:val="20"/>
                </w:rPr>
                <w:t>Certain Relationships and Related Transactions, and Director Independence</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m12101_item_13._certain_relationships__ite03067">
              <w:r>
                <w:rPr>
                  <w:rStyle w:val="InternetLink"/>
                  <w:rFonts w:ascii="times" w:hAnsi="times"/>
                  <w:sz w:val="20"/>
                </w:rPr>
                <w:t>136</w:t>
              </w:r>
            </w:hyperlink>
          </w:p>
        </w:tc>
      </w:tr>
      <w:tr>
        <w:trPr/>
        <w:tc>
          <w:tcPr>
            <w:tcW w:w="960" w:type="dxa"/>
            <w:tcBorders/>
            <w:shd w:fill="auto" w:val="clear"/>
          </w:tcPr>
          <w:p>
            <w:pPr>
              <w:pStyle w:val="TableContents"/>
              <w:spacing w:before="0" w:after="283"/>
              <w:ind w:left="0" w:right="0" w:hanging="0"/>
              <w:rPr/>
            </w:pPr>
            <w:hyperlink w:anchor="em12101_item_14._principal_accountant_fees_and_services">
              <w:r>
                <w:rPr>
                  <w:rStyle w:val="InternetLink"/>
                  <w:rFonts w:ascii="times" w:hAnsi="times"/>
                  <w:sz w:val="20"/>
                </w:rPr>
                <w:t>Item 14.</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m12101_item_14._principal_accountant_fees_and_services">
              <w:r>
                <w:rPr>
                  <w:rStyle w:val="InternetLink"/>
                  <w:rFonts w:ascii="times" w:hAnsi="times"/>
                  <w:sz w:val="20"/>
                </w:rPr>
                <w:t>Principal Accountant Fees and Services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m12101_item_14._principal_accountant_fees_and_services">
              <w:r>
                <w:rPr>
                  <w:rStyle w:val="InternetLink"/>
                  <w:rFonts w:ascii="times" w:hAnsi="times"/>
                  <w:sz w:val="20"/>
                </w:rPr>
                <w:t>143</w:t>
              </w:r>
            </w:hyperlink>
          </w:p>
        </w:tc>
      </w:tr>
      <w:tr>
        <w:trPr/>
        <w:tc>
          <w:tcPr>
            <w:tcW w:w="6965" w:type="dxa"/>
            <w:gridSpan w:val="5"/>
            <w:tcBorders/>
            <w:shd w:fill="auto" w:val="clear"/>
          </w:tcPr>
          <w:p>
            <w:pPr>
              <w:pStyle w:val="TableContents"/>
              <w:spacing w:before="0" w:after="283"/>
              <w:ind w:left="0" w:right="0" w:hanging="0"/>
              <w:jc w:val="center"/>
              <w:rPr/>
            </w:pPr>
            <w:hyperlink w:anchor="eo12101_part_iv">
              <w:r>
                <w:rPr>
                  <w:rStyle w:val="InternetLink"/>
                  <w:rFonts w:ascii="times" w:hAnsi="times"/>
                  <w:b/>
                  <w:sz w:val="20"/>
                </w:rPr>
                <w:t>PART IV</w:t>
              </w:r>
            </w:hyperlink>
          </w:p>
        </w:tc>
      </w:tr>
      <w:tr>
        <w:trPr/>
        <w:tc>
          <w:tcPr>
            <w:tcW w:w="960" w:type="dxa"/>
            <w:tcBorders/>
            <w:shd w:fill="auto" w:val="clear"/>
          </w:tcPr>
          <w:p>
            <w:pPr>
              <w:pStyle w:val="TableContents"/>
              <w:spacing w:before="0" w:after="283"/>
              <w:ind w:left="0" w:right="0" w:hanging="0"/>
              <w:rPr/>
            </w:pPr>
            <w:hyperlink w:anchor="eo12101_item_15._exhibits_and_financial_statement_schedules">
              <w:r>
                <w:rPr>
                  <w:rStyle w:val="InternetLink"/>
                  <w:rFonts w:ascii="times" w:hAnsi="times"/>
                  <w:sz w:val="20"/>
                </w:rPr>
                <w:t>Item 15.</w:t>
              </w:r>
            </w:hyperlink>
          </w:p>
        </w:tc>
        <w:tc>
          <w:tcPr>
            <w:tcW w:w="180" w:type="dxa"/>
            <w:tcBorders/>
            <w:shd w:fill="auto" w:val="clear"/>
          </w:tcPr>
          <w:p>
            <w:pPr>
              <w:pStyle w:val="TableContents"/>
              <w:spacing w:before="0" w:after="283"/>
              <w:rPr/>
            </w:pPr>
            <w:r>
              <w:rPr/>
              <w:t> </w:t>
            </w:r>
          </w:p>
        </w:tc>
        <w:tc>
          <w:tcPr>
            <w:tcW w:w="5310" w:type="dxa"/>
            <w:tcBorders/>
            <w:shd w:fill="auto" w:val="clear"/>
          </w:tcPr>
          <w:p>
            <w:pPr>
              <w:pStyle w:val="TableContents"/>
              <w:spacing w:before="0" w:after="283"/>
              <w:ind w:left="200" w:right="0" w:hanging="200"/>
              <w:jc w:val="left"/>
              <w:rPr/>
            </w:pPr>
            <w:hyperlink w:anchor="eo12101_item_15._exhibits_and_financial_statement_schedules">
              <w:r>
                <w:rPr>
                  <w:rStyle w:val="InternetLink"/>
                  <w:rFonts w:ascii="times" w:hAnsi="times"/>
                  <w:sz w:val="20"/>
                </w:rPr>
                <w:t>Exhibits and Financial Statement Schedules</w:t>
              </w:r>
            </w:hyperlink>
          </w:p>
        </w:tc>
        <w:tc>
          <w:tcPr>
            <w:tcW w:w="180" w:type="dxa"/>
            <w:tcBorders/>
            <w:shd w:fill="auto" w:val="clear"/>
          </w:tcPr>
          <w:p>
            <w:pPr>
              <w:pStyle w:val="TableContents"/>
              <w:spacing w:before="0" w:after="283"/>
              <w:rPr/>
            </w:pPr>
            <w:r>
              <w:rPr/>
              <w:t> </w:t>
            </w:r>
          </w:p>
        </w:tc>
        <w:tc>
          <w:tcPr>
            <w:tcW w:w="335" w:type="dxa"/>
            <w:tcBorders/>
            <w:shd w:fill="auto" w:val="clear"/>
            <w:vAlign w:val="bottom"/>
          </w:tcPr>
          <w:p>
            <w:pPr>
              <w:pStyle w:val="TableContents"/>
              <w:spacing w:before="0" w:after="283"/>
              <w:jc w:val="right"/>
              <w:rPr/>
            </w:pPr>
            <w:hyperlink w:anchor="eo12101_item_15._exhibits_and_financial_statement_schedules">
              <w:r>
                <w:rPr>
                  <w:rStyle w:val="InternetLink"/>
                  <w:rFonts w:ascii="times" w:hAnsi="times"/>
                  <w:sz w:val="20"/>
                </w:rPr>
                <w:t>144</w:t>
              </w:r>
            </w:hyperlink>
          </w:p>
        </w:tc>
      </w:tr>
    </w:tbl>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12101a_main_toc">
        <w:bookmarkStart w:id="9" w:name="page_de12101_1_3"/>
        <w:bookmarkEnd w:id="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 w:name="toc_de12101_1"/>
      <w:bookmarkStart w:id="11" w:name="de12101_forward-looking_statements"/>
      <w:bookmarkEnd w:id="10"/>
      <w:bookmarkEnd w:id="11"/>
      <w:r>
        <w:rPr>
          <w:rFonts w:ascii="times" w:hAnsi="times"/>
          <w:sz w:val="20"/>
        </w:rPr>
        <w:br/>
      </w:r>
      <w:r>
        <w:rPr>
          <w:rFonts w:ascii="times" w:hAnsi="times"/>
          <w:b/>
          <w:sz w:val="20"/>
        </w:rPr>
        <w:t xml:space="preserve">FORWARD-LOOKING STATEMENTS </w:t>
      </w:r>
    </w:p>
    <w:p>
      <w:pPr>
        <w:pStyle w:val="TextBody"/>
        <w:rPr/>
      </w:pPr>
      <w:r>
        <w:rPr/>
        <w:t>        </w:t>
      </w:r>
      <w:r>
        <w:rPr>
          <w:rFonts w:ascii="times" w:hAnsi="times"/>
          <w:sz w:val="20"/>
        </w:rPr>
        <w:t xml:space="preserve">All statements included in this report,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to implement or capitalize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our credit rating and ability to receive open credit from our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our counterparties, including financial institutions and trading companies with which we do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 of our risk management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abrupt or severe declines or interruptions in outer continental shelf production located offshore California and transported on our pipeline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power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our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debt or equity financing on satisfactory terms to fund additional acquisitions, expansion projects, working capital requirements and the repayment or refinancing of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successful integration and future performance of acquired assets or businesses and the risks associated with operating in lines of business that are distinct and separate from our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interruptions in service and fluctuations in tariffs or volumes on third-party pipelines;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12101a_main_toc">
        <w:bookmarkStart w:id="12" w:name="page_de12101_1_4"/>
        <w:bookmarkEnd w:id="1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our units at the time of vesting under our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natural gas storage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future developments and circumstances at the time distributions are declared;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deteriorated financial markets, capital constraints and pervasive liquidity concerns;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refined products and liquefied petroleum gas and other natural gas related petroleum products. </w:t>
      </w:r>
    </w:p>
    <w:p>
      <w:pPr>
        <w:pStyle w:val="TextBody"/>
        <w:rPr/>
      </w:pPr>
      <w:r>
        <w:rPr/>
        <w:t>        </w:t>
      </w:r>
      <w:r>
        <w:rPr>
          <w:rFonts w:ascii="times" w:hAnsi="times"/>
          <w:sz w:val="20"/>
        </w:rPr>
        <w:t xml:space="preserve">Other factors described elsewhere in this document, or factors that are unknown or unpredictable, could also have a material adverse effect on future results. Please read "Risks Related to Our Business" discussed in Item 1A. "Risk Factors." Except as required by applicable securities laws, we do not intend to update these forward-looking statements and information.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12101a_main_toc">
        <w:bookmarkStart w:id="13" w:name="page_dg12101_1_5"/>
        <w:bookmarkEnd w:id="1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4" w:name="toc_dg12101_1"/>
      <w:bookmarkStart w:id="15" w:name="dg12101_part_i"/>
      <w:bookmarkEnd w:id="14"/>
      <w:bookmarkEnd w:id="15"/>
      <w:r>
        <w:rPr>
          <w:rFonts w:ascii="times" w:hAnsi="times"/>
          <w:sz w:val="20"/>
        </w:rPr>
        <w:br/>
      </w:r>
      <w:r>
        <w:rPr>
          <w:rFonts w:ascii="times" w:hAnsi="times"/>
          <w:b/>
          <w:sz w:val="20"/>
        </w:rPr>
        <w:t xml:space="preserve">PART I </w:t>
      </w:r>
    </w:p>
    <w:p>
      <w:pPr>
        <w:pStyle w:val="TextBody"/>
        <w:rPr>
          <w:rFonts w:ascii="times" w:hAnsi="times"/>
        </w:rPr>
      </w:pPr>
      <w:bookmarkStart w:id="16" w:name="toc_dg12101_2"/>
      <w:bookmarkStart w:id="17" w:name="dg12101_items_1_and_2._business_and_prop"/>
      <w:bookmarkEnd w:id="16"/>
      <w:bookmarkEnd w:id="17"/>
      <w:r>
        <w:rPr>
          <w:rFonts w:ascii="times" w:hAnsi="times"/>
          <w:b/>
          <w:sz w:val="20"/>
        </w:rPr>
        <w:t>Items 1 and 2.    </w:t>
      </w:r>
      <w:r>
        <w:rPr>
          <w:rFonts w:ascii="times" w:hAnsi="times"/>
          <w:b/>
          <w:i/>
          <w:sz w:val="20"/>
        </w:rPr>
        <w:t xml:space="preserve">Business and Properties </w:t>
      </w:r>
    </w:p>
    <w:p>
      <w:pPr>
        <w:pStyle w:val="TextBody"/>
        <w:rPr>
          <w:rFonts w:ascii="times" w:hAnsi="times"/>
          <w:b/>
          <w:sz w:val="20"/>
        </w:rPr>
      </w:pPr>
      <w:r>
        <w:rPr>
          <w:rFonts w:ascii="times" w:hAnsi="times"/>
          <w:b/>
          <w:sz w:val="20"/>
        </w:rPr>
        <w:t xml:space="preserve">General </w:t>
      </w:r>
    </w:p>
    <w:p>
      <w:pPr>
        <w:pStyle w:val="TextBody"/>
        <w:rPr/>
      </w:pPr>
      <w:r>
        <w:rPr/>
        <w:t>        </w:t>
      </w:r>
      <w:r>
        <w:rPr>
          <w:rFonts w:ascii="times" w:hAnsi="times"/>
          <w:sz w:val="20"/>
        </w:rPr>
        <w:t xml:space="preserve">Plains All American Pipeline, L.P. is a Delaware limited partnership formed in 1998. Our operations are conducted directly and indirectly through our primary operating subsidiaries. As used in this Form 10-K, the terms "Partnership," "Plains," "we," "us," "our," "ours" and similar terms refer to Plains All American Pipeline, L.P. and its subsidiaries, unless the context indicates otherwise. </w:t>
      </w:r>
    </w:p>
    <w:p>
      <w:pPr>
        <w:pStyle w:val="TextBody"/>
        <w:rPr/>
      </w:pPr>
      <w:r>
        <w:rPr/>
        <w:t>        </w:t>
      </w:r>
      <w:r>
        <w:rPr>
          <w:rFonts w:ascii="times" w:hAnsi="times"/>
          <w:sz w:val="20"/>
        </w:rPr>
        <w:t xml:space="preserve">We are engaged in the transportation, storage, terminalling and marketing of crude oil, refined products and liquefied petroleum gas and other natural gas-related petroleum products. We refer to liquefied petroleum gas and other natural gas related petroleum products collectively as "LPG." Through our 50% equity ownership in PAA/Vulcan Gas Storage, LLC ("PAA/Vulcan"), we are also involved in the development and operation of natural gas storage facilities. </w:t>
      </w:r>
    </w:p>
    <w:p>
      <w:pPr>
        <w:pStyle w:val="TextBody"/>
        <w:rPr>
          <w:rFonts w:ascii="times" w:hAnsi="times"/>
          <w:b/>
          <w:sz w:val="20"/>
        </w:rPr>
      </w:pPr>
      <w:r>
        <w:rPr>
          <w:rFonts w:ascii="times" w:hAnsi="times"/>
          <w:b/>
          <w:sz w:val="20"/>
        </w:rPr>
        <w:t xml:space="preserve">Business Strategy </w:t>
      </w:r>
    </w:p>
    <w:p>
      <w:pPr>
        <w:pStyle w:val="TextBody"/>
        <w:rPr/>
      </w:pPr>
      <w:r>
        <w:rPr/>
        <w:t>        </w:t>
      </w:r>
      <w:r>
        <w:rPr>
          <w:rFonts w:ascii="times" w:hAnsi="times"/>
          <w:sz w:val="20"/>
        </w:rPr>
        <w:t xml:space="preserve">Our principal business strategy is to provide competitive and efficient midstream transportation, terminalling, storage and marketing services to our producer, refiner and other customers. Toward this end, we endeavor to address regional supply and demand imbalances for crude oil, refined products and LPG in the United States and Canada by combining the strategic location and capabilities of our transportation, terminalling and storage assets with our extensive marketing and distribution expertise. </w:t>
      </w:r>
    </w:p>
    <w:p>
      <w:pPr>
        <w:pStyle w:val="TextBody"/>
        <w:rPr/>
      </w:pPr>
      <w:r>
        <w:rPr/>
        <w:t>        </w:t>
      </w:r>
      <w:r>
        <w:rPr>
          <w:rFonts w:ascii="times" w:hAnsi="times"/>
          <w:sz w:val="20"/>
        </w:rPr>
        <w:t xml:space="preserve">We believe successful execution of this strategy will enable us to generate sustainable earnings and cash flow. We intend to manage and grow our business by: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optimizing our existing assets and realizing cost efficiencies through operational improvements;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developing and implementing internal growth projects that (i) address evolving crude oil, refined products and LPG needs in the midstream transportation and infrastructure sector and (ii) are well positioned to benefit from long-term industry trends and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utilizing our assets along the Gulf, West and East Coasts along with our Cushing Terminal and leased assets to optimize our presence in the waterborne importation of foreign crude oil;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expanding our presence in the refined products supply and marketing sector;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selectively pursuing strategic and accretive acquisitions of crude oil, refined products and LPG transportation, terminalling, storage and marketing assets and businesses that complement our existing asset base and distribution capabilities;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using our terminalling and storage assets in conjunction with our marketing activities to capitalize on inefficient energy markets and to address physical market imbalances, mitigate inherent risks and increase margin. </w:t>
      </w:r>
    </w:p>
    <w:p>
      <w:pPr>
        <w:pStyle w:val="TextBody"/>
        <w:rPr/>
      </w:pPr>
      <w:r>
        <w:rPr/>
        <w:t>        </w:t>
      </w:r>
      <w:r>
        <w:rPr>
          <w:rFonts w:ascii="times" w:hAnsi="times"/>
          <w:sz w:val="20"/>
        </w:rPr>
        <w:t xml:space="preserve">PAA/Vulcan's natural gas storage assets are also well-positioned to benefit from long-term industry trends and opportunities. PAA/Vulcan's natural gas storage growth strategies are to develop and implement internal growth projects and to selectively pursue strategic and accretive natural gas storage projects and facilities. We may also prudently and economically leverage our asset base, knowledge base and skill sets to participate in other energy-related businesses that have characteristics and opportunities similar to, or that otherwise complement, our existing activities.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12101a_main_toc">
        <w:bookmarkStart w:id="18" w:name="page_dg12101_1_6"/>
        <w:bookmarkEnd w:id="18"/>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Financial Strategy </w:t>
      </w:r>
    </w:p>
    <w:p>
      <w:pPr>
        <w:pStyle w:val="TextBody"/>
        <w:rPr>
          <w:rFonts w:ascii="times" w:hAnsi="times"/>
          <w:b/>
          <w:i/>
          <w:sz w:val="20"/>
        </w:rPr>
      </w:pPr>
      <w:r>
        <w:rPr>
          <w:rFonts w:ascii="times" w:hAnsi="times"/>
          <w:b/>
          <w:i/>
          <w:sz w:val="20"/>
        </w:rPr>
        <w:t xml:space="preserve">Targeted Credit Profile </w:t>
      </w:r>
    </w:p>
    <w:p>
      <w:pPr>
        <w:pStyle w:val="TextBody"/>
        <w:rPr/>
      </w:pPr>
      <w:r>
        <w:rPr/>
        <w:t>        </w:t>
      </w:r>
      <w:r>
        <w:rPr>
          <w:rFonts w:ascii="times" w:hAnsi="times"/>
          <w:sz w:val="20"/>
        </w:rPr>
        <w:t xml:space="preserve">We believe that a major factor in our continued success is our ability to maintain a competitive cost of capital and access to the capital markets. We intend to maintain a credit profile that we believe is consistent with an investment grade credit rating. We have targeted a general credit profile with the following attributes: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long-term debt-to-total capitalization ratio of approximately 50%;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long-term debt-to-adjusted EBITDA multiple of approximately 3.5x (adjusted EBITDA is earnings before interest, taxes, depreciation and amortization, equity compensation plan charges, gains and losses from derivative activities and selected items that are generally unusual or non-recurring);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average adjusted EBITDA-to-interest coverage multiple of approximately 3.3x or better. </w:t>
      </w:r>
    </w:p>
    <w:p>
      <w:pPr>
        <w:pStyle w:val="TextBody"/>
        <w:rPr/>
      </w:pPr>
      <w:r>
        <w:rPr/>
        <w:t>        </w:t>
      </w:r>
      <w:r>
        <w:rPr>
          <w:rFonts w:ascii="times" w:hAnsi="times"/>
          <w:sz w:val="20"/>
        </w:rPr>
        <w:t xml:space="preserve">The first two of these three metrics include long-term debt as a critical measure. In certain market conditions, we also incur short-term debt in connection with marketing activities that involve the simultaneous purchase and forward sale of crude oil, refined products and LPG. The crude oil, refined products and LPG purchased in these transactions are hedged. We do not consider the working capital borrowings associated with this activity to be part of our long-term capital structure. These borrowings are self-liquidating as they are repaid with sales proceeds. We also incur short-term debt for New York Mercantile Exchange ("NYMEX") and IntercontinentalExchange ("ICE") margin requirements. NYMEX is part of CME Group Inc. and is referred to as NYMEX throughout this document. </w:t>
      </w:r>
    </w:p>
    <w:p>
      <w:pPr>
        <w:pStyle w:val="TextBody"/>
        <w:rPr/>
      </w:pPr>
      <w:r>
        <w:rPr/>
        <w:t>        </w:t>
      </w:r>
      <w:r>
        <w:rPr>
          <w:rFonts w:ascii="times" w:hAnsi="times"/>
          <w:sz w:val="20"/>
        </w:rPr>
        <w:t xml:space="preserve">In order for us to maintain our targeted credit profile and achieve growth through internal growth projects and acquisitions, we intend to fund at least 50%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capital expansion projects to adjusted EBITDA. At December 31, 2008 and for the year then ended, we were in line with our targeted metrics. </w:t>
      </w:r>
    </w:p>
    <w:p>
      <w:pPr>
        <w:pStyle w:val="TextBody"/>
        <w:rPr>
          <w:rFonts w:ascii="times" w:hAnsi="times"/>
          <w:b/>
          <w:i/>
          <w:sz w:val="20"/>
        </w:rPr>
      </w:pPr>
      <w:r>
        <w:rPr>
          <w:rFonts w:ascii="times" w:hAnsi="times"/>
          <w:b/>
          <w:i/>
          <w:sz w:val="20"/>
        </w:rPr>
        <w:t xml:space="preserve">Credit Rating </w:t>
      </w:r>
    </w:p>
    <w:p>
      <w:pPr>
        <w:pStyle w:val="TextBody"/>
        <w:rPr/>
      </w:pPr>
      <w:r>
        <w:rPr/>
        <w:t>        </w:t>
      </w:r>
      <w:r>
        <w:rPr>
          <w:rFonts w:ascii="times" w:hAnsi="times"/>
          <w:sz w:val="20"/>
        </w:rPr>
        <w:t xml:space="preserve">As of February 2009, our senior unsecured ratings with Standard &amp; Poor's and Moody's Investment Services were BBB-, stable outlook, and Baa3, stable outlook, respectively, both of which are considered "investment grade" ratings. We have targeted the attainment of stronger investment grade ratings of mid to high-BBB and Baa categories for Standard &amp; Poor's and Moody's Investment Services, respectively. However, our current ratings might not remain in effect for any given period of time, we might not be able to attain the higher ratings we have targeted and one or both of these ratings might be lowered or withdrawn entirely by the rating agencies. Note that a credit rating is not a recommendation to buy, sell or hold securities, and may be revised or withdrawn at any time. See Item 1A. "Risk FactorsRisks Related to Our BusinessLoss of credit rating or the ability to receive open credit could negatively affect our ability to use the counter-cyclical aspects of our asset base or to capitalize on a "volatile market" for discussion of the potential impacts of a downgrade in our credit ratings.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12101a_main_toc">
        <w:bookmarkStart w:id="19" w:name="page_dg12101_1_7"/>
        <w:bookmarkEnd w:id="19"/>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Competitive Strengths </w:t>
      </w:r>
    </w:p>
    <w:p>
      <w:pPr>
        <w:pStyle w:val="TextBody"/>
        <w:rPr/>
      </w:pPr>
      <w:r>
        <w:rPr/>
        <w:t>        </w:t>
      </w:r>
      <w:r>
        <w:rPr>
          <w:rFonts w:ascii="times" w:hAnsi="times"/>
          <w:sz w:val="20"/>
        </w:rPr>
        <w:t xml:space="preserve">We believe that the following competitive strengths position us to successfully execute our principal business strategy: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Many of our transportation segment and facilities segment assets are strategically located and operationally flexible.</w:t>
      </w:r>
      <w:r>
        <w:rPr>
          <w:rFonts w:ascii="times" w:hAnsi="times"/>
        </w:rPr>
        <w:t xml:space="preserve"> </w:t>
      </w:r>
      <w:r>
        <w:rPr>
          <w:rFonts w:ascii="times" w:hAnsi="times"/>
          <w:sz w:val="20"/>
        </w:rPr>
        <w:t xml:space="preserve">The majority of our primary transportation segment assets 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We possess specialized crude oil market knowledge.</w:t>
      </w:r>
      <w:r>
        <w:rPr>
          <w:rFonts w:ascii="times" w:hAnsi="times"/>
        </w:rPr>
        <w:t>  </w:t>
      </w:r>
      <w:r>
        <w:rPr>
          <w:rFonts w:ascii="times" w:hAnsi="times"/>
          <w:sz w:val="20"/>
        </w:rPr>
        <w:t xml:space="preserve">We believe our business relationships with participants in various phases of the crude oil distribution chain, from crude oil producers to refiners, as well as our own industry expertise, provide us with an extensive understanding of the North American physical crude oil markets.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Our crude oil marketing activities are counter-cyclically balanced.</w:t>
      </w:r>
      <w:r>
        <w:rPr>
          <w:rFonts w:ascii="times" w:hAnsi="times"/>
        </w:rPr>
        <w:t>  </w:t>
      </w:r>
      <w:r>
        <w:rPr>
          <w:rFonts w:ascii="times" w:hAnsi="times"/>
          <w:sz w:val="20"/>
        </w:rPr>
        <w:t xml:space="preserve">We believe the variety of activities provided by our marketing segment provides us with a counter-cyclical balance that generally affords us the flexibility (i) to maintain a base level of margin irrespective of crude oil market conditions and (ii), in certain circumstances, to realize incremental margin during volatile market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We have the evaluation, integration and engineering skill sets and the financial flexibility to continue to pursue acquisition and expansion opportunities.</w:t>
      </w:r>
      <w:r>
        <w:rPr>
          <w:rFonts w:ascii="times" w:hAnsi="times"/>
        </w:rPr>
        <w:t xml:space="preserve"> </w:t>
      </w:r>
      <w:r>
        <w:rPr>
          <w:rFonts w:ascii="times" w:hAnsi="times"/>
          <w:sz w:val="20"/>
        </w:rPr>
        <w:t xml:space="preserve">Over the past eleven years, we have completed and integrated approximately 52 acquisitions with an aggregate purchase price of approximately $6.0 billion. We have also implemented internal expansion capital projects totaling approximately $1.8 billion. In addition, we believe we have resources to finance future strategic expansion and acquisition opportunities. As of December 31, 2008, we had approximately $1.0 billion available under our committed credit facilities, subject to continued covenant compliance.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We have an experienced management team whose interests are aligned with those of our unitholders.</w:t>
      </w:r>
      <w:r>
        <w:rPr>
          <w:rFonts w:ascii="times" w:hAnsi="times"/>
        </w:rPr>
        <w:t xml:space="preserve"> </w:t>
      </w:r>
      <w:r>
        <w:rPr>
          <w:rFonts w:ascii="times" w:hAnsi="times"/>
          <w:sz w:val="20"/>
        </w:rPr>
        <w:t xml:space="preserve">Our executive management team has an average of approximately 25 years industry experience, and an average of approximately 15 years with us or our predecessors and affiliates. In addition, through their ownership of common units, indirect interests in our general partner, grants of phantom units and the Class B units in Plains AAP, L.P., our management team has a vested interest in our continued success. </w:t>
      </w:r>
    </w:p>
    <w:p>
      <w:pPr>
        <w:pStyle w:val="TextBody"/>
        <w:rPr/>
      </w:pPr>
      <w:r>
        <w:rPr/>
        <w:t>        </w:t>
      </w:r>
      <w:r>
        <w:rPr>
          <w:rFonts w:ascii="times" w:hAnsi="times"/>
          <w:sz w:val="20"/>
        </w:rPr>
        <w:t xml:space="preserve">We believe these competitive strengths will aid our efforts to expand our presence in the refined products, LPG and natural gas storage sectors. </w:t>
      </w:r>
    </w:p>
    <w:p>
      <w:pPr>
        <w:pStyle w:val="TextBody"/>
        <w:rPr>
          <w:rFonts w:ascii="times" w:hAnsi="times"/>
          <w:b/>
          <w:sz w:val="20"/>
        </w:rPr>
      </w:pPr>
      <w:r>
        <w:rPr>
          <w:rFonts w:ascii="times" w:hAnsi="times"/>
          <w:b/>
          <w:sz w:val="20"/>
        </w:rPr>
        <w:t xml:space="preserve">Organizational History </w:t>
      </w:r>
    </w:p>
    <w:p>
      <w:pPr>
        <w:pStyle w:val="TextBody"/>
        <w:rPr/>
      </w:pPr>
      <w:r>
        <w:rPr/>
        <w:t>        </w:t>
      </w:r>
      <w:r>
        <w:rPr>
          <w:rFonts w:ascii="times" w:hAnsi="times"/>
          <w:sz w:val="20"/>
        </w:rPr>
        <w:t xml:space="preserve">We were formed as a master limited partnership to acquire and operate the midstream crude oil businesses and assets of a predecessor entity and completed our initial public offering in 1998. Our 2% general partner interest is held by PAA GP LLC, a Delaware limited liability company, whose sole member is Plains AAP, L.P., a Delaware limited partnership. Plains All American GP LLC, a Delaware limited liability company, is Plains AAP, L.P.'s general partner. References to our "general partner," as the context requires, include any or all of PAA GP LLC, Plains AAP, L.P. and Plains All American GP LLC. Plains AAP, L.P. and Plains All American GP LLC are owned by 17 holders, with six of these holders each owning a minimum interest of approximately 3% and an aggregate interest of 93%. See Item 12. "Security Ownership of Certain Beneficial Owners and Management and Related Unitholder MattersBeneficial Ownership of General Partner Interest."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12101a_main_toc">
        <w:bookmarkStart w:id="20" w:name="page_dg12101_1_8"/>
        <w:bookmarkEnd w:id="20"/>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Partnership Structure and Management </w:t>
      </w:r>
    </w:p>
    <w:p>
      <w:pPr>
        <w:pStyle w:val="TextBody"/>
        <w:rPr/>
      </w:pPr>
      <w:r>
        <w:rPr/>
        <w:t>        </w:t>
      </w:r>
      <w:r>
        <w:rPr>
          <w:rFonts w:ascii="times" w:hAnsi="times"/>
          <w:sz w:val="20"/>
        </w:rPr>
        <w:t xml:space="preserve">Our operations are conducted through, and our operating assets are owned by, our subsidiaries. Plains All American GP LLC has ultimate responsibility for conducting our business and managing our operations.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Plains AAP, L.P.). </w:t>
      </w:r>
    </w:p>
    <w:p>
      <w:pPr>
        <w:pStyle w:val="TextBody"/>
        <w:rPr/>
      </w:pPr>
      <w:r>
        <w:rPr/>
        <w:t>        </w:t>
      </w:r>
      <w:r>
        <w:rPr>
          <w:rFonts w:ascii="times" w:hAnsi="times"/>
          <w:sz w:val="20"/>
        </w:rPr>
        <w:t xml:space="preserve">The chart below depicts the current structure and ownership of Plains All American Pipeline, L.P. and certain subsidiaries. </w:t>
      </w:r>
    </w:p>
    <w:p>
      <w:pPr>
        <w:pStyle w:val="TextBody"/>
        <w:jc w:val="center"/>
        <w:rPr/>
      </w:pPr>
      <w:r>
        <w:rPr/>
        <w:drawing>
          <wp:inline distT="0" distB="0" distL="0" distR="0">
            <wp:extent cx="6000750" cy="518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00750" cy="5181600"/>
                    </a:xfrm>
                    <a:prstGeom prst="rect">
                      <a:avLst/>
                    </a:prstGeom>
                  </pic:spPr>
                </pic:pic>
              </a:graphicData>
            </a:graphic>
          </wp:inline>
        </w:drawing>
      </w:r>
      <w:r>
        <w:rPr/>
        <w:t xml:space="preserve"> </w:t>
      </w:r>
    </w:p>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Based on Form 4 filings for executive officers and directors, 13D filings for Paul G. Allen and Richard Kayne and other information believed to be reliable for the remaining investors, this group, or affiliates of such investors, owns approximately 25 million limited partner units, representing approximately 20% of all outstanding units.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Incentive Distribution Rights ("IDRs"). See Item 5. "Market for Registrant's Common Units, Related Unitholder Matters and Issuer Purchases of Equity Securities" for discussion of our general partner's incentive distribution rights.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12101a_main_toc">
        <w:bookmarkStart w:id="21" w:name="page_dg12101_1_9"/>
        <w:bookmarkEnd w:id="21"/>
        <w:r>
          <w:rPr>
            <w:rStyle w:val="InternetLink"/>
            <w:rFonts w:ascii="times" w:hAnsi="times"/>
            <w:sz w:val="20"/>
          </w:rPr>
          <w:t>Table of Contents</w:t>
        </w:r>
      </w:hyperlink>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The Partnership holds 100% direct and indirect ownership interests in consolidated operating subsidiaries including, but not limited to, Plains Pipeline, L.P., Plains Marketing, L.P., Plains LPG Services, L.P., Pacific Energy Group LLC, PMC (Nova Scotia) Company, Plains Marketing Canada, L.P and Plains Midstream Canada ULC.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The Partnership holds direct and indirect equity interests in unconsolidated entities including PAA/Vulcan, Settoon Towing, LLC ("Settoon Towing"), Butte Pipe Line Company ("Butte") and Frontier Pipeline Company ("Frontier"). </w:t>
      </w:r>
    </w:p>
    <w:p>
      <w:pPr>
        <w:pStyle w:val="TextBody"/>
        <w:rPr>
          <w:rFonts w:ascii="times" w:hAnsi="times"/>
          <w:b/>
          <w:sz w:val="20"/>
        </w:rPr>
      </w:pPr>
      <w:r>
        <w:rPr>
          <w:rFonts w:ascii="times" w:hAnsi="times"/>
          <w:b/>
          <w:sz w:val="20"/>
        </w:rPr>
        <w:t xml:space="preserve">Acquisitions </w:t>
      </w:r>
    </w:p>
    <w:p>
      <w:pPr>
        <w:pStyle w:val="TextBody"/>
        <w:rPr/>
      </w:pPr>
      <w:r>
        <w:rPr/>
        <w:t>        </w:t>
      </w:r>
      <w:r>
        <w:rPr>
          <w:rFonts w:ascii="times" w:hAnsi="times"/>
          <w:sz w:val="20"/>
        </w:rPr>
        <w:t xml:space="preserve">The acquisition of assets and businesses that are strategic and complementary to our existing operations constitutes an integral component of our business strategy and growth objective. Such assets and businesses include crude oil related assets, refined products assets, LPG assets and natural gas storage assets, as well as other energy transportation related assets that have characteristics and opportunities similar to these business lines and enable us to leverage our asset base, knowledge base and skill sets. We have established a target to complete, on average, $200 million to $300 million in acquisitions per year, subject to availability of attractive assets on acceptable terms. Between 1998 and December 31, 2008, we have completed approximately 52 acquisitions for a cumulative purchase price of approximately $6.0 billion.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12101a_main_toc">
        <w:bookmarkStart w:id="22" w:name="page_di12101_1_10"/>
        <w:bookmarkEnd w:id="22"/>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The following table summarizes acquisitions greater than $50 million that we have completed over the past five years (in millions): </w:t>
      </w:r>
    </w:p>
    <w:tbl>
      <w:tblPr>
        <w:tblW w:w="10205" w:type="dxa"/>
        <w:jc w:val="center"/>
        <w:tblInd w:w="0" w:type="dxa"/>
        <w:tblCellMar>
          <w:top w:w="0" w:type="dxa"/>
          <w:left w:w="0" w:type="dxa"/>
          <w:bottom w:w="0" w:type="dxa"/>
          <w:right w:w="0" w:type="dxa"/>
        </w:tblCellMar>
      </w:tblPr>
      <w:tblGrid>
        <w:gridCol w:w="3533"/>
        <w:gridCol w:w="78"/>
        <w:gridCol w:w="60"/>
        <w:gridCol w:w="465"/>
        <w:gridCol w:w="83"/>
        <w:gridCol w:w="4917"/>
        <w:gridCol w:w="78"/>
        <w:gridCol w:w="125"/>
        <w:gridCol w:w="692"/>
        <w:gridCol w:w="174"/>
      </w:tblGrid>
      <w:tr>
        <w:trPr/>
        <w:tc>
          <w:tcPr>
            <w:tcW w:w="3533"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4917"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533"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Acquisition </w:t>
            </w:r>
          </w:p>
        </w:tc>
        <w:tc>
          <w:tcPr>
            <w:tcW w:w="78" w:type="dxa"/>
            <w:tcBorders/>
            <w:shd w:fill="auto" w:val="clear"/>
            <w:vAlign w:val="bottom"/>
          </w:tcPr>
          <w:p>
            <w:pPr>
              <w:pStyle w:val="TableHeading"/>
              <w:suppressLineNumbers/>
              <w:spacing w:before="0" w:after="283"/>
              <w:jc w:val="center"/>
              <w:rPr/>
            </w:pPr>
            <w:r>
              <w:rPr/>
              <w:t> </w:t>
            </w:r>
          </w:p>
        </w:tc>
        <w:tc>
          <w:tcPr>
            <w:tcW w:w="5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Date </w:t>
            </w:r>
          </w:p>
        </w:tc>
        <w:tc>
          <w:tcPr>
            <w:tcW w:w="83" w:type="dxa"/>
            <w:tcBorders/>
            <w:shd w:fill="auto" w:val="clear"/>
            <w:vAlign w:val="bottom"/>
          </w:tcPr>
          <w:p>
            <w:pPr>
              <w:pStyle w:val="TableHeading"/>
              <w:suppressLineNumbers/>
              <w:spacing w:before="0" w:after="283"/>
              <w:jc w:val="center"/>
              <w:rPr/>
            </w:pPr>
            <w:r>
              <w:rPr/>
              <w:t> </w:t>
            </w:r>
          </w:p>
        </w:tc>
        <w:tc>
          <w:tcPr>
            <w:tcW w:w="491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c>
          <w:tcPr>
            <w:tcW w:w="78" w:type="dxa"/>
            <w:tcBorders/>
            <w:shd w:fill="auto" w:val="clear"/>
            <w:vAlign w:val="bottom"/>
          </w:tcPr>
          <w:p>
            <w:pPr>
              <w:pStyle w:val="TableHeading"/>
              <w:suppressLineNumbers/>
              <w:spacing w:before="0" w:after="283"/>
              <w:jc w:val="center"/>
              <w:rPr/>
            </w:pPr>
            <w:r>
              <w:rPr/>
              <w:t> </w:t>
            </w:r>
          </w:p>
        </w:tc>
        <w:tc>
          <w:tcPr>
            <w:tcW w:w="81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Approximate</w:t>
              <w:br/>
              <w:t xml:space="preserve">Purchase Price </w:t>
            </w:r>
          </w:p>
        </w:tc>
        <w:tc>
          <w:tcPr>
            <w:tcW w:w="174" w:type="dxa"/>
            <w:tcBorders/>
            <w:shd w:fill="auto" w:val="clear"/>
            <w:vAlign w:val="bottom"/>
          </w:tcPr>
          <w:p>
            <w:pPr>
              <w:pStyle w:val="TableHeading"/>
              <w:suppressLineNumbers/>
              <w:spacing w:before="0" w:after="283"/>
              <w:jc w:val="center"/>
              <w:rPr/>
            </w:pPr>
            <w:r>
              <w:rPr/>
              <w:t> </w:t>
            </w:r>
          </w:p>
        </w:tc>
      </w:tr>
      <w:tr>
        <w:trPr/>
        <w:tc>
          <w:tcPr>
            <w:tcW w:w="3533" w:type="dxa"/>
            <w:tcBorders/>
            <w:shd w:fill="auto" w:val="clear"/>
          </w:tcPr>
          <w:p>
            <w:pPr>
              <w:pStyle w:val="TableContents"/>
              <w:spacing w:before="0" w:after="283"/>
              <w:ind w:left="180" w:right="0" w:hanging="180"/>
              <w:rPr>
                <w:rFonts w:ascii="times" w:hAnsi="times"/>
                <w:sz w:val="20"/>
              </w:rPr>
            </w:pPr>
            <w:r>
              <w:rPr>
                <w:rFonts w:ascii="times" w:hAnsi="times"/>
                <w:sz w:val="20"/>
              </w:rPr>
              <w:t>Rainbow Pipe Line Company</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0" w:after="283"/>
              <w:rPr>
                <w:rFonts w:ascii="times" w:hAnsi="times"/>
                <w:sz w:val="20"/>
              </w:rPr>
            </w:pPr>
            <w:r>
              <w:rPr>
                <w:rFonts w:ascii="times" w:hAnsi="times"/>
                <w:sz w:val="20"/>
              </w:rPr>
              <w:t>May-2008</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0" w:after="283"/>
              <w:rPr>
                <w:rFonts w:ascii="times" w:hAnsi="times"/>
                <w:sz w:val="20"/>
              </w:rPr>
            </w:pPr>
            <w:r>
              <w:rPr>
                <w:rFonts w:ascii="times" w:hAnsi="times"/>
                <w:sz w:val="20"/>
              </w:rPr>
              <w:t>Crude oil gathering and transportation assets in Alberta, Canada</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t>687</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Tirzah Storage Facility</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Oct-2007</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Liquefied Petroleum Gas storage facility</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54</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Bumstead Storage Facility</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Jul-2007</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Liquefied Petroleum Gas storage facility</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52</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Pacific Energy Partners LP ("Pacific")</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Nov-2006</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Merger of Pacific Energy Partners with and into the Partnership</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2,456</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El Paso to Albuquerque Products Pipeline Systems</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Sep-2006</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Three refined products pipeline systems</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66</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CAM/BOA/HIPS Crude oil systems</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Jul-2006</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59.89% interest in the Clovelly-to-Meraux ("CAM") Pipeline system; 100% interest in the Bay Marchand-to-Ostrica-to-Alliance ("BOA") system and various interests in the High Island Pipeline System ("HIPS")</w:t>
            </w:r>
            <w:r>
              <w:rPr>
                <w:rFonts w:ascii="times" w:hAnsi="times"/>
                <w:position w:val="7"/>
                <w:sz w:val="16"/>
                <w:sz w:val="20"/>
              </w:rPr>
              <w:t>(1)</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130</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Andrews Petroleum and Lone Star Trucking ("Andrews")</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Apr-2006</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Isomerization, fractionation, marketing and transportation services</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220</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South Louisiana Gathering and Transportation Assets ("SemCrude")</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Apr-2006</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Crude oil gathering and transportation assets, including inventory and related contracts in South Louisiana</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129</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Investment in Natural Gas Storage Facilities</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Sep-2005</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Joint venture with Vulcan Gas Storage LLC to develop and operate natural gas storage facilities</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125</w:t>
            </w:r>
          </w:p>
        </w:tc>
        <w:tc>
          <w:tcPr>
            <w:tcW w:w="174" w:type="dxa"/>
            <w:tcBorders/>
            <w:shd w:fill="auto" w:val="clear"/>
          </w:tcPr>
          <w:p>
            <w:pPr>
              <w:pStyle w:val="TableContents"/>
              <w:spacing w:before="0" w:after="283"/>
              <w:rPr>
                <w:rFonts w:ascii="times" w:hAnsi="times"/>
                <w:sz w:val="20"/>
              </w:rPr>
            </w:pPr>
            <w:r>
              <w:rPr>
                <w:rFonts w:ascii="times" w:hAnsi="times"/>
                <w:sz w:val="20"/>
              </w:rPr>
              <w:br/>
            </w:r>
            <w:r>
              <w:rPr>
                <w:rFonts w:ascii="times" w:hAnsi="times"/>
                <w:position w:val="7"/>
                <w:sz w:val="16"/>
                <w:sz w:val="20"/>
              </w:rPr>
              <w:t>(2)</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Link Energy LLC</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Apr-2004</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North American crude oil and pipeline operations of Link Energy, LLC ("Link")</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332</w:t>
            </w:r>
          </w:p>
        </w:tc>
        <w:tc>
          <w:tcPr>
            <w:tcW w:w="174" w:type="dxa"/>
            <w:tcBorders/>
            <w:shd w:fill="auto" w:val="clear"/>
          </w:tcPr>
          <w:p>
            <w:pPr>
              <w:pStyle w:val="TableContents"/>
              <w:spacing w:before="0" w:after="283"/>
              <w:rPr/>
            </w:pPr>
            <w:r>
              <w:rPr/>
              <w:t> </w:t>
            </w:r>
          </w:p>
        </w:tc>
      </w:tr>
      <w:tr>
        <w:trPr/>
        <w:tc>
          <w:tcPr>
            <w:tcW w:w="3533" w:type="dxa"/>
            <w:tcBorders/>
            <w:shd w:fill="auto" w:val="clear"/>
          </w:tcPr>
          <w:p>
            <w:pPr>
              <w:pStyle w:val="TableContents"/>
              <w:spacing w:before="200" w:after="283"/>
              <w:ind w:left="180" w:right="0" w:hanging="180"/>
              <w:rPr>
                <w:rFonts w:ascii="times" w:hAnsi="times"/>
                <w:sz w:val="20"/>
              </w:rPr>
            </w:pPr>
            <w:r>
              <w:rPr>
                <w:rFonts w:ascii="times" w:hAnsi="times"/>
                <w:sz w:val="20"/>
              </w:rPr>
              <w:t>Capline and Capwood Pipeline Systems</w:t>
            </w:r>
          </w:p>
        </w:tc>
        <w:tc>
          <w:tcPr>
            <w:tcW w:w="78"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65" w:type="dxa"/>
            <w:tcBorders/>
            <w:shd w:fill="auto" w:val="clear"/>
          </w:tcPr>
          <w:p>
            <w:pPr>
              <w:pStyle w:val="TableContents"/>
              <w:spacing w:before="200" w:after="283"/>
              <w:ind w:left="0" w:right="0" w:hanging="0"/>
              <w:jc w:val="left"/>
              <w:rPr>
                <w:rFonts w:ascii="times" w:hAnsi="times"/>
                <w:sz w:val="20"/>
              </w:rPr>
            </w:pPr>
            <w:r>
              <w:rPr>
                <w:rFonts w:ascii="times" w:hAnsi="times"/>
                <w:sz w:val="20"/>
              </w:rPr>
              <w:t>Mar-2004</w:t>
            </w:r>
          </w:p>
        </w:tc>
        <w:tc>
          <w:tcPr>
            <w:tcW w:w="83" w:type="dxa"/>
            <w:tcBorders/>
            <w:shd w:fill="auto" w:val="clear"/>
          </w:tcPr>
          <w:p>
            <w:pPr>
              <w:pStyle w:val="TableContents"/>
              <w:spacing w:before="0" w:after="283"/>
              <w:rPr/>
            </w:pPr>
            <w:r>
              <w:rPr/>
              <w:t> </w:t>
            </w:r>
          </w:p>
        </w:tc>
        <w:tc>
          <w:tcPr>
            <w:tcW w:w="4917" w:type="dxa"/>
            <w:tcBorders/>
            <w:shd w:fill="auto" w:val="clear"/>
          </w:tcPr>
          <w:p>
            <w:pPr>
              <w:pStyle w:val="TableContents"/>
              <w:spacing w:before="200" w:after="283"/>
              <w:ind w:left="0" w:right="0" w:hanging="0"/>
              <w:jc w:val="left"/>
              <w:rPr>
                <w:rFonts w:ascii="times" w:hAnsi="times"/>
                <w:sz w:val="20"/>
              </w:rPr>
            </w:pPr>
            <w:r>
              <w:rPr>
                <w:rFonts w:ascii="times" w:hAnsi="times"/>
                <w:sz w:val="20"/>
              </w:rPr>
              <w:t>An approximate 22% undivided joint interest in the Capline Pipeline System and an approximately 76% undivided joint interest in the Capwood Pipeline System</w:t>
            </w:r>
          </w:p>
        </w:tc>
        <w:tc>
          <w:tcPr>
            <w:tcW w:w="78"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br/>
              <w:t>$</w:t>
            </w:r>
          </w:p>
        </w:tc>
        <w:tc>
          <w:tcPr>
            <w:tcW w:w="692" w:type="dxa"/>
            <w:tcBorders/>
            <w:shd w:fill="auto" w:val="clear"/>
          </w:tcPr>
          <w:p>
            <w:pPr>
              <w:pStyle w:val="TableContents"/>
              <w:spacing w:before="0" w:after="283"/>
              <w:jc w:val="right"/>
              <w:rPr>
                <w:rFonts w:ascii="times" w:hAnsi="times"/>
                <w:sz w:val="20"/>
              </w:rPr>
            </w:pPr>
            <w:r>
              <w:rPr>
                <w:rFonts w:ascii="times" w:hAnsi="times"/>
                <w:sz w:val="20"/>
              </w:rPr>
              <w:br/>
              <w:t>159</w:t>
            </w:r>
          </w:p>
        </w:tc>
        <w:tc>
          <w:tcPr>
            <w:tcW w:w="174"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Our interest in HIPS was relinquished in November 2006.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Represents 50% of the purchase price for the acquisition made by our joint venture. The joint venture completed an acquisition for approximately $250 million during 2005. </w:t>
      </w:r>
    </w:p>
    <w:p>
      <w:pPr>
        <w:pStyle w:val="TextBody"/>
        <w:rPr>
          <w:rFonts w:ascii="times" w:hAnsi="times"/>
          <w:b/>
          <w:i/>
          <w:sz w:val="20"/>
        </w:rPr>
      </w:pPr>
      <w:r>
        <w:rPr>
          <w:rFonts w:ascii="times" w:hAnsi="times"/>
          <w:b/>
          <w:i/>
          <w:sz w:val="20"/>
        </w:rPr>
        <w:t xml:space="preserve">2008 Acquisitions </w:t>
      </w:r>
    </w:p>
    <w:p>
      <w:pPr>
        <w:pStyle w:val="TextBody"/>
        <w:rPr/>
      </w:pPr>
      <w:r>
        <w:rPr/>
        <w:t>        </w:t>
      </w:r>
      <w:r>
        <w:rPr>
          <w:rFonts w:ascii="times" w:hAnsi="times"/>
          <w:sz w:val="20"/>
        </w:rPr>
        <w:t xml:space="preserve">During 2008, we completed two acquisitions for aggregate consideration of approximately $735 million. These acquisitions included (i) a crude oil pipeline located in Alberta, Canada (reflected in our transportation segment) for approximately $687 million in cash of which the associated goodwill was approximately $194 million and (ii) a storage facility and other assets (reflected in our facilities segment) for approximately $44 million in cash of which there was no associated goodwill. </w:t>
      </w:r>
    </w:p>
    <w:p>
      <w:pPr>
        <w:pStyle w:val="TextBody"/>
        <w:rPr>
          <w:rFonts w:ascii="times" w:hAnsi="times"/>
          <w:b/>
          <w:i/>
          <w:sz w:val="20"/>
        </w:rPr>
      </w:pPr>
      <w:r>
        <w:rPr>
          <w:rFonts w:ascii="times" w:hAnsi="times"/>
          <w:b/>
          <w:i/>
          <w:sz w:val="20"/>
        </w:rPr>
        <w:t xml:space="preserve">Ongoing Acquisition Activities </w:t>
      </w:r>
    </w:p>
    <w:p>
      <w:pPr>
        <w:pStyle w:val="TextBody"/>
        <w:rPr/>
      </w:pPr>
      <w:r>
        <w:rPr/>
        <w:t>        </w:t>
      </w:r>
      <w:r>
        <w:rPr>
          <w:rFonts w:ascii="times" w:hAnsi="times"/>
          <w:sz w:val="20"/>
        </w:rPr>
        <w:t xml:space="preserve">Consistent with our business strategy, we are continuously engaged in discussions with potential sellers regarding the possible purchase of assets and operations that are strategic and complementary to our existing operations. Such assets and operations include crude oil, refined products and LPG related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12101a_main_toc">
        <w:bookmarkStart w:id="23" w:name="page_di12101_1_11"/>
        <w:bookmarkEnd w:id="23"/>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assets and, through our interest in PAA/Vulcan, natural gas storage assets. In addition, we have in the past evaluated and pursued, and intend in the future to evaluate and pursue, other energy related assets that have characteristics and opportunities similar to these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Even after we have reached agreement on a purchase price with a potential seller, confirmatory due diligence or negotiations regarding other terms of the acquisition can cause discussions to be terminated. Accordingly, we typically do not announce a transaction until after we have executed a definitive acquisition agreement. Although we expect the acquisitions we make to be accretive in the long term, we can provide no assurance that our expectations will ultimately be realized. See Item 1A. "Risk FactorsRisks Related to Our BusinessIf we do not make acquisitions on economically acceptable terms, our future growth may be limited" and "Our acquisition strategy involves risks that may adversely affect our business." </w:t>
      </w:r>
    </w:p>
    <w:p>
      <w:pPr>
        <w:pStyle w:val="TextBody"/>
        <w:rPr>
          <w:rFonts w:ascii="times" w:hAnsi="times"/>
          <w:b/>
          <w:sz w:val="20"/>
        </w:rPr>
      </w:pPr>
      <w:r>
        <w:rPr>
          <w:rFonts w:ascii="times" w:hAnsi="times"/>
          <w:b/>
          <w:sz w:val="20"/>
        </w:rPr>
        <w:t xml:space="preserve">Global Petroleum Market Overview </w:t>
      </w:r>
    </w:p>
    <w:p>
      <w:pPr>
        <w:pStyle w:val="TextBody"/>
        <w:rPr/>
      </w:pPr>
      <w:r>
        <w:rPr/>
        <w:t>        </w:t>
      </w:r>
      <w:r>
        <w:rPr>
          <w:rFonts w:ascii="times" w:hAnsi="times"/>
          <w:sz w:val="20"/>
        </w:rPr>
        <w:t xml:space="preserve">The United States comprises less than 5% of the world's population and generates only 10% of the world's petroleum production, but consumes 23% of the world's petroleum production. The following table sets forth projected world supply and demand for petroleum products (including crude oil, natural gas liquids and other liquid petroleum products) and is derived from the Energy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12101a_main_toc">
        <w:bookmarkStart w:id="24" w:name="page_di12101_1_12"/>
        <w:bookmarkEnd w:id="24"/>
        <w:r>
          <w:rPr>
            <w:rStyle w:val="InternetLink"/>
            <w:rFonts w:ascii="times" w:hAnsi="times"/>
            <w:sz w:val="20"/>
          </w:rPr>
          <w:t>Table of Contents</w:t>
        </w:r>
      </w:hyperlink>
    </w:p>
    <w:p>
      <w:pPr>
        <w:pStyle w:val="TextBody"/>
        <w:rPr/>
      </w:pPr>
      <w:r>
        <w:rPr/>
      </w:r>
    </w:p>
    <w:p>
      <w:pPr>
        <w:pStyle w:val="TextBody"/>
        <w:rPr>
          <w:rFonts w:ascii="times" w:hAnsi="times"/>
        </w:rPr>
      </w:pPr>
      <w:r>
        <w:rPr>
          <w:rFonts w:ascii="times" w:hAnsi="times"/>
          <w:sz w:val="20"/>
        </w:rPr>
        <w:t xml:space="preserve">Information Administration's ("EIA") Annual Energy Outlook 2009 Early Release (see EIA website at </w:t>
      </w:r>
      <w:r>
        <w:rPr>
          <w:rFonts w:ascii="times" w:hAnsi="times"/>
          <w:i/>
          <w:sz w:val="20"/>
        </w:rPr>
        <w:t>www.eia.doe.gov</w:t>
      </w:r>
      <w:r>
        <w:rPr>
          <w:rFonts w:ascii="times" w:hAnsi="times"/>
          <w:sz w:val="20"/>
        </w:rPr>
        <w:t xml:space="preserve">). </w:t>
      </w:r>
    </w:p>
    <w:tbl>
      <w:tblPr>
        <w:tblW w:w="7534" w:type="dxa"/>
        <w:jc w:val="center"/>
        <w:tblInd w:w="0" w:type="dxa"/>
        <w:tblCellMar>
          <w:top w:w="0" w:type="dxa"/>
          <w:left w:w="0" w:type="dxa"/>
          <w:bottom w:w="0" w:type="dxa"/>
          <w:right w:w="0" w:type="dxa"/>
        </w:tblCellMar>
      </w:tblPr>
      <w:tblGrid>
        <w:gridCol w:w="150"/>
        <w:gridCol w:w="150"/>
        <w:gridCol w:w="4485"/>
        <w:gridCol w:w="180"/>
        <w:gridCol w:w="77"/>
        <w:gridCol w:w="392"/>
        <w:gridCol w:w="225"/>
        <w:gridCol w:w="75"/>
        <w:gridCol w:w="380"/>
        <w:gridCol w:w="225"/>
        <w:gridCol w:w="75"/>
        <w:gridCol w:w="380"/>
        <w:gridCol w:w="225"/>
        <w:gridCol w:w="75"/>
        <w:gridCol w:w="380"/>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4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69"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181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Projected </w:t>
            </w:r>
          </w:p>
        </w:tc>
        <w:tc>
          <w:tcPr>
            <w:tcW w:w="60" w:type="dxa"/>
            <w:tcBorders/>
            <w:shd w:fill="auto" w:val="clear"/>
            <w:vAlign w:val="bottom"/>
          </w:tcPr>
          <w:p>
            <w:pPr>
              <w:pStyle w:val="TableHeading"/>
              <w:suppressLineNumbers/>
              <w:spacing w:before="0" w:after="283"/>
              <w:jc w:val="center"/>
              <w:rPr/>
            </w:pPr>
            <w:r>
              <w:rPr/>
              <w:t> </w:t>
            </w:r>
          </w:p>
        </w:tc>
      </w:tr>
      <w:tr>
        <w:trPr/>
        <w:tc>
          <w:tcPr>
            <w:tcW w:w="47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6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2008</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4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225" w:type="dxa"/>
            <w:tcBorders/>
            <w:shd w:fill="auto" w:val="clear"/>
            <w:vAlign w:val="bottom"/>
          </w:tcPr>
          <w:p>
            <w:pPr>
              <w:pStyle w:val="TableHeading"/>
              <w:suppressLineNumbers/>
              <w:spacing w:before="0" w:after="283"/>
              <w:jc w:val="center"/>
              <w:rPr/>
            </w:pPr>
            <w:r>
              <w:rPr/>
              <w:t> </w:t>
            </w:r>
          </w:p>
        </w:tc>
        <w:tc>
          <w:tcPr>
            <w:tcW w:w="4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25" w:type="dxa"/>
            <w:tcBorders/>
            <w:shd w:fill="auto" w:val="clear"/>
            <w:vAlign w:val="bottom"/>
          </w:tcPr>
          <w:p>
            <w:pPr>
              <w:pStyle w:val="TableHeading"/>
              <w:suppressLineNumbers/>
              <w:spacing w:before="0" w:after="283"/>
              <w:jc w:val="center"/>
              <w:rPr/>
            </w:pPr>
            <w:r>
              <w:rPr/>
              <w:t> </w:t>
            </w:r>
          </w:p>
        </w:tc>
        <w:tc>
          <w:tcPr>
            <w:tcW w:w="4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60" w:type="dxa"/>
            <w:tcBorders/>
            <w:shd w:fill="auto" w:val="clear"/>
            <w:vAlign w:val="bottom"/>
          </w:tcPr>
          <w:p>
            <w:pPr>
              <w:pStyle w:val="TableHeading"/>
              <w:suppressLineNumbers/>
              <w:spacing w:before="0" w:after="283"/>
              <w:jc w:val="center"/>
              <w:rPr/>
            </w:pPr>
            <w:r>
              <w:rPr/>
              <w:t> </w:t>
            </w:r>
          </w:p>
        </w:tc>
      </w:tr>
      <w:tr>
        <w:trPr/>
        <w:tc>
          <w:tcPr>
            <w:tcW w:w="47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509" w:type="dxa"/>
            <w:gridSpan w:val="11"/>
            <w:tcBorders/>
            <w:shd w:fill="auto" w:val="clear"/>
            <w:vAlign w:val="bottom"/>
          </w:tcPr>
          <w:p>
            <w:pPr>
              <w:pStyle w:val="TableHeading"/>
              <w:spacing w:before="0" w:after="283"/>
              <w:jc w:val="center"/>
              <w:rPr>
                <w:rFonts w:ascii="times" w:hAnsi="times"/>
                <w:b/>
                <w:sz w:val="14"/>
              </w:rPr>
            </w:pPr>
            <w:r>
              <w:rPr>
                <w:rFonts w:ascii="times" w:hAnsi="times"/>
                <w:b/>
                <w:sz w:val="14"/>
              </w:rPr>
              <w:t>(In millions of barrels per day)</w:t>
            </w:r>
          </w:p>
        </w:tc>
        <w:tc>
          <w:tcPr>
            <w:tcW w:w="60" w:type="dxa"/>
            <w:tcBorders/>
            <w:shd w:fill="auto" w:val="clear"/>
            <w:vAlign w:val="bottom"/>
          </w:tcPr>
          <w:p>
            <w:pPr>
              <w:pStyle w:val="TableHeading"/>
              <w:suppressLineNumbers/>
              <w:spacing w:before="0" w:after="283"/>
              <w:jc w:val="center"/>
              <w:rPr/>
            </w:pPr>
            <w:r>
              <w:rPr/>
              <w:t> </w:t>
            </w:r>
          </w:p>
        </w:tc>
      </w:tr>
      <w:tr>
        <w:trPr/>
        <w:tc>
          <w:tcPr>
            <w:tcW w:w="4785" w:type="dxa"/>
            <w:gridSpan w:val="3"/>
            <w:tcBorders/>
            <w:shd w:fill="CCEEFF" w:val="clear"/>
          </w:tcPr>
          <w:p>
            <w:pPr>
              <w:pStyle w:val="TableContents"/>
              <w:spacing w:before="0" w:after="283"/>
              <w:ind w:left="200" w:right="0" w:hanging="200"/>
              <w:rPr>
                <w:rFonts w:ascii="times" w:hAnsi="times"/>
                <w:sz w:val="20"/>
              </w:rPr>
            </w:pPr>
            <w:r>
              <w:rPr>
                <w:rFonts w:ascii="times" w:hAnsi="times"/>
                <w:sz w:val="20"/>
              </w:rPr>
              <w:t>Supply</w:t>
            </w:r>
          </w:p>
        </w:tc>
        <w:tc>
          <w:tcPr>
            <w:tcW w:w="180" w:type="dxa"/>
            <w:tcBorders/>
            <w:shd w:fill="CCEEFF" w:val="clear"/>
          </w:tcPr>
          <w:p>
            <w:pPr>
              <w:pStyle w:val="TableContents"/>
              <w:spacing w:before="0" w:after="283"/>
              <w:rPr/>
            </w:pPr>
            <w:r>
              <w:rPr/>
              <w:t> </w:t>
            </w:r>
          </w:p>
        </w:tc>
        <w:tc>
          <w:tcPr>
            <w:tcW w:w="77" w:type="dxa"/>
            <w:tcBorders/>
            <w:shd w:fill="CCEEFF" w:val="clear"/>
          </w:tcPr>
          <w:p>
            <w:pPr>
              <w:pStyle w:val="TableContents"/>
              <w:spacing w:before="0" w:after="283"/>
              <w:rPr/>
            </w:pPr>
            <w:r>
              <w:rPr/>
              <w:t> </w:t>
            </w:r>
          </w:p>
        </w:tc>
        <w:tc>
          <w:tcPr>
            <w:tcW w:w="392"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6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U.S. </w:t>
            </w:r>
          </w:p>
        </w:tc>
        <w:tc>
          <w:tcPr>
            <w:tcW w:w="180" w:type="dxa"/>
            <w:tcBorders/>
            <w:shd w:fill="FFFFFF" w:val="clear"/>
          </w:tcPr>
          <w:p>
            <w:pPr>
              <w:pStyle w:val="TableContents"/>
              <w:spacing w:before="0" w:after="283"/>
              <w:rPr/>
            </w:pPr>
            <w:r>
              <w:rPr/>
              <w:t> </w:t>
            </w:r>
          </w:p>
        </w:tc>
        <w:tc>
          <w:tcPr>
            <w:tcW w:w="77" w:type="dxa"/>
            <w:tcBorders/>
            <w:shd w:fill="FFFFFF" w:val="clear"/>
          </w:tcPr>
          <w:p>
            <w:pPr>
              <w:pStyle w:val="TableContents"/>
              <w:spacing w:before="0" w:after="283"/>
              <w:rPr/>
            </w:pPr>
            <w:r>
              <w:rPr/>
              <w:t> </w:t>
            </w:r>
          </w:p>
        </w:tc>
        <w:tc>
          <w:tcPr>
            <w:tcW w:w="392" w:type="dxa"/>
            <w:tcBorders/>
            <w:shd w:fill="FFFFFF" w:val="clear"/>
          </w:tcPr>
          <w:p>
            <w:pPr>
              <w:pStyle w:val="TableContents"/>
              <w:spacing w:before="0" w:after="283"/>
              <w:jc w:val="right"/>
              <w:rPr>
                <w:rFonts w:ascii="times" w:hAnsi="times"/>
                <w:sz w:val="20"/>
              </w:rPr>
            </w:pPr>
            <w:r>
              <w:rPr>
                <w:rFonts w:ascii="times" w:hAnsi="times"/>
                <w:sz w:val="20"/>
              </w:rPr>
              <w:t>8.5</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9.1</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9.7</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10.2</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 OECD</w:t>
            </w:r>
          </w:p>
        </w:tc>
        <w:tc>
          <w:tcPr>
            <w:tcW w:w="180" w:type="dxa"/>
            <w:tcBorders/>
            <w:shd w:fill="CCEEFF" w:val="clear"/>
          </w:tcPr>
          <w:p>
            <w:pPr>
              <w:pStyle w:val="TableContents"/>
              <w:spacing w:before="0" w:after="283"/>
              <w:rPr/>
            </w:pPr>
            <w:r>
              <w:rPr/>
              <w:t> </w:t>
            </w:r>
          </w:p>
        </w:tc>
        <w:tc>
          <w:tcPr>
            <w:tcW w:w="77" w:type="dxa"/>
            <w:tcBorders/>
            <w:shd w:fill="CCEEFF" w:val="clear"/>
          </w:tcPr>
          <w:p>
            <w:pPr>
              <w:pStyle w:val="TableContents"/>
              <w:spacing w:before="0" w:after="283"/>
              <w:rPr/>
            </w:pPr>
            <w:r>
              <w:rPr/>
              <w:t> </w:t>
            </w:r>
          </w:p>
        </w:tc>
        <w:tc>
          <w:tcPr>
            <w:tcW w:w="392" w:type="dxa"/>
            <w:tcBorders/>
            <w:shd w:fill="CCEEFF" w:val="clear"/>
          </w:tcPr>
          <w:p>
            <w:pPr>
              <w:pStyle w:val="TableContents"/>
              <w:spacing w:before="0" w:after="283"/>
              <w:jc w:val="right"/>
              <w:rPr>
                <w:rFonts w:ascii="times" w:hAnsi="times"/>
                <w:sz w:val="20"/>
              </w:rPr>
            </w:pPr>
            <w:r>
              <w:rPr>
                <w:rFonts w:ascii="times" w:hAnsi="times"/>
                <w:sz w:val="20"/>
              </w:rPr>
              <w:t>12.4</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12.0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12.0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11.5</w:t>
            </w:r>
          </w:p>
        </w:tc>
        <w:tc>
          <w:tcPr>
            <w:tcW w:w="60" w:type="dxa"/>
            <w:tcBorders/>
            <w:shd w:fill="CCEE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150" w:type="dxa"/>
            <w:tcBorders/>
            <w:shd w:fill="FFFFFF" w:val="clear"/>
          </w:tcPr>
          <w:p>
            <w:pPr>
              <w:pStyle w:val="TableContents"/>
              <w:spacing w:before="0" w:after="283"/>
              <w:rPr/>
            </w:pPr>
            <w:r>
              <w:rPr/>
              <w:t> </w:t>
            </w:r>
          </w:p>
        </w:tc>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Total OECD</w:t>
            </w:r>
            <w:r>
              <w:rPr>
                <w:rFonts w:ascii="times" w:hAnsi="times"/>
                <w:position w:val="7"/>
                <w:sz w:val="16"/>
                <w:sz w:val="20"/>
              </w:rPr>
              <w:t>(2)</w:t>
            </w:r>
          </w:p>
        </w:tc>
        <w:tc>
          <w:tcPr>
            <w:tcW w:w="180" w:type="dxa"/>
            <w:tcBorders/>
            <w:shd w:fill="FFFFFF" w:val="clear"/>
          </w:tcPr>
          <w:p>
            <w:pPr>
              <w:pStyle w:val="TableContents"/>
              <w:spacing w:before="0" w:after="283"/>
              <w:rPr/>
            </w:pPr>
            <w:r>
              <w:rPr/>
              <w:t> </w:t>
            </w:r>
          </w:p>
        </w:tc>
        <w:tc>
          <w:tcPr>
            <w:tcW w:w="77" w:type="dxa"/>
            <w:tcBorders/>
            <w:shd w:fill="FFFFFF" w:val="clear"/>
          </w:tcPr>
          <w:p>
            <w:pPr>
              <w:pStyle w:val="TableContents"/>
              <w:spacing w:before="0" w:after="283"/>
              <w:rPr/>
            </w:pPr>
            <w:r>
              <w:rPr/>
              <w:t> </w:t>
            </w:r>
          </w:p>
        </w:tc>
        <w:tc>
          <w:tcPr>
            <w:tcW w:w="392" w:type="dxa"/>
            <w:tcBorders/>
            <w:shd w:fill="FFFFFF" w:val="clear"/>
          </w:tcPr>
          <w:p>
            <w:pPr>
              <w:pStyle w:val="TableContents"/>
              <w:spacing w:before="0" w:after="283"/>
              <w:jc w:val="right"/>
              <w:rPr>
                <w:rFonts w:ascii="times" w:hAnsi="times"/>
                <w:sz w:val="20"/>
              </w:rPr>
            </w:pPr>
            <w:r>
              <w:rPr>
                <w:rFonts w:ascii="times" w:hAnsi="times"/>
                <w:sz w:val="20"/>
              </w:rPr>
              <w:t>20.9</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21.1</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21.7</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21.7</w:t>
            </w:r>
          </w:p>
        </w:tc>
        <w:tc>
          <w:tcPr>
            <w:tcW w:w="60" w:type="dxa"/>
            <w:tcBorders/>
            <w:shd w:fill="FFFF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Organization of the Petroleum Exporting Countries</w:t>
            </w:r>
          </w:p>
        </w:tc>
        <w:tc>
          <w:tcPr>
            <w:tcW w:w="180" w:type="dxa"/>
            <w:tcBorders/>
            <w:shd w:fill="CCEEFF" w:val="clear"/>
          </w:tcPr>
          <w:p>
            <w:pPr>
              <w:pStyle w:val="TableContents"/>
              <w:spacing w:before="0" w:after="283"/>
              <w:rPr/>
            </w:pPr>
            <w:r>
              <w:rPr/>
              <w:t> </w:t>
            </w:r>
          </w:p>
        </w:tc>
        <w:tc>
          <w:tcPr>
            <w:tcW w:w="77" w:type="dxa"/>
            <w:tcBorders/>
            <w:shd w:fill="CCEEFF" w:val="clear"/>
          </w:tcPr>
          <w:p>
            <w:pPr>
              <w:pStyle w:val="TableContents"/>
              <w:spacing w:before="0" w:after="283"/>
              <w:rPr/>
            </w:pPr>
            <w:r>
              <w:rPr/>
              <w:t> </w:t>
            </w:r>
          </w:p>
        </w:tc>
        <w:tc>
          <w:tcPr>
            <w:tcW w:w="392" w:type="dxa"/>
            <w:tcBorders/>
            <w:shd w:fill="CCEEFF" w:val="clear"/>
          </w:tcPr>
          <w:p>
            <w:pPr>
              <w:pStyle w:val="TableContents"/>
              <w:spacing w:before="0" w:after="283"/>
              <w:jc w:val="right"/>
              <w:rPr>
                <w:rFonts w:ascii="times" w:hAnsi="times"/>
                <w:sz w:val="20"/>
              </w:rPr>
            </w:pPr>
            <w:r>
              <w:rPr>
                <w:rFonts w:ascii="times" w:hAnsi="times"/>
                <w:sz w:val="20"/>
              </w:rPr>
              <w:t>35.8</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35.1</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34.5</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35.9</w:t>
            </w:r>
          </w:p>
        </w:tc>
        <w:tc>
          <w:tcPr>
            <w:tcW w:w="60" w:type="dxa"/>
            <w:tcBorders/>
            <w:shd w:fill="CCEE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6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 Non-OECD</w:t>
            </w:r>
          </w:p>
        </w:tc>
        <w:tc>
          <w:tcPr>
            <w:tcW w:w="180" w:type="dxa"/>
            <w:tcBorders/>
            <w:shd w:fill="FFFFFF" w:val="clear"/>
          </w:tcPr>
          <w:p>
            <w:pPr>
              <w:pStyle w:val="TableContents"/>
              <w:spacing w:before="0" w:after="283"/>
              <w:rPr/>
            </w:pPr>
            <w:r>
              <w:rPr/>
              <w:t> </w:t>
            </w:r>
          </w:p>
        </w:tc>
        <w:tc>
          <w:tcPr>
            <w:tcW w:w="77" w:type="dxa"/>
            <w:tcBorders/>
            <w:shd w:fill="FFFFFF" w:val="clear"/>
          </w:tcPr>
          <w:p>
            <w:pPr>
              <w:pStyle w:val="TableContents"/>
              <w:spacing w:before="0" w:after="283"/>
              <w:rPr/>
            </w:pPr>
            <w:r>
              <w:rPr/>
              <w:t> </w:t>
            </w:r>
          </w:p>
        </w:tc>
        <w:tc>
          <w:tcPr>
            <w:tcW w:w="392" w:type="dxa"/>
            <w:tcBorders/>
            <w:shd w:fill="FFFFFF" w:val="clear"/>
          </w:tcPr>
          <w:p>
            <w:pPr>
              <w:pStyle w:val="TableContents"/>
              <w:spacing w:before="0" w:after="283"/>
              <w:jc w:val="right"/>
              <w:rPr>
                <w:rFonts w:ascii="times" w:hAnsi="times"/>
                <w:sz w:val="20"/>
              </w:rPr>
            </w:pPr>
            <w:r>
              <w:rPr>
                <w:rFonts w:ascii="times" w:hAnsi="times"/>
                <w:sz w:val="20"/>
              </w:rPr>
              <w:t>28.8</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30.1</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30.6</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31.9</w:t>
            </w:r>
          </w:p>
        </w:tc>
        <w:tc>
          <w:tcPr>
            <w:tcW w:w="60" w:type="dxa"/>
            <w:tcBorders/>
            <w:shd w:fill="FFFF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Total World Production</w:t>
            </w:r>
          </w:p>
        </w:tc>
        <w:tc>
          <w:tcPr>
            <w:tcW w:w="180" w:type="dxa"/>
            <w:tcBorders/>
            <w:shd w:fill="CCEEFF" w:val="clear"/>
          </w:tcPr>
          <w:p>
            <w:pPr>
              <w:pStyle w:val="TableContents"/>
              <w:spacing w:before="0" w:after="283"/>
              <w:rPr/>
            </w:pPr>
            <w:r>
              <w:rPr/>
              <w:t> </w:t>
            </w:r>
          </w:p>
        </w:tc>
        <w:tc>
          <w:tcPr>
            <w:tcW w:w="77" w:type="dxa"/>
            <w:tcBorders/>
            <w:shd w:fill="CCEEFF" w:val="clear"/>
          </w:tcPr>
          <w:p>
            <w:pPr>
              <w:pStyle w:val="TableContents"/>
              <w:spacing w:before="0" w:after="283"/>
              <w:rPr/>
            </w:pPr>
            <w:r>
              <w:rPr/>
              <w:t> </w:t>
            </w:r>
          </w:p>
        </w:tc>
        <w:tc>
          <w:tcPr>
            <w:tcW w:w="392" w:type="dxa"/>
            <w:tcBorders/>
            <w:shd w:fill="CCEEFF" w:val="clear"/>
          </w:tcPr>
          <w:p>
            <w:pPr>
              <w:pStyle w:val="TableContents"/>
              <w:spacing w:before="0" w:after="283"/>
              <w:jc w:val="right"/>
              <w:rPr>
                <w:rFonts w:ascii="times" w:hAnsi="times"/>
                <w:sz w:val="20"/>
              </w:rPr>
            </w:pPr>
            <w:r>
              <w:rPr>
                <w:rFonts w:ascii="times" w:hAnsi="times"/>
                <w:sz w:val="20"/>
              </w:rPr>
              <w:t>85.5</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86.3</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86.8</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89.5</w:t>
            </w:r>
          </w:p>
        </w:tc>
        <w:tc>
          <w:tcPr>
            <w:tcW w:w="60" w:type="dxa"/>
            <w:tcBorders/>
            <w:shd w:fill="CCEE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rPr/>
      </w:pPr>
      <w:r>
        <w:rPr/>
        <w:t> </w:t>
      </w:r>
    </w:p>
    <w:tbl>
      <w:tblPr>
        <w:tblW w:w="7885" w:type="dxa"/>
        <w:jc w:val="center"/>
        <w:tblInd w:w="0" w:type="dxa"/>
        <w:tblCellMar>
          <w:top w:w="0" w:type="dxa"/>
          <w:left w:w="0" w:type="dxa"/>
          <w:bottom w:w="0" w:type="dxa"/>
          <w:right w:w="0" w:type="dxa"/>
        </w:tblCellMar>
      </w:tblPr>
      <w:tblGrid>
        <w:gridCol w:w="150"/>
        <w:gridCol w:w="150"/>
        <w:gridCol w:w="4485"/>
        <w:gridCol w:w="180"/>
        <w:gridCol w:w="75"/>
        <w:gridCol w:w="440"/>
        <w:gridCol w:w="225"/>
        <w:gridCol w:w="75"/>
        <w:gridCol w:w="440"/>
        <w:gridCol w:w="225"/>
        <w:gridCol w:w="75"/>
        <w:gridCol w:w="440"/>
        <w:gridCol w:w="225"/>
        <w:gridCol w:w="75"/>
        <w:gridCol w:w="440"/>
        <w:gridCol w:w="185"/>
      </w:tblGrid>
      <w:tr>
        <w:trPr/>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4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15"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199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Projected </w:t>
            </w:r>
          </w:p>
        </w:tc>
        <w:tc>
          <w:tcPr>
            <w:tcW w:w="185" w:type="dxa"/>
            <w:tcBorders/>
            <w:shd w:fill="auto" w:val="clear"/>
            <w:vAlign w:val="bottom"/>
          </w:tcPr>
          <w:p>
            <w:pPr>
              <w:pStyle w:val="TableHeading"/>
              <w:suppressLineNumbers/>
              <w:spacing w:before="0" w:after="283"/>
              <w:jc w:val="center"/>
              <w:rPr/>
            </w:pPr>
            <w:r>
              <w:rPr/>
              <w:t> </w:t>
            </w:r>
          </w:p>
        </w:tc>
      </w:tr>
      <w:tr>
        <w:trPr/>
        <w:tc>
          <w:tcPr>
            <w:tcW w:w="47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2008</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5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225" w:type="dxa"/>
            <w:tcBorders/>
            <w:shd w:fill="auto" w:val="clear"/>
            <w:vAlign w:val="bottom"/>
          </w:tcPr>
          <w:p>
            <w:pPr>
              <w:pStyle w:val="TableHeading"/>
              <w:suppressLineNumbers/>
              <w:spacing w:before="0" w:after="283"/>
              <w:jc w:val="center"/>
              <w:rPr/>
            </w:pPr>
            <w:r>
              <w:rPr/>
              <w:t> </w:t>
            </w:r>
          </w:p>
        </w:tc>
        <w:tc>
          <w:tcPr>
            <w:tcW w:w="5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25" w:type="dxa"/>
            <w:tcBorders/>
            <w:shd w:fill="auto" w:val="clear"/>
            <w:vAlign w:val="bottom"/>
          </w:tcPr>
          <w:p>
            <w:pPr>
              <w:pStyle w:val="TableHeading"/>
              <w:suppressLineNumbers/>
              <w:spacing w:before="0" w:after="283"/>
              <w:jc w:val="center"/>
              <w:rPr/>
            </w:pPr>
            <w:r>
              <w:rPr/>
              <w:t> </w:t>
            </w:r>
          </w:p>
        </w:tc>
        <w:tc>
          <w:tcPr>
            <w:tcW w:w="5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185" w:type="dxa"/>
            <w:tcBorders/>
            <w:shd w:fill="auto" w:val="clear"/>
            <w:vAlign w:val="bottom"/>
          </w:tcPr>
          <w:p>
            <w:pPr>
              <w:pStyle w:val="TableHeading"/>
              <w:suppressLineNumbers/>
              <w:spacing w:before="0" w:after="283"/>
              <w:jc w:val="center"/>
              <w:rPr/>
            </w:pPr>
            <w:r>
              <w:rPr/>
              <w:t> </w:t>
            </w:r>
          </w:p>
        </w:tc>
      </w:tr>
      <w:tr>
        <w:trPr/>
        <w:tc>
          <w:tcPr>
            <w:tcW w:w="47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735" w:type="dxa"/>
            <w:gridSpan w:val="11"/>
            <w:tcBorders/>
            <w:shd w:fill="auto" w:val="clear"/>
            <w:vAlign w:val="bottom"/>
          </w:tcPr>
          <w:p>
            <w:pPr>
              <w:pStyle w:val="TableHeading"/>
              <w:spacing w:before="0" w:after="283"/>
              <w:jc w:val="center"/>
              <w:rPr>
                <w:rFonts w:ascii="times" w:hAnsi="times"/>
                <w:b/>
                <w:sz w:val="14"/>
              </w:rPr>
            </w:pPr>
            <w:r>
              <w:rPr>
                <w:rFonts w:ascii="times" w:hAnsi="times"/>
                <w:b/>
                <w:sz w:val="14"/>
              </w:rPr>
              <w:t>(In millions of barrels per day)</w:t>
            </w:r>
          </w:p>
        </w:tc>
        <w:tc>
          <w:tcPr>
            <w:tcW w:w="185" w:type="dxa"/>
            <w:tcBorders/>
            <w:shd w:fill="auto" w:val="clear"/>
            <w:vAlign w:val="bottom"/>
          </w:tcPr>
          <w:p>
            <w:pPr>
              <w:pStyle w:val="TableHeading"/>
              <w:suppressLineNumbers/>
              <w:spacing w:before="0" w:after="283"/>
              <w:jc w:val="center"/>
              <w:rPr/>
            </w:pPr>
            <w:r>
              <w:rPr/>
              <w:t> </w:t>
            </w:r>
          </w:p>
        </w:tc>
      </w:tr>
      <w:tr>
        <w:trPr/>
        <w:tc>
          <w:tcPr>
            <w:tcW w:w="4785" w:type="dxa"/>
            <w:gridSpan w:val="3"/>
            <w:tcBorders/>
            <w:shd w:fill="CCEEFF" w:val="clear"/>
          </w:tcPr>
          <w:p>
            <w:pPr>
              <w:pStyle w:val="TableContents"/>
              <w:spacing w:before="0" w:after="283"/>
              <w:ind w:left="200" w:right="0" w:hanging="200"/>
              <w:rPr>
                <w:rFonts w:ascii="times" w:hAnsi="times"/>
                <w:sz w:val="20"/>
              </w:rPr>
            </w:pPr>
            <w:r>
              <w:rPr>
                <w:rFonts w:ascii="times" w:hAnsi="times"/>
                <w:sz w:val="20"/>
              </w:rPr>
              <w:t>Demand</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rPr/>
            </w:pPr>
            <w:r>
              <w:rPr/>
              <w:t> </w:t>
            </w:r>
          </w:p>
        </w:tc>
        <w:tc>
          <w:tcPr>
            <w:tcW w:w="185"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6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U.S. </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19.7</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19.2</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19.8</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20.2</w:t>
            </w:r>
          </w:p>
        </w:tc>
        <w:tc>
          <w:tcPr>
            <w:tcW w:w="185"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 OECD</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28.0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28.0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27.5</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27.0</w:t>
            </w:r>
          </w:p>
        </w:tc>
        <w:tc>
          <w:tcPr>
            <w:tcW w:w="185" w:type="dxa"/>
            <w:tcBorders/>
            <w:shd w:fill="CCEE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150" w:type="dxa"/>
            <w:tcBorders/>
            <w:shd w:fill="FFFFFF" w:val="clear"/>
          </w:tcPr>
          <w:p>
            <w:pPr>
              <w:pStyle w:val="TableContents"/>
              <w:spacing w:before="0" w:after="283"/>
              <w:rPr/>
            </w:pPr>
            <w:r>
              <w:rPr/>
              <w:t> </w:t>
            </w:r>
          </w:p>
        </w:tc>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Total OECD</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47.7</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47.2</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47.3</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47.2</w:t>
            </w:r>
          </w:p>
        </w:tc>
        <w:tc>
          <w:tcPr>
            <w:tcW w:w="185"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Non-OECD</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38.2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39.1</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39.5</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42.3</w:t>
            </w:r>
          </w:p>
        </w:tc>
        <w:tc>
          <w:tcPr>
            <w:tcW w:w="185" w:type="dxa"/>
            <w:tcBorders/>
            <w:shd w:fill="CCEE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6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Total World Consumption</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85.9</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86.3</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86.8</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89.5</w:t>
            </w:r>
          </w:p>
        </w:tc>
        <w:tc>
          <w:tcPr>
            <w:tcW w:w="185" w:type="dxa"/>
            <w:tcBorders/>
            <w:shd w:fill="FFFFFF" w:val="clear"/>
          </w:tcPr>
          <w:p>
            <w:pPr>
              <w:pStyle w:val="TableContents"/>
              <w:spacing w:before="0" w:after="283"/>
              <w:rPr/>
            </w:pPr>
            <w:r>
              <w:rPr/>
              <w:t> </w:t>
            </w:r>
          </w:p>
        </w:tc>
      </w:tr>
      <w:tr>
        <w:trPr/>
        <w:tc>
          <w:tcPr>
            <w:tcW w:w="47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Net World Consumption</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(0.4</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6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U.S. Production as % of World Production</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10</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11</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11</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11</w:t>
            </w:r>
          </w:p>
        </w:tc>
        <w:tc>
          <w:tcPr>
            <w:tcW w:w="185" w:type="dxa"/>
            <w:tcBorders/>
            <w:shd w:fill="FFFFFF" w:val="clear"/>
          </w:tcPr>
          <w:p>
            <w:pPr>
              <w:pStyle w:val="TableContents"/>
              <w:spacing w:before="0" w:after="283"/>
              <w:rPr>
                <w:rFonts w:ascii="times" w:hAnsi="times"/>
                <w:sz w:val="20"/>
              </w:rPr>
            </w:pPr>
            <w:r>
              <w:rPr>
                <w:rFonts w:ascii="times" w:hAnsi="times"/>
                <w:sz w:val="20"/>
              </w:rPr>
              <w:t>%</w:t>
            </w:r>
          </w:p>
        </w:tc>
      </w:tr>
      <w:tr>
        <w:trPr/>
        <w:tc>
          <w:tcPr>
            <w:tcW w:w="150" w:type="dxa"/>
            <w:tcBorders/>
            <w:shd w:fill="CCEEFF" w:val="clear"/>
          </w:tcPr>
          <w:p>
            <w:pPr>
              <w:pStyle w:val="TableContents"/>
              <w:spacing w:before="0" w:after="283"/>
              <w:rPr/>
            </w:pPr>
            <w:r>
              <w:rPr/>
              <w:t> </w:t>
            </w:r>
          </w:p>
        </w:tc>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U.S. Consumption as % of World Consumption</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23</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22</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23</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75"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23</w:t>
            </w:r>
          </w:p>
        </w:tc>
        <w:tc>
          <w:tcPr>
            <w:tcW w:w="185" w:type="dxa"/>
            <w:tcBorders/>
            <w:shd w:fill="CCEEFF" w:val="clear"/>
          </w:tcPr>
          <w:p>
            <w:pPr>
              <w:pStyle w:val="TableContents"/>
              <w:spacing w:before="0" w:after="283"/>
              <w:rPr>
                <w:rFonts w:ascii="times" w:hAnsi="times"/>
                <w:sz w:val="20"/>
              </w:rPr>
            </w:pPr>
            <w:r>
              <w:rPr>
                <w:rFonts w:ascii="times" w:hAnsi="times"/>
                <w:sz w:val="20"/>
              </w:rPr>
              <w:t>%</w:t>
            </w:r>
          </w:p>
        </w:tc>
      </w:tr>
      <w:tr>
        <w:trPr/>
        <w:tc>
          <w:tcPr>
            <w:tcW w:w="150" w:type="dxa"/>
            <w:tcBorders/>
            <w:shd w:fill="FFFFFF" w:val="clear"/>
          </w:tcPr>
          <w:p>
            <w:pPr>
              <w:pStyle w:val="TableContents"/>
              <w:spacing w:before="0" w:after="283"/>
              <w:rPr/>
            </w:pPr>
            <w:r>
              <w:rPr/>
              <w:t> </w:t>
            </w:r>
          </w:p>
        </w:tc>
        <w:tc>
          <w:tcPr>
            <w:tcW w:w="46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Net U.S. Consumption</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(11.2</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(10.1</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(10.1</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75"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(10.0</w:t>
            </w:r>
          </w:p>
        </w:tc>
        <w:tc>
          <w:tcPr>
            <w:tcW w:w="185" w:type="dxa"/>
            <w:tcBorders/>
            <w:shd w:fill="FFFFFF" w:val="clear"/>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The 2008 amounts are based on ten months of actual data and two months of data derived from a short-term energy model published by the EIA.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Organization for Economic Co-operation and Development </w:t>
      </w:r>
    </w:p>
    <w:p>
      <w:pPr>
        <w:pStyle w:val="TextBody"/>
        <w:rPr/>
      </w:pPr>
      <w:r>
        <w:rPr/>
        <w:t>        </w:t>
      </w:r>
      <w:r>
        <w:rPr>
          <w:rFonts w:ascii="times" w:hAnsi="times"/>
          <w:sz w:val="20"/>
        </w:rPr>
        <w:t xml:space="preserve">World economic growth is a driver of the world petroleum market. To the extent that an event causes weaker world economic growth, energy demand would decline. Weaker energy demand would also result in lower energy consumption, lower energy prices, or both, depending on the production responses of producers. Recent volatility in the financial markets and other geopolitical factors have contributed to uncertainty in the petroleum market and, therefore, have caused significantly higher volatility in prices and market structure. In addition, the challenging global economic climate has recently resulted in lower prices as well as reduced demand. </w:t>
      </w:r>
    </w:p>
    <w:p>
      <w:pPr>
        <w:pStyle w:val="TextBody"/>
        <w:rPr>
          <w:rFonts w:ascii="times" w:hAnsi="times"/>
          <w:b/>
          <w:i/>
          <w:sz w:val="20"/>
        </w:rPr>
      </w:pPr>
      <w:r>
        <w:rPr>
          <w:rFonts w:ascii="times" w:hAnsi="times"/>
          <w:b/>
          <w:i/>
          <w:sz w:val="20"/>
        </w:rPr>
        <w:t xml:space="preserve">Crude Oil Market Overview </w:t>
      </w:r>
    </w:p>
    <w:p>
      <w:pPr>
        <w:pStyle w:val="TextBody"/>
        <w:rPr/>
      </w:pPr>
      <w:r>
        <w:rPr/>
        <w:t>        </w:t>
      </w:r>
      <w:r>
        <w:rPr>
          <w:rFonts w:ascii="times" w:hAnsi="times"/>
          <w:sz w:val="20"/>
        </w:rPr>
        <w:t xml:space="preserve">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grade has distinguishing physical properties, such as specific gravity (generally referred to as light or heavy), sulfur content (generally referred to as sweet or sour) and metals content, which result in varying economic attributes.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12101a_main_toc">
        <w:bookmarkStart w:id="25" w:name="page_di12101_1_13"/>
        <w:bookmarkEnd w:id="25"/>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In many cases, these factors result in the need for such grades to be batched or segregated in the transportation and storage processes, blended to precise specifications or adjusted in value. </w:t>
      </w:r>
    </w:p>
    <w:p>
      <w:pPr>
        <w:pStyle w:val="TextBody"/>
        <w:rPr/>
      </w:pPr>
      <w:r>
        <w:rPr/>
        <w:t>        </w:t>
      </w:r>
      <w:r>
        <w:rPr>
          <w:rFonts w:ascii="times" w:hAnsi="times"/>
          <w:sz w:val="20"/>
        </w:rPr>
        <w:t xml:space="preserve">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 </w:t>
      </w:r>
    </w:p>
    <w:p>
      <w:pPr>
        <w:pStyle w:val="TextBody"/>
        <w:rPr/>
      </w:pPr>
      <w:r>
        <w:rPr/>
        <w:t>        </w:t>
      </w:r>
      <w:r>
        <w:rPr>
          <w:rFonts w:ascii="times" w:hAnsi="times"/>
          <w:sz w:val="20"/>
        </w:rPr>
        <w:t xml:space="preserve">Our assets and our business strategy are designed to serve our producer and refiner customers by addressing regional crude oil supply and demand imbalances that exist in the United States and Canada. According to the EIA, during the twelve months ended October 2008, the United States consumed approximately 14.8 million barrels of crude oil per day, while only producing 5.0 million barrels per day. Accordingly, the United States relies on foreign imports for approximately 66% of the crude oil used by U.S. domestic refineries. This imbalance represents a continuing trend. Foreign imports of crude oil into the U.S. have tripled over the last 23 years, increasing from 3.2 million barrels per day in 1985 to 9.8 million barrels per day for the 12 months ended October 2008, as U.S. refinery demand has increased from 12.0 million barrels per day in 1985 to 14.8 million barrels per day for the twelve months ended October 2008 and domestic crude oil production has declined due to natural depletion. The table below shows the overall domestic petroleum consumption projected out to 2015 and is derived from recent information published by the EIA (see EIA website at </w:t>
      </w:r>
      <w:r>
        <w:rPr>
          <w:rFonts w:ascii="times" w:hAnsi="times"/>
          <w:i/>
          <w:sz w:val="20"/>
        </w:rPr>
        <w:t>www.eia.doe.gov</w:t>
      </w:r>
      <w:r>
        <w:rPr>
          <w:rFonts w:ascii="times" w:hAnsi="times"/>
          <w:sz w:val="20"/>
        </w:rPr>
        <w:t xml:space="preserve">). The amounts in the 2008 column are based on the twelve months from November 2007 to October 2008. </w:t>
      </w:r>
    </w:p>
    <w:tbl>
      <w:tblPr>
        <w:tblW w:w="7745" w:type="dxa"/>
        <w:jc w:val="center"/>
        <w:tblInd w:w="0" w:type="dxa"/>
        <w:tblCellMar>
          <w:top w:w="0" w:type="dxa"/>
          <w:left w:w="0" w:type="dxa"/>
          <w:bottom w:w="0" w:type="dxa"/>
          <w:right w:w="0" w:type="dxa"/>
        </w:tblCellMar>
      </w:tblPr>
      <w:tblGrid>
        <w:gridCol w:w="150"/>
        <w:gridCol w:w="150"/>
        <w:gridCol w:w="4710"/>
        <w:gridCol w:w="180"/>
        <w:gridCol w:w="75"/>
        <w:gridCol w:w="380"/>
        <w:gridCol w:w="225"/>
        <w:gridCol w:w="75"/>
        <w:gridCol w:w="380"/>
        <w:gridCol w:w="225"/>
        <w:gridCol w:w="75"/>
        <w:gridCol w:w="380"/>
        <w:gridCol w:w="225"/>
        <w:gridCol w:w="75"/>
        <w:gridCol w:w="380"/>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71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55"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181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Projected </w:t>
            </w:r>
          </w:p>
        </w:tc>
        <w:tc>
          <w:tcPr>
            <w:tcW w:w="60" w:type="dxa"/>
            <w:tcBorders/>
            <w:shd w:fill="auto" w:val="clear"/>
            <w:vAlign w:val="bottom"/>
          </w:tcPr>
          <w:p>
            <w:pPr>
              <w:pStyle w:val="TableHeading"/>
              <w:suppressLineNumbers/>
              <w:spacing w:before="0" w:after="283"/>
              <w:jc w:val="center"/>
              <w:rPr/>
            </w:pPr>
            <w:r>
              <w:rPr/>
              <w:t> </w:t>
            </w:r>
          </w:p>
        </w:tc>
      </w:tr>
      <w:tr>
        <w:trPr/>
        <w:tc>
          <w:tcPr>
            <w:tcW w:w="5010"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4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225" w:type="dxa"/>
            <w:tcBorders/>
            <w:shd w:fill="auto" w:val="clear"/>
            <w:vAlign w:val="bottom"/>
          </w:tcPr>
          <w:p>
            <w:pPr>
              <w:pStyle w:val="TableHeading"/>
              <w:suppressLineNumbers/>
              <w:spacing w:before="0" w:after="283"/>
              <w:jc w:val="center"/>
              <w:rPr/>
            </w:pPr>
            <w:r>
              <w:rPr/>
              <w:t> </w:t>
            </w:r>
          </w:p>
        </w:tc>
        <w:tc>
          <w:tcPr>
            <w:tcW w:w="4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225" w:type="dxa"/>
            <w:tcBorders/>
            <w:shd w:fill="auto" w:val="clear"/>
            <w:vAlign w:val="bottom"/>
          </w:tcPr>
          <w:p>
            <w:pPr>
              <w:pStyle w:val="TableHeading"/>
              <w:suppressLineNumbers/>
              <w:spacing w:before="0" w:after="283"/>
              <w:jc w:val="center"/>
              <w:rPr/>
            </w:pPr>
            <w:r>
              <w:rPr/>
              <w:t> </w:t>
            </w:r>
          </w:p>
        </w:tc>
        <w:tc>
          <w:tcPr>
            <w:tcW w:w="4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60" w:type="dxa"/>
            <w:tcBorders/>
            <w:shd w:fill="auto" w:val="clear"/>
            <w:vAlign w:val="bottom"/>
          </w:tcPr>
          <w:p>
            <w:pPr>
              <w:pStyle w:val="TableHeading"/>
              <w:suppressLineNumbers/>
              <w:spacing w:before="0" w:after="283"/>
              <w:jc w:val="center"/>
              <w:rPr/>
            </w:pPr>
            <w:r>
              <w:rPr/>
              <w:t> </w:t>
            </w:r>
          </w:p>
        </w:tc>
      </w:tr>
      <w:tr>
        <w:trPr/>
        <w:tc>
          <w:tcPr>
            <w:tcW w:w="5010"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495" w:type="dxa"/>
            <w:gridSpan w:val="11"/>
            <w:tcBorders/>
            <w:shd w:fill="auto" w:val="clear"/>
            <w:vAlign w:val="bottom"/>
          </w:tcPr>
          <w:p>
            <w:pPr>
              <w:pStyle w:val="TableHeading"/>
              <w:spacing w:before="0" w:after="283"/>
              <w:jc w:val="center"/>
              <w:rPr>
                <w:rFonts w:ascii="times" w:hAnsi="times"/>
                <w:b/>
                <w:sz w:val="14"/>
              </w:rPr>
            </w:pPr>
            <w:r>
              <w:rPr>
                <w:rFonts w:ascii="times" w:hAnsi="times"/>
                <w:b/>
                <w:sz w:val="14"/>
              </w:rPr>
              <w:t>(In millions of barrels per day)</w:t>
            </w:r>
          </w:p>
        </w:tc>
        <w:tc>
          <w:tcPr>
            <w:tcW w:w="60" w:type="dxa"/>
            <w:tcBorders/>
            <w:shd w:fill="auto" w:val="clear"/>
            <w:vAlign w:val="bottom"/>
          </w:tcPr>
          <w:p>
            <w:pPr>
              <w:pStyle w:val="TableHeading"/>
              <w:suppressLineNumbers/>
              <w:spacing w:before="0" w:after="283"/>
              <w:jc w:val="center"/>
              <w:rPr/>
            </w:pPr>
            <w:r>
              <w:rPr/>
              <w:t> </w:t>
            </w:r>
          </w:p>
        </w:tc>
      </w:tr>
      <w:tr>
        <w:trPr/>
        <w:tc>
          <w:tcPr>
            <w:tcW w:w="5010" w:type="dxa"/>
            <w:gridSpan w:val="3"/>
            <w:tcBorders/>
            <w:shd w:fill="CCEEFF" w:val="clear"/>
          </w:tcPr>
          <w:p>
            <w:pPr>
              <w:pStyle w:val="TableContents"/>
              <w:spacing w:before="0" w:after="283"/>
              <w:ind w:left="200" w:right="0" w:hanging="200"/>
              <w:rPr>
                <w:rFonts w:ascii="times" w:hAnsi="times"/>
                <w:sz w:val="20"/>
              </w:rPr>
            </w:pPr>
            <w:r>
              <w:rPr>
                <w:rFonts w:ascii="times" w:hAnsi="times"/>
                <w:sz w:val="20"/>
              </w:rPr>
              <w:t>Supply</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6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Domestic Crude Oil Production</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5.0</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5.4</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5.6</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5.7</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6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Net ImportsCrude Oil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9.8</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9.0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8.3</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8.2</w:t>
            </w:r>
          </w:p>
        </w:tc>
        <w:tc>
          <w:tcPr>
            <w:tcW w:w="60" w:type="dxa"/>
            <w:tcBorders/>
            <w:shd w:fill="CCEEFF" w:val="clear"/>
          </w:tcPr>
          <w:p>
            <w:pPr>
              <w:pStyle w:val="TableContents"/>
              <w:spacing w:before="0" w:after="283"/>
              <w:rPr/>
            </w:pPr>
            <w:r>
              <w:rPr/>
              <w:t> </w:t>
            </w:r>
          </w:p>
        </w:tc>
      </w:tr>
      <w:tr>
        <w:trPr/>
        <w:tc>
          <w:tcPr>
            <w:tcW w:w="501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150" w:type="dxa"/>
            <w:tcBorders/>
            <w:shd w:fill="FFFFFF" w:val="clear"/>
          </w:tcPr>
          <w:p>
            <w:pPr>
              <w:pStyle w:val="TableContents"/>
              <w:spacing w:before="0" w:after="283"/>
              <w:rPr/>
            </w:pPr>
            <w:r>
              <w:rPr/>
              <w:t> </w:t>
            </w:r>
          </w:p>
        </w:tc>
        <w:tc>
          <w:tcPr>
            <w:tcW w:w="4710" w:type="dxa"/>
            <w:tcBorders/>
            <w:shd w:fill="FFFFFF" w:val="clear"/>
          </w:tcPr>
          <w:p>
            <w:pPr>
              <w:pStyle w:val="TableContents"/>
              <w:spacing w:before="0" w:after="283"/>
              <w:ind w:left="200" w:right="0" w:hanging="200"/>
              <w:rPr>
                <w:rFonts w:ascii="times" w:hAnsi="times"/>
                <w:sz w:val="20"/>
              </w:rPr>
            </w:pPr>
            <w:r>
              <w:rPr>
                <w:rFonts w:ascii="times" w:hAnsi="times"/>
                <w:sz w:val="20"/>
              </w:rPr>
              <w:t>Crude Oil Input to Domestic Refineries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14.8</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14.4</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13.9</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13.9</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6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Net Product Imports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1.6</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1.7</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6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Other(NGL Production, Refinery Processing Gain)</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3.6</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3.5</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4.3</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380" w:type="dxa"/>
            <w:tcBorders/>
            <w:shd w:fill="FFFFFF" w:val="clear"/>
          </w:tcPr>
          <w:p>
            <w:pPr>
              <w:pStyle w:val="TableContents"/>
              <w:spacing w:before="0" w:after="283"/>
              <w:jc w:val="right"/>
              <w:rPr>
                <w:rFonts w:ascii="times" w:hAnsi="times"/>
                <w:sz w:val="20"/>
              </w:rPr>
            </w:pPr>
            <w:r>
              <w:rPr>
                <w:rFonts w:ascii="times" w:hAnsi="times"/>
                <w:sz w:val="20"/>
              </w:rPr>
              <w:t>4.6</w:t>
            </w:r>
          </w:p>
        </w:tc>
        <w:tc>
          <w:tcPr>
            <w:tcW w:w="60" w:type="dxa"/>
            <w:tcBorders/>
            <w:shd w:fill="FFFFFF" w:val="clear"/>
          </w:tcPr>
          <w:p>
            <w:pPr>
              <w:pStyle w:val="TableContents"/>
              <w:spacing w:before="0" w:after="283"/>
              <w:rPr/>
            </w:pPr>
            <w:r>
              <w:rPr/>
              <w:t> </w:t>
            </w:r>
          </w:p>
        </w:tc>
      </w:tr>
      <w:tr>
        <w:trPr/>
        <w:tc>
          <w:tcPr>
            <w:tcW w:w="501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4710" w:type="dxa"/>
            <w:tcBorders/>
            <w:shd w:fill="CCEEFF" w:val="clear"/>
          </w:tcPr>
          <w:p>
            <w:pPr>
              <w:pStyle w:val="TableContents"/>
              <w:spacing w:before="0" w:after="283"/>
              <w:ind w:left="200" w:right="0" w:hanging="200"/>
              <w:rPr>
                <w:rFonts w:ascii="times" w:hAnsi="times"/>
                <w:sz w:val="20"/>
              </w:rPr>
            </w:pPr>
            <w:r>
              <w:rPr>
                <w:rFonts w:ascii="times" w:hAnsi="times"/>
                <w:sz w:val="20"/>
              </w:rPr>
              <w:t>Total Domestic Petroleum Consumption</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19.7</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19.2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19.8</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380" w:type="dxa"/>
            <w:tcBorders/>
            <w:shd w:fill="CCEEFF" w:val="clear"/>
          </w:tcPr>
          <w:p>
            <w:pPr>
              <w:pStyle w:val="TableContents"/>
              <w:spacing w:before="0" w:after="283"/>
              <w:jc w:val="right"/>
              <w:rPr>
                <w:rFonts w:ascii="times" w:hAnsi="times"/>
                <w:sz w:val="20"/>
              </w:rPr>
            </w:pPr>
            <w:r>
              <w:rPr>
                <w:rFonts w:ascii="times" w:hAnsi="times"/>
                <w:sz w:val="20"/>
              </w:rPr>
              <w:t>20.2</w:t>
            </w:r>
          </w:p>
        </w:tc>
        <w:tc>
          <w:tcPr>
            <w:tcW w:w="60" w:type="dxa"/>
            <w:tcBorders/>
            <w:shd w:fill="CCEEFF" w:val="clear"/>
          </w:tcPr>
          <w:p>
            <w:pPr>
              <w:pStyle w:val="TableContents"/>
              <w:spacing w:before="0" w:after="283"/>
              <w:rPr/>
            </w:pPr>
            <w:r>
              <w:rPr/>
              <w:t> </w:t>
            </w:r>
          </w:p>
        </w:tc>
      </w:tr>
      <w:tr>
        <w:trPr/>
        <w:tc>
          <w:tcPr>
            <w:tcW w:w="501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12101a_main_toc">
        <w:bookmarkStart w:id="26" w:name="page_di12101_1_14"/>
        <w:bookmarkEnd w:id="26"/>
        <w:r>
          <w:rPr>
            <w:rStyle w:val="InternetLink"/>
            <w:rFonts w:ascii="times" w:hAnsi="times"/>
            <w:sz w:val="20"/>
          </w:rPr>
          <w:t>Table of Contents</w:t>
        </w:r>
      </w:hyperlink>
    </w:p>
    <w:p>
      <w:pPr>
        <w:pStyle w:val="TextBody"/>
        <w:rPr/>
      </w:pPr>
      <w:r>
        <w:rPr/>
      </w:r>
    </w:p>
    <w:p>
      <w:pPr>
        <w:pStyle w:val="TextBody"/>
        <w:rPr>
          <w:rFonts w:ascii="times" w:hAnsi="times"/>
        </w:rPr>
      </w:pPr>
      <w:r>
        <w:rPr>
          <w:rFonts w:ascii="times" w:hAnsi="times"/>
          <w:sz w:val="20"/>
        </w:rPr>
        <w:t xml:space="preserve">each PADD for the twelve months ended October 2008 and is derived from information published by the EIA (see EIA website at </w:t>
      </w:r>
      <w:r>
        <w:rPr>
          <w:rFonts w:ascii="times" w:hAnsi="times"/>
          <w:i/>
          <w:sz w:val="20"/>
        </w:rPr>
        <w:t>www.eia.doe.gov</w:t>
      </w:r>
      <w:r>
        <w:rPr>
          <w:rFonts w:ascii="times" w:hAnsi="times"/>
          <w:sz w:val="20"/>
        </w:rPr>
        <w:t xml:space="preserve">) (in millions of barrels per day). </w:t>
      </w:r>
    </w:p>
    <w:tbl>
      <w:tblPr>
        <w:tblW w:w="6157" w:type="dxa"/>
        <w:jc w:val="center"/>
        <w:tblInd w:w="0" w:type="dxa"/>
        <w:tblCellMar>
          <w:top w:w="0" w:type="dxa"/>
          <w:left w:w="0" w:type="dxa"/>
          <w:bottom w:w="0" w:type="dxa"/>
          <w:right w:w="0" w:type="dxa"/>
        </w:tblCellMar>
      </w:tblPr>
      <w:tblGrid>
        <w:gridCol w:w="150"/>
        <w:gridCol w:w="3615"/>
        <w:gridCol w:w="180"/>
        <w:gridCol w:w="100"/>
        <w:gridCol w:w="460"/>
        <w:gridCol w:w="225"/>
        <w:gridCol w:w="75"/>
        <w:gridCol w:w="458"/>
        <w:gridCol w:w="225"/>
        <w:gridCol w:w="89"/>
        <w:gridCol w:w="500"/>
        <w:gridCol w:w="80"/>
      </w:tblGrid>
      <w:tr>
        <w:trPr/>
        <w:tc>
          <w:tcPr>
            <w:tcW w:w="150" w:type="dxa"/>
            <w:tcBorders/>
            <w:shd w:fill="auto" w:val="clear"/>
            <w:vAlign w:val="center"/>
          </w:tcPr>
          <w:p>
            <w:pPr>
              <w:pStyle w:val="TableContents"/>
              <w:spacing w:before="0" w:after="283"/>
              <w:rPr>
                <w:sz w:val="4"/>
                <w:szCs w:val="4"/>
              </w:rPr>
            </w:pPr>
            <w:r>
              <w:rPr>
                <w:sz w:val="4"/>
                <w:szCs w:val="4"/>
              </w:rPr>
            </w:r>
          </w:p>
        </w:tc>
        <w:tc>
          <w:tcPr>
            <w:tcW w:w="36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376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Petroleum Administration Defense District </w:t>
            </w:r>
          </w:p>
        </w:tc>
        <w:tc>
          <w:tcPr>
            <w:tcW w:w="180" w:type="dxa"/>
            <w:tcBorders/>
            <w:shd w:fill="auto" w:val="clear"/>
            <w:vAlign w:val="bottom"/>
          </w:tcPr>
          <w:p>
            <w:pPr>
              <w:pStyle w:val="TableHeading"/>
              <w:suppressLineNumbers/>
              <w:spacing w:before="0" w:after="283"/>
              <w:jc w:val="center"/>
              <w:rPr/>
            </w:pPr>
            <w:r>
              <w:rPr/>
              <w:t> </w:t>
            </w:r>
          </w:p>
        </w:tc>
        <w:tc>
          <w:tcPr>
            <w:tcW w:w="5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Regional</w:t>
              <w:br/>
              <w:t xml:space="preserve">Supply </w:t>
            </w:r>
          </w:p>
        </w:tc>
        <w:tc>
          <w:tcPr>
            <w:tcW w:w="225" w:type="dxa"/>
            <w:tcBorders/>
            <w:shd w:fill="auto" w:val="clear"/>
            <w:vAlign w:val="bottom"/>
          </w:tcPr>
          <w:p>
            <w:pPr>
              <w:pStyle w:val="TableHeading"/>
              <w:suppressLineNumbers/>
              <w:spacing w:before="0" w:after="283"/>
              <w:jc w:val="center"/>
              <w:rPr/>
            </w:pPr>
            <w:r>
              <w:rPr/>
              <w:t> </w:t>
            </w:r>
          </w:p>
        </w:tc>
        <w:tc>
          <w:tcPr>
            <w:tcW w:w="5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Refinery</w:t>
              <w:br/>
              <w:t xml:space="preserve">Demand </w:t>
            </w:r>
          </w:p>
        </w:tc>
        <w:tc>
          <w:tcPr>
            <w:tcW w:w="225" w:type="dxa"/>
            <w:tcBorders/>
            <w:shd w:fill="auto" w:val="clear"/>
            <w:vAlign w:val="bottom"/>
          </w:tcPr>
          <w:p>
            <w:pPr>
              <w:pStyle w:val="TableHeading"/>
              <w:suppressLineNumbers/>
              <w:spacing w:before="0" w:after="283"/>
              <w:jc w:val="center"/>
              <w:rPr/>
            </w:pPr>
            <w:r>
              <w:rPr/>
              <w:t> </w:t>
            </w:r>
          </w:p>
        </w:tc>
        <w:tc>
          <w:tcPr>
            <w:tcW w:w="58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Supply</w:t>
              <w:br/>
              <w:t xml:space="preserve">Shortfall </w:t>
            </w:r>
          </w:p>
        </w:tc>
        <w:tc>
          <w:tcPr>
            <w:tcW w:w="80" w:type="dxa"/>
            <w:tcBorders/>
            <w:shd w:fill="auto" w:val="clear"/>
            <w:vAlign w:val="bottom"/>
          </w:tcPr>
          <w:p>
            <w:pPr>
              <w:pStyle w:val="TableHeading"/>
              <w:suppressLineNumbers/>
              <w:spacing w:before="0" w:after="283"/>
              <w:jc w:val="center"/>
              <w:rPr/>
            </w:pPr>
            <w:r>
              <w:rPr/>
              <w:t> </w:t>
            </w:r>
          </w:p>
        </w:tc>
      </w:tr>
      <w:tr>
        <w:trPr/>
        <w:tc>
          <w:tcPr>
            <w:tcW w:w="37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PADD I (East Coast)</w:t>
            </w:r>
          </w:p>
        </w:tc>
        <w:tc>
          <w:tcPr>
            <w:tcW w:w="180" w:type="dxa"/>
            <w:tcBorders/>
            <w:shd w:fill="CCEEFF" w:val="clear"/>
          </w:tcPr>
          <w:p>
            <w:pPr>
              <w:pStyle w:val="TableContents"/>
              <w:spacing w:before="0" w:after="283"/>
              <w:rPr/>
            </w:pPr>
            <w:r>
              <w:rPr/>
              <w:t> </w:t>
            </w:r>
          </w:p>
        </w:tc>
        <w:tc>
          <w:tcPr>
            <w:tcW w:w="100" w:type="dxa"/>
            <w:tcBorders/>
            <w:shd w:fill="CCEEFF" w:val="clear"/>
          </w:tcPr>
          <w:p>
            <w:pPr>
              <w:pStyle w:val="TableContents"/>
              <w:spacing w:before="0" w:after="283"/>
              <w:rPr/>
            </w:pPr>
            <w:r>
              <w:rPr/>
              <w:t> </w:t>
            </w:r>
          </w:p>
        </w:tc>
        <w:tc>
          <w:tcPr>
            <w:tcW w:w="46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58" w:type="dxa"/>
            <w:tcBorders/>
            <w:shd w:fill="CCEEFF" w:val="clear"/>
          </w:tcPr>
          <w:p>
            <w:pPr>
              <w:pStyle w:val="TableContents"/>
              <w:spacing w:before="0" w:after="283"/>
              <w:jc w:val="right"/>
              <w:rPr>
                <w:rFonts w:ascii="times" w:hAnsi="times"/>
                <w:sz w:val="20"/>
              </w:rPr>
            </w:pPr>
            <w:r>
              <w:rPr>
                <w:rFonts w:ascii="times" w:hAnsi="times"/>
                <w:sz w:val="20"/>
              </w:rPr>
              <w:t>1.5</w:t>
            </w:r>
          </w:p>
        </w:tc>
        <w:tc>
          <w:tcPr>
            <w:tcW w:w="225" w:type="dxa"/>
            <w:tcBorders/>
            <w:shd w:fill="CCEEFF" w:val="clear"/>
          </w:tcPr>
          <w:p>
            <w:pPr>
              <w:pStyle w:val="TableContents"/>
              <w:spacing w:before="0" w:after="283"/>
              <w:rPr/>
            </w:pPr>
            <w:r>
              <w:rPr/>
              <w:t> </w:t>
            </w:r>
          </w:p>
        </w:tc>
        <w:tc>
          <w:tcPr>
            <w:tcW w:w="89"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20"/>
              </w:rPr>
            </w:pPr>
            <w:r>
              <w:rPr>
                <w:rFonts w:ascii="times" w:hAnsi="times"/>
                <w:sz w:val="20"/>
              </w:rPr>
              <w:t>(1.5</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37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PADD II (Midwest)</w:t>
            </w:r>
          </w:p>
        </w:tc>
        <w:tc>
          <w:tcPr>
            <w:tcW w:w="180" w:type="dxa"/>
            <w:tcBorders/>
            <w:shd w:fill="FFFFFF" w:val="clear"/>
          </w:tcPr>
          <w:p>
            <w:pPr>
              <w:pStyle w:val="TableContents"/>
              <w:spacing w:before="0" w:after="283"/>
              <w:rPr/>
            </w:pPr>
            <w:r>
              <w:rPr/>
              <w:t> </w:t>
            </w:r>
          </w:p>
        </w:tc>
        <w:tc>
          <w:tcPr>
            <w:tcW w:w="100" w:type="dxa"/>
            <w:tcBorders/>
            <w:shd w:fill="FFFFFF" w:val="clear"/>
          </w:tcPr>
          <w:p>
            <w:pPr>
              <w:pStyle w:val="TableContents"/>
              <w:spacing w:before="0" w:after="283"/>
              <w:rPr/>
            </w:pPr>
            <w:r>
              <w:rPr/>
              <w:t> </w:t>
            </w:r>
          </w:p>
        </w:tc>
        <w:tc>
          <w:tcPr>
            <w:tcW w:w="460" w:type="dxa"/>
            <w:tcBorders/>
            <w:shd w:fill="FFFFFF" w:val="clear"/>
          </w:tcPr>
          <w:p>
            <w:pPr>
              <w:pStyle w:val="TableContents"/>
              <w:spacing w:before="0" w:after="283"/>
              <w:jc w:val="right"/>
              <w:rPr>
                <w:rFonts w:ascii="times" w:hAnsi="times"/>
                <w:sz w:val="20"/>
              </w:rPr>
            </w:pPr>
            <w:r>
              <w:rPr>
                <w:rFonts w:ascii="times" w:hAnsi="times"/>
                <w:sz w:val="20"/>
              </w:rPr>
              <w:t>0.5</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58" w:type="dxa"/>
            <w:tcBorders/>
            <w:shd w:fill="FFFFFF" w:val="clear"/>
          </w:tcPr>
          <w:p>
            <w:pPr>
              <w:pStyle w:val="TableContents"/>
              <w:spacing w:before="0" w:after="283"/>
              <w:jc w:val="right"/>
              <w:rPr>
                <w:rFonts w:ascii="times" w:hAnsi="times"/>
                <w:sz w:val="20"/>
              </w:rPr>
            </w:pPr>
            <w:r>
              <w:rPr>
                <w:rFonts w:ascii="times" w:hAnsi="times"/>
                <w:sz w:val="20"/>
              </w:rPr>
              <w:t>3.2</w:t>
            </w:r>
          </w:p>
        </w:tc>
        <w:tc>
          <w:tcPr>
            <w:tcW w:w="225" w:type="dxa"/>
            <w:tcBorders/>
            <w:shd w:fill="FFFFFF" w:val="clear"/>
          </w:tcPr>
          <w:p>
            <w:pPr>
              <w:pStyle w:val="TableContents"/>
              <w:spacing w:before="0" w:after="283"/>
              <w:rPr/>
            </w:pPr>
            <w:r>
              <w:rPr/>
              <w:t> </w:t>
            </w:r>
          </w:p>
        </w:tc>
        <w:tc>
          <w:tcPr>
            <w:tcW w:w="89" w:type="dxa"/>
            <w:tcBorders/>
            <w:shd w:fill="FFFFFF" w:val="clear"/>
          </w:tcPr>
          <w:p>
            <w:pPr>
              <w:pStyle w:val="TableContents"/>
              <w:spacing w:before="0" w:after="283"/>
              <w:rPr/>
            </w:pPr>
            <w:r>
              <w:rPr/>
              <w:t> </w:t>
            </w:r>
          </w:p>
        </w:tc>
        <w:tc>
          <w:tcPr>
            <w:tcW w:w="500" w:type="dxa"/>
            <w:tcBorders/>
            <w:shd w:fill="FFFFFF" w:val="clear"/>
          </w:tcPr>
          <w:p>
            <w:pPr>
              <w:pStyle w:val="TableContents"/>
              <w:spacing w:before="0" w:after="283"/>
              <w:jc w:val="right"/>
              <w:rPr>
                <w:rFonts w:ascii="times" w:hAnsi="times"/>
                <w:sz w:val="20"/>
              </w:rPr>
            </w:pPr>
            <w:r>
              <w:rPr>
                <w:rFonts w:ascii="times" w:hAnsi="times"/>
                <w:sz w:val="20"/>
              </w:rPr>
              <w:t>(2.7</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37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PADD III (South)</w:t>
            </w:r>
          </w:p>
        </w:tc>
        <w:tc>
          <w:tcPr>
            <w:tcW w:w="180" w:type="dxa"/>
            <w:tcBorders/>
            <w:shd w:fill="CCEEFF" w:val="clear"/>
          </w:tcPr>
          <w:p>
            <w:pPr>
              <w:pStyle w:val="TableContents"/>
              <w:spacing w:before="0" w:after="283"/>
              <w:rPr/>
            </w:pPr>
            <w:r>
              <w:rPr/>
              <w:t> </w:t>
            </w:r>
          </w:p>
        </w:tc>
        <w:tc>
          <w:tcPr>
            <w:tcW w:w="100" w:type="dxa"/>
            <w:tcBorders/>
            <w:shd w:fill="CCEEFF" w:val="clear"/>
          </w:tcPr>
          <w:p>
            <w:pPr>
              <w:pStyle w:val="TableContents"/>
              <w:spacing w:before="0" w:after="283"/>
              <w:rPr/>
            </w:pPr>
            <w:r>
              <w:rPr/>
              <w:t> </w:t>
            </w:r>
          </w:p>
        </w:tc>
        <w:tc>
          <w:tcPr>
            <w:tcW w:w="460" w:type="dxa"/>
            <w:tcBorders/>
            <w:shd w:fill="CCEEFF" w:val="clear"/>
          </w:tcPr>
          <w:p>
            <w:pPr>
              <w:pStyle w:val="TableContents"/>
              <w:spacing w:before="0" w:after="283"/>
              <w:jc w:val="right"/>
              <w:rPr>
                <w:rFonts w:ascii="times" w:hAnsi="times"/>
                <w:sz w:val="20"/>
              </w:rPr>
            </w:pPr>
            <w:r>
              <w:rPr>
                <w:rFonts w:ascii="times" w:hAnsi="times"/>
                <w:sz w:val="20"/>
              </w:rPr>
              <w:t>2.7</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58" w:type="dxa"/>
            <w:tcBorders/>
            <w:shd w:fill="CCEEFF" w:val="clear"/>
          </w:tcPr>
          <w:p>
            <w:pPr>
              <w:pStyle w:val="TableContents"/>
              <w:spacing w:before="0" w:after="283"/>
              <w:jc w:val="right"/>
              <w:rPr>
                <w:rFonts w:ascii="times" w:hAnsi="times"/>
                <w:sz w:val="20"/>
              </w:rPr>
            </w:pPr>
            <w:r>
              <w:rPr>
                <w:rFonts w:ascii="times" w:hAnsi="times"/>
                <w:sz w:val="20"/>
              </w:rPr>
              <w:t>7.0</w:t>
            </w:r>
          </w:p>
        </w:tc>
        <w:tc>
          <w:tcPr>
            <w:tcW w:w="225" w:type="dxa"/>
            <w:tcBorders/>
            <w:shd w:fill="CCEEFF" w:val="clear"/>
          </w:tcPr>
          <w:p>
            <w:pPr>
              <w:pStyle w:val="TableContents"/>
              <w:spacing w:before="0" w:after="283"/>
              <w:rPr/>
            </w:pPr>
            <w:r>
              <w:rPr/>
              <w:t> </w:t>
            </w:r>
          </w:p>
        </w:tc>
        <w:tc>
          <w:tcPr>
            <w:tcW w:w="89"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20"/>
              </w:rPr>
            </w:pPr>
            <w:r>
              <w:rPr>
                <w:rFonts w:ascii="times" w:hAnsi="times"/>
                <w:sz w:val="20"/>
              </w:rPr>
              <w:t>(4.3</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37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PADD IV (Rockies)</w:t>
            </w:r>
          </w:p>
        </w:tc>
        <w:tc>
          <w:tcPr>
            <w:tcW w:w="180" w:type="dxa"/>
            <w:tcBorders/>
            <w:shd w:fill="FFFFFF" w:val="clear"/>
          </w:tcPr>
          <w:p>
            <w:pPr>
              <w:pStyle w:val="TableContents"/>
              <w:spacing w:before="0" w:after="283"/>
              <w:rPr/>
            </w:pPr>
            <w:r>
              <w:rPr/>
              <w:t> </w:t>
            </w:r>
          </w:p>
        </w:tc>
        <w:tc>
          <w:tcPr>
            <w:tcW w:w="100" w:type="dxa"/>
            <w:tcBorders/>
            <w:shd w:fill="FFFFFF" w:val="clear"/>
          </w:tcPr>
          <w:p>
            <w:pPr>
              <w:pStyle w:val="TableContents"/>
              <w:spacing w:before="0" w:after="283"/>
              <w:rPr/>
            </w:pPr>
            <w:r>
              <w:rPr/>
              <w:t> </w:t>
            </w:r>
          </w:p>
        </w:tc>
        <w:tc>
          <w:tcPr>
            <w:tcW w:w="460" w:type="dxa"/>
            <w:tcBorders/>
            <w:shd w:fill="FFFFFF" w:val="clear"/>
          </w:tcPr>
          <w:p>
            <w:pPr>
              <w:pStyle w:val="TableContents"/>
              <w:spacing w:before="0" w:after="283"/>
              <w:jc w:val="right"/>
              <w:rPr>
                <w:rFonts w:ascii="times" w:hAnsi="times"/>
                <w:sz w:val="20"/>
              </w:rPr>
            </w:pPr>
            <w:r>
              <w:rPr>
                <w:rFonts w:ascii="times" w:hAnsi="times"/>
                <w:sz w:val="20"/>
              </w:rPr>
              <w:t>0.4</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58" w:type="dxa"/>
            <w:tcBorders/>
            <w:shd w:fill="FFFFFF" w:val="clear"/>
          </w:tcPr>
          <w:p>
            <w:pPr>
              <w:pStyle w:val="TableContents"/>
              <w:spacing w:before="0" w:after="283"/>
              <w:jc w:val="right"/>
              <w:rPr>
                <w:rFonts w:ascii="times" w:hAnsi="times"/>
                <w:sz w:val="20"/>
              </w:rPr>
            </w:pPr>
            <w:r>
              <w:rPr>
                <w:rFonts w:ascii="times" w:hAnsi="times"/>
                <w:sz w:val="20"/>
              </w:rPr>
              <w:t>0.5</w:t>
            </w:r>
          </w:p>
        </w:tc>
        <w:tc>
          <w:tcPr>
            <w:tcW w:w="225" w:type="dxa"/>
            <w:tcBorders/>
            <w:shd w:fill="FFFFFF" w:val="clear"/>
          </w:tcPr>
          <w:p>
            <w:pPr>
              <w:pStyle w:val="TableContents"/>
              <w:spacing w:before="0" w:after="283"/>
              <w:rPr/>
            </w:pPr>
            <w:r>
              <w:rPr/>
              <w:t> </w:t>
            </w:r>
          </w:p>
        </w:tc>
        <w:tc>
          <w:tcPr>
            <w:tcW w:w="89" w:type="dxa"/>
            <w:tcBorders/>
            <w:shd w:fill="FFFFFF" w:val="clear"/>
          </w:tcPr>
          <w:p>
            <w:pPr>
              <w:pStyle w:val="TableContents"/>
              <w:spacing w:before="0" w:after="283"/>
              <w:rPr/>
            </w:pPr>
            <w:r>
              <w:rPr/>
              <w:t> </w:t>
            </w:r>
          </w:p>
        </w:tc>
        <w:tc>
          <w:tcPr>
            <w:tcW w:w="500" w:type="dxa"/>
            <w:tcBorders/>
            <w:shd w:fill="FFFFFF" w:val="clear"/>
          </w:tcPr>
          <w:p>
            <w:pPr>
              <w:pStyle w:val="TableContents"/>
              <w:spacing w:before="0" w:after="283"/>
              <w:jc w:val="right"/>
              <w:rPr>
                <w:rFonts w:ascii="times" w:hAnsi="times"/>
                <w:sz w:val="20"/>
              </w:rPr>
            </w:pPr>
            <w:r>
              <w:rPr>
                <w:rFonts w:ascii="times" w:hAnsi="times"/>
                <w:sz w:val="20"/>
              </w:rPr>
              <w:t>(0.1</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37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PADD V (West Coast)</w:t>
            </w:r>
          </w:p>
        </w:tc>
        <w:tc>
          <w:tcPr>
            <w:tcW w:w="180" w:type="dxa"/>
            <w:tcBorders/>
            <w:shd w:fill="CCEEFF" w:val="clear"/>
          </w:tcPr>
          <w:p>
            <w:pPr>
              <w:pStyle w:val="TableContents"/>
              <w:spacing w:before="0" w:after="283"/>
              <w:rPr/>
            </w:pPr>
            <w:r>
              <w:rPr/>
              <w:t> </w:t>
            </w:r>
          </w:p>
        </w:tc>
        <w:tc>
          <w:tcPr>
            <w:tcW w:w="100" w:type="dxa"/>
            <w:tcBorders/>
            <w:shd w:fill="CCEEFF" w:val="clear"/>
          </w:tcPr>
          <w:p>
            <w:pPr>
              <w:pStyle w:val="TableContents"/>
              <w:spacing w:before="0" w:after="283"/>
              <w:rPr/>
            </w:pPr>
            <w:r>
              <w:rPr/>
              <w:t> </w:t>
            </w:r>
          </w:p>
        </w:tc>
        <w:tc>
          <w:tcPr>
            <w:tcW w:w="460" w:type="dxa"/>
            <w:tcBorders/>
            <w:shd w:fill="CCEEFF" w:val="clear"/>
          </w:tcPr>
          <w:p>
            <w:pPr>
              <w:pStyle w:val="TableContents"/>
              <w:spacing w:before="0" w:after="283"/>
              <w:jc w:val="right"/>
              <w:rPr>
                <w:rFonts w:ascii="times" w:hAnsi="times"/>
                <w:sz w:val="20"/>
              </w:rPr>
            </w:pPr>
            <w:r>
              <w:rPr>
                <w:rFonts w:ascii="times" w:hAnsi="times"/>
                <w:sz w:val="20"/>
              </w:rPr>
              <w:t>1.4</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458" w:type="dxa"/>
            <w:tcBorders/>
            <w:shd w:fill="CCEEFF" w:val="clear"/>
          </w:tcPr>
          <w:p>
            <w:pPr>
              <w:pStyle w:val="TableContents"/>
              <w:spacing w:before="0" w:after="283"/>
              <w:jc w:val="right"/>
              <w:rPr>
                <w:rFonts w:ascii="times" w:hAnsi="times"/>
                <w:sz w:val="20"/>
              </w:rPr>
            </w:pPr>
            <w:r>
              <w:rPr>
                <w:rFonts w:ascii="times" w:hAnsi="times"/>
                <w:sz w:val="20"/>
              </w:rPr>
              <w:t>2.6</w:t>
            </w:r>
          </w:p>
        </w:tc>
        <w:tc>
          <w:tcPr>
            <w:tcW w:w="225" w:type="dxa"/>
            <w:tcBorders/>
            <w:shd w:fill="CCEEFF" w:val="clear"/>
          </w:tcPr>
          <w:p>
            <w:pPr>
              <w:pStyle w:val="TableContents"/>
              <w:spacing w:before="0" w:after="283"/>
              <w:rPr/>
            </w:pPr>
            <w:r>
              <w:rPr/>
              <w:t> </w:t>
            </w:r>
          </w:p>
        </w:tc>
        <w:tc>
          <w:tcPr>
            <w:tcW w:w="89"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20"/>
              </w:rPr>
            </w:pPr>
            <w:r>
              <w:rPr>
                <w:rFonts w:ascii="times" w:hAnsi="times"/>
                <w:sz w:val="20"/>
              </w:rPr>
              <w:t>(1.2</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37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3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8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615" w:type="dxa"/>
            <w:tcBorders/>
            <w:shd w:fill="FFFFFF" w:val="clear"/>
          </w:tcPr>
          <w:p>
            <w:pPr>
              <w:pStyle w:val="TableContents"/>
              <w:spacing w:before="0" w:after="283"/>
              <w:ind w:left="200" w:right="0" w:hanging="200"/>
              <w:rPr>
                <w:rFonts w:ascii="times" w:hAnsi="times"/>
                <w:sz w:val="20"/>
              </w:rPr>
            </w:pPr>
            <w:r>
              <w:rPr>
                <w:rFonts w:ascii="times" w:hAnsi="times"/>
                <w:sz w:val="20"/>
              </w:rPr>
              <w:t>Total U.S. </w:t>
            </w:r>
          </w:p>
        </w:tc>
        <w:tc>
          <w:tcPr>
            <w:tcW w:w="180" w:type="dxa"/>
            <w:tcBorders/>
            <w:shd w:fill="FFFFFF" w:val="clear"/>
          </w:tcPr>
          <w:p>
            <w:pPr>
              <w:pStyle w:val="TableContents"/>
              <w:spacing w:before="0" w:after="283"/>
              <w:rPr/>
            </w:pPr>
            <w:r>
              <w:rPr/>
              <w:t> </w:t>
            </w:r>
          </w:p>
        </w:tc>
        <w:tc>
          <w:tcPr>
            <w:tcW w:w="100" w:type="dxa"/>
            <w:tcBorders/>
            <w:shd w:fill="FFFFFF" w:val="clear"/>
          </w:tcPr>
          <w:p>
            <w:pPr>
              <w:pStyle w:val="TableContents"/>
              <w:spacing w:before="0" w:after="283"/>
              <w:rPr/>
            </w:pPr>
            <w:r>
              <w:rPr/>
              <w:t> </w:t>
            </w:r>
          </w:p>
        </w:tc>
        <w:tc>
          <w:tcPr>
            <w:tcW w:w="460" w:type="dxa"/>
            <w:tcBorders/>
            <w:shd w:fill="FFFFFF" w:val="clear"/>
          </w:tcPr>
          <w:p>
            <w:pPr>
              <w:pStyle w:val="TableContents"/>
              <w:spacing w:before="0" w:after="283"/>
              <w:jc w:val="right"/>
              <w:rPr>
                <w:rFonts w:ascii="times" w:hAnsi="times"/>
                <w:sz w:val="20"/>
              </w:rPr>
            </w:pPr>
            <w:r>
              <w:rPr>
                <w:rFonts w:ascii="times" w:hAnsi="times"/>
                <w:sz w:val="20"/>
              </w:rPr>
              <w:t>5.0</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458" w:type="dxa"/>
            <w:tcBorders/>
            <w:shd w:fill="FFFFFF" w:val="clear"/>
          </w:tcPr>
          <w:p>
            <w:pPr>
              <w:pStyle w:val="TableContents"/>
              <w:spacing w:before="0" w:after="283"/>
              <w:jc w:val="right"/>
              <w:rPr>
                <w:rFonts w:ascii="times" w:hAnsi="times"/>
                <w:sz w:val="20"/>
              </w:rPr>
            </w:pPr>
            <w:r>
              <w:rPr>
                <w:rFonts w:ascii="times" w:hAnsi="times"/>
                <w:sz w:val="20"/>
              </w:rPr>
              <w:t>14.8</w:t>
            </w:r>
          </w:p>
        </w:tc>
        <w:tc>
          <w:tcPr>
            <w:tcW w:w="225" w:type="dxa"/>
            <w:tcBorders/>
            <w:shd w:fill="FFFFFF" w:val="clear"/>
          </w:tcPr>
          <w:p>
            <w:pPr>
              <w:pStyle w:val="TableContents"/>
              <w:spacing w:before="0" w:after="283"/>
              <w:rPr/>
            </w:pPr>
            <w:r>
              <w:rPr/>
              <w:t> </w:t>
            </w:r>
          </w:p>
        </w:tc>
        <w:tc>
          <w:tcPr>
            <w:tcW w:w="89" w:type="dxa"/>
            <w:tcBorders/>
            <w:shd w:fill="FFFFFF" w:val="clear"/>
          </w:tcPr>
          <w:p>
            <w:pPr>
              <w:pStyle w:val="TableContents"/>
              <w:spacing w:before="0" w:after="283"/>
              <w:rPr/>
            </w:pPr>
            <w:r>
              <w:rPr/>
              <w:t> </w:t>
            </w:r>
          </w:p>
        </w:tc>
        <w:tc>
          <w:tcPr>
            <w:tcW w:w="500" w:type="dxa"/>
            <w:tcBorders/>
            <w:shd w:fill="FFFFFF" w:val="clear"/>
          </w:tcPr>
          <w:p>
            <w:pPr>
              <w:pStyle w:val="TableContents"/>
              <w:spacing w:before="0" w:after="283"/>
              <w:jc w:val="right"/>
              <w:rPr>
                <w:rFonts w:ascii="times" w:hAnsi="times"/>
                <w:sz w:val="20"/>
              </w:rPr>
            </w:pPr>
            <w:r>
              <w:rPr>
                <w:rFonts w:ascii="times" w:hAnsi="times"/>
                <w:sz w:val="20"/>
              </w:rPr>
              <w:t>(9.8</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37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33"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8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Although PADD III has the largest absolute volume supply shortfall, we believe PADD II is the most critical region with respect to supply and transportation logistics because it is the largest, most highly populated area of the U.S. that does not have direct access to oceanborne cargoes. </w:t>
      </w:r>
    </w:p>
    <w:p>
      <w:pPr>
        <w:pStyle w:val="TextBody"/>
        <w:rPr/>
      </w:pPr>
      <w:r>
        <w:rPr/>
        <w:t>        </w:t>
      </w:r>
      <w:r>
        <w:rPr>
          <w:rFonts w:ascii="times" w:hAnsi="times"/>
          <w:sz w:val="20"/>
        </w:rPr>
        <w:t xml:space="preserve">Over the last 23 years, crude oil production in PADD II has declined from approximately 1.0 million barrels per day to approximately 515,000 barrels per day. Over this same time period, refinery demand has increased from approximately 2.7 million barrels per day in 1985 to 3.2 million barrels per day for the twelve months ended October 2008. As a result, the volume of crude oil transported into PADD II has increased approximately 59% in absolute terms or 2.0% annually from 1.7 million barrels per day to 2.7 million barrels per day. This aggregate shortfall is principally supplied by direct imports from Canada to the north and from the Gulf Coast area and the Cushing Interchange to the south. </w:t>
      </w:r>
    </w:p>
    <w:p>
      <w:pPr>
        <w:pStyle w:val="TextBody"/>
        <w:rPr/>
      </w:pPr>
      <w:r>
        <w:rPr/>
        <w:t>        </w:t>
      </w:r>
      <w:r>
        <w:rPr>
          <w:rFonts w:ascii="times" w:hAnsi="times"/>
          <w:sz w:val="20"/>
        </w:rPr>
        <w:t xml:space="preserve">Volatility in the crude oil market has increased and we expect it to persist. Some factors that we believe are causing and will continue to cause volatility in the market include: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multi-year trend narrowing the gap between supply and demand;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Temporal increases in the gap related to supply response following price spikes and declines in the rate of demand growth due to worldwide economic slowdown;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reduction in available tankage and U.S. inventory capacity caused by U.S. Department of Transportation ("DOT") regulations requiring regularly scheduled inspection and repair of tanks remaining in service;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Regional supply and demand imbalances;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Political instability in critical producing nations;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Significant fluctuations in absolute price as well as grade and location differentials. </w:t>
      </w:r>
    </w:p>
    <w:p>
      <w:pPr>
        <w:pStyle w:val="TextBody"/>
        <w:rPr/>
      </w:pPr>
      <w:r>
        <w:rPr/>
        <w:t>        </w:t>
      </w:r>
      <w:r>
        <w:rPr>
          <w:rFonts w:ascii="times" w:hAnsi="times"/>
          <w:sz w:val="20"/>
        </w:rPr>
        <w:t xml:space="preserve">The complexity and volatility of the crude oil market creates opportunities to solve the logistical inefficiencies inherent in the business. We believe we are well positioned to capture such opportunities through our: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strategically located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specialized crude oil market knowledge;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extensive relationships with producers and refiners;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strong capital structure and liquidity position;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proven skill sets to acquire and integrate businesses and achieve synergies.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12101a_main_toc">
        <w:bookmarkStart w:id="27" w:name="page_di12101_1_15"/>
        <w:bookmarkEnd w:id="27"/>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Refined Products Market Overview </w:t>
      </w:r>
    </w:p>
    <w:p>
      <w:pPr>
        <w:pStyle w:val="TextBody"/>
        <w:rPr/>
      </w:pPr>
      <w:r>
        <w:rPr/>
        <w:t>        </w:t>
      </w:r>
      <w:r>
        <w:rPr>
          <w:rFonts w:ascii="times" w:hAnsi="times"/>
          <w:sz w:val="20"/>
        </w:rPr>
        <w:t xml:space="preserve">Once crude oil is transported to a refinery, it is processed into different petroleum products. These "refined products" fall into three major categories: fuels such as motor gasoline and distillate fuel oil (diesel fuel and jet fuel); finished non-fuel products such as solvents, lubricating oils and asphalt; and feedstocks for the petrochemical industry such as naphtha and various refinery gases. Demand is greatest for products in the fuels category, particularly motor gasoline. </w:t>
      </w:r>
    </w:p>
    <w:p>
      <w:pPr>
        <w:pStyle w:val="TextBody"/>
        <w:rPr/>
      </w:pPr>
      <w:r>
        <w:rPr/>
        <w:t>        </w:t>
      </w:r>
      <w:r>
        <w:rPr>
          <w:rFonts w:ascii="times" w:hAnsi="times"/>
          <w:sz w:val="20"/>
        </w:rPr>
        <w:t xml:space="preserve">The characteristics of the gasoline produced depend upon the setup of the refinery at which it is produced and the type of crude oil that is used. Gasoline characteristics are also impacted by other ingredients that may be blended into it, such as ethanol and octane enhancers. The performance of the gasoline must meet strictly defined industry standards and environmental regulations that vary based on season and location. </w:t>
      </w:r>
    </w:p>
    <w:p>
      <w:pPr>
        <w:pStyle w:val="TextBody"/>
        <w:rPr/>
      </w:pPr>
      <w:r>
        <w:rPr/>
        <w:t>        </w:t>
      </w:r>
      <w:r>
        <w:rPr>
          <w:rFonts w:ascii="times" w:hAnsi="times"/>
          <w:sz w:val="20"/>
        </w:rPr>
        <w:t xml:space="preserve">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 </w:t>
      </w:r>
    </w:p>
    <w:p>
      <w:pPr>
        <w:pStyle w:val="TextBody"/>
        <w:rPr/>
      </w:pPr>
      <w:r>
        <w:rPr/>
        <w:t>        </w:t>
      </w:r>
      <w:r>
        <w:rPr>
          <w:rFonts w:ascii="times" w:hAnsi="times"/>
          <w:sz w:val="20"/>
        </w:rPr>
        <w:t xml:space="preserve">Demand for refined products has generally been affected by price levels, economic growth trends and, to a lesser extent, weather conditions. According to the EIA, consumption of refined products in the United States has risen from approximately 15.7 million barrels per day in 1985 to approximately 19.7 million barrels per day for the twelve months ended October 2008, an annual average increase of approximately 1.0%. Due to current challenging economic conditions, the EIA estimates that U.S. consumption of refined products will decline in 2009 before increasing again. We believe that the additional demand in the intermediate and long-term will be met by growth in the capacity of existing refineries through large expansion projects and "capacity creep" as well as increased imports of refined products, both of which we believe will generate incremental demand for midstream infrastructure, such as pipelines and terminals. </w:t>
      </w:r>
    </w:p>
    <w:p>
      <w:pPr>
        <w:pStyle w:val="TextBody"/>
        <w:rPr/>
      </w:pPr>
      <w:r>
        <w:rPr/>
        <w:t>        </w:t>
      </w:r>
      <w:r>
        <w:rPr>
          <w:rFonts w:ascii="times" w:hAnsi="times"/>
          <w:sz w:val="20"/>
        </w:rPr>
        <w:t xml:space="preserve">We believe that demand for refined products pipeline and terminalling infrastructure will also increase as a result 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multiple specifications of existing products (also referred to as boutique gasoline blends);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specification changes to existing products, such as ultra low sulfur diesel;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new products, such as bio-fuels;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aging of existing infrastructure;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potential reduction in storage capacity due to regulations governing the inspection, repair, alteration and construction of storage tanks. </w:t>
      </w:r>
    </w:p>
    <w:p>
      <w:pPr>
        <w:pStyle w:val="TextBody"/>
        <w:rPr/>
      </w:pPr>
      <w:r>
        <w:rPr/>
        <w:t>        </w:t>
      </w:r>
      <w:r>
        <w:rPr>
          <w:rFonts w:ascii="times" w:hAnsi="times"/>
          <w:sz w:val="20"/>
        </w:rPr>
        <w:t xml:space="preserve">The complexity and volatility of the refined products market creates opportunities to solve the logistical inefficiencies inherent in the business. We are well positioned in certain areas to capture such opportunities through our: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strategically located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specialized refined products knowledge;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extensive relationships with refiners, other suppliers, distributors and end-users;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strong capital structure and liquidity position;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proven skill sets to evaluate, acquire and integrate businesses and achieve synergies.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12101a_main_toc">
        <w:bookmarkStart w:id="28" w:name="page_di12101_1_16"/>
        <w:bookmarkEnd w:id="28"/>
        <w:r>
          <w:rPr>
            <w:rStyle w:val="InternetLink"/>
            <w:rFonts w:ascii="times" w:hAnsi="times"/>
            <w:sz w:val="20"/>
          </w:rPr>
          <w:t>Table of Contents</w:t>
        </w:r>
      </w:hyperlink>
    </w:p>
    <w:p>
      <w:pPr>
        <w:pStyle w:val="TextBody"/>
        <w:rPr/>
      </w:pPr>
      <w:r>
        <w:rPr/>
        <w:t>        </w:t>
      </w:r>
      <w:r>
        <w:rPr>
          <w:rFonts w:ascii="times" w:hAnsi="times"/>
          <w:sz w:val="20"/>
        </w:rPr>
        <w:t xml:space="preserve">We intend to grow our asset base in the refined products business through expansion projects and future acquisitions. Consistent with our plan to apply our proven business model to these assets, we also intend to optimize the value of our refined products assets and better serve the needs of our customers by continuing to build a complementary refined products supply and marketing business. </w:t>
      </w:r>
    </w:p>
    <w:p>
      <w:pPr>
        <w:pStyle w:val="TextBody"/>
        <w:rPr>
          <w:rFonts w:ascii="times" w:hAnsi="times"/>
          <w:b/>
          <w:i/>
          <w:sz w:val="20"/>
        </w:rPr>
      </w:pPr>
      <w:r>
        <w:rPr>
          <w:rFonts w:ascii="times" w:hAnsi="times"/>
          <w:b/>
          <w:i/>
          <w:sz w:val="20"/>
        </w:rPr>
        <w:t xml:space="preserve">LPG Products Market Overview </w:t>
      </w:r>
    </w:p>
    <w:p>
      <w:pPr>
        <w:pStyle w:val="TextBody"/>
        <w:rPr/>
      </w:pPr>
      <w:r>
        <w:rPr/>
        <w:t>        </w:t>
      </w:r>
      <w:r>
        <w:rPr>
          <w:rFonts w:ascii="times" w:hAnsi="times"/>
          <w:sz w:val="20"/>
        </w:rPr>
        <w:t xml:space="preserve">LPGs are a group of hydrogen-based gases that are derived from crude oil refining and natural gas processing. They include propane, butane, isobutane and other related products. These gases liquefy at moderate pressures thus allowing transportation and storage opportunities. LPG is produced domestically or imported into the U.S. from Canada and other parts of the world. Individual LPG products have specific uses. For example, propane can be used in domestic applications (home heating and cooking), industrial applications, agricultural applications (crop drying) and as an automotive fuel. Normal butane is used as a petrochemical feedstock, as a blendstock for motor gasoline, and to derive isobutane through isomerization. Isobutane is principally used in refinery alkylation to enhance the octane content of motor gasoline or in the production of isooctane or other octane additives. Certain LPGs are also used as diluent in the transportation of heavy oil, particularly in Canada. </w:t>
      </w:r>
    </w:p>
    <w:p>
      <w:pPr>
        <w:pStyle w:val="TextBody"/>
        <w:rPr/>
      </w:pPr>
      <w:r>
        <w:rPr/>
        <w:t>        </w:t>
      </w:r>
      <w:r>
        <w:rPr>
          <w:rFonts w:ascii="times" w:hAnsi="times"/>
          <w:sz w:val="20"/>
        </w:rPr>
        <w:t xml:space="preserve">The LPG market is driven by: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seasonal shifts in weather;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seasonal changes in gasoline specifications affecting demand for butane;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alternating needs of refineries to store and blend LPG;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complex transportation logistics;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of diluent for Canadian heavy oil;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inefficiencies caused by regional supply and demand imbalances. </w:t>
      </w:r>
    </w:p>
    <w:p>
      <w:pPr>
        <w:pStyle w:val="TextBody"/>
        <w:rPr/>
      </w:pPr>
      <w:r>
        <w:rPr/>
        <w:t>        </w:t>
      </w:r>
      <w:r>
        <w:rPr>
          <w:rFonts w:ascii="times" w:hAnsi="times"/>
          <w:sz w:val="20"/>
        </w:rPr>
        <w:t xml:space="preserve">The complexity and volatility of the LPG market creates opportunities to solve the logistical inefficiencies inherent in the business. We are well positioned in certain areas to capture such opportunities. We intend to grow our asset base in the LPG business through expansion projects and future acquisitions. We believe that our asset base provides flexibility in meeting the needs of our customers and opportunities to capitalize on regional supply and demand imbalances in LPG markets. </w:t>
      </w:r>
    </w:p>
    <w:p>
      <w:pPr>
        <w:pStyle w:val="TextBody"/>
        <w:rPr>
          <w:rFonts w:ascii="times" w:hAnsi="times"/>
          <w:b/>
          <w:i/>
          <w:sz w:val="20"/>
        </w:rPr>
      </w:pPr>
      <w:r>
        <w:rPr>
          <w:rFonts w:ascii="times" w:hAnsi="times"/>
          <w:b/>
          <w:i/>
          <w:sz w:val="20"/>
        </w:rPr>
        <w:t xml:space="preserve">Natural Gas Storage Market Overview </w:t>
      </w:r>
    </w:p>
    <w:p>
      <w:pPr>
        <w:pStyle w:val="TextBody"/>
        <w:rPr/>
      </w:pPr>
      <w:r>
        <w:rPr/>
        <w:t>        </w:t>
      </w:r>
      <w:r>
        <w:rPr>
          <w:rFonts w:ascii="times" w:hAnsi="times"/>
          <w:sz w:val="20"/>
        </w:rPr>
        <w:t xml:space="preserve">After treatment for impurities such as carbon dioxide and hydrogen sulfide and processing to separate heavier hydrocarbons from the gas stream, natural gas from one source generally is fungible with natural gas from any other source. Because of its fungibility and physical volatility and the fact that it is transported in a gaseous state, natural gas presents different logistical transportation challenges than crude oil and refined products. From 1990 to 2007, domestic natural gas production grew approximately 0.4% annually while domestic natural gas consumption rose approximately 1.0% annually, resulting in an approximate 3.1% annual increase in the domestic supply shortfall over that time period. In addition, significant excess domestic production capacity contractually withheld from the market by take-or-pay contracts between natural gas producers and purchasers in the late 1980s and early 1990s has since been eliminated. However, this trend of an increasing domestic supply shortfall is not expected to continue. During 2008, domestic production increased approximately 6% over production levels in 2007, with the majority of the increases being associated with onshore development of various resource plays, including shale gas. Through 2008, consumption of natural gas was approximately the same as consumption in 2007 on an average daily basis.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12101a_main_toc">
        <w:bookmarkStart w:id="29" w:name="page_di12101_1_17"/>
        <w:bookmarkEnd w:id="29"/>
        <w:r>
          <w:rPr>
            <w:rStyle w:val="InternetLink"/>
            <w:rFonts w:ascii="times" w:hAnsi="times"/>
            <w:sz w:val="20"/>
          </w:rPr>
          <w:t>Table of Contents</w:t>
        </w:r>
      </w:hyperlink>
    </w:p>
    <w:p>
      <w:pPr>
        <w:pStyle w:val="TextBody"/>
        <w:rPr/>
      </w:pPr>
      <w:r>
        <w:rPr/>
        <w:t>        </w:t>
      </w:r>
      <w:r>
        <w:rPr>
          <w:rFonts w:ascii="times" w:hAnsi="times"/>
          <w:sz w:val="20"/>
        </w:rPr>
        <w:t xml:space="preserve">The downturn in the economy clearly has had a negative impact on industrial demand. A portion of this demand destruction has been offset by a significant decrease in commodity price coupled with continued growth for natural-gas fired electric generation. An unprecedented amount of new infrastructure in the form of large diameter pipelines bringing unconventional supply (shale gas) to markets to meet this forecasted demand will have a significant impact on changing traditional physical flows of natural gas particularly in the Gulf Coast area. Even with the growth of unconventional shale plays, North American LNG imports are forecasted to play a potentially significant role. LNG imports totaled approximately 2.1 Bcf per day in 2007 and 1.0 Bcf per day in 2008, but are projected to increase to 4.2 Bcf per day in 2014 with the majority of this supply expected to be delivered to the U.S. markets in the spring and summer. </w:t>
      </w:r>
    </w:p>
    <w:p>
      <w:pPr>
        <w:pStyle w:val="TextBody"/>
        <w:rPr/>
      </w:pPr>
      <w:r>
        <w:rPr/>
        <w:t>        </w:t>
      </w:r>
      <w:r>
        <w:rPr>
          <w:rFonts w:ascii="times" w:hAnsi="times"/>
          <w:sz w:val="20"/>
        </w:rPr>
        <w:t xml:space="preserve">We believe new pipeline infrastructure, increased domestic supply and increased seasonal deliveries of LNG combined with fluctuations in domestic consumption related to seasonal and economic factors will continue to drive demand for strategically located natural gas storage facilities with multi-cycle injection and withdrawal capabilities. We believe our natural gas storage locations, which have access to critical transportation infrastructure, will continue to play an increasingly important role in balancing the markets and ensuring reliable delivery of natural gas to the customer during peak demand periods. We believe that our expertise in hydrocarbon storage, strategically located assets, financial strength and commercial experience will enable us to play a meaningful role in meeting the challenges and capitalizing on the opportunities associated with the evolution of the U.S. natural gas storage markets. </w:t>
      </w:r>
    </w:p>
    <w:p>
      <w:pPr>
        <w:pStyle w:val="TextBody"/>
        <w:rPr>
          <w:rFonts w:ascii="times" w:hAnsi="times"/>
          <w:b/>
          <w:sz w:val="20"/>
        </w:rPr>
      </w:pPr>
      <w:r>
        <w:rPr>
          <w:rFonts w:ascii="times" w:hAnsi="times"/>
          <w:b/>
          <w:sz w:val="20"/>
        </w:rPr>
        <w:t xml:space="preserve">Description of Segments and Associated Assets </w:t>
      </w:r>
    </w:p>
    <w:p>
      <w:pPr>
        <w:pStyle w:val="TextBody"/>
        <w:rPr/>
      </w:pPr>
      <w:r>
        <w:rPr/>
        <w:t>        </w:t>
      </w:r>
      <w:r>
        <w:rPr>
          <w:rFonts w:ascii="times" w:hAnsi="times"/>
          <w:sz w:val="20"/>
        </w:rPr>
        <w:t xml:space="preserve">Our business activities are conducted through three segmentsTransportation, Facilities and Marketing. We have an extensive network of transportation, terminalling and storage facilities at major market hubs and in key oil producing basins and crude oil, refined product and LPG transportation corridors in the United States and Canada. </w:t>
      </w:r>
    </w:p>
    <w:p>
      <w:pPr>
        <w:pStyle w:val="TextBody"/>
        <w:rPr/>
      </w:pPr>
      <w:r>
        <w:rPr/>
        <w:t>        </w:t>
      </w:r>
      <w:r>
        <w:rPr>
          <w:rFonts w:ascii="times" w:hAnsi="times"/>
          <w:sz w:val="20"/>
        </w:rPr>
        <w:t xml:space="preserve">Following is a description of the activities and assets for each of our business segments. </w:t>
      </w:r>
    </w:p>
    <w:p>
      <w:pPr>
        <w:pStyle w:val="TextBody"/>
        <w:rPr>
          <w:rFonts w:ascii="times" w:hAnsi="times"/>
          <w:b/>
          <w:i/>
          <w:sz w:val="20"/>
        </w:rPr>
      </w:pPr>
      <w:r>
        <w:rPr>
          <w:rFonts w:ascii="times" w:hAnsi="times"/>
          <w:b/>
          <w:i/>
          <w:sz w:val="20"/>
        </w:rPr>
        <w:t xml:space="preserve">Transportation Segment </w:t>
      </w:r>
    </w:p>
    <w:p>
      <w:pPr>
        <w:pStyle w:val="TextBody"/>
        <w:rPr/>
      </w:pPr>
      <w:r>
        <w:rPr/>
        <w:t>        </w:t>
      </w:r>
      <w:r>
        <w:rPr>
          <w:rFonts w:ascii="times" w:hAnsi="times"/>
          <w:sz w:val="20"/>
        </w:rPr>
        <w:t xml:space="preserve">Our transportation segment operations generally consist of fee-based activities associated with transporting crude oil and refined products on pipelines, gathering systems, trucks and barges. We generate revenue through a combination of tariffs, third party leases of pipeline capacity and transportation fees. Our transportation segment also includes our equity earnings from our investments in Butte, Frontier and Settoon Towing, in which we own non-controlling interests. </w:t>
      </w:r>
    </w:p>
    <w:p>
      <w:pPr>
        <w:pStyle w:val="TextBody"/>
        <w:rPr/>
      </w:pPr>
      <w:r>
        <w:rPr/>
        <w:t>        </w:t>
      </w:r>
      <w:r>
        <w:rPr>
          <w:rFonts w:ascii="times" w:hAnsi="times"/>
          <w:sz w:val="20"/>
        </w:rPr>
        <w:t xml:space="preserve">As of December 31, 2008, we employed a variety of owned or leased long-term physical assets throughout the United States and Canada in this segment, including approximately: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17,000 miles of active crude oil and refined products pipelines and gathering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24 million barrels of active, above-ground tank capacity used primarily to facilitate pipeline throughput;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 million barrels of crude oil linefill in pipelines owned by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86 trucks and 341 trailers;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65 transport and storage barges and 36 transport tugs through our interest in Settoon Towing.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12101a_main_toc">
        <w:bookmarkStart w:id="30" w:name="page_dk12101_1_18"/>
        <w:bookmarkEnd w:id="30"/>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Following is a tabular presentation of our active pipeline assets in the United States and Canada as of December 31, 2008, grouped by geographic location: </w:t>
      </w:r>
    </w:p>
    <w:tbl>
      <w:tblPr>
        <w:tblW w:w="6008" w:type="dxa"/>
        <w:jc w:val="center"/>
        <w:tblInd w:w="0" w:type="dxa"/>
        <w:tblCellMar>
          <w:top w:w="0" w:type="dxa"/>
          <w:left w:w="0" w:type="dxa"/>
          <w:bottom w:w="0" w:type="dxa"/>
          <w:right w:w="0" w:type="dxa"/>
        </w:tblCellMar>
      </w:tblPr>
      <w:tblGrid>
        <w:gridCol w:w="150"/>
        <w:gridCol w:w="150"/>
        <w:gridCol w:w="3420"/>
        <w:gridCol w:w="180"/>
        <w:gridCol w:w="86"/>
        <w:gridCol w:w="743"/>
        <w:gridCol w:w="225"/>
        <w:gridCol w:w="82"/>
        <w:gridCol w:w="912"/>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4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Region / Pipeline and Gathering Systems</w:t>
            </w:r>
            <w:r>
              <w:rPr>
                <w:rFonts w:ascii="times" w:hAnsi="times"/>
                <w:b/>
                <w:position w:val="5"/>
                <w:sz w:val="11"/>
                <w:sz w:val="14"/>
                <w:bdr w:val="single" w:sz="8" w:space="1" w:color="000000"/>
              </w:rPr>
              <w:t>(1)</w:t>
            </w:r>
            <w:r>
              <w:rPr>
                <w:rFonts w:ascii="times" w:hAnsi="times"/>
                <w:b/>
                <w:sz w:val="14"/>
                <w:bdr w:val="single" w:sz="8" w:space="1" w:color="000000"/>
              </w:rPr>
              <w:t xml:space="preserve"> </w:t>
            </w:r>
          </w:p>
        </w:tc>
        <w:tc>
          <w:tcPr>
            <w:tcW w:w="180"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System Miles </w:t>
            </w:r>
          </w:p>
        </w:tc>
        <w:tc>
          <w:tcPr>
            <w:tcW w:w="225" w:type="dxa"/>
            <w:tcBorders/>
            <w:shd w:fill="auto" w:val="clear"/>
            <w:vAlign w:val="bottom"/>
          </w:tcPr>
          <w:p>
            <w:pPr>
              <w:pStyle w:val="TableHeading"/>
              <w:suppressLineNumbers/>
              <w:spacing w:before="0" w:after="283"/>
              <w:jc w:val="center"/>
              <w:rPr/>
            </w:pPr>
            <w:r>
              <w:rPr/>
              <w:t> </w:t>
            </w:r>
          </w:p>
        </w:tc>
        <w:tc>
          <w:tcPr>
            <w:tcW w:w="9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2008 Average</w:t>
              <w:br/>
              <w:t>Net Barrels</w:t>
              <w:br/>
              <w:t xml:space="preserve">per Day </w:t>
            </w:r>
          </w:p>
        </w:tc>
        <w:tc>
          <w:tcPr>
            <w:tcW w:w="60" w:type="dxa"/>
            <w:tcBorders/>
            <w:shd w:fill="auto" w:val="clear"/>
            <w:vAlign w:val="bottom"/>
          </w:tcPr>
          <w:p>
            <w:pPr>
              <w:pStyle w:val="TableHeading"/>
              <w:suppressLineNumbers/>
              <w:spacing w:before="0" w:after="283"/>
              <w:jc w:val="center"/>
              <w:rPr/>
            </w:pPr>
            <w:r>
              <w:rPr/>
              <w:t> </w:t>
            </w:r>
          </w:p>
        </w:tc>
      </w:tr>
      <w:tr>
        <w:trPr/>
        <w:tc>
          <w:tcPr>
            <w:tcW w:w="3720"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829"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994"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(in thousands)</w:t>
            </w:r>
            <w:r>
              <w:rPr>
                <w:rFonts w:ascii="times" w:hAnsi="times"/>
                <w:b/>
                <w:position w:val="5"/>
                <w:sz w:val="11"/>
                <w:sz w:val="14"/>
              </w:rPr>
              <w:t>(2)</w:t>
            </w:r>
          </w:p>
        </w:tc>
        <w:tc>
          <w:tcPr>
            <w:tcW w:w="60" w:type="dxa"/>
            <w:tcBorders/>
            <w:shd w:fill="auto" w:val="clear"/>
            <w:vAlign w:val="bottom"/>
          </w:tcPr>
          <w:p>
            <w:pPr>
              <w:pStyle w:val="TableHeading"/>
              <w:suppressLineNumbers/>
              <w:spacing w:before="0" w:after="283"/>
              <w:jc w:val="center"/>
              <w:rPr/>
            </w:pPr>
            <w:r>
              <w:rPr/>
              <w:t> </w:t>
            </w:r>
          </w:p>
        </w:tc>
      </w:tr>
      <w:tr>
        <w:trPr/>
        <w:tc>
          <w:tcPr>
            <w:tcW w:w="3720" w:type="dxa"/>
            <w:gridSpan w:val="3"/>
            <w:tcBorders/>
            <w:shd w:fill="CCEEFF" w:val="clear"/>
          </w:tcPr>
          <w:p>
            <w:pPr>
              <w:pStyle w:val="TableContents"/>
              <w:spacing w:before="0" w:after="283"/>
              <w:ind w:left="200" w:right="0" w:hanging="200"/>
              <w:rPr>
                <w:rFonts w:ascii="times" w:hAnsi="times"/>
                <w:b/>
                <w:sz w:val="20"/>
                <w:u w:val="single"/>
              </w:rPr>
            </w:pPr>
            <w:r>
              <w:rPr>
                <w:rFonts w:ascii="times" w:hAnsi="times"/>
                <w:b/>
                <w:sz w:val="20"/>
                <w:u w:val="single"/>
              </w:rPr>
              <w:t>Southwest US</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57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Basin</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sz w:val="20"/>
              </w:rPr>
            </w:pPr>
            <w:r>
              <w:rPr>
                <w:rFonts w:ascii="times" w:hAnsi="times"/>
                <w:sz w:val="20"/>
              </w:rPr>
              <w:t>521</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sz w:val="20"/>
              </w:rPr>
            </w:pPr>
            <w:r>
              <w:rPr>
                <w:rFonts w:ascii="times" w:hAnsi="times"/>
                <w:sz w:val="20"/>
              </w:rPr>
              <w:t>377</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57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sz w:val="20"/>
              </w:rPr>
            </w:pPr>
            <w:r>
              <w:rPr>
                <w:rFonts w:ascii="times" w:hAnsi="times"/>
                <w:sz w:val="20"/>
              </w:rPr>
              <w:t>4,135</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sz w:val="20"/>
              </w:rPr>
            </w:pPr>
            <w:r>
              <w:rPr>
                <w:rFonts w:ascii="times" w:hAnsi="times"/>
                <w:sz w:val="20"/>
              </w:rPr>
              <w:t>467</w:t>
            </w:r>
          </w:p>
        </w:tc>
        <w:tc>
          <w:tcPr>
            <w:tcW w:w="60" w:type="dxa"/>
            <w:tcBorders/>
            <w:shd w:fill="CCEE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150" w:type="dxa"/>
            <w:tcBorders/>
            <w:shd w:fill="FFFFFF" w:val="clear"/>
          </w:tcPr>
          <w:p>
            <w:pPr>
              <w:pStyle w:val="TableContents"/>
              <w:spacing w:before="0" w:after="283"/>
              <w:rPr/>
            </w:pPr>
            <w:r>
              <w:rPr/>
              <w:t> </w:t>
            </w:r>
          </w:p>
        </w:tc>
        <w:tc>
          <w:tcPr>
            <w:tcW w:w="3420" w:type="dxa"/>
            <w:tcBorders/>
            <w:shd w:fill="FFFFFF" w:val="clear"/>
          </w:tcPr>
          <w:p>
            <w:pPr>
              <w:pStyle w:val="TableContents"/>
              <w:spacing w:before="0" w:after="283"/>
              <w:ind w:left="200" w:right="0" w:hanging="200"/>
              <w:rPr>
                <w:rFonts w:ascii="times" w:hAnsi="times"/>
                <w:b/>
                <w:sz w:val="20"/>
              </w:rPr>
            </w:pPr>
            <w:r>
              <w:rPr>
                <w:rFonts w:ascii="times" w:hAnsi="times"/>
                <w:b/>
                <w:sz w:val="20"/>
              </w:rPr>
              <w:t>Southwest US Subtotal</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b/>
                <w:sz w:val="20"/>
              </w:rPr>
            </w:pPr>
            <w:r>
              <w:rPr>
                <w:rFonts w:ascii="times" w:hAnsi="times"/>
                <w:b/>
                <w:sz w:val="20"/>
              </w:rPr>
              <w:t>4,656</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b/>
                <w:sz w:val="20"/>
              </w:rPr>
            </w:pPr>
            <w:r>
              <w:rPr>
                <w:rFonts w:ascii="times" w:hAnsi="times"/>
                <w:b/>
                <w:sz w:val="20"/>
              </w:rPr>
              <w:t>844</w:t>
            </w:r>
          </w:p>
        </w:tc>
        <w:tc>
          <w:tcPr>
            <w:tcW w:w="60" w:type="dxa"/>
            <w:tcBorders/>
            <w:shd w:fill="FFFFFF" w:val="clear"/>
          </w:tcPr>
          <w:p>
            <w:pPr>
              <w:pStyle w:val="TableContents"/>
              <w:spacing w:before="0" w:after="283"/>
              <w:rPr/>
            </w:pPr>
            <w:r>
              <w:rPr/>
              <w:t> </w:t>
            </w:r>
          </w:p>
        </w:tc>
      </w:tr>
      <w:tr>
        <w:trPr/>
        <w:tc>
          <w:tcPr>
            <w:tcW w:w="3720" w:type="dxa"/>
            <w:gridSpan w:val="3"/>
            <w:tcBorders/>
            <w:shd w:fill="CCEEFF" w:val="clear"/>
          </w:tcPr>
          <w:p>
            <w:pPr>
              <w:pStyle w:val="TableContents"/>
              <w:spacing w:before="240" w:after="283"/>
              <w:ind w:left="200" w:right="0" w:hanging="200"/>
              <w:rPr>
                <w:rFonts w:ascii="times" w:hAnsi="times"/>
                <w:b/>
                <w:sz w:val="20"/>
                <w:u w:val="single"/>
              </w:rPr>
            </w:pPr>
            <w:r>
              <w:rPr>
                <w:rFonts w:ascii="times" w:hAnsi="times"/>
                <w:b/>
                <w:sz w:val="20"/>
                <w:u w:val="single"/>
              </w:rPr>
              <w:t>Western US</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57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All American</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sz w:val="20"/>
              </w:rPr>
            </w:pPr>
            <w:r>
              <w:rPr>
                <w:rFonts w:ascii="times" w:hAnsi="times"/>
                <w:sz w:val="20"/>
              </w:rPr>
              <w:t>138</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sz w:val="20"/>
              </w:rPr>
            </w:pPr>
            <w:r>
              <w:rPr>
                <w:rFonts w:ascii="times" w:hAnsi="times"/>
                <w:sz w:val="20"/>
              </w:rPr>
              <w:t>45</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57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Line 63/Line 2000</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sz w:val="20"/>
              </w:rPr>
            </w:pPr>
            <w:r>
              <w:rPr>
                <w:rFonts w:ascii="times" w:hAnsi="times"/>
                <w:sz w:val="20"/>
              </w:rPr>
              <w:t>459</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sz w:val="20"/>
              </w:rPr>
            </w:pPr>
            <w:r>
              <w:rPr>
                <w:rFonts w:ascii="times" w:hAnsi="times"/>
                <w:sz w:val="20"/>
              </w:rPr>
              <w:t>147</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57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sz w:val="20"/>
              </w:rPr>
            </w:pPr>
            <w:r>
              <w:rPr>
                <w:rFonts w:ascii="times" w:hAnsi="times"/>
                <w:sz w:val="20"/>
              </w:rPr>
              <w:t>155</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sz w:val="20"/>
              </w:rPr>
            </w:pPr>
            <w:r>
              <w:rPr>
                <w:rFonts w:ascii="times" w:hAnsi="times"/>
                <w:sz w:val="20"/>
              </w:rPr>
              <w:t>103</w:t>
            </w:r>
          </w:p>
        </w:tc>
        <w:tc>
          <w:tcPr>
            <w:tcW w:w="60" w:type="dxa"/>
            <w:tcBorders/>
            <w:shd w:fill="FFFF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3420" w:type="dxa"/>
            <w:tcBorders/>
            <w:shd w:fill="CCEEFF" w:val="clear"/>
          </w:tcPr>
          <w:p>
            <w:pPr>
              <w:pStyle w:val="TableContents"/>
              <w:spacing w:before="0" w:after="283"/>
              <w:ind w:left="200" w:right="0" w:hanging="200"/>
              <w:rPr>
                <w:rFonts w:ascii="times" w:hAnsi="times"/>
                <w:b/>
                <w:sz w:val="20"/>
              </w:rPr>
            </w:pPr>
            <w:r>
              <w:rPr>
                <w:rFonts w:ascii="times" w:hAnsi="times"/>
                <w:b/>
                <w:sz w:val="20"/>
              </w:rPr>
              <w:t>Western US Subtotal</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b/>
                <w:sz w:val="20"/>
              </w:rPr>
            </w:pPr>
            <w:r>
              <w:rPr>
                <w:rFonts w:ascii="times" w:hAnsi="times"/>
                <w:b/>
                <w:sz w:val="20"/>
              </w:rPr>
              <w:t>752</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b/>
                <w:sz w:val="20"/>
              </w:rPr>
            </w:pPr>
            <w:r>
              <w:rPr>
                <w:rFonts w:ascii="times" w:hAnsi="times"/>
                <w:b/>
                <w:sz w:val="20"/>
              </w:rPr>
              <w:t>295</w:t>
            </w:r>
          </w:p>
        </w:tc>
        <w:tc>
          <w:tcPr>
            <w:tcW w:w="60" w:type="dxa"/>
            <w:tcBorders/>
            <w:shd w:fill="CCEEFF" w:val="clear"/>
          </w:tcPr>
          <w:p>
            <w:pPr>
              <w:pStyle w:val="TableContents"/>
              <w:spacing w:before="0" w:after="283"/>
              <w:rPr/>
            </w:pPr>
            <w:r>
              <w:rPr/>
              <w:t> </w:t>
            </w:r>
          </w:p>
        </w:tc>
      </w:tr>
      <w:tr>
        <w:trPr/>
        <w:tc>
          <w:tcPr>
            <w:tcW w:w="3720" w:type="dxa"/>
            <w:gridSpan w:val="3"/>
            <w:tcBorders/>
            <w:shd w:fill="FFFFFF" w:val="clear"/>
          </w:tcPr>
          <w:p>
            <w:pPr>
              <w:pStyle w:val="TableContents"/>
              <w:spacing w:before="240" w:after="283"/>
              <w:ind w:left="200" w:right="0" w:hanging="200"/>
              <w:rPr>
                <w:rFonts w:ascii="times" w:hAnsi="times"/>
                <w:b/>
                <w:sz w:val="20"/>
                <w:u w:val="single"/>
              </w:rPr>
            </w:pPr>
            <w:r>
              <w:rPr>
                <w:rFonts w:ascii="times" w:hAnsi="times"/>
                <w:b/>
                <w:sz w:val="20"/>
                <w:u w:val="single"/>
              </w:rPr>
              <w:t>US Rocky Mountain</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57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Salt Lake City Area Systems</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sz w:val="20"/>
              </w:rPr>
            </w:pPr>
            <w:r>
              <w:rPr>
                <w:rFonts w:ascii="times" w:hAnsi="times"/>
                <w:sz w:val="20"/>
              </w:rPr>
              <w:t>1,011</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sz w:val="20"/>
              </w:rPr>
            </w:pPr>
            <w:r>
              <w:rPr>
                <w:rFonts w:ascii="times" w:hAnsi="times"/>
                <w:sz w:val="20"/>
              </w:rPr>
              <w:t>93</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57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sz w:val="20"/>
              </w:rPr>
            </w:pPr>
            <w:r>
              <w:rPr>
                <w:rFonts w:ascii="times" w:hAnsi="times"/>
                <w:sz w:val="20"/>
              </w:rPr>
              <w:t>3,289</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sz w:val="20"/>
              </w:rPr>
            </w:pPr>
            <w:r>
              <w:rPr>
                <w:rFonts w:ascii="times" w:hAnsi="times"/>
                <w:sz w:val="20"/>
              </w:rPr>
              <w:t>266</w:t>
            </w:r>
          </w:p>
        </w:tc>
        <w:tc>
          <w:tcPr>
            <w:tcW w:w="60" w:type="dxa"/>
            <w:tcBorders/>
            <w:shd w:fill="FFFF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3420" w:type="dxa"/>
            <w:tcBorders/>
            <w:shd w:fill="CCEEFF" w:val="clear"/>
          </w:tcPr>
          <w:p>
            <w:pPr>
              <w:pStyle w:val="TableContents"/>
              <w:spacing w:before="0" w:after="283"/>
              <w:ind w:left="200" w:right="0" w:hanging="200"/>
              <w:rPr>
                <w:rFonts w:ascii="times" w:hAnsi="times"/>
                <w:b/>
                <w:sz w:val="20"/>
              </w:rPr>
            </w:pPr>
            <w:r>
              <w:rPr>
                <w:rFonts w:ascii="times" w:hAnsi="times"/>
                <w:b/>
                <w:sz w:val="20"/>
              </w:rPr>
              <w:t>US Rocky Mountain Subtotal</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b/>
                <w:sz w:val="20"/>
              </w:rPr>
            </w:pPr>
            <w:r>
              <w:rPr>
                <w:rFonts w:ascii="times" w:hAnsi="times"/>
                <w:b/>
                <w:sz w:val="20"/>
              </w:rPr>
              <w:t>4,300</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b/>
                <w:sz w:val="20"/>
              </w:rPr>
            </w:pPr>
            <w:r>
              <w:rPr>
                <w:rFonts w:ascii="times" w:hAnsi="times"/>
                <w:b/>
                <w:sz w:val="20"/>
              </w:rPr>
              <w:t>359</w:t>
            </w:r>
          </w:p>
        </w:tc>
        <w:tc>
          <w:tcPr>
            <w:tcW w:w="60" w:type="dxa"/>
            <w:tcBorders/>
            <w:shd w:fill="CCEEFF" w:val="clear"/>
          </w:tcPr>
          <w:p>
            <w:pPr>
              <w:pStyle w:val="TableContents"/>
              <w:spacing w:before="0" w:after="283"/>
              <w:rPr/>
            </w:pPr>
            <w:r>
              <w:rPr/>
              <w:t> </w:t>
            </w:r>
          </w:p>
        </w:tc>
      </w:tr>
      <w:tr>
        <w:trPr/>
        <w:tc>
          <w:tcPr>
            <w:tcW w:w="3720" w:type="dxa"/>
            <w:gridSpan w:val="3"/>
            <w:tcBorders/>
            <w:shd w:fill="FFFFFF" w:val="clear"/>
          </w:tcPr>
          <w:p>
            <w:pPr>
              <w:pStyle w:val="TableContents"/>
              <w:spacing w:before="240" w:after="283"/>
              <w:ind w:left="200" w:right="0" w:hanging="200"/>
              <w:rPr>
                <w:rFonts w:ascii="times" w:hAnsi="times"/>
                <w:b/>
                <w:sz w:val="20"/>
                <w:u w:val="single"/>
              </w:rPr>
            </w:pPr>
            <w:r>
              <w:rPr>
                <w:rFonts w:ascii="times" w:hAnsi="times"/>
                <w:b/>
                <w:sz w:val="20"/>
                <w:u w:val="single"/>
              </w:rPr>
              <w:t>US Gulf Coast</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57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Capline</w:t>
            </w:r>
            <w:r>
              <w:rPr>
                <w:rFonts w:ascii="times" w:hAnsi="times"/>
                <w:position w:val="7"/>
                <w:sz w:val="16"/>
                <w:sz w:val="20"/>
              </w:rPr>
              <w:t>(3)</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sz w:val="20"/>
              </w:rPr>
            </w:pPr>
            <w:r>
              <w:rPr>
                <w:rFonts w:ascii="times" w:hAnsi="times"/>
                <w:sz w:val="20"/>
              </w:rPr>
              <w:t>633</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sz w:val="20"/>
              </w:rPr>
            </w:pPr>
            <w:r>
              <w:rPr>
                <w:rFonts w:ascii="times" w:hAnsi="times"/>
                <w:sz w:val="20"/>
              </w:rPr>
              <w:t>219</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57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sz w:val="20"/>
              </w:rPr>
            </w:pPr>
            <w:r>
              <w:rPr>
                <w:rFonts w:ascii="times" w:hAnsi="times"/>
                <w:sz w:val="20"/>
              </w:rPr>
              <w:t>1,035</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sz w:val="20"/>
              </w:rPr>
            </w:pPr>
            <w:r>
              <w:rPr>
                <w:rFonts w:ascii="times" w:hAnsi="times"/>
                <w:sz w:val="20"/>
              </w:rPr>
              <w:t>311</w:t>
            </w:r>
          </w:p>
        </w:tc>
        <w:tc>
          <w:tcPr>
            <w:tcW w:w="60" w:type="dxa"/>
            <w:tcBorders/>
            <w:shd w:fill="FFFF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3420" w:type="dxa"/>
            <w:tcBorders/>
            <w:shd w:fill="CCEEFF" w:val="clear"/>
          </w:tcPr>
          <w:p>
            <w:pPr>
              <w:pStyle w:val="TableContents"/>
              <w:spacing w:before="0" w:after="283"/>
              <w:ind w:left="200" w:right="0" w:hanging="200"/>
              <w:rPr>
                <w:rFonts w:ascii="times" w:hAnsi="times"/>
                <w:b/>
                <w:sz w:val="20"/>
              </w:rPr>
            </w:pPr>
            <w:r>
              <w:rPr>
                <w:rFonts w:ascii="times" w:hAnsi="times"/>
                <w:b/>
                <w:sz w:val="20"/>
              </w:rPr>
              <w:t>US Gulf Coast Subtotal</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b/>
                <w:sz w:val="20"/>
              </w:rPr>
            </w:pPr>
            <w:r>
              <w:rPr>
                <w:rFonts w:ascii="times" w:hAnsi="times"/>
                <w:b/>
                <w:sz w:val="20"/>
              </w:rPr>
              <w:t>1,668</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b/>
                <w:sz w:val="20"/>
              </w:rPr>
            </w:pPr>
            <w:r>
              <w:rPr>
                <w:rFonts w:ascii="times" w:hAnsi="times"/>
                <w:b/>
                <w:sz w:val="20"/>
              </w:rPr>
              <w:t>530</w:t>
            </w:r>
          </w:p>
        </w:tc>
        <w:tc>
          <w:tcPr>
            <w:tcW w:w="60" w:type="dxa"/>
            <w:tcBorders/>
            <w:shd w:fill="CCEEFF" w:val="clear"/>
          </w:tcPr>
          <w:p>
            <w:pPr>
              <w:pStyle w:val="TableContents"/>
              <w:spacing w:before="0" w:after="283"/>
              <w:rPr/>
            </w:pPr>
            <w:r>
              <w:rPr/>
              <w:t> </w:t>
            </w:r>
          </w:p>
        </w:tc>
      </w:tr>
      <w:tr>
        <w:trPr/>
        <w:tc>
          <w:tcPr>
            <w:tcW w:w="3720" w:type="dxa"/>
            <w:gridSpan w:val="3"/>
            <w:tcBorders/>
            <w:shd w:fill="FFFFFF" w:val="clear"/>
          </w:tcPr>
          <w:p>
            <w:pPr>
              <w:pStyle w:val="TableContents"/>
              <w:spacing w:before="240" w:after="283"/>
              <w:ind w:left="200" w:right="0" w:hanging="200"/>
              <w:rPr>
                <w:rFonts w:ascii="times" w:hAnsi="times"/>
                <w:b/>
                <w:sz w:val="20"/>
                <w:u w:val="single"/>
              </w:rPr>
            </w:pPr>
            <w:r>
              <w:rPr>
                <w:rFonts w:ascii="times" w:hAnsi="times"/>
                <w:b/>
                <w:sz w:val="20"/>
                <w:u w:val="single"/>
              </w:rPr>
              <w:t>Central US Subtotal</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b/>
                <w:sz w:val="20"/>
              </w:rPr>
            </w:pPr>
            <w:r>
              <w:rPr>
                <w:rFonts w:ascii="times" w:hAnsi="times"/>
                <w:b/>
                <w:sz w:val="20"/>
              </w:rPr>
              <w:br/>
              <w:t>2,921</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b/>
                <w:sz w:val="20"/>
              </w:rPr>
            </w:pPr>
            <w:r>
              <w:rPr>
                <w:rFonts w:ascii="times" w:hAnsi="times"/>
                <w:b/>
                <w:sz w:val="20"/>
              </w:rPr>
              <w:br/>
              <w:t>392</w:t>
            </w:r>
          </w:p>
        </w:tc>
        <w:tc>
          <w:tcPr>
            <w:tcW w:w="60" w:type="dxa"/>
            <w:tcBorders/>
            <w:shd w:fill="FFFF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3420" w:type="dxa"/>
            <w:tcBorders/>
            <w:shd w:fill="CCEEFF" w:val="clear"/>
          </w:tcPr>
          <w:p>
            <w:pPr>
              <w:pStyle w:val="TableContents"/>
              <w:spacing w:before="0" w:after="283"/>
              <w:ind w:left="200" w:right="0" w:hanging="200"/>
              <w:rPr>
                <w:rFonts w:ascii="times" w:hAnsi="times"/>
                <w:b/>
                <w:sz w:val="20"/>
              </w:rPr>
            </w:pPr>
            <w:r>
              <w:rPr>
                <w:rFonts w:ascii="times" w:hAnsi="times"/>
                <w:b/>
                <w:sz w:val="20"/>
              </w:rPr>
              <w:t>Domestic Total</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b/>
                <w:sz w:val="20"/>
              </w:rPr>
            </w:pPr>
            <w:r>
              <w:rPr>
                <w:rFonts w:ascii="times" w:hAnsi="times"/>
                <w:b/>
                <w:sz w:val="20"/>
              </w:rPr>
              <w:t>14,297</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b/>
                <w:sz w:val="20"/>
              </w:rPr>
            </w:pPr>
            <w:r>
              <w:rPr>
                <w:rFonts w:ascii="times" w:hAnsi="times"/>
                <w:b/>
                <w:sz w:val="20"/>
              </w:rPr>
              <w:t>2,420</w:t>
            </w:r>
          </w:p>
        </w:tc>
        <w:tc>
          <w:tcPr>
            <w:tcW w:w="60" w:type="dxa"/>
            <w:tcBorders/>
            <w:shd w:fill="CCEEFF" w:val="clear"/>
          </w:tcPr>
          <w:p>
            <w:pPr>
              <w:pStyle w:val="TableContents"/>
              <w:spacing w:before="0" w:after="283"/>
              <w:rPr/>
            </w:pPr>
            <w:r>
              <w:rPr/>
              <w:t> </w:t>
            </w:r>
          </w:p>
        </w:tc>
      </w:tr>
      <w:tr>
        <w:trPr/>
        <w:tc>
          <w:tcPr>
            <w:tcW w:w="3720" w:type="dxa"/>
            <w:gridSpan w:val="3"/>
            <w:tcBorders/>
            <w:shd w:fill="FFFFFF" w:val="clear"/>
          </w:tcPr>
          <w:p>
            <w:pPr>
              <w:pStyle w:val="TableContents"/>
              <w:spacing w:before="240" w:after="283"/>
              <w:ind w:left="200" w:right="0" w:hanging="200"/>
              <w:rPr>
                <w:rFonts w:ascii="times" w:hAnsi="times"/>
                <w:b/>
                <w:sz w:val="20"/>
                <w:u w:val="single"/>
              </w:rPr>
            </w:pPr>
            <w:r>
              <w:rPr>
                <w:rFonts w:ascii="times" w:hAnsi="times"/>
                <w:b/>
                <w:sz w:val="20"/>
                <w:u w:val="single"/>
              </w:rPr>
              <w:t>Canada</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57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Rangeland</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sz w:val="20"/>
              </w:rPr>
            </w:pPr>
            <w:r>
              <w:rPr>
                <w:rFonts w:ascii="times" w:hAnsi="times"/>
                <w:sz w:val="20"/>
              </w:rPr>
              <w:t>900</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sz w:val="20"/>
              </w:rPr>
            </w:pPr>
            <w:r>
              <w:rPr>
                <w:rFonts w:ascii="times" w:hAnsi="times"/>
                <w:sz w:val="20"/>
              </w:rPr>
              <w:t>58</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57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Rainbow</w:t>
            </w:r>
            <w:r>
              <w:rPr>
                <w:rFonts w:ascii="times" w:hAnsi="times"/>
                <w:position w:val="7"/>
                <w:sz w:val="16"/>
                <w:sz w:val="20"/>
              </w:rPr>
              <w:t>(4)</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sz w:val="20"/>
              </w:rPr>
            </w:pPr>
            <w:r>
              <w:rPr>
                <w:rFonts w:ascii="times" w:hAnsi="times"/>
                <w:sz w:val="20"/>
              </w:rPr>
              <w:t>599</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sz w:val="20"/>
              </w:rPr>
            </w:pPr>
            <w:r>
              <w:rPr>
                <w:rFonts w:ascii="times" w:hAnsi="times"/>
                <w:sz w:val="20"/>
              </w:rPr>
              <w:t>193</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57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Manito</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sz w:val="20"/>
              </w:rPr>
            </w:pPr>
            <w:r>
              <w:rPr>
                <w:rFonts w:ascii="times" w:hAnsi="times"/>
                <w:sz w:val="20"/>
              </w:rPr>
              <w:t>605</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sz w:val="20"/>
              </w:rPr>
            </w:pPr>
            <w:r>
              <w:rPr>
                <w:rFonts w:ascii="times" w:hAnsi="times"/>
                <w:sz w:val="20"/>
              </w:rPr>
              <w:t>70</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57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sz w:val="20"/>
              </w:rPr>
            </w:pPr>
            <w:r>
              <w:rPr>
                <w:rFonts w:ascii="times" w:hAnsi="times"/>
                <w:sz w:val="20"/>
              </w:rPr>
              <w:t>635</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sz w:val="20"/>
              </w:rPr>
            </w:pPr>
            <w:r>
              <w:rPr>
                <w:rFonts w:ascii="times" w:hAnsi="times"/>
                <w:sz w:val="20"/>
              </w:rPr>
              <w:t>175</w:t>
            </w:r>
          </w:p>
        </w:tc>
        <w:tc>
          <w:tcPr>
            <w:tcW w:w="60" w:type="dxa"/>
            <w:tcBorders/>
            <w:shd w:fill="FFFF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3420" w:type="dxa"/>
            <w:tcBorders/>
            <w:shd w:fill="CCEEFF" w:val="clear"/>
          </w:tcPr>
          <w:p>
            <w:pPr>
              <w:pStyle w:val="TableContents"/>
              <w:spacing w:before="0" w:after="283"/>
              <w:ind w:left="200" w:right="0" w:hanging="200"/>
              <w:rPr>
                <w:rFonts w:ascii="times" w:hAnsi="times"/>
                <w:b/>
                <w:sz w:val="20"/>
              </w:rPr>
            </w:pPr>
            <w:r>
              <w:rPr>
                <w:rFonts w:ascii="times" w:hAnsi="times"/>
                <w:b/>
                <w:sz w:val="20"/>
              </w:rPr>
              <w:t>Canada Total</w:t>
            </w:r>
          </w:p>
        </w:tc>
        <w:tc>
          <w:tcPr>
            <w:tcW w:w="180"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743" w:type="dxa"/>
            <w:tcBorders/>
            <w:shd w:fill="CCEEFF" w:val="clear"/>
          </w:tcPr>
          <w:p>
            <w:pPr>
              <w:pStyle w:val="TableContents"/>
              <w:spacing w:before="0" w:after="283"/>
              <w:jc w:val="right"/>
              <w:rPr>
                <w:rFonts w:ascii="times" w:hAnsi="times"/>
                <w:b/>
                <w:sz w:val="20"/>
              </w:rPr>
            </w:pPr>
            <w:r>
              <w:rPr>
                <w:rFonts w:ascii="times" w:hAnsi="times"/>
                <w:b/>
                <w:sz w:val="20"/>
              </w:rPr>
              <w:t>2,739</w:t>
            </w:r>
          </w:p>
        </w:tc>
        <w:tc>
          <w:tcPr>
            <w:tcW w:w="225"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12" w:type="dxa"/>
            <w:tcBorders/>
            <w:shd w:fill="CCEEFF" w:val="clear"/>
          </w:tcPr>
          <w:p>
            <w:pPr>
              <w:pStyle w:val="TableContents"/>
              <w:spacing w:before="0" w:after="283"/>
              <w:jc w:val="right"/>
              <w:rPr>
                <w:rFonts w:ascii="times" w:hAnsi="times"/>
                <w:b/>
                <w:sz w:val="20"/>
              </w:rPr>
            </w:pPr>
            <w:r>
              <w:rPr>
                <w:rFonts w:ascii="times" w:hAnsi="times"/>
                <w:b/>
                <w:sz w:val="20"/>
              </w:rPr>
              <w:t>496</w:t>
            </w:r>
          </w:p>
        </w:tc>
        <w:tc>
          <w:tcPr>
            <w:tcW w:w="60" w:type="dxa"/>
            <w:tcBorders/>
            <w:shd w:fill="CCEE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720" w:type="dxa"/>
            <w:gridSpan w:val="3"/>
            <w:tcBorders/>
            <w:shd w:fill="FFFFFF" w:val="clear"/>
          </w:tcPr>
          <w:p>
            <w:pPr>
              <w:pStyle w:val="TableContents"/>
              <w:spacing w:before="0" w:after="283"/>
              <w:ind w:left="200" w:right="0" w:hanging="200"/>
              <w:rPr>
                <w:rFonts w:ascii="times" w:hAnsi="times"/>
                <w:b/>
                <w:sz w:val="20"/>
              </w:rPr>
            </w:pPr>
            <w:r>
              <w:rPr>
                <w:rFonts w:ascii="times" w:hAnsi="times"/>
                <w:b/>
                <w:sz w:val="20"/>
              </w:rPr>
              <w:t>Grand Total</w:t>
            </w:r>
          </w:p>
        </w:tc>
        <w:tc>
          <w:tcPr>
            <w:tcW w:w="180"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743" w:type="dxa"/>
            <w:tcBorders/>
            <w:shd w:fill="FFFFFF" w:val="clear"/>
          </w:tcPr>
          <w:p>
            <w:pPr>
              <w:pStyle w:val="TableContents"/>
              <w:spacing w:before="0" w:after="283"/>
              <w:jc w:val="right"/>
              <w:rPr>
                <w:rFonts w:ascii="times" w:hAnsi="times"/>
                <w:b/>
                <w:sz w:val="20"/>
              </w:rPr>
            </w:pPr>
            <w:r>
              <w:rPr>
                <w:rFonts w:ascii="times" w:hAnsi="times"/>
                <w:b/>
                <w:sz w:val="20"/>
              </w:rPr>
              <w:t>17,036</w:t>
            </w:r>
          </w:p>
        </w:tc>
        <w:tc>
          <w:tcPr>
            <w:tcW w:w="225"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12" w:type="dxa"/>
            <w:tcBorders/>
            <w:shd w:fill="FFFFFF" w:val="clear"/>
          </w:tcPr>
          <w:p>
            <w:pPr>
              <w:pStyle w:val="TableContents"/>
              <w:spacing w:before="0" w:after="283"/>
              <w:jc w:val="right"/>
              <w:rPr>
                <w:rFonts w:ascii="times" w:hAnsi="times"/>
                <w:b/>
                <w:sz w:val="20"/>
              </w:rPr>
            </w:pPr>
            <w:r>
              <w:rPr>
                <w:rFonts w:ascii="times" w:hAnsi="times"/>
                <w:b/>
                <w:sz w:val="20"/>
              </w:rPr>
              <w:t>2,916</w:t>
            </w:r>
          </w:p>
        </w:tc>
        <w:tc>
          <w:tcPr>
            <w:tcW w:w="60" w:type="dxa"/>
            <w:tcBorders/>
            <w:shd w:fill="FFFFFF" w:val="clear"/>
          </w:tcPr>
          <w:p>
            <w:pPr>
              <w:pStyle w:val="TableContents"/>
              <w:spacing w:before="0" w:after="283"/>
              <w:rPr/>
            </w:pPr>
            <w:r>
              <w:rPr/>
              <w:t> </w:t>
            </w:r>
          </w:p>
        </w:tc>
      </w:tr>
      <w:tr>
        <w:trPr/>
        <w:tc>
          <w:tcPr>
            <w:tcW w:w="372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9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Ownership percentage varies on each pipeline and gathering system ranging from approximately 20% to 100%.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Represents average volumes for the entire year, except for Rainbow, which was acquired during May 2008.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Non-operated pipeline.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(4)</w:t>
      </w:r>
    </w:p>
    <w:p>
      <w:pPr>
        <w:pStyle w:val="ListContents"/>
        <w:numPr>
          <w:ilvl w:val="0"/>
          <w:numId w:val="0"/>
        </w:numPr>
        <w:spacing w:before="0" w:after="283"/>
        <w:ind w:left="1981" w:right="0" w:hanging="0"/>
        <w:rPr>
          <w:rFonts w:ascii="times" w:hAnsi="times"/>
          <w:sz w:val="20"/>
        </w:rPr>
      </w:pPr>
      <w:r>
        <w:rPr>
          <w:rFonts w:ascii="times" w:hAnsi="times"/>
          <w:sz w:val="20"/>
        </w:rPr>
        <w:t xml:space="preserve">Rainbow 2008 average net barrels per day was calculated based on a 245-day period, which was the number of days we owned the asset in 2008. </w:t>
      </w:r>
    </w:p>
    <w:p>
      <w:pPr>
        <w:pStyle w:val="TextBody"/>
        <w:numPr>
          <w:ilvl w:val="0"/>
          <w:numId w:val="0"/>
        </w:numPr>
        <w:ind w:left="707" w:hanging="0"/>
        <w:rPr>
          <w:rFonts w:ascii="times" w:hAnsi="times"/>
          <w:b/>
          <w:sz w:val="20"/>
        </w:rPr>
      </w:pPr>
      <w:r>
        <w:rPr>
          <w:rFonts w:ascii="times" w:hAnsi="times"/>
          <w:b/>
          <w:sz w:val="20"/>
        </w:rPr>
        <w:t xml:space="preserve">Southwest US </w:t>
      </w:r>
    </w:p>
    <w:p>
      <w:pPr>
        <w:pStyle w:val="TextBody"/>
        <w:rPr/>
      </w:pPr>
      <w:r>
        <w:rPr/>
        <w:t>        </w:t>
      </w:r>
      <w:r>
        <w:rPr>
          <w:rFonts w:ascii="times" w:hAnsi="times"/>
          <w:i/>
          <w:sz w:val="20"/>
        </w:rPr>
        <w:t>Basin Pipeline System.</w:t>
      </w:r>
      <w:r>
        <w:rPr>
          <w:rFonts w:ascii="times" w:hAnsi="times"/>
        </w:rPr>
        <w:t>    </w:t>
      </w:r>
      <w:r>
        <w:rPr>
          <w:rFonts w:ascii="times" w:hAnsi="times"/>
          <w:sz w:val="20"/>
        </w:rPr>
        <w:t xml:space="preserve">We own an approximate 87% undivided joint interest in and act as operator of the Basin Pipeline system. The Basin system is a primary route for transporting crude oil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12101a_main_toc">
        <w:bookmarkStart w:id="31" w:name="page_dk12101_1_19"/>
        <w:bookmarkEnd w:id="3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from the Permian Basin (in west Texas and southern New Mexico) to Cushing, Oklahoma, for further delivery to Mid-Continent and Midwest refining centers. The Basin system is a 521-mile mainline, telescoping crude oil system with a capacity ranging from approximately 144,000 barrels per day to 400,000 barrels per day depending on the segment. System throughput (as measured by system deliveries) was approximately 377,000 barrels per day (attributable to our interest) during 2008. </w:t>
      </w:r>
    </w:p>
    <w:p>
      <w:pPr>
        <w:pStyle w:val="TextBody"/>
        <w:rPr/>
      </w:pPr>
      <w:r>
        <w:rPr/>
        <w:t>        </w:t>
      </w:r>
      <w:r>
        <w:rPr>
          <w:rFonts w:ascii="times" w:hAnsi="times"/>
          <w:sz w:val="20"/>
        </w:rPr>
        <w:t xml:space="preserve">The Basin system consists of four primary movements of crude oil: (i) barrels that are shipped from Jal, New Mexico to the West Texas markets of Wink and Midland; (ii) barrels that are shipped from Midland to connecting carriers at Colorado City; (iii) barrels that are shipped from Midland and Colorado City to connecting carriers at either Wichita Falls or Cushing and (iv) foreign and Gulf of Mexico barrels that are delivered into Basin at Wichita Falls and delivered to connecting carriers at Cushing. The system also includes approximately 7 million barrels (6 million barrels, net to our interest) of crude oil storage capacity located along the system. The Basin system is subject to tariff rates regulated by the FERC. </w:t>
      </w:r>
    </w:p>
    <w:p>
      <w:pPr>
        <w:pStyle w:val="TextBody"/>
        <w:numPr>
          <w:ilvl w:val="0"/>
          <w:numId w:val="0"/>
        </w:numPr>
        <w:ind w:left="707" w:hanging="0"/>
        <w:rPr>
          <w:rFonts w:ascii="times" w:hAnsi="times"/>
          <w:b/>
          <w:sz w:val="20"/>
        </w:rPr>
      </w:pPr>
      <w:r>
        <w:rPr>
          <w:rFonts w:ascii="times" w:hAnsi="times"/>
          <w:b/>
          <w:sz w:val="20"/>
        </w:rPr>
        <w:t xml:space="preserve">Western US </w:t>
      </w:r>
    </w:p>
    <w:p>
      <w:pPr>
        <w:pStyle w:val="TextBody"/>
        <w:rPr/>
      </w:pPr>
      <w:r>
        <w:rPr/>
        <w:t>        </w:t>
      </w:r>
      <w:r>
        <w:rPr>
          <w:rFonts w:ascii="times" w:hAnsi="times"/>
          <w:i/>
          <w:sz w:val="20"/>
        </w:rPr>
        <w:t>All American Pipeline System.</w:t>
      </w:r>
      <w:r>
        <w:rPr>
          <w:rFonts w:ascii="times" w:hAnsi="times"/>
        </w:rPr>
        <w:t>    </w:t>
      </w:r>
      <w:r>
        <w:rPr>
          <w:rFonts w:ascii="times" w:hAnsi="times"/>
          <w:sz w:val="20"/>
        </w:rPr>
        <w:t xml:space="preserve">We own a 100% interest in the All American Pipeline system. The All American Pipeline is a common carrier crude oil pipeline system that transports crude oil produced from certain outer continental shelf, or OCS, fields offshore California via connecting pipelines to refinery markets in California. The system extends approximately 10 miles along the California coast from Las Flores to Gaviota (24-inch diameter pipe) and continues from Gaviota approximately 128 miles to our station in Emidio, California (30-inch diameter pipe). Between Gaviota and our Emidio Station, the All American Pipeline interconnects with our San Joaquin Valley Gathering System, Line 2000 and Line 63, as well as other third party intrastate pipelines. The system is subject to tariff rates regulated by the FERC. </w:t>
      </w:r>
    </w:p>
    <w:p>
      <w:pPr>
        <w:pStyle w:val="TextBody"/>
        <w:rPr/>
      </w:pPr>
      <w:r>
        <w:rPr/>
        <w:t>        </w:t>
      </w:r>
      <w:r>
        <w:rPr>
          <w:rFonts w:ascii="times" w:hAnsi="times"/>
          <w:sz w:val="20"/>
        </w:rPr>
        <w:t xml:space="preserve">The All American Pipeline currently transports OCS crude oil received at the onshore facilities of the Santa Ynez field at Las Flores and the onshore facilities of the Point Arguello field located at Gaviota. ExxonMobil, which owns all of the Santa Ynez production, and Plains Exploration and Production Company and other producers that together own approximately 70% of the Point Arguello production, have entered into transportation agreements committing to transport all of their production from these fields on the All American Pipeline. These agreements provide for a minimum tariff with annual escalations based on specific composite indices. The producers from the Point Arguello field that do not have contracts with us have no other existing means of transporting their production and, therefore, ship their volumes on the All American Pipeline at the filed (or contracted) tariffs. For 2008, 2007 and 2006, tariffs on the All American Pipeline averaged $2.24 per barrel, $2.18 per barrel and $2.07 per barrel, respectively. The agreements do not require these owners to transport a minimum volume. These agreements include an annual one year evergreen provision that requires one year's advance notice to cancel. </w:t>
      </w:r>
    </w:p>
    <w:p>
      <w:pPr>
        <w:pStyle w:val="TextBody"/>
        <w:rPr/>
      </w:pPr>
      <w:r>
        <w:rPr/>
        <w:t>        </w:t>
      </w:r>
      <w:r>
        <w:rPr>
          <w:rFonts w:ascii="times" w:hAnsi="times"/>
          <w:sz w:val="20"/>
        </w:rPr>
        <w:t xml:space="preserve">With the acquisition of Line 63 and Line 2000, a significant portion of our transportation segment profit is derived from the pipeline transportation business associated with the Santa Ynez and Point Arguello fields and fields located in the San Joaquin Valley. Volumes shipped from the OCS are in decline (as reflected in the table below). See Item 1A. "Risk Factors" for discussion of the estimated impact of a decline in volumes.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12101a_main_toc">
        <w:bookmarkStart w:id="32" w:name="page_dk12101_1_20"/>
        <w:bookmarkEnd w:id="32"/>
        <w:r>
          <w:rPr>
            <w:rStyle w:val="InternetLink"/>
            <w:rFonts w:ascii="times" w:hAnsi="times"/>
            <w:sz w:val="20"/>
          </w:rPr>
          <w:t>Table of Contents</w:t>
        </w:r>
      </w:hyperlink>
    </w:p>
    <w:p>
      <w:pPr>
        <w:pStyle w:val="TextBody"/>
        <w:rPr/>
      </w:pPr>
      <w:r>
        <w:rPr/>
        <w:t>        </w:t>
      </w:r>
      <w:r>
        <w:rPr>
          <w:rFonts w:ascii="times" w:hAnsi="times"/>
          <w:sz w:val="20"/>
        </w:rPr>
        <w:t xml:space="preserve">The table below sets forth the historical volumes received from both of these fields for the past five years (barrels in thousands): </w:t>
      </w:r>
    </w:p>
    <w:tbl>
      <w:tblPr>
        <w:tblW w:w="7640" w:type="dxa"/>
        <w:jc w:val="center"/>
        <w:tblInd w:w="0" w:type="dxa"/>
        <w:tblCellMar>
          <w:top w:w="0" w:type="dxa"/>
          <w:left w:w="0" w:type="dxa"/>
          <w:bottom w:w="0" w:type="dxa"/>
          <w:right w:w="0" w:type="dxa"/>
        </w:tblCellMar>
      </w:tblPr>
      <w:tblGrid>
        <w:gridCol w:w="4755"/>
        <w:gridCol w:w="180"/>
        <w:gridCol w:w="79"/>
        <w:gridCol w:w="270"/>
        <w:gridCol w:w="225"/>
        <w:gridCol w:w="79"/>
        <w:gridCol w:w="270"/>
        <w:gridCol w:w="225"/>
        <w:gridCol w:w="79"/>
        <w:gridCol w:w="270"/>
        <w:gridCol w:w="225"/>
        <w:gridCol w:w="79"/>
        <w:gridCol w:w="270"/>
        <w:gridCol w:w="225"/>
        <w:gridCol w:w="79"/>
        <w:gridCol w:w="270"/>
        <w:gridCol w:w="60"/>
      </w:tblGrid>
      <w:tr>
        <w:trPr/>
        <w:tc>
          <w:tcPr>
            <w:tcW w:w="475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7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645"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For the Year Ended December 31, </w:t>
            </w:r>
          </w:p>
        </w:tc>
        <w:tc>
          <w:tcPr>
            <w:tcW w:w="60" w:type="dxa"/>
            <w:tcBorders/>
            <w:shd w:fill="auto" w:val="clear"/>
            <w:vAlign w:val="bottom"/>
          </w:tcPr>
          <w:p>
            <w:pPr>
              <w:pStyle w:val="TableHeading"/>
              <w:suppressLineNumbers/>
              <w:spacing w:before="0" w:after="283"/>
              <w:jc w:val="center"/>
              <w:rPr/>
            </w:pPr>
            <w:r>
              <w:rPr/>
              <w:t> </w:t>
            </w:r>
          </w:p>
        </w:tc>
      </w:tr>
      <w:tr>
        <w:trPr/>
        <w:tc>
          <w:tcPr>
            <w:tcW w:w="47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225"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2005 </w:t>
            </w:r>
          </w:p>
        </w:tc>
        <w:tc>
          <w:tcPr>
            <w:tcW w:w="225"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2004 </w:t>
            </w:r>
          </w:p>
        </w:tc>
        <w:tc>
          <w:tcPr>
            <w:tcW w:w="60" w:type="dxa"/>
            <w:tcBorders/>
            <w:shd w:fill="auto" w:val="clear"/>
            <w:vAlign w:val="bottom"/>
          </w:tcPr>
          <w:p>
            <w:pPr>
              <w:pStyle w:val="TableHeading"/>
              <w:suppressLineNumbers/>
              <w:spacing w:before="0" w:after="283"/>
              <w:jc w:val="center"/>
              <w:rPr/>
            </w:pPr>
            <w:r>
              <w:rPr/>
              <w:t> </w:t>
            </w:r>
          </w:p>
        </w:tc>
      </w:tr>
      <w:tr>
        <w:trPr/>
        <w:tc>
          <w:tcPr>
            <w:tcW w:w="4755" w:type="dxa"/>
            <w:tcBorders/>
            <w:shd w:fill="CCEEFF" w:val="clear"/>
          </w:tcPr>
          <w:p>
            <w:pPr>
              <w:pStyle w:val="TableContents"/>
              <w:spacing w:before="0" w:after="283"/>
              <w:ind w:left="200" w:right="0" w:hanging="200"/>
              <w:rPr>
                <w:rFonts w:ascii="times" w:hAnsi="times"/>
                <w:sz w:val="20"/>
              </w:rPr>
            </w:pPr>
            <w:r>
              <w:rPr>
                <w:rFonts w:ascii="times" w:hAnsi="times"/>
                <w:sz w:val="20"/>
              </w:rPr>
              <w:t>Average daily volumes received from:</w:t>
            </w:r>
          </w:p>
        </w:tc>
        <w:tc>
          <w:tcPr>
            <w:tcW w:w="180"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4755" w:type="dxa"/>
            <w:tcBorders/>
            <w:shd w:fill="FFFFFF" w:val="clear"/>
          </w:tcPr>
          <w:p>
            <w:pPr>
              <w:pStyle w:val="TableContents"/>
              <w:spacing w:before="0" w:after="283"/>
              <w:ind w:left="200" w:right="0" w:hanging="200"/>
              <w:rPr>
                <w:rFonts w:ascii="times" w:hAnsi="times"/>
                <w:sz w:val="20"/>
              </w:rPr>
            </w:pPr>
            <w:r>
              <w:rPr>
                <w:rFonts w:ascii="times" w:hAnsi="times"/>
                <w:sz w:val="20"/>
              </w:rPr>
              <w:t>Point Arguello (at Gaviota)</w:t>
            </w:r>
          </w:p>
        </w:tc>
        <w:tc>
          <w:tcPr>
            <w:tcW w:w="180"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7</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8</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9</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10</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10</w:t>
            </w:r>
          </w:p>
        </w:tc>
        <w:tc>
          <w:tcPr>
            <w:tcW w:w="60" w:type="dxa"/>
            <w:tcBorders/>
            <w:shd w:fill="FFFFFF" w:val="clear"/>
          </w:tcPr>
          <w:p>
            <w:pPr>
              <w:pStyle w:val="TableContents"/>
              <w:spacing w:before="0" w:after="283"/>
              <w:rPr/>
            </w:pPr>
            <w:r>
              <w:rPr/>
              <w:t> </w:t>
            </w:r>
          </w:p>
        </w:tc>
      </w:tr>
      <w:tr>
        <w:trPr/>
        <w:tc>
          <w:tcPr>
            <w:tcW w:w="4755" w:type="dxa"/>
            <w:tcBorders/>
            <w:shd w:fill="CCEEFF" w:val="clear"/>
          </w:tcPr>
          <w:p>
            <w:pPr>
              <w:pStyle w:val="TableContents"/>
              <w:spacing w:before="0" w:after="283"/>
              <w:ind w:left="200" w:right="0" w:hanging="200"/>
              <w:rPr>
                <w:rFonts w:ascii="times" w:hAnsi="times"/>
                <w:sz w:val="20"/>
              </w:rPr>
            </w:pPr>
            <w:r>
              <w:rPr>
                <w:rFonts w:ascii="times" w:hAnsi="times"/>
                <w:sz w:val="20"/>
              </w:rPr>
              <w:t>Santa Ynez (at Las Flores)</w:t>
            </w:r>
          </w:p>
        </w:tc>
        <w:tc>
          <w:tcPr>
            <w:tcW w:w="180"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jc w:val="right"/>
              <w:rPr>
                <w:rFonts w:ascii="times" w:hAnsi="times"/>
                <w:sz w:val="20"/>
              </w:rPr>
            </w:pPr>
            <w:r>
              <w:rPr>
                <w:rFonts w:ascii="times" w:hAnsi="times"/>
                <w:sz w:val="20"/>
              </w:rPr>
              <w:t>38</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jc w:val="right"/>
              <w:rPr>
                <w:rFonts w:ascii="times" w:hAnsi="times"/>
                <w:sz w:val="20"/>
              </w:rPr>
            </w:pPr>
            <w:r>
              <w:rPr>
                <w:rFonts w:ascii="times" w:hAnsi="times"/>
                <w:sz w:val="20"/>
              </w:rPr>
              <w:t>38</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jc w:val="right"/>
              <w:rPr>
                <w:rFonts w:ascii="times" w:hAnsi="times"/>
                <w:sz w:val="20"/>
              </w:rPr>
            </w:pPr>
            <w:r>
              <w:rPr>
                <w:rFonts w:ascii="times" w:hAnsi="times"/>
                <w:sz w:val="20"/>
              </w:rPr>
              <w:t>40</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jc w:val="right"/>
              <w:rPr>
                <w:rFonts w:ascii="times" w:hAnsi="times"/>
                <w:sz w:val="20"/>
              </w:rPr>
            </w:pPr>
            <w:r>
              <w:rPr>
                <w:rFonts w:ascii="times" w:hAnsi="times"/>
                <w:sz w:val="20"/>
              </w:rPr>
              <w:t>41</w:t>
            </w:r>
          </w:p>
        </w:tc>
        <w:tc>
          <w:tcPr>
            <w:tcW w:w="225" w:type="dxa"/>
            <w:tcBorders/>
            <w:shd w:fill="CCEEFF" w:val="clear"/>
          </w:tcPr>
          <w:p>
            <w:pPr>
              <w:pStyle w:val="TableContents"/>
              <w:spacing w:before="0" w:after="283"/>
              <w:rPr/>
            </w:pPr>
            <w:r>
              <w:rPr/>
              <w:t> </w:t>
            </w:r>
          </w:p>
        </w:tc>
        <w:tc>
          <w:tcPr>
            <w:tcW w:w="79"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jc w:val="right"/>
              <w:rPr>
                <w:rFonts w:ascii="times" w:hAnsi="times"/>
                <w:sz w:val="20"/>
              </w:rPr>
            </w:pPr>
            <w:r>
              <w:rPr>
                <w:rFonts w:ascii="times" w:hAnsi="times"/>
                <w:sz w:val="20"/>
              </w:rPr>
              <w:t>44</w:t>
            </w:r>
          </w:p>
        </w:tc>
        <w:tc>
          <w:tcPr>
            <w:tcW w:w="60" w:type="dxa"/>
            <w:tcBorders/>
            <w:shd w:fill="CCEEFF" w:val="clear"/>
          </w:tcPr>
          <w:p>
            <w:pPr>
              <w:pStyle w:val="TableContents"/>
              <w:spacing w:before="0" w:after="283"/>
              <w:rPr/>
            </w:pPr>
            <w:r>
              <w:rPr/>
              <w:t> </w:t>
            </w:r>
          </w:p>
        </w:tc>
      </w:tr>
      <w:tr>
        <w:trPr/>
        <w:tc>
          <w:tcPr>
            <w:tcW w:w="47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4755" w:type="dxa"/>
            <w:tcBorders/>
            <w:shd w:fill="FFFF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45</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46</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49</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51</w:t>
            </w:r>
          </w:p>
        </w:tc>
        <w:tc>
          <w:tcPr>
            <w:tcW w:w="225" w:type="dxa"/>
            <w:tcBorders/>
            <w:shd w:fill="FFFFFF" w:val="clear"/>
          </w:tcPr>
          <w:p>
            <w:pPr>
              <w:pStyle w:val="TableContents"/>
              <w:spacing w:before="0" w:after="283"/>
              <w:rPr/>
            </w:pPr>
            <w:r>
              <w:rPr/>
              <w:t> </w:t>
            </w:r>
          </w:p>
        </w:tc>
        <w:tc>
          <w:tcPr>
            <w:tcW w:w="7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jc w:val="right"/>
              <w:rPr>
                <w:rFonts w:ascii="times" w:hAnsi="times"/>
                <w:sz w:val="20"/>
              </w:rPr>
            </w:pPr>
            <w:r>
              <w:rPr>
                <w:rFonts w:ascii="times" w:hAnsi="times"/>
                <w:sz w:val="20"/>
              </w:rPr>
              <w:t>54</w:t>
            </w:r>
          </w:p>
        </w:tc>
        <w:tc>
          <w:tcPr>
            <w:tcW w:w="60" w:type="dxa"/>
            <w:tcBorders/>
            <w:shd w:fill="FFFFFF" w:val="clear"/>
          </w:tcPr>
          <w:p>
            <w:pPr>
              <w:pStyle w:val="TableContents"/>
              <w:spacing w:before="0" w:after="283"/>
              <w:rPr/>
            </w:pPr>
            <w:r>
              <w:rPr/>
              <w:t> </w:t>
            </w:r>
          </w:p>
        </w:tc>
      </w:tr>
      <w:tr>
        <w:trPr/>
        <w:tc>
          <w:tcPr>
            <w:tcW w:w="47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rPr/>
      </w:pPr>
      <w:r>
        <w:rPr/>
        <w:t>        </w:t>
      </w:r>
      <w:r>
        <w:rPr>
          <w:rFonts w:ascii="times" w:hAnsi="times"/>
          <w:i/>
          <w:sz w:val="20"/>
        </w:rPr>
        <w:t>Line 63.</w:t>
      </w:r>
      <w:r>
        <w:rPr>
          <w:rFonts w:ascii="times" w:hAnsi="times"/>
        </w:rPr>
        <w:t>    </w:t>
      </w:r>
      <w:r>
        <w:rPr>
          <w:rFonts w:ascii="times" w:hAnsi="times"/>
          <w:sz w:val="20"/>
        </w:rPr>
        <w:t xml:space="preserve">We own a 100% interest in the Line 63 system. The Line 63 system is an intrastate common carrier crude oil pipeline system that transports crude oil produced in the San Joaquin Valley and California OCS to refineries and terminal facilities in the Los Angeles Basin and in Bakersfield. The Line 63 system consists of a 115-mile trunk pipeline (of which 101 miles is 14-inch pipe and 14 miles is 16-inch pipe), originating at our Kelley Pump Station in Kern County, California and terminating at our West Hynes Station in Long Beach, California. The trunk pipeline has a capacity of approximately 110,000 barrels per day. The Line 63 system includes 26 miles of distribution pipelines in the Los Angeles Basin, with a throughput capacity of approximately 144,000 barrels per day, and 188 miles of gathering pipelines in the San Joaquin Valley, with a throughput capacity of approximately 72,000 barrels per day. We also have 25 storage tanks with approximately 1 million barrels of storage capacity on this system. These storage assets are used primarily to facilitate the transportation of crude oil on the Line 63 system. For 2008, combined throughput on Line 63 totaled an average of approximately 89,000 barrels per day. </w:t>
      </w:r>
    </w:p>
    <w:p>
      <w:pPr>
        <w:pStyle w:val="TextBody"/>
        <w:rPr/>
      </w:pPr>
      <w:r>
        <w:rPr/>
        <w:t>        </w:t>
      </w:r>
      <w:r>
        <w:rPr>
          <w:rFonts w:ascii="times" w:hAnsi="times"/>
          <w:i/>
          <w:sz w:val="20"/>
        </w:rPr>
        <w:t>Line 2000.</w:t>
      </w:r>
      <w:r>
        <w:rPr>
          <w:rFonts w:ascii="times" w:hAnsi="times"/>
        </w:rPr>
        <w:t>    </w:t>
      </w:r>
      <w:r>
        <w:rPr>
          <w:rFonts w:ascii="times" w:hAnsi="times"/>
          <w:sz w:val="20"/>
        </w:rPr>
        <w:t xml:space="preserve">We own and operate 100% of Line 2000, an intrastate common carrier crude oil pipeline that originates at our Emidio Pump Station (that is part of the All American Pipeline System) and transports crude oil produced in the San Joaquin Valley and California OCS to refineries and terminal facilities in the Los Angeles Basin. Line 2000 is a 130-mile, 20-inch trunk pipeline with a throughput capacity of 130,000 barrels per day. During 2008, throughput on Line 2000 averaged approximately 58,000 barrels per day. </w:t>
      </w:r>
    </w:p>
    <w:p>
      <w:pPr>
        <w:pStyle w:val="TextBody"/>
        <w:numPr>
          <w:ilvl w:val="0"/>
          <w:numId w:val="0"/>
        </w:numPr>
        <w:ind w:left="707" w:hanging="0"/>
        <w:rPr>
          <w:rFonts w:ascii="times" w:hAnsi="times"/>
          <w:b/>
          <w:sz w:val="20"/>
        </w:rPr>
      </w:pPr>
      <w:r>
        <w:rPr>
          <w:rFonts w:ascii="times" w:hAnsi="times"/>
          <w:b/>
          <w:sz w:val="20"/>
        </w:rPr>
        <w:t xml:space="preserve">US Rocky Mountain </w:t>
      </w:r>
    </w:p>
    <w:p>
      <w:pPr>
        <w:pStyle w:val="TextBody"/>
        <w:rPr/>
      </w:pPr>
      <w:r>
        <w:rPr/>
        <w:t>        </w:t>
      </w:r>
      <w:r>
        <w:rPr>
          <w:rFonts w:ascii="times" w:hAnsi="times"/>
          <w:i/>
          <w:sz w:val="20"/>
        </w:rPr>
        <w:t>Salt Lake City Area Systems.</w:t>
      </w:r>
      <w:r>
        <w:rPr>
          <w:rFonts w:ascii="times" w:hAnsi="times"/>
        </w:rPr>
        <w:t>    </w:t>
      </w:r>
      <w:r>
        <w:rPr>
          <w:rFonts w:ascii="times" w:hAnsi="times"/>
          <w:sz w:val="20"/>
        </w:rPr>
        <w:t xml:space="preserve">We own and operate 100% of the Salt Lake City Core Area systems, which include an interstate and intrastate common carrier crude oil pipeline system that transports crude oil produced in Canada and the U.S. Rocky Mountain region to refiners in Salt Lake City, Utah. The Salt Lake City Core Area systems consist of 1,011 miles of pipelines (including the Wahsatch Expansion discussed below) and 26 storage tanks with a total storage capacity of approximately 1 million barrels. The trunk pipeline originates in Ft. Laramie, Wyoming, receives deliveries from the Western Corridor system at Guernsey, Wyoming and various other points between Guernsey and Salt Lake City, and can deliver to Salt Lake City, Utah and Rangely, Colorado. The Salt Lake City Core Area systems have a combined throughput capacity of approximately 120,000 barrels per day to Salt Lake City. During 2008, throughput on the Salt Lake City Core Area systems averaged approximately 93,000 barrels per day. </w:t>
      </w:r>
    </w:p>
    <w:p>
      <w:pPr>
        <w:pStyle w:val="TextBody"/>
        <w:rPr/>
      </w:pPr>
      <w:r>
        <w:rPr/>
        <w:t>        </w:t>
      </w:r>
      <w:r>
        <w:rPr>
          <w:rFonts w:ascii="times" w:hAnsi="times"/>
          <w:sz w:val="20"/>
        </w:rPr>
        <w:t xml:space="preserve">In the fourth quarter of 2008, we completed construction on a 93-mile expansion of the Salt Lake City Core Area system from Wahsatch, Utah to Salt Lake City, which has throughput capacity of 120,000 barrels per day. We have entered into 10-year transportation contracts with four Salt Lake City refiners for service on this pipeline. Also, in November 2007, we signed a master formation agreement through which we will sell a 25% interest in this line to Holly Energy Partners-Operating, L.P. As part of this agreement, Holly Refining and Marketing Company has entered into a 10-year transportation agreement on terms consistent with the four previously committed refiners. Plains' portion of the total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12101a_main_toc">
        <w:bookmarkStart w:id="33" w:name="page_dk12101_1_21"/>
        <w:bookmarkEnd w:id="33"/>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project cost was approximately $215 million. We expect to place the line in service and close on this agreement in the first quarter of 2009. </w:t>
      </w:r>
    </w:p>
    <w:p>
      <w:pPr>
        <w:pStyle w:val="TextBody"/>
        <w:numPr>
          <w:ilvl w:val="0"/>
          <w:numId w:val="0"/>
        </w:numPr>
        <w:ind w:left="707" w:hanging="0"/>
        <w:rPr>
          <w:rFonts w:ascii="times" w:hAnsi="times"/>
          <w:b/>
          <w:sz w:val="20"/>
        </w:rPr>
      </w:pPr>
      <w:r>
        <w:rPr>
          <w:rFonts w:ascii="times" w:hAnsi="times"/>
          <w:b/>
          <w:sz w:val="20"/>
        </w:rPr>
        <w:t xml:space="preserve">US Gulf Coast </w:t>
      </w:r>
    </w:p>
    <w:p>
      <w:pPr>
        <w:pStyle w:val="TextBody"/>
        <w:rPr/>
      </w:pPr>
      <w:r>
        <w:rPr/>
        <w:t>        </w:t>
      </w:r>
      <w:r>
        <w:rPr>
          <w:rFonts w:ascii="times" w:hAnsi="times"/>
          <w:i/>
          <w:sz w:val="20"/>
        </w:rPr>
        <w:t>Capline Pipeline System.</w:t>
      </w:r>
      <w:r>
        <w:rPr>
          <w:rFonts w:ascii="times" w:hAnsi="times"/>
        </w:rPr>
        <w:t>    </w:t>
      </w:r>
      <w:r>
        <w:rPr>
          <w:rFonts w:ascii="times" w:hAnsi="times"/>
          <w:sz w:val="20"/>
        </w:rPr>
        <w:t xml:space="preserve">The Capline Pipeline system, in which we own a 22% undivided joint interest, is a 633-mile, 40-inch mainline crude oil pipeline originating in St. James, Louisiana, and terminating in Patoka, Illinois. The Capline Pipeline system is one of the primary transportation routes for crude oil shipped into the Midwestern U.S., accessing approximately 3 million barrels of refining capacity in PADD II. Shell is the operator of this system. Capline has direct connections to a significant amount of crude production in the Gulf of Mexico. In addition, with its two active docks capable of handling 600,000-barrel tankers as well as access to the Louisiana Offshore Oil Port, it is a key transporter of sweet and light sour foreign crude to PADD II. Total system operating capacity is approximately 1 million barrels per day of crude oil, of which approximately 248,000 barrels per day is attributable to our interest. During 2008, throughput on our interest averaged approximately 219,000 barrels per day. </w:t>
      </w:r>
    </w:p>
    <w:p>
      <w:pPr>
        <w:pStyle w:val="TextBody"/>
        <w:numPr>
          <w:ilvl w:val="0"/>
          <w:numId w:val="0"/>
        </w:numPr>
        <w:ind w:left="707" w:hanging="0"/>
        <w:rPr>
          <w:rFonts w:ascii="times" w:hAnsi="times"/>
          <w:b/>
          <w:sz w:val="20"/>
        </w:rPr>
      </w:pPr>
      <w:r>
        <w:rPr>
          <w:rFonts w:ascii="times" w:hAnsi="times"/>
          <w:b/>
          <w:sz w:val="20"/>
        </w:rPr>
        <w:t xml:space="preserve">Canada </w:t>
      </w:r>
    </w:p>
    <w:p>
      <w:pPr>
        <w:pStyle w:val="TextBody"/>
        <w:rPr/>
      </w:pPr>
      <w:r>
        <w:rPr/>
        <w:t>        </w:t>
      </w:r>
      <w:r>
        <w:rPr>
          <w:rFonts w:ascii="times" w:hAnsi="times"/>
          <w:i/>
          <w:sz w:val="20"/>
        </w:rPr>
        <w:t>Rainbow System.</w:t>
      </w:r>
      <w:r>
        <w:rPr>
          <w:rFonts w:ascii="times" w:hAnsi="times"/>
        </w:rPr>
        <w:t>    </w:t>
      </w:r>
      <w:r>
        <w:rPr>
          <w:rFonts w:ascii="times" w:hAnsi="times"/>
          <w:sz w:val="20"/>
        </w:rPr>
        <w:t xml:space="preserve">We own a 100% interest in the Rainbow system. The Rainbow system is 599 miles long consisting of a 480-mile, 20-inch mainline crude oil pipeline extending from the Norman Wells Pipeline located in Zama, Alberta to Edmonton, Alberta and 119 miles of gathering pipelines. The system has a throughput capacity of approximately 200,000 barrels per day and has transported approximately 193,000 barrels per day since we acquired it in May 2008. </w:t>
      </w:r>
    </w:p>
    <w:p>
      <w:pPr>
        <w:pStyle w:val="TextBody"/>
        <w:rPr/>
      </w:pPr>
      <w:r>
        <w:rPr/>
        <w:t>        </w:t>
      </w:r>
      <w:r>
        <w:rPr>
          <w:rFonts w:ascii="times" w:hAnsi="times"/>
          <w:i/>
          <w:sz w:val="20"/>
        </w:rPr>
        <w:t>Rangeland System.</w:t>
      </w:r>
      <w:r>
        <w:rPr>
          <w:rFonts w:ascii="times" w:hAnsi="times"/>
        </w:rPr>
        <w:t>    </w:t>
      </w:r>
      <w:r>
        <w:rPr>
          <w:rFonts w:ascii="times" w:hAnsi="times"/>
          <w:sz w:val="20"/>
        </w:rPr>
        <w:t xml:space="preserve">We own a 100% interest in the Rangeland system. The Rangeland system includes the Mid Alberta Pipeline ("MAPL") and the Rangeland Pipeline. MAPL is a 139-mile proprietary pipeline with a throughput capacity of approximately 50,000 barrels per day if transporting light crude oil. Currently, MAPL originates in Edmonton, Alberta and terminates in Sundre, Alberta, where it connects to the Rangeland Pipeline. We plan to reverse MAPL allowing for flow from Rangeland's Sundre terminal directly to Edmonton. The Rangeland Pipeline is a proprietary pipeline system that consists of approximately 761 miles of gathering and trunk pipelines and is capable of transporting crude oil, condensate and butane either north to Edmonton, Alberta via third-party pipeline connections (or on our system once MAPL is reversed) or south to the U.S./Canadian border near Cutbank, Montana, where it connects to our Western Corridor system. The trunk pipeline from Sundre, Alberta to the U.S./Canadian border consists of approximately 264 miles of trunk pipelines and has a current throughput capacity of approximately 83,000 barrels per day if transporting light crude oil. The trunk system from Sundre, Alberta north to Rimbey, Alberta is a bi-directional system that consists of three parallel trunk pipelines: a 56-mile pipeline for low sulfur crude oil, a 56-mile pipeline for high sulfur crude oil, and a 50-mile pipeline for condensate and butane. From Rimbey, third-party pipelines move product north to Edmonton. For 2008, approximately 34,000 barrels per day of crude oil was transported on the segment of the pipeline from Sundre north to Edmonton and approximately 24,000 barrels per day was transported on the pipeline from Sundre south to the United States. There is approximately 80,000 barrels of tankage at the pipeline terminals at Edmonton. An additional 240,000 barrels of tankage is under construction at Edmonton and is expected to be completed in 2009. </w:t>
      </w:r>
    </w:p>
    <w:p>
      <w:pPr>
        <w:pStyle w:val="TextBody"/>
        <w:rPr/>
      </w:pPr>
      <w:r>
        <w:rPr/>
        <w:t>        </w:t>
      </w:r>
      <w:r>
        <w:rPr>
          <w:rFonts w:ascii="times" w:hAnsi="times"/>
          <w:i/>
          <w:sz w:val="20"/>
        </w:rPr>
        <w:t>Manito.</w:t>
      </w:r>
      <w:r>
        <w:rPr>
          <w:rFonts w:ascii="times" w:hAnsi="times"/>
        </w:rPr>
        <w:t>    </w:t>
      </w:r>
      <w:r>
        <w:rPr>
          <w:rFonts w:ascii="times" w:hAnsi="times"/>
          <w:sz w:val="20"/>
        </w:rPr>
        <w:t xml:space="preserve">We own a 100% interest in the Manito heavy oil system. This 605-mile system is comprised of the Manito pipeline, the North Sask pipeline and the Bodo/Cactus Lake pipeline. The North Sask pipeline is 84 miles in length and originates near Turtleford, Saskatchewan and terminates in Dulwich, Saskatchewan. Dulwich is the initiation point of the Manito pipeline which is 376 miles long and terminates in Kerrobert, Saskatchewan at our storage and terminalling facility. The Bodo/Cactus Lake pipeline is 145 miles long and originates in Bodo, Alberta and also terminates at our Kerrobert storage facility. The Kerrobert storage and terminalling facility is connected to the Enbridge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12101a_main_toc">
        <w:bookmarkStart w:id="34" w:name="page_dk12101_1_22"/>
        <w:bookmarkEnd w:id="34"/>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pipeline system. For 2008, approximately 70,000 barrels per day of crude oil was transported in the Manito system. </w:t>
      </w:r>
    </w:p>
    <w:p>
      <w:pPr>
        <w:pStyle w:val="TextBody"/>
        <w:rPr>
          <w:rFonts w:ascii="times" w:hAnsi="times"/>
          <w:b/>
          <w:i/>
          <w:sz w:val="20"/>
        </w:rPr>
      </w:pPr>
      <w:r>
        <w:rPr>
          <w:rFonts w:ascii="times" w:hAnsi="times"/>
          <w:b/>
          <w:i/>
          <w:sz w:val="20"/>
        </w:rPr>
        <w:t xml:space="preserve">Facilities Segment </w:t>
      </w:r>
    </w:p>
    <w:p>
      <w:pPr>
        <w:pStyle w:val="TextBody"/>
        <w:rPr/>
      </w:pPr>
      <w:r>
        <w:rPr/>
        <w:t>        </w:t>
      </w:r>
      <w:r>
        <w:rPr>
          <w:rFonts w:ascii="times" w:hAnsi="times"/>
          <w:sz w:val="20"/>
        </w:rPr>
        <w:t xml:space="preserve">Our facilities segment operations generally consist of fee-based activities associated with providing storage, terminalling and throughput services for crude oil, refined products and LPG, as well as LPG fractionation and isomerization services. We generate revenue through a combination of month-to-month and multi-year leases and processing arrangements. Revenues generated in this segment include (i) storage fees that are generated when we lease tank capacity, (ii) terminalling fees, or throughput fees, that are generated when we receive crude oil from one connecting pipeline and redeliver crude oil to another connecting carrier and (iii) fees from LPG fractionation and isomerization services. </w:t>
      </w:r>
    </w:p>
    <w:p>
      <w:pPr>
        <w:pStyle w:val="TextBody"/>
        <w:rPr/>
      </w:pPr>
      <w:r>
        <w:rPr/>
        <w:t>        </w:t>
      </w:r>
      <w:r>
        <w:rPr>
          <w:rFonts w:ascii="times" w:hAnsi="times"/>
          <w:sz w:val="20"/>
        </w:rPr>
        <w:t xml:space="preserve">Our facilities segment also includes our equity earnings from our investment in PAA/Vulcan. At December 31, 2008, PAA/Vulcan owned and operated approximately 31 billion cubic feet of underground natural gas storage capacity, which includes 5 billion cubic feet that was placed in service during October 2008, and another 2 Bcf of storage capacity leased from third parties. We are developing an additional 19 billion cubic feet of underground storage capacity, which is expected to be placed into service in phases over the next several years. </w:t>
      </w:r>
    </w:p>
    <w:p>
      <w:pPr>
        <w:pStyle w:val="TextBody"/>
        <w:rPr/>
      </w:pPr>
      <w:r>
        <w:rPr/>
        <w:t>        </w:t>
      </w:r>
      <w:r>
        <w:rPr>
          <w:rFonts w:ascii="times" w:hAnsi="times"/>
          <w:sz w:val="20"/>
        </w:rPr>
        <w:t xml:space="preserve">As of December 31, 2008, we owned and employed a variety of long-term physical assets throughout the United States and Canada in this segment, including: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55 million barrels of crude oil and refined products capacity primarily at our terminalling and storage locations;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approximately 6 million barrels of LPG storage capacity;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fractionation plant in Canada with a processing capacity of 4,400 barrels per day, and a fractionation and isomerization facility in California with an aggregate processing capacity of 22,500 barrels per day. </w:t>
      </w:r>
    </w:p>
    <w:p>
      <w:pPr>
        <w:pStyle w:val="TextBody"/>
        <w:rPr/>
      </w:pPr>
      <w:r>
        <w:rPr/>
        <w:t>        </w:t>
      </w:r>
      <w:r>
        <w:rPr>
          <w:rFonts w:ascii="times" w:hAnsi="times"/>
          <w:sz w:val="20"/>
        </w:rPr>
        <w:t xml:space="preserve">At year-end 2008, we were in the process of constructing approximately 5 million barrels of additional above-ground crude oil and refined product terminalling and storage facilities.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12101a_main_toc">
        <w:bookmarkStart w:id="35" w:name="page_dk12101_1_23"/>
        <w:bookmarkEnd w:id="35"/>
        <w:r>
          <w:rPr>
            <w:rStyle w:val="InternetLink"/>
            <w:rFonts w:ascii="times" w:hAnsi="times"/>
            <w:sz w:val="20"/>
          </w:rPr>
          <w:t>Table of Contents</w:t>
        </w:r>
      </w:hyperlink>
    </w:p>
    <w:p>
      <w:pPr>
        <w:pStyle w:val="TextBody"/>
        <w:rPr/>
      </w:pPr>
      <w:r>
        <w:rPr/>
        <w:t>        </w:t>
      </w:r>
      <w:r>
        <w:rPr>
          <w:rFonts w:ascii="times" w:hAnsi="times"/>
          <w:sz w:val="20"/>
        </w:rPr>
        <w:t xml:space="preserve">Following is a tabular presentation of our active facilities segment assets in the United States and Canada as of December 31, 2008, grouped by product type: </w:t>
      </w:r>
    </w:p>
    <w:tbl>
      <w:tblPr>
        <w:tblW w:w="6099" w:type="dxa"/>
        <w:jc w:val="center"/>
        <w:tblInd w:w="0" w:type="dxa"/>
        <w:tblCellMar>
          <w:top w:w="0" w:type="dxa"/>
          <w:left w:w="0" w:type="dxa"/>
          <w:bottom w:w="0" w:type="dxa"/>
          <w:right w:w="0" w:type="dxa"/>
        </w:tblCellMar>
      </w:tblPr>
      <w:tblGrid>
        <w:gridCol w:w="150"/>
        <w:gridCol w:w="150"/>
        <w:gridCol w:w="4680"/>
        <w:gridCol w:w="180"/>
        <w:gridCol w:w="84"/>
        <w:gridCol w:w="625"/>
        <w:gridCol w:w="230"/>
      </w:tblGrid>
      <w:tr>
        <w:trPr/>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6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4980" w:type="dxa"/>
            <w:gridSpan w:val="3"/>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Facility </w:t>
            </w:r>
          </w:p>
        </w:tc>
        <w:tc>
          <w:tcPr>
            <w:tcW w:w="180" w:type="dxa"/>
            <w:tcBorders/>
            <w:shd w:fill="auto" w:val="clear"/>
            <w:vAlign w:val="bottom"/>
          </w:tcPr>
          <w:p>
            <w:pPr>
              <w:pStyle w:val="TableHeading"/>
              <w:suppressLineNumbers/>
              <w:spacing w:before="0" w:after="283"/>
              <w:jc w:val="center"/>
              <w:rPr/>
            </w:pPr>
            <w:r>
              <w:rPr/>
              <w:t> </w:t>
            </w:r>
          </w:p>
        </w:tc>
        <w:tc>
          <w:tcPr>
            <w:tcW w:w="7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Capacity</w:t>
              <w:br/>
              <w:t>(in millions</w:t>
              <w:br/>
              <w:t>of barrels,</w:t>
              <w:br/>
              <w:t>except</w:t>
              <w:br/>
              <w:t>where</w:t>
              <w:br/>
              <w:t xml:space="preserve">noted) </w:t>
            </w:r>
          </w:p>
        </w:tc>
        <w:tc>
          <w:tcPr>
            <w:tcW w:w="230" w:type="dxa"/>
            <w:tcBorders/>
            <w:shd w:fill="auto" w:val="clear"/>
            <w:vAlign w:val="bottom"/>
          </w:tcPr>
          <w:p>
            <w:pPr>
              <w:pStyle w:val="TableHeading"/>
              <w:suppressLineNumbers/>
              <w:spacing w:before="0" w:after="283"/>
              <w:jc w:val="center"/>
              <w:rPr/>
            </w:pPr>
            <w:r>
              <w:rPr/>
              <w:t> </w:t>
            </w:r>
          </w:p>
        </w:tc>
      </w:tr>
      <w:tr>
        <w:trPr/>
        <w:tc>
          <w:tcPr>
            <w:tcW w:w="4980" w:type="dxa"/>
            <w:gridSpan w:val="3"/>
            <w:tcBorders/>
            <w:shd w:fill="CCEEFF" w:val="clear"/>
          </w:tcPr>
          <w:p>
            <w:pPr>
              <w:pStyle w:val="TableContents"/>
              <w:spacing w:before="0" w:after="283"/>
              <w:ind w:left="200" w:right="0" w:hanging="200"/>
              <w:rPr>
                <w:rFonts w:ascii="times" w:hAnsi="times"/>
                <w:b/>
                <w:sz w:val="20"/>
              </w:rPr>
            </w:pPr>
            <w:r>
              <w:rPr>
                <w:rFonts w:ascii="times" w:hAnsi="times"/>
                <w:b/>
                <w:sz w:val="20"/>
              </w:rPr>
              <w:t>Crude Oil and Refined Products</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30" w:type="dxa"/>
            <w:gridSpan w:val="2"/>
            <w:tcBorders/>
            <w:shd w:fill="FFFFFF" w:val="clear"/>
          </w:tcPr>
          <w:p>
            <w:pPr>
              <w:pStyle w:val="TableContents"/>
              <w:spacing w:before="0" w:after="283"/>
              <w:ind w:left="200" w:right="0" w:hanging="200"/>
              <w:rPr>
                <w:rFonts w:ascii="times" w:hAnsi="times"/>
                <w:i/>
                <w:sz w:val="20"/>
              </w:rPr>
            </w:pPr>
            <w:r>
              <w:rPr>
                <w:rFonts w:ascii="times" w:hAnsi="times"/>
                <w:i/>
                <w:sz w:val="20"/>
              </w:rPr>
              <w:t>Cushing</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11</w:t>
            </w:r>
          </w:p>
        </w:tc>
        <w:tc>
          <w:tcPr>
            <w:tcW w:w="23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30" w:type="dxa"/>
            <w:gridSpan w:val="2"/>
            <w:tcBorders/>
            <w:shd w:fill="CCEEFF" w:val="clear"/>
          </w:tcPr>
          <w:p>
            <w:pPr>
              <w:pStyle w:val="TableContents"/>
              <w:spacing w:before="0" w:after="283"/>
              <w:ind w:left="200" w:right="0" w:hanging="200"/>
              <w:rPr>
                <w:rFonts w:ascii="times" w:hAnsi="times"/>
                <w:i/>
                <w:sz w:val="20"/>
              </w:rPr>
            </w:pPr>
            <w:r>
              <w:rPr>
                <w:rFonts w:ascii="times" w:hAnsi="times"/>
                <w:i/>
                <w:sz w:val="20"/>
              </w:rPr>
              <w:t>Kerrobert</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1</w:t>
            </w:r>
          </w:p>
        </w:tc>
        <w:tc>
          <w:tcPr>
            <w:tcW w:w="23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30" w:type="dxa"/>
            <w:gridSpan w:val="2"/>
            <w:tcBorders/>
            <w:shd w:fill="FFFFFF" w:val="clear"/>
          </w:tcPr>
          <w:p>
            <w:pPr>
              <w:pStyle w:val="TableContents"/>
              <w:spacing w:before="0" w:after="283"/>
              <w:ind w:left="200" w:right="0" w:hanging="200"/>
              <w:rPr>
                <w:rFonts w:ascii="times" w:hAnsi="times"/>
                <w:i/>
                <w:sz w:val="20"/>
              </w:rPr>
            </w:pPr>
            <w:r>
              <w:rPr>
                <w:rFonts w:ascii="times" w:hAnsi="times"/>
                <w:i/>
                <w:sz w:val="20"/>
              </w:rPr>
              <w:t>L.A. Basin</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10</w:t>
            </w:r>
          </w:p>
        </w:tc>
        <w:tc>
          <w:tcPr>
            <w:tcW w:w="23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30" w:type="dxa"/>
            <w:gridSpan w:val="2"/>
            <w:tcBorders/>
            <w:shd w:fill="CCEEFF" w:val="clear"/>
          </w:tcPr>
          <w:p>
            <w:pPr>
              <w:pStyle w:val="TableContents"/>
              <w:spacing w:before="0" w:after="283"/>
              <w:ind w:left="200" w:right="0" w:hanging="200"/>
              <w:rPr>
                <w:rFonts w:ascii="times" w:hAnsi="times"/>
                <w:i/>
                <w:sz w:val="20"/>
              </w:rPr>
            </w:pPr>
            <w:r>
              <w:rPr>
                <w:rFonts w:ascii="times" w:hAnsi="times"/>
                <w:i/>
                <w:sz w:val="20"/>
              </w:rPr>
              <w:t>Martinez and Richmond</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5</w:t>
            </w:r>
          </w:p>
        </w:tc>
        <w:tc>
          <w:tcPr>
            <w:tcW w:w="23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30" w:type="dxa"/>
            <w:gridSpan w:val="2"/>
            <w:tcBorders/>
            <w:shd w:fill="FFFFFF" w:val="clear"/>
          </w:tcPr>
          <w:p>
            <w:pPr>
              <w:pStyle w:val="TableContents"/>
              <w:spacing w:before="0" w:after="283"/>
              <w:ind w:left="200" w:right="0" w:hanging="200"/>
              <w:rPr>
                <w:rFonts w:ascii="times" w:hAnsi="times"/>
                <w:i/>
                <w:sz w:val="20"/>
              </w:rPr>
            </w:pPr>
            <w:r>
              <w:rPr>
                <w:rFonts w:ascii="times" w:hAnsi="times"/>
                <w:i/>
                <w:sz w:val="20"/>
              </w:rPr>
              <w:t>Mobile and Ten Mile</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2</w:t>
            </w:r>
          </w:p>
        </w:tc>
        <w:tc>
          <w:tcPr>
            <w:tcW w:w="23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30" w:type="dxa"/>
            <w:gridSpan w:val="2"/>
            <w:tcBorders/>
            <w:shd w:fill="CCEEFF" w:val="clear"/>
          </w:tcPr>
          <w:p>
            <w:pPr>
              <w:pStyle w:val="TableContents"/>
              <w:spacing w:before="0" w:after="283"/>
              <w:ind w:left="200" w:right="0" w:hanging="200"/>
              <w:rPr>
                <w:rFonts w:ascii="times" w:hAnsi="times"/>
                <w:i/>
                <w:sz w:val="20"/>
              </w:rPr>
            </w:pPr>
            <w:r>
              <w:rPr>
                <w:rFonts w:ascii="times" w:hAnsi="times"/>
                <w:i/>
                <w:sz w:val="20"/>
              </w:rPr>
              <w:t>Patoka</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3</w:t>
            </w:r>
          </w:p>
        </w:tc>
        <w:tc>
          <w:tcPr>
            <w:tcW w:w="23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30" w:type="dxa"/>
            <w:gridSpan w:val="2"/>
            <w:tcBorders/>
            <w:shd w:fill="FFFFFF" w:val="clear"/>
          </w:tcPr>
          <w:p>
            <w:pPr>
              <w:pStyle w:val="TableContents"/>
              <w:spacing w:before="0" w:after="283"/>
              <w:ind w:left="200" w:right="0" w:hanging="200"/>
              <w:rPr>
                <w:rFonts w:ascii="times" w:hAnsi="times"/>
                <w:i/>
                <w:sz w:val="20"/>
              </w:rPr>
            </w:pPr>
            <w:r>
              <w:rPr>
                <w:rFonts w:ascii="times" w:hAnsi="times"/>
                <w:i/>
                <w:sz w:val="20"/>
              </w:rPr>
              <w:t>Philadelphia Area</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3</w:t>
            </w:r>
          </w:p>
        </w:tc>
        <w:tc>
          <w:tcPr>
            <w:tcW w:w="23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30" w:type="dxa"/>
            <w:gridSpan w:val="2"/>
            <w:tcBorders/>
            <w:shd w:fill="CCEEFF" w:val="clear"/>
          </w:tcPr>
          <w:p>
            <w:pPr>
              <w:pStyle w:val="TableContents"/>
              <w:spacing w:before="0" w:after="283"/>
              <w:ind w:left="200" w:right="0" w:hanging="200"/>
              <w:rPr>
                <w:rFonts w:ascii="times" w:hAnsi="times"/>
                <w:i/>
                <w:sz w:val="20"/>
              </w:rPr>
            </w:pPr>
            <w:r>
              <w:rPr>
                <w:rFonts w:ascii="times" w:hAnsi="times"/>
                <w:i/>
                <w:sz w:val="20"/>
              </w:rPr>
              <w:t>St. James</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6</w:t>
            </w:r>
          </w:p>
        </w:tc>
        <w:tc>
          <w:tcPr>
            <w:tcW w:w="23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30" w:type="dxa"/>
            <w:gridSpan w:val="2"/>
            <w:tcBorders/>
            <w:shd w:fill="FFFFFF" w:val="clear"/>
          </w:tcPr>
          <w:p>
            <w:pPr>
              <w:pStyle w:val="TableContents"/>
              <w:spacing w:before="0" w:after="283"/>
              <w:ind w:left="200" w:right="0" w:hanging="200"/>
              <w:rPr>
                <w:rFonts w:ascii="times" w:hAnsi="times"/>
                <w:i/>
                <w:sz w:val="20"/>
              </w:rPr>
            </w:pPr>
            <w:r>
              <w:rPr>
                <w:rFonts w:ascii="times" w:hAnsi="times"/>
                <w:i/>
                <w:sz w:val="20"/>
              </w:rPr>
              <w:t>Other</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14</w:t>
            </w:r>
          </w:p>
        </w:tc>
        <w:tc>
          <w:tcPr>
            <w:tcW w:w="230" w:type="dxa"/>
            <w:tcBorders/>
            <w:shd w:fill="FFFFFF" w:val="clear"/>
          </w:tcPr>
          <w:p>
            <w:pPr>
              <w:pStyle w:val="TableContents"/>
              <w:spacing w:before="0" w:after="283"/>
              <w:rPr/>
            </w:pPr>
            <w:r>
              <w:rPr/>
              <w:t> </w:t>
            </w:r>
          </w:p>
        </w:tc>
      </w:tr>
      <w:tr>
        <w:trPr/>
        <w:tc>
          <w:tcPr>
            <w:tcW w:w="498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0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3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4680" w:type="dxa"/>
            <w:tcBorders/>
            <w:shd w:fill="CCEEFF" w:val="clear"/>
          </w:tcPr>
          <w:p>
            <w:pPr>
              <w:pStyle w:val="TableContents"/>
              <w:spacing w:before="0" w:after="283"/>
              <w:ind w:left="200" w:right="0" w:hanging="200"/>
              <w:rPr>
                <w:rFonts w:ascii="times" w:hAnsi="times"/>
                <w:b/>
                <w:sz w:val="20"/>
              </w:rPr>
            </w:pPr>
            <w:r>
              <w:rPr>
                <w:rFonts w:ascii="times" w:hAnsi="times"/>
                <w:b/>
                <w:sz w:val="20"/>
              </w:rPr>
              <w:t>Subtotal</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b/>
                <w:sz w:val="20"/>
              </w:rPr>
            </w:pPr>
            <w:r>
              <w:rPr>
                <w:rFonts w:ascii="times" w:hAnsi="times"/>
                <w:b/>
                <w:sz w:val="20"/>
              </w:rPr>
              <w:t>55</w:t>
            </w:r>
          </w:p>
        </w:tc>
        <w:tc>
          <w:tcPr>
            <w:tcW w:w="230" w:type="dxa"/>
            <w:tcBorders/>
            <w:shd w:fill="CCEEFF" w:val="clear"/>
          </w:tcPr>
          <w:p>
            <w:pPr>
              <w:pStyle w:val="TableContents"/>
              <w:spacing w:before="0" w:after="283"/>
              <w:rPr/>
            </w:pPr>
            <w:r>
              <w:rPr/>
              <w:t> </w:t>
            </w:r>
          </w:p>
        </w:tc>
      </w:tr>
      <w:tr>
        <w:trPr/>
        <w:tc>
          <w:tcPr>
            <w:tcW w:w="4980" w:type="dxa"/>
            <w:gridSpan w:val="3"/>
            <w:tcBorders/>
            <w:shd w:fill="FFFFFF" w:val="clear"/>
          </w:tcPr>
          <w:p>
            <w:pPr>
              <w:pStyle w:val="TableContents"/>
              <w:spacing w:before="0" w:after="283"/>
              <w:ind w:left="200" w:right="0" w:hanging="200"/>
              <w:rPr>
                <w:rFonts w:ascii="times" w:hAnsi="times"/>
                <w:b/>
                <w:sz w:val="20"/>
              </w:rPr>
            </w:pPr>
            <w:r>
              <w:rPr>
                <w:rFonts w:ascii="times" w:hAnsi="times"/>
                <w:b/>
                <w:sz w:val="20"/>
              </w:rPr>
              <w:t>LPG</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rPr/>
            </w:pPr>
            <w:r>
              <w:rPr/>
              <w:t> </w:t>
            </w:r>
          </w:p>
        </w:tc>
        <w:tc>
          <w:tcPr>
            <w:tcW w:w="23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30" w:type="dxa"/>
            <w:gridSpan w:val="2"/>
            <w:tcBorders/>
            <w:shd w:fill="CCEEFF" w:val="clear"/>
          </w:tcPr>
          <w:p>
            <w:pPr>
              <w:pStyle w:val="TableContents"/>
              <w:spacing w:before="0" w:after="283"/>
              <w:ind w:left="200" w:right="0" w:hanging="200"/>
              <w:rPr>
                <w:rFonts w:ascii="times" w:hAnsi="times"/>
                <w:i/>
                <w:sz w:val="20"/>
              </w:rPr>
            </w:pPr>
            <w:r>
              <w:rPr>
                <w:rFonts w:ascii="times" w:hAnsi="times"/>
                <w:i/>
                <w:sz w:val="20"/>
              </w:rPr>
              <w:t>Bumstead</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2</w:t>
            </w:r>
          </w:p>
        </w:tc>
        <w:tc>
          <w:tcPr>
            <w:tcW w:w="23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30" w:type="dxa"/>
            <w:gridSpan w:val="2"/>
            <w:tcBorders/>
            <w:shd w:fill="FFFFFF" w:val="clear"/>
          </w:tcPr>
          <w:p>
            <w:pPr>
              <w:pStyle w:val="TableContents"/>
              <w:spacing w:before="0" w:after="283"/>
              <w:ind w:left="200" w:right="0" w:hanging="200"/>
              <w:rPr>
                <w:rFonts w:ascii="times" w:hAnsi="times"/>
                <w:i/>
                <w:sz w:val="20"/>
              </w:rPr>
            </w:pPr>
            <w:r>
              <w:rPr>
                <w:rFonts w:ascii="times" w:hAnsi="times"/>
                <w:i/>
                <w:sz w:val="20"/>
              </w:rPr>
              <w:t>Tirzah</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1</w:t>
            </w:r>
          </w:p>
        </w:tc>
        <w:tc>
          <w:tcPr>
            <w:tcW w:w="23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30" w:type="dxa"/>
            <w:gridSpan w:val="2"/>
            <w:tcBorders/>
            <w:shd w:fill="CCEEFF" w:val="clear"/>
          </w:tcPr>
          <w:p>
            <w:pPr>
              <w:pStyle w:val="TableContents"/>
              <w:spacing w:before="0" w:after="283"/>
              <w:ind w:left="200" w:right="0" w:hanging="200"/>
              <w:rPr>
                <w:rFonts w:ascii="times" w:hAnsi="times"/>
                <w:i/>
                <w:sz w:val="20"/>
              </w:rPr>
            </w:pPr>
            <w:r>
              <w:rPr>
                <w:rFonts w:ascii="times" w:hAnsi="times"/>
                <w:i/>
                <w:sz w:val="20"/>
              </w:rPr>
              <w:t>Other</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3</w:t>
            </w:r>
          </w:p>
        </w:tc>
        <w:tc>
          <w:tcPr>
            <w:tcW w:w="230" w:type="dxa"/>
            <w:tcBorders/>
            <w:shd w:fill="CCEEFF" w:val="clear"/>
          </w:tcPr>
          <w:p>
            <w:pPr>
              <w:pStyle w:val="TableContents"/>
              <w:spacing w:before="0" w:after="283"/>
              <w:rPr/>
            </w:pPr>
            <w:r>
              <w:rPr/>
              <w:t> </w:t>
            </w:r>
          </w:p>
        </w:tc>
      </w:tr>
      <w:tr>
        <w:trPr/>
        <w:tc>
          <w:tcPr>
            <w:tcW w:w="4980"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0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3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150" w:type="dxa"/>
            <w:tcBorders/>
            <w:shd w:fill="FFFFFF" w:val="clear"/>
          </w:tcPr>
          <w:p>
            <w:pPr>
              <w:pStyle w:val="TableContents"/>
              <w:spacing w:before="0" w:after="283"/>
              <w:rPr/>
            </w:pPr>
            <w:r>
              <w:rPr/>
              <w:t> </w:t>
            </w:r>
          </w:p>
        </w:tc>
        <w:tc>
          <w:tcPr>
            <w:tcW w:w="4680" w:type="dxa"/>
            <w:tcBorders/>
            <w:shd w:fill="FFFFFF" w:val="clear"/>
          </w:tcPr>
          <w:p>
            <w:pPr>
              <w:pStyle w:val="TableContents"/>
              <w:spacing w:before="0" w:after="283"/>
              <w:ind w:left="200" w:right="0" w:hanging="200"/>
              <w:rPr>
                <w:rFonts w:ascii="times" w:hAnsi="times"/>
                <w:b/>
                <w:sz w:val="20"/>
              </w:rPr>
            </w:pPr>
            <w:r>
              <w:rPr>
                <w:rFonts w:ascii="times" w:hAnsi="times"/>
                <w:b/>
                <w:sz w:val="20"/>
              </w:rPr>
              <w:t>Subtotal</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b/>
                <w:sz w:val="20"/>
              </w:rPr>
            </w:pPr>
            <w:r>
              <w:rPr>
                <w:rFonts w:ascii="times" w:hAnsi="times"/>
                <w:b/>
                <w:sz w:val="20"/>
              </w:rPr>
              <w:t>6</w:t>
            </w:r>
          </w:p>
        </w:tc>
        <w:tc>
          <w:tcPr>
            <w:tcW w:w="230" w:type="dxa"/>
            <w:tcBorders/>
            <w:shd w:fill="FFFFFF" w:val="clear"/>
          </w:tcPr>
          <w:p>
            <w:pPr>
              <w:pStyle w:val="TableContents"/>
              <w:spacing w:before="0" w:after="283"/>
              <w:rPr/>
            </w:pPr>
            <w:r>
              <w:rPr/>
              <w:t> </w:t>
            </w:r>
          </w:p>
        </w:tc>
      </w:tr>
      <w:tr>
        <w:trPr/>
        <w:tc>
          <w:tcPr>
            <w:tcW w:w="4980" w:type="dxa"/>
            <w:gridSpan w:val="3"/>
            <w:tcBorders/>
            <w:shd w:fill="CCEEFF" w:val="clear"/>
          </w:tcPr>
          <w:p>
            <w:pPr>
              <w:pStyle w:val="TableContents"/>
              <w:spacing w:before="0" w:after="283"/>
              <w:ind w:left="200" w:right="0" w:hanging="200"/>
              <w:rPr>
                <w:rFonts w:ascii="times" w:hAnsi="times"/>
                <w:b/>
                <w:sz w:val="20"/>
              </w:rPr>
            </w:pPr>
            <w:r>
              <w:rPr>
                <w:rFonts w:ascii="times" w:hAnsi="times"/>
                <w:b/>
                <w:sz w:val="20"/>
              </w:rPr>
              <w:t>Natural Gas</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830" w:type="dxa"/>
            <w:gridSpan w:val="2"/>
            <w:tcBorders/>
            <w:shd w:fill="FFFFFF" w:val="clear"/>
          </w:tcPr>
          <w:p>
            <w:pPr>
              <w:pStyle w:val="TableContents"/>
              <w:spacing w:before="0" w:after="283"/>
              <w:ind w:left="200" w:right="0" w:hanging="200"/>
              <w:rPr>
                <w:rFonts w:ascii="times" w:hAnsi="times"/>
                <w:i/>
                <w:sz w:val="20"/>
              </w:rPr>
            </w:pPr>
            <w:r>
              <w:rPr>
                <w:rFonts w:ascii="times" w:hAnsi="times"/>
                <w:i/>
                <w:sz w:val="20"/>
              </w:rPr>
              <w:t>Bluewater/Kimball</w:t>
            </w:r>
            <w:r>
              <w:rPr>
                <w:rFonts w:ascii="times" w:hAnsi="times"/>
                <w:i/>
                <w:position w:val="7"/>
                <w:sz w:val="16"/>
                <w:sz w:val="20"/>
              </w:rPr>
              <w:t>(1)</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26 Bcf</w:t>
            </w:r>
          </w:p>
        </w:tc>
        <w:tc>
          <w:tcPr>
            <w:tcW w:w="23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(2)(3)</w:t>
            </w:r>
          </w:p>
        </w:tc>
      </w:tr>
      <w:tr>
        <w:trPr/>
        <w:tc>
          <w:tcPr>
            <w:tcW w:w="150" w:type="dxa"/>
            <w:tcBorders/>
            <w:shd w:fill="CCEEFF" w:val="clear"/>
          </w:tcPr>
          <w:p>
            <w:pPr>
              <w:pStyle w:val="TableContents"/>
              <w:spacing w:before="0" w:after="283"/>
              <w:rPr/>
            </w:pPr>
            <w:r>
              <w:rPr/>
              <w:t> </w:t>
            </w:r>
          </w:p>
        </w:tc>
        <w:tc>
          <w:tcPr>
            <w:tcW w:w="4830" w:type="dxa"/>
            <w:gridSpan w:val="2"/>
            <w:tcBorders/>
            <w:shd w:fill="CCEEFF" w:val="clear"/>
          </w:tcPr>
          <w:p>
            <w:pPr>
              <w:pStyle w:val="TableContents"/>
              <w:spacing w:before="0" w:after="283"/>
              <w:ind w:left="200" w:right="0" w:hanging="200"/>
              <w:rPr>
                <w:rFonts w:ascii="times" w:hAnsi="times"/>
                <w:i/>
                <w:sz w:val="20"/>
              </w:rPr>
            </w:pPr>
            <w:r>
              <w:rPr>
                <w:rFonts w:ascii="times" w:hAnsi="times"/>
                <w:i/>
                <w:sz w:val="20"/>
              </w:rPr>
              <w:t>Pine Prairie</w:t>
            </w:r>
            <w:r>
              <w:rPr>
                <w:rFonts w:ascii="times" w:hAnsi="times"/>
                <w:i/>
                <w:position w:val="7"/>
                <w:sz w:val="16"/>
                <w:sz w:val="20"/>
              </w:rPr>
              <w:t>(1)</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5 Bcf</w:t>
            </w:r>
          </w:p>
        </w:tc>
        <w:tc>
          <w:tcPr>
            <w:tcW w:w="23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(2)(3)</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Owned through our interest in PAA/Vulcan.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Our interest in these facilities is 50% of the capacity.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Billion cubic feet ("Bcf") </w:t>
      </w:r>
    </w:p>
    <w:p>
      <w:pPr>
        <w:pStyle w:val="TextBody"/>
        <w:rPr/>
      </w:pPr>
      <w:r>
        <w:rPr/>
        <w:t>        </w:t>
      </w:r>
      <w:r>
        <w:rPr>
          <w:rFonts w:ascii="times" w:hAnsi="times"/>
          <w:sz w:val="20"/>
        </w:rPr>
        <w:t xml:space="preserve">Below is a detailed description of our more significant facilities segment assets. </w:t>
      </w:r>
    </w:p>
    <w:p>
      <w:pPr>
        <w:pStyle w:val="TextBody"/>
        <w:rPr>
          <w:rFonts w:ascii="times" w:hAnsi="times"/>
          <w:b/>
          <w:sz w:val="20"/>
        </w:rPr>
      </w:pPr>
      <w:r>
        <w:rPr>
          <w:rFonts w:ascii="times" w:hAnsi="times"/>
          <w:b/>
          <w:sz w:val="20"/>
        </w:rPr>
        <w:t xml:space="preserve">Major Facilities Assets </w:t>
      </w:r>
    </w:p>
    <w:p>
      <w:pPr>
        <w:pStyle w:val="TextBody"/>
        <w:numPr>
          <w:ilvl w:val="0"/>
          <w:numId w:val="0"/>
        </w:numPr>
        <w:ind w:left="707" w:hanging="0"/>
        <w:rPr>
          <w:rFonts w:ascii="times" w:hAnsi="times"/>
          <w:b/>
          <w:sz w:val="20"/>
        </w:rPr>
      </w:pPr>
      <w:r>
        <w:rPr>
          <w:rFonts w:ascii="times" w:hAnsi="times"/>
          <w:b/>
          <w:sz w:val="20"/>
        </w:rPr>
        <w:t xml:space="preserve">Crude Oil and Refined Products </w:t>
      </w:r>
    </w:p>
    <w:p>
      <w:pPr>
        <w:pStyle w:val="TextBody"/>
        <w:rPr/>
      </w:pPr>
      <w:r>
        <w:rPr/>
        <w:t>        </w:t>
      </w:r>
      <w:r>
        <w:rPr>
          <w:rFonts w:ascii="times" w:hAnsi="times"/>
          <w:i/>
          <w:sz w:val="20"/>
        </w:rPr>
        <w:t>Cushing Terminal.</w:t>
      </w:r>
      <w:r>
        <w:rPr>
          <w:rFonts w:ascii="times" w:hAnsi="times"/>
        </w:rPr>
        <w:t>    </w:t>
      </w:r>
      <w:r>
        <w:rPr>
          <w:rFonts w:ascii="times" w:hAnsi="times"/>
          <w:sz w:val="20"/>
        </w:rPr>
        <w:t xml:space="preserve">Our Cushing, Oklahoma Terminal (the "Cushing Terminal") is located at the Cushing Interchange,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Our Cushing Terminal was constructed in 1993, with an initial tankage capacity of 2 million barrels, to capitalize on the crude oil supply and demand imbalance in the Midwest. The facility is designed to handle multiple grades of crude oil while minimizing the interface and enabling deliveries to connecting carriers at their maximum rate. The facility also incorporates numerous environmental and operational safeguards that distinguish it from other facilities at the Cushing Interchange.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12101a_main_toc">
        <w:bookmarkStart w:id="36" w:name="page_dk12101_1_24"/>
        <w:bookmarkEnd w:id="36"/>
        <w:r>
          <w:rPr>
            <w:rStyle w:val="InternetLink"/>
            <w:rFonts w:ascii="times" w:hAnsi="times"/>
            <w:sz w:val="20"/>
          </w:rPr>
          <w:t>Table of Contents</w:t>
        </w:r>
      </w:hyperlink>
    </w:p>
    <w:p>
      <w:pPr>
        <w:pStyle w:val="TextBody"/>
        <w:rPr/>
      </w:pPr>
      <w:r>
        <w:rPr/>
        <w:t>        </w:t>
      </w:r>
      <w:r>
        <w:rPr>
          <w:rFonts w:ascii="times" w:hAnsi="times"/>
          <w:sz w:val="20"/>
        </w:rPr>
        <w:t xml:space="preserve">Since 1999, we have completed six separate expansion phases, which increased the capacity of the Cushing Terminal to a total of approximately 11 million barrels. The Cushing Terminal now consists of fourteen 100,000-barrel tanks, four 150,000-barrel tanks, twenty 270,000-barrel tanks and six 570,000-barrel tanks, all of which are used to store and terminal crude oil. See "New Crude Oil Storage Facilities Under Construction and Under Development" below for discussion of ongoing expansion activities at this facility. </w:t>
      </w:r>
    </w:p>
    <w:p>
      <w:pPr>
        <w:pStyle w:val="TextBody"/>
        <w:rPr/>
      </w:pPr>
      <w:r>
        <w:rPr/>
        <w:t>        </w:t>
      </w:r>
      <w:r>
        <w:rPr>
          <w:rFonts w:ascii="times" w:hAnsi="times"/>
          <w:i/>
          <w:sz w:val="20"/>
        </w:rPr>
        <w:t>Kerrobert Terminal.</w:t>
      </w:r>
      <w:r>
        <w:rPr>
          <w:rFonts w:ascii="times" w:hAnsi="times"/>
        </w:rPr>
        <w:t>    </w:t>
      </w:r>
      <w:r>
        <w:rPr>
          <w:rFonts w:ascii="times" w:hAnsi="times"/>
          <w:sz w:val="20"/>
        </w:rPr>
        <w:t xml:space="preserve">We own a crude oil and condensate storage and terminalling facility, which is located near Kerrobert, Saskatchewan and is connected to our Manito and Cactus Lake pipeline systems. In 2006, we increased the storage capacity at our Kerrobert facility by 600,000 barrels of tankage and an additional 300,000 barrels of tankage was added in 2007, bringing the total storage capacity to approximately 1 million barrels. The cost of these expansions totaled approximately $42 million. In 2008, we commenced an additional internal growth project on the Kerrobert terminal, which will increase receipt and delivery capacity and reduce third-party costs. The cost of the project is estimated to be approximately $43 million, of which approximately $34 million is estimated to be incurred in 2009. </w:t>
      </w:r>
    </w:p>
    <w:p>
      <w:pPr>
        <w:pStyle w:val="TextBody"/>
        <w:rPr/>
      </w:pPr>
      <w:r>
        <w:rPr/>
        <w:t>        </w:t>
      </w:r>
      <w:r>
        <w:rPr>
          <w:rFonts w:ascii="times" w:hAnsi="times"/>
          <w:i/>
          <w:sz w:val="20"/>
        </w:rPr>
        <w:t>L.A. Basin.</w:t>
      </w:r>
      <w:r>
        <w:rPr>
          <w:rFonts w:ascii="times" w:hAnsi="times"/>
        </w:rPr>
        <w:t>    </w:t>
      </w:r>
      <w:r>
        <w:rPr>
          <w:rFonts w:ascii="times" w:hAnsi="times"/>
          <w:sz w:val="20"/>
        </w:rPr>
        <w:t xml:space="preserve">We own four crude oil and refined product storage facilities in the Los Angeles area with a total of 10 million barrels of storage capacity and a distribution pipeline system of approximately 70 miles of pipeline in the Los Angeles Basin. The storage facility includes 37 storage tanks. Approximately 9 million barrels of the storage capacity are in commercial service (including approximately 1 million barrels that were placed in service in 2008 at a cost of $21 million) and 1 million barrels are used primarily for throughput to other storage tanks and for displacement oil and do not generate revenue independently. We use the Los Angeles area storage and distribution system to service the storage and distribution needs of the refining, pipeline and marine terminal industries in the Los Angeles Basin. The Los Angeles area system's pipeline distribution assets connect its storage assets with major refineries, our Line 2000 pipeline, and third-party pipelines and marine terminals in the Los Angeles Basin. The system is capable of loading and off-loading marine shipments at a rate of 25,000 barrels per hour and transporting the product directly to or from certain refineries, other pipelines or its storage facilities. In addition, we can deliver crude oil and feedstocks from our storage facilities to the refineries served by this system at rates of up to 6,000 barrels per hour. </w:t>
      </w:r>
    </w:p>
    <w:p>
      <w:pPr>
        <w:pStyle w:val="TextBody"/>
        <w:rPr/>
      </w:pPr>
      <w:r>
        <w:rPr/>
        <w:t>        </w:t>
      </w:r>
      <w:r>
        <w:rPr>
          <w:rFonts w:ascii="times" w:hAnsi="times"/>
          <w:i/>
          <w:sz w:val="20"/>
        </w:rPr>
        <w:t>Martinez and Richmond Terminals.</w:t>
      </w:r>
      <w:r>
        <w:rPr>
          <w:rFonts w:ascii="times" w:hAnsi="times"/>
        </w:rPr>
        <w:t>    </w:t>
      </w:r>
      <w:r>
        <w:rPr>
          <w:rFonts w:ascii="times" w:hAnsi="times"/>
          <w:sz w:val="20"/>
        </w:rPr>
        <w:t xml:space="preserve">We own two terminals in the San Francisco, California area: a terminal at Martinez (which provides refined product and crude oil service) and a terminal at Richmond (which provides refined product service). Our San Francisco area terminals currently have 56 storage tanks with approximately 5 million barrels of combined storage capacity that are connected to area refineries through a network of owned and third-party pipelines that carry crude oil and refined products to and from area refineries. The terminals have dock facilities that can load between approximately 4,000 and 10,000 barrels per hour of refined products. There is also a rail spur at the Richmond terminal that is able to receive products by train. </w:t>
      </w:r>
    </w:p>
    <w:p>
      <w:pPr>
        <w:pStyle w:val="TextBody"/>
        <w:rPr/>
      </w:pPr>
      <w:r>
        <w:rPr/>
        <w:t>        </w:t>
      </w:r>
      <w:r>
        <w:rPr>
          <w:rFonts w:ascii="times" w:hAnsi="times"/>
          <w:i/>
          <w:sz w:val="20"/>
        </w:rPr>
        <w:t>Mobile and Ten Mile Terminal.</w:t>
      </w:r>
      <w:r>
        <w:rPr>
          <w:rFonts w:ascii="times" w:hAnsi="times"/>
        </w:rPr>
        <w:t>    </w:t>
      </w:r>
      <w:r>
        <w:rPr>
          <w:rFonts w:ascii="times" w:hAnsi="times"/>
          <w:sz w:val="20"/>
        </w:rPr>
        <w:t xml:space="preserve">We have a marine terminal in Mobile, Alabama (the "Mobile Terminal") that consists of seventeen tanks ranging in size from 10,000 barrels to 225,000 barrels, with current useable capacity of approximately 2 million barrels. Approximately 3 million barrels of additional storage capacity is available at our nearby Ten Mile Facility through a 36-inch pipeline connecting the two facilities, of which approximately half of the storage capacity is included within the transportation segment. </w:t>
      </w:r>
    </w:p>
    <w:p>
      <w:pPr>
        <w:pStyle w:val="TextBody"/>
        <w:rPr/>
      </w:pPr>
      <w:r>
        <w:rPr/>
        <w:t>        </w:t>
      </w:r>
      <w:r>
        <w:rPr>
          <w:rFonts w:ascii="times" w:hAnsi="times"/>
          <w:sz w:val="20"/>
        </w:rPr>
        <w:t xml:space="preserve">The Mobile Terminal is equipped with a ship/tanker dock, barge dock, truck-unloading facilities and various third 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12101a_main_toc">
        <w:bookmarkStart w:id="37" w:name="page_dm12101_1_25"/>
        <w:bookmarkEnd w:id="37"/>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i/>
          <w:sz w:val="20"/>
        </w:rPr>
        <w:t>Patoka Terminal.</w:t>
      </w:r>
      <w:r>
        <w:rPr>
          <w:rFonts w:ascii="times" w:hAnsi="times"/>
        </w:rPr>
        <w:t>    </w:t>
      </w:r>
      <w:r>
        <w:rPr>
          <w:rFonts w:ascii="times" w:hAnsi="times"/>
          <w:sz w:val="20"/>
        </w:rPr>
        <w:t xml:space="preserve">We recently constructed three 670,000-barrel and two 400,000-barrel tanks at the Patoka Interchange located in southern Illinois. The terminal was substantially completed during the fourth quarter of 2008 at a cost of $85 million; however, additional third-party pipeline connections remain to be completed in the first quarter of 2009, which we estimate will cost $2 million. We anticipate Patoka to be a growing regional hub with access to domestic and foreign crude oil volumes moving north on the Capline system as well as Canadian barrels moving south. This project will have the ability to be expanded should market conditions warrant. See "New Crude Oil Storage Facilities Under Construction and Under Development" below for discussion of ongoing expansion activities at this facility. </w:t>
      </w:r>
    </w:p>
    <w:p>
      <w:pPr>
        <w:pStyle w:val="TextBody"/>
        <w:rPr/>
      </w:pPr>
      <w:r>
        <w:rPr/>
        <w:t>        </w:t>
      </w:r>
      <w:r>
        <w:rPr>
          <w:rFonts w:ascii="times" w:hAnsi="times"/>
          <w:i/>
          <w:sz w:val="20"/>
        </w:rPr>
        <w:t>Philadelphia Area Terminals.</w:t>
      </w:r>
      <w:r>
        <w:rPr>
          <w:rFonts w:ascii="times" w:hAnsi="times"/>
        </w:rPr>
        <w:t>    </w:t>
      </w:r>
      <w:r>
        <w:rPr>
          <w:rFonts w:ascii="times" w:hAnsi="times"/>
          <w:sz w:val="20"/>
        </w:rPr>
        <w:t xml:space="preserve">We own three refined product terminals in the Philadelphia, Pennsylvania area. Our Philadelphia area terminals have 42 storage tanks ranging in size from 11,000 barrels to 150,000 barrels with a combined storage capacity of approximately 3 million barrels. The terminals have 20 truck loading lanes, two barge docks and a ship dock. The Philadelphia area terminals provide services and products to all of the refiners in the Philadelphia harbor, and include two dock facilities that can load approximately 10,000 to 12,000 barrels per hour of refined products and black oils (heavy crude oils). The Philadelphia area terminals also receive products from connecting pipelines and offer truck loading services. </w:t>
      </w:r>
    </w:p>
    <w:p>
      <w:pPr>
        <w:pStyle w:val="TextBody"/>
        <w:rPr/>
      </w:pPr>
      <w:r>
        <w:rPr/>
        <w:t>        </w:t>
      </w:r>
      <w:r>
        <w:rPr>
          <w:rFonts w:ascii="times" w:hAnsi="times"/>
          <w:sz w:val="20"/>
        </w:rPr>
        <w:t xml:space="preserve">We are in the process of expanding the facilities by approximately 1 million barrels consisting of eight tanks ranging from 50,000 barrels to 150,000 barrels, of which three 150,000-barrel tanks were placed into service during 2008. The remaining five tanks are scheduled to be completed in the second quarter of 2009 at an estimated remaining cost of $13 million. </w:t>
      </w:r>
    </w:p>
    <w:p>
      <w:pPr>
        <w:pStyle w:val="TextBody"/>
        <w:rPr/>
      </w:pPr>
      <w:r>
        <w:rPr/>
        <w:t>        </w:t>
      </w:r>
      <w:r>
        <w:rPr>
          <w:rFonts w:ascii="times" w:hAnsi="times"/>
          <w:i/>
          <w:sz w:val="20"/>
        </w:rPr>
        <w:t>St. James Terminal.</w:t>
      </w:r>
      <w:r>
        <w:rPr>
          <w:rFonts w:ascii="times" w:hAnsi="times"/>
        </w:rPr>
        <w:t>    </w:t>
      </w:r>
      <w:r>
        <w:rPr>
          <w:rFonts w:ascii="times" w:hAnsi="times"/>
          <w:sz w:val="20"/>
        </w:rPr>
        <w:t xml:space="preserve">In 2008, we substantially completed construction of a crude oil terminal at the St. James crude oil interchange in Louisiana, which is one of the three most liquid crude oil interchanges in the United States. Phases I and II in aggregate consist of approximately 6 million barrels of capacity and include eleven tanks ranging from 210,000 barrels to 700,000 barrels. One tank remains to be completed early in 2009. The facility also includes a manifold and header system that allows for receipts and deliveries with connecting pipelines at their maximum operating capacity. See "New Crude Oil Storage Facilities Under Construction and Under Development" below for discussion of ongoing expansion activities at this facility. </w:t>
      </w:r>
    </w:p>
    <w:p>
      <w:pPr>
        <w:pStyle w:val="TextBody"/>
        <w:numPr>
          <w:ilvl w:val="0"/>
          <w:numId w:val="0"/>
        </w:numPr>
        <w:ind w:left="707" w:hanging="0"/>
        <w:rPr>
          <w:rFonts w:ascii="times" w:hAnsi="times"/>
          <w:b/>
          <w:sz w:val="20"/>
        </w:rPr>
      </w:pPr>
      <w:r>
        <w:rPr>
          <w:rFonts w:ascii="times" w:hAnsi="times"/>
          <w:b/>
          <w:sz w:val="20"/>
        </w:rPr>
        <w:t xml:space="preserve">New Crude Oil Storage Facilities Under Construction and Under Development </w:t>
      </w:r>
    </w:p>
    <w:p>
      <w:pPr>
        <w:pStyle w:val="TextBody"/>
        <w:rPr/>
      </w:pPr>
      <w:r>
        <w:rPr/>
        <w:t>        </w:t>
      </w:r>
      <w:r>
        <w:rPr>
          <w:rFonts w:ascii="times" w:hAnsi="times"/>
          <w:i/>
          <w:sz w:val="20"/>
        </w:rPr>
        <w:t>Cushing Terminal.</w:t>
      </w:r>
      <w:r>
        <w:rPr>
          <w:rFonts w:ascii="times" w:hAnsi="times"/>
        </w:rPr>
        <w:t>    </w:t>
      </w:r>
      <w:r>
        <w:rPr>
          <w:rFonts w:ascii="times" w:hAnsi="times"/>
          <w:sz w:val="20"/>
        </w:rPr>
        <w:t xml:space="preserve">During 2009, we will begin construction on additional crude oil tankage at our Cushing terminal. The project will include the construction of three 570,000-barrel tanks with the option to add a fourth tank during construction. This expansion is supported by long-term customer commitments. The estimated cost of construction is approximately $46 million. </w:t>
      </w:r>
    </w:p>
    <w:p>
      <w:pPr>
        <w:pStyle w:val="TextBody"/>
        <w:rPr/>
      </w:pPr>
      <w:r>
        <w:rPr/>
        <w:t>        </w:t>
      </w:r>
      <w:r>
        <w:rPr>
          <w:rFonts w:ascii="times" w:hAnsi="times"/>
          <w:i/>
          <w:sz w:val="20"/>
        </w:rPr>
        <w:t>Patoka &amp; St. James Terminals and Dock.</w:t>
      </w:r>
      <w:r>
        <w:rPr>
          <w:rFonts w:ascii="times" w:hAnsi="times"/>
        </w:rPr>
        <w:t>    </w:t>
      </w:r>
      <w:r>
        <w:rPr>
          <w:rFonts w:ascii="times" w:hAnsi="times"/>
          <w:sz w:val="20"/>
        </w:rPr>
        <w:t xml:space="preserve">During 2009, we will begin construction on light-product storage tankage at the Patoka and St. James terminal locations. The project will include the construction of two 300,000-barrel tanks at the Patoka terminal and three 300,000-barrel tanks at the St. James terminal. This new tankage at both facilities will complement the new dock that is currently under construction at the St. James location. The cost of the project in aggregate, including the dock, is estimated to be approximately $167 million. </w:t>
      </w:r>
    </w:p>
    <w:p>
      <w:pPr>
        <w:pStyle w:val="TextBody"/>
        <w:rPr/>
      </w:pPr>
      <w:r>
        <w:rPr/>
        <w:t>        </w:t>
      </w:r>
      <w:r>
        <w:rPr>
          <w:rFonts w:ascii="times" w:hAnsi="times"/>
          <w:i/>
          <w:sz w:val="20"/>
        </w:rPr>
        <w:t>Pier 400.</w:t>
      </w:r>
      <w:r>
        <w:rPr>
          <w:rFonts w:ascii="times" w:hAnsi="times"/>
        </w:rPr>
        <w:t>    </w:t>
      </w:r>
      <w:r>
        <w:rPr>
          <w:rFonts w:ascii="times" w:hAnsi="times"/>
          <w:sz w:val="20"/>
        </w:rPr>
        <w:t xml:space="preserve">For a number of years, we or our predecessors have been involved in an effort to develop a deepwater petroleum import terminal at Pier 400 and Terminal Island in the Port of Los Angeles to handle marine receipts of crude oil and refinery feedstocks. As currently envisioned, the project would include a deep water berth, high capacity transfer infrastructure and storage tanks, with a pipeline distribution system that will connect to various customers.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12101a_main_toc">
        <w:bookmarkStart w:id="38" w:name="page_dm12101_1_26"/>
        <w:bookmarkEnd w:id="38"/>
        <w:r>
          <w:rPr>
            <w:rStyle w:val="InternetLink"/>
            <w:rFonts w:ascii="times" w:hAnsi="times"/>
            <w:sz w:val="20"/>
          </w:rPr>
          <w:t>Table of Contents</w:t>
        </w:r>
      </w:hyperlink>
    </w:p>
    <w:p>
      <w:pPr>
        <w:pStyle w:val="TextBody"/>
        <w:rPr/>
      </w:pPr>
      <w:r>
        <w:rPr/>
        <w:t>        </w:t>
      </w:r>
      <w:r>
        <w:rPr>
          <w:rFonts w:ascii="times" w:hAnsi="times"/>
          <w:sz w:val="20"/>
        </w:rPr>
        <w:t xml:space="preserve">In 2004, 2005 and 2007, we entered into or modified agreements with refiners in the Los Angeles Basin that provide long-term customer commitments to off-load a total of 200,000 barrels per day of crude oil at the Pier 400 dock. The agreements are subject to satisfaction of various conditions, such as the achievement of various progress milestones, financing, continued economic viability and completion of other ancillary agreements related to the project. </w:t>
      </w:r>
    </w:p>
    <w:p>
      <w:pPr>
        <w:pStyle w:val="TextBody"/>
        <w:rPr/>
      </w:pPr>
      <w:r>
        <w:rPr/>
        <w:t>        </w:t>
      </w:r>
      <w:r>
        <w:rPr>
          <w:rFonts w:ascii="times" w:hAnsi="times"/>
          <w:sz w:val="20"/>
        </w:rPr>
        <w:t xml:space="preserve">Due primarily to regulatory processes and delays, we have failed to meet certain project milestone dates and other economic conditions set forth in our agreements with our customers, and we are likely to miss other project objectives that are key conditions in each of our agreements. </w:t>
      </w:r>
    </w:p>
    <w:p>
      <w:pPr>
        <w:pStyle w:val="TextBody"/>
        <w:rPr/>
      </w:pPr>
      <w:r>
        <w:rPr/>
        <w:t>        </w:t>
      </w:r>
      <w:r>
        <w:rPr>
          <w:rFonts w:ascii="times" w:hAnsi="times"/>
          <w:sz w:val="20"/>
        </w:rPr>
        <w:t xml:space="preserve">The project involves a number of state, local and federal agencies and regulatory bodies and, accordingly, the regulatory processes are complex and interrelated with our customer negotiations. These regulatory bodies include the Board of Harbor Commissioners, the South Coast Air Quality Management District, various agencies of the City of Los Angeles, the Los Angeles City Council and the U.S. Army Corps of Engineers. In addition, final construction of the Pier 400 project is subject to the completion of a land lease (that will include a dock construction agreement) with the Port of Los Angeles and receipt of environmental and other approvals. </w:t>
      </w:r>
    </w:p>
    <w:p>
      <w:pPr>
        <w:pStyle w:val="TextBody"/>
        <w:rPr/>
      </w:pPr>
      <w:r>
        <w:rPr/>
        <w:t>        </w:t>
      </w:r>
      <w:r>
        <w:rPr>
          <w:rFonts w:ascii="times" w:hAnsi="times"/>
          <w:sz w:val="20"/>
        </w:rPr>
        <w:t xml:space="preserve">The estimated cost of the project has increased significantly during the regulatory approval process due to increased service and supply costs of the original project, changes in scope of the project to meet long-term objectives of the various regulatory bodies and incremental costs associated with adapting to environmental safeguards and protections required by the governing bodies. We are in the process of completing an updated cost estimate for the Pier 400 project, but based on conditions existing in early 2009 we estimate that the project will cost approximately $575 to $600 million to complete, including $47 million of costs associated with emission reduction credits and development and engineering costs incurred to date and $41 million of estimated capitalized interest to be incurred during the construction period. This estimate is subject to change depending on various factors, including the final scope of the project and the requirements imposed through the permitting process. This cost estimate assumes the construction of 4 million barrels of storage. </w:t>
      </w:r>
    </w:p>
    <w:p>
      <w:pPr>
        <w:pStyle w:val="TextBody"/>
        <w:rPr/>
      </w:pPr>
      <w:r>
        <w:rPr/>
        <w:t>        </w:t>
      </w:r>
      <w:r>
        <w:rPr>
          <w:rFonts w:ascii="times" w:hAnsi="times"/>
          <w:sz w:val="20"/>
        </w:rPr>
        <w:t xml:space="preserve">Although we continue to work together with customers and regulatory bodies in an attempt to advance the project, due to the aforementioned factors as well as the impact of a weakening economic environment, we can provide no assurance that (i) the project will receive all the necessary regulatory approvals (although we know of no reason that it should not receive regulatory approvals); (ii) even if approved, the project will be constructed; or (iii) if constructed, the project will generate satisfactory economic returns. </w:t>
      </w:r>
    </w:p>
    <w:p>
      <w:pPr>
        <w:pStyle w:val="TextBody"/>
        <w:numPr>
          <w:ilvl w:val="0"/>
          <w:numId w:val="0"/>
        </w:numPr>
        <w:ind w:left="707" w:hanging="0"/>
        <w:rPr>
          <w:rFonts w:ascii="times" w:hAnsi="times"/>
          <w:b/>
          <w:sz w:val="20"/>
        </w:rPr>
      </w:pPr>
      <w:r>
        <w:rPr>
          <w:rFonts w:ascii="times" w:hAnsi="times"/>
          <w:b/>
          <w:sz w:val="20"/>
        </w:rPr>
        <w:t xml:space="preserve">LPG Storage Facilities </w:t>
      </w:r>
    </w:p>
    <w:p>
      <w:pPr>
        <w:pStyle w:val="TextBody"/>
        <w:rPr/>
      </w:pPr>
      <w:r>
        <w:rPr/>
        <w:t>        </w:t>
      </w:r>
      <w:r>
        <w:rPr>
          <w:rFonts w:ascii="times" w:hAnsi="times"/>
          <w:i/>
          <w:sz w:val="20"/>
        </w:rPr>
        <w:t>Bumstead.</w:t>
      </w:r>
      <w:r>
        <w:rPr>
          <w:rFonts w:ascii="times" w:hAnsi="times"/>
        </w:rPr>
        <w:t>    </w:t>
      </w:r>
      <w:r>
        <w:rPr>
          <w:rFonts w:ascii="times" w:hAnsi="times"/>
          <w:sz w:val="20"/>
        </w:rPr>
        <w:t xml:space="preserve">The Bumstead facility is located at a major rail transit point near Phoenix, Arizona. With 133 million gallons of working capacity (approximately 100 million gallons, or approximately 2 million barrels, of useable capacity), the facility's primary assets include three salt-dome storage caverns, a 24-car rail rack and six truck racks. </w:t>
      </w:r>
    </w:p>
    <w:p>
      <w:pPr>
        <w:pStyle w:val="TextBody"/>
        <w:rPr/>
      </w:pPr>
      <w:r>
        <w:rPr/>
        <w:t>        </w:t>
      </w:r>
      <w:r>
        <w:rPr>
          <w:rFonts w:ascii="times" w:hAnsi="times"/>
          <w:i/>
          <w:sz w:val="20"/>
        </w:rPr>
        <w:t>Tirzah.</w:t>
      </w:r>
      <w:r>
        <w:rPr>
          <w:rFonts w:ascii="times" w:hAnsi="times"/>
        </w:rPr>
        <w:t>    </w:t>
      </w:r>
      <w:r>
        <w:rPr>
          <w:rFonts w:ascii="times" w:hAnsi="times"/>
          <w:sz w:val="20"/>
        </w:rPr>
        <w:t xml:space="preserve">The Tirzah facility is located in South Carolina and has an underground granite storage cavern with approximately 1 million barrels of capacity and is connected to the Dixie Pipeline System (a third-party system) via our 62-mile pipeline. The facility gives us a greater presence in the Southeast and we believe this facility will further support the expansion of our LPG business in North America. </w:t>
      </w:r>
    </w:p>
    <w:p>
      <w:pPr>
        <w:pStyle w:val="TextBody"/>
        <w:numPr>
          <w:ilvl w:val="0"/>
          <w:numId w:val="0"/>
        </w:numPr>
        <w:ind w:left="707" w:hanging="0"/>
        <w:rPr>
          <w:rFonts w:ascii="times" w:hAnsi="times"/>
          <w:b/>
          <w:sz w:val="20"/>
        </w:rPr>
      </w:pPr>
      <w:r>
        <w:rPr>
          <w:rFonts w:ascii="times" w:hAnsi="times"/>
          <w:b/>
          <w:sz w:val="20"/>
        </w:rPr>
        <w:t xml:space="preserve">LPG Processing </w:t>
      </w:r>
    </w:p>
    <w:p>
      <w:pPr>
        <w:pStyle w:val="TextBody"/>
        <w:rPr/>
      </w:pPr>
      <w:r>
        <w:rPr/>
        <w:t>        </w:t>
      </w:r>
      <w:r>
        <w:rPr>
          <w:rFonts w:ascii="times" w:hAnsi="times"/>
          <w:i/>
          <w:sz w:val="20"/>
        </w:rPr>
        <w:t>Shafter.</w:t>
      </w:r>
      <w:r>
        <w:rPr>
          <w:rFonts w:ascii="times" w:hAnsi="times"/>
        </w:rPr>
        <w:t>    </w:t>
      </w:r>
      <w:r>
        <w:rPr>
          <w:rFonts w:ascii="times" w:hAnsi="times"/>
          <w:sz w:val="20"/>
        </w:rPr>
        <w:t xml:space="preserve">Our Shafter facility located near Bakersfield, California provides isomerization and fractionation services to producers and customers of natural gas liquids ("NGL"). The primary assets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12101a_main_toc">
        <w:bookmarkStart w:id="39" w:name="page_dm12101_1_27"/>
        <w:bookmarkEnd w:id="3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consist of 200,000 barrels of NGL storage and a processing facility with butane isomerization capacity of 14,000 barrels per day and NGL fractionation capacity of 8,500 barrels per day. </w:t>
      </w:r>
    </w:p>
    <w:p>
      <w:pPr>
        <w:pStyle w:val="TextBody"/>
        <w:numPr>
          <w:ilvl w:val="0"/>
          <w:numId w:val="0"/>
        </w:numPr>
        <w:ind w:left="707" w:hanging="0"/>
        <w:rPr>
          <w:rFonts w:ascii="times" w:hAnsi="times"/>
          <w:b/>
          <w:sz w:val="20"/>
        </w:rPr>
      </w:pPr>
      <w:r>
        <w:rPr>
          <w:rFonts w:ascii="times" w:hAnsi="times"/>
          <w:b/>
          <w:sz w:val="20"/>
        </w:rPr>
        <w:t xml:space="preserve">Natural Gas Storage Assets (owned through our 50% interest in PAA/Vulcan and operated by PAA) </w:t>
      </w:r>
    </w:p>
    <w:p>
      <w:pPr>
        <w:pStyle w:val="TextBody"/>
        <w:rPr/>
      </w:pPr>
      <w:r>
        <w:rPr/>
        <w:t>        </w:t>
      </w:r>
      <w:r>
        <w:rPr>
          <w:rFonts w:ascii="times" w:hAnsi="times"/>
          <w:i/>
          <w:sz w:val="20"/>
        </w:rPr>
        <w:t>Bluewater/Kimball.</w:t>
      </w:r>
      <w:r>
        <w:rPr>
          <w:rFonts w:ascii="times" w:hAnsi="times"/>
        </w:rPr>
        <w:t>    </w:t>
      </w:r>
      <w:r>
        <w:rPr>
          <w:rFonts w:ascii="times" w:hAnsi="times"/>
          <w:sz w:val="20"/>
        </w:rPr>
        <w:t xml:space="preserve">The Bluewater gas storage facility, which is strategically located near Detroit, Michigan, is a depleted reservoir with approximately 23 Bcf of capacity. In April 2006, PAA/Vulcan acquired the Kimball gas storage facility and connected this approximately 3 Bcf facility to the Bluewater pipeline system. Natural gas storage facilities in the northern tier of the U.S. are traditionally used to meet seasonal demand and are typically cycled once or twice a year. Natural gas is injected during the summer months in order to provide for adequate deliverability during the peak demand winter months. Michigan is a very active market for natural gas storage as it meets nearly 75% of its peak winter demand from storage withdrawals. The Bluewater facility has direct interconnects to three major pipelines and three major natural gas utilities as well as indirect access to Dawn, a major natural gas market hub in Canada. In addition to owning these facilities, from time-to-time, PAA/Vulcan leases capacity at other facilities to augment the services it provides. </w:t>
      </w:r>
    </w:p>
    <w:p>
      <w:pPr>
        <w:pStyle w:val="TextBody"/>
        <w:rPr/>
      </w:pPr>
      <w:r>
        <w:rPr/>
        <w:t>        </w:t>
      </w:r>
      <w:r>
        <w:rPr>
          <w:rFonts w:ascii="times" w:hAnsi="times"/>
          <w:i/>
          <w:sz w:val="20"/>
        </w:rPr>
        <w:t>Pine Prairie.</w:t>
      </w:r>
      <w:r>
        <w:rPr>
          <w:rFonts w:ascii="times" w:hAnsi="times"/>
        </w:rPr>
        <w:t>    </w:t>
      </w:r>
      <w:r>
        <w:rPr>
          <w:rFonts w:ascii="times" w:hAnsi="times"/>
          <w:sz w:val="20"/>
        </w:rPr>
        <w:t xml:space="preserve">Pine Prairie Energy Center ("Pine Prairie") is a high deliverability salt dome storage facility located just northwest of Lafayette, Louisiana, approximately 50 miles from the Henry Hub in Louisiana (the delivery point for NYMEX natural gas futures contracts) near Gulf Coast supply sources and LNG import terminals. The initial phase of the facility consists of three storage caverns with a permitted working capacity of 24 Bcf and an extensive header system. Drilling operations on all three cavern wells are complete. Pine Prairie began commercial operations in October 2008 with approximately 5 Bcf of working gas storage in cavern one. Cavern two with approximately 8 Bcf of capacity is expected to be placed in service in the second quarter of 2009 followed by cavern three in the second quarter of 2010. Pine Prairie is currently connected to seven major pipelines serving the Midwest, Southeast, Mid-Atlantic and Northeast markets. Three additional pipelines are also located in the vicinity and offer the potential for future interconnects. We believe the facility's operating characteristics and strategic location position Pine Prairie to support the needs of power generators, pipelines, utilities, energy merchants and LNG re-gasification terminal operators and provide potential customers with superior flexibility in managing and balancing their natural gas requirements. In January 2007, an additional 240 acres of land were purchased adjacent to the Pine Prairie project to support future expansion activities. </w:t>
      </w:r>
    </w:p>
    <w:p>
      <w:pPr>
        <w:pStyle w:val="TextBody"/>
        <w:rPr>
          <w:rFonts w:ascii="times" w:hAnsi="times"/>
          <w:b/>
          <w:i/>
          <w:sz w:val="20"/>
        </w:rPr>
      </w:pPr>
      <w:r>
        <w:rPr>
          <w:rFonts w:ascii="times" w:hAnsi="times"/>
          <w:b/>
          <w:i/>
          <w:sz w:val="20"/>
        </w:rPr>
        <w:t xml:space="preserve">Marketing Segment </w:t>
      </w:r>
    </w:p>
    <w:p>
      <w:pPr>
        <w:pStyle w:val="TextBody"/>
        <w:rPr/>
      </w:pPr>
      <w:r>
        <w:rPr/>
        <w:t>        </w:t>
      </w:r>
      <w:r>
        <w:rPr>
          <w:rFonts w:ascii="times" w:hAnsi="times"/>
          <w:sz w:val="20"/>
        </w:rPr>
        <w:t xml:space="preserve">Our marketing segment operations generally consist of the following merchant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U.S. and Canadian crude oil at the wellhead and the bulk purchase of crude oil at pipeline and terminal facilities, as well as the purchase of foreign cargoes at their load port and various other locations in transit;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storage of inventory during contango market conditions and the seasonal storage of LPG;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of refined products and LPG from producers, refiners and other marketers;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resale or exchange of crude oil, refined products and LPG at various points along the distribution chain to refiners or other resellers to maximize profits;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transportation of crude oil, refined products and LPG on trucks, barges, railcars, pipelines and ocean-going vessels to our terminals and third-party terminals. </w:t>
      </w:r>
    </w:p>
    <w:p>
      <w:pPr>
        <w:pStyle w:val="TextBody"/>
        <w:rPr/>
      </w:pPr>
      <w:r>
        <w:rPr/>
        <w:t>        </w:t>
      </w:r>
      <w:r>
        <w:rPr>
          <w:rFonts w:ascii="times" w:hAnsi="times"/>
          <w:sz w:val="20"/>
        </w:rPr>
        <w:t xml:space="preserve">We believe our marketing activities are counter-cyclically balanced to produce a stable baseline of results in a variety of market conditions, while at the same time providing upside potential associated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12101a_main_toc">
        <w:bookmarkStart w:id="40" w:name="page_dm12101_1_28"/>
        <w:bookmarkEnd w:id="4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 opportunities inherent in volatile market conditions. These activities utilize storage facilities at major interchange and terminalling locations and various hedging strategies to provide a counter-cyclical balance. The tankage that is used to support our arbitrage activities positions us to capture margins in a contango market (when the oil prices for future deliveries are higher than the current prices) or when the market switches from contango to backwardation (when the oil prices for future deliveries are lower than the current prices). See "Crude Oil Volatility; Counter-Cyclical Balance; Risk Management" for further discussion. </w:t>
      </w:r>
    </w:p>
    <w:p>
      <w:pPr>
        <w:pStyle w:val="TextBody"/>
        <w:rPr/>
      </w:pPr>
      <w:r>
        <w:rPr/>
        <w:t>        </w:t>
      </w:r>
      <w:r>
        <w:rPr>
          <w:rFonts w:ascii="times" w:hAnsi="times"/>
          <w:sz w:val="20"/>
        </w:rPr>
        <w:t xml:space="preserve">Except for pre-defined inventory positions, our policy is generally (i) to purchase only product for which we have a market, (ii) to structure our sales contracts so that price fluctuations do not materially affect the segment profit we receive, and (iii) not to acquire and hold physical inventory, futures contracts or other derivative products for the purpose of speculating on outright commodity price changes. </w:t>
      </w:r>
    </w:p>
    <w:p>
      <w:pPr>
        <w:pStyle w:val="TextBody"/>
        <w:rPr/>
      </w:pPr>
      <w:r>
        <w:rPr/>
        <w:t>        </w:t>
      </w:r>
      <w:r>
        <w:rPr>
          <w:rFonts w:ascii="times" w:hAnsi="times"/>
          <w:sz w:val="20"/>
        </w:rPr>
        <w:t xml:space="preserve">In addition to substantial working inventories associated with its merchant activities, as of December 31, 2008, our marketing segment also owned significant volumes of crude oil and LPG classified as long-term assets for linefill or minimum inventory requirements under service arrangements with transportation carriers and terminalling providers. The marketing segment also employs a variety of owned or leased physical assets throughout the United States and Canada, including approximately: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8 million barrels of crude oil and LPG linefill in pipelines owned by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2 million barrels of crude oil and LPG linefill in pipelines owned by third parties and other long-term inventory;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528 trucks and 631 trailers;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1,697 railcars. </w:t>
      </w:r>
    </w:p>
    <w:p>
      <w:pPr>
        <w:pStyle w:val="TextBody"/>
        <w:rPr/>
      </w:pPr>
      <w:r>
        <w:rPr/>
        <w:t>        </w:t>
      </w:r>
      <w:r>
        <w:rPr>
          <w:rFonts w:ascii="times" w:hAnsi="times"/>
          <w:sz w:val="20"/>
        </w:rPr>
        <w:t xml:space="preserve">In connection with its operations, the marketing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marketing segment to reflect the fact that these services may be canceled on short notice to enable the facilities segment to provide services to third parties. </w:t>
      </w:r>
    </w:p>
    <w:p>
      <w:pPr>
        <w:pStyle w:val="TextBody"/>
        <w:rPr/>
      </w:pPr>
      <w:r>
        <w:rPr/>
        <w:t>        </w:t>
      </w:r>
      <w:r>
        <w:rPr>
          <w:rFonts w:ascii="times" w:hAnsi="times"/>
          <w:sz w:val="20"/>
        </w:rPr>
        <w:t xml:space="preserve">We purchase crude oil and LPG from multiple producers and believe that we have established long-term, broad-based relationships with the crude oil and LPG producers in our areas of operations. Marketing activities involve relatively large volumes of transactions, often with lower overall margins than transportation and facilities operations. Marketing activities for LPG typically consist of smaller volumes per transaction relative to crude oil. </w:t>
      </w:r>
    </w:p>
    <w:p>
      <w:pPr>
        <w:pStyle w:val="TextBody"/>
        <w:rPr/>
      </w:pPr>
      <w:r>
        <w:rPr/>
        <w:t>        </w:t>
      </w:r>
      <w:r>
        <w:rPr>
          <w:rFonts w:ascii="times" w:hAnsi="times"/>
          <w:sz w:val="20"/>
        </w:rPr>
        <w:t xml:space="preserve">The following table shows the average daily volume of our marketing activities for the year ended December 31, 2008 (in thousands of barrels per day): </w:t>
      </w:r>
    </w:p>
    <w:tbl>
      <w:tblPr>
        <w:tblW w:w="5839" w:type="dxa"/>
        <w:jc w:val="center"/>
        <w:tblInd w:w="0" w:type="dxa"/>
        <w:tblCellMar>
          <w:top w:w="0" w:type="dxa"/>
          <w:left w:w="0" w:type="dxa"/>
          <w:bottom w:w="0" w:type="dxa"/>
          <w:right w:w="0" w:type="dxa"/>
        </w:tblCellMar>
      </w:tblPr>
      <w:tblGrid>
        <w:gridCol w:w="5040"/>
        <w:gridCol w:w="180"/>
        <w:gridCol w:w="84"/>
        <w:gridCol w:w="475"/>
        <w:gridCol w:w="60"/>
      </w:tblGrid>
      <w:tr>
        <w:trPr/>
        <w:tc>
          <w:tcPr>
            <w:tcW w:w="50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04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60" w:type="dxa"/>
            <w:tcBorders/>
            <w:shd w:fill="auto" w:val="clear"/>
            <w:vAlign w:val="bottom"/>
          </w:tcPr>
          <w:p>
            <w:pPr>
              <w:pStyle w:val="TableHeading"/>
              <w:suppressLineNumbers/>
              <w:spacing w:before="0" w:after="283"/>
              <w:jc w:val="center"/>
              <w:rPr/>
            </w:pPr>
            <w:r>
              <w:rPr/>
              <w:t> </w:t>
            </w:r>
          </w:p>
        </w:tc>
      </w:tr>
      <w:tr>
        <w:trPr/>
        <w:tc>
          <w:tcPr>
            <w:tcW w:w="5040" w:type="dxa"/>
            <w:tcBorders/>
            <w:shd w:fill="CCEEFF" w:val="clear"/>
          </w:tcPr>
          <w:p>
            <w:pPr>
              <w:pStyle w:val="TableContents"/>
              <w:spacing w:before="0" w:after="283"/>
              <w:ind w:left="200" w:right="0" w:hanging="200"/>
              <w:rPr>
                <w:rFonts w:ascii="times" w:hAnsi="times"/>
                <w:sz w:val="20"/>
              </w:rPr>
            </w:pPr>
            <w:r>
              <w:rPr>
                <w:rFonts w:ascii="times" w:hAnsi="times"/>
                <w:sz w:val="20"/>
              </w:rPr>
              <w:t>Crude oil lease gathering purchases</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475" w:type="dxa"/>
            <w:tcBorders/>
            <w:shd w:fill="CCEEFF" w:val="clear"/>
          </w:tcPr>
          <w:p>
            <w:pPr>
              <w:pStyle w:val="TableContents"/>
              <w:spacing w:before="0" w:after="283"/>
              <w:jc w:val="right"/>
              <w:rPr>
                <w:rFonts w:ascii="times" w:hAnsi="times"/>
                <w:sz w:val="20"/>
              </w:rPr>
            </w:pPr>
            <w:r>
              <w:rPr>
                <w:rFonts w:ascii="times" w:hAnsi="times"/>
                <w:sz w:val="20"/>
              </w:rPr>
              <w:t>658</w:t>
            </w:r>
          </w:p>
        </w:tc>
        <w:tc>
          <w:tcPr>
            <w:tcW w:w="60" w:type="dxa"/>
            <w:tcBorders/>
            <w:shd w:fill="CCEEFF" w:val="clear"/>
          </w:tcPr>
          <w:p>
            <w:pPr>
              <w:pStyle w:val="TableContents"/>
              <w:spacing w:before="0" w:after="283"/>
              <w:rPr/>
            </w:pPr>
            <w:r>
              <w:rPr/>
              <w:t> </w:t>
            </w:r>
          </w:p>
        </w:tc>
      </w:tr>
      <w:tr>
        <w:trPr/>
        <w:tc>
          <w:tcPr>
            <w:tcW w:w="5040" w:type="dxa"/>
            <w:tcBorders/>
            <w:shd w:fill="FFFFFF" w:val="clear"/>
          </w:tcPr>
          <w:p>
            <w:pPr>
              <w:pStyle w:val="TableContents"/>
              <w:spacing w:before="0" w:after="283"/>
              <w:ind w:left="200" w:right="0" w:hanging="200"/>
              <w:rPr>
                <w:rFonts w:ascii="times" w:hAnsi="times"/>
                <w:sz w:val="20"/>
              </w:rPr>
            </w:pPr>
            <w:r>
              <w:rPr>
                <w:rFonts w:ascii="times" w:hAnsi="times"/>
                <w:sz w:val="20"/>
              </w:rPr>
              <w:t>Refined products sales</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475" w:type="dxa"/>
            <w:tcBorders/>
            <w:shd w:fill="FFFFFF" w:val="clear"/>
          </w:tcPr>
          <w:p>
            <w:pPr>
              <w:pStyle w:val="TableContents"/>
              <w:spacing w:before="0" w:after="283"/>
              <w:jc w:val="right"/>
              <w:rPr>
                <w:rFonts w:ascii="times" w:hAnsi="times"/>
                <w:sz w:val="20"/>
              </w:rPr>
            </w:pPr>
            <w:r>
              <w:rPr>
                <w:rFonts w:ascii="times" w:hAnsi="times"/>
                <w:sz w:val="20"/>
              </w:rPr>
              <w:t>26</w:t>
            </w:r>
          </w:p>
        </w:tc>
        <w:tc>
          <w:tcPr>
            <w:tcW w:w="60" w:type="dxa"/>
            <w:tcBorders/>
            <w:shd w:fill="FFFFFF" w:val="clear"/>
          </w:tcPr>
          <w:p>
            <w:pPr>
              <w:pStyle w:val="TableContents"/>
              <w:spacing w:before="0" w:after="283"/>
              <w:rPr/>
            </w:pPr>
            <w:r>
              <w:rPr/>
              <w:t> </w:t>
            </w:r>
          </w:p>
        </w:tc>
      </w:tr>
      <w:tr>
        <w:trPr/>
        <w:tc>
          <w:tcPr>
            <w:tcW w:w="5040" w:type="dxa"/>
            <w:tcBorders/>
            <w:shd w:fill="CCEEFF" w:val="clear"/>
          </w:tcPr>
          <w:p>
            <w:pPr>
              <w:pStyle w:val="TableContents"/>
              <w:spacing w:before="0" w:after="283"/>
              <w:ind w:left="200" w:right="0" w:hanging="200"/>
              <w:rPr>
                <w:rFonts w:ascii="times" w:hAnsi="times"/>
                <w:sz w:val="20"/>
              </w:rPr>
            </w:pPr>
            <w:r>
              <w:rPr>
                <w:rFonts w:ascii="times" w:hAnsi="times"/>
                <w:sz w:val="20"/>
              </w:rPr>
              <w:t>LPG sales</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475" w:type="dxa"/>
            <w:tcBorders/>
            <w:shd w:fill="CCEEFF" w:val="clear"/>
          </w:tcPr>
          <w:p>
            <w:pPr>
              <w:pStyle w:val="TableContents"/>
              <w:spacing w:before="0" w:after="283"/>
              <w:jc w:val="right"/>
              <w:rPr>
                <w:rFonts w:ascii="times" w:hAnsi="times"/>
                <w:sz w:val="20"/>
              </w:rPr>
            </w:pPr>
            <w:r>
              <w:rPr>
                <w:rFonts w:ascii="times" w:hAnsi="times"/>
                <w:sz w:val="20"/>
              </w:rPr>
              <w:t>103</w:t>
            </w:r>
          </w:p>
        </w:tc>
        <w:tc>
          <w:tcPr>
            <w:tcW w:w="60" w:type="dxa"/>
            <w:tcBorders/>
            <w:shd w:fill="CCEEFF" w:val="clear"/>
          </w:tcPr>
          <w:p>
            <w:pPr>
              <w:pStyle w:val="TableContents"/>
              <w:spacing w:before="0" w:after="283"/>
              <w:rPr/>
            </w:pPr>
            <w:r>
              <w:rPr/>
              <w:t> </w:t>
            </w:r>
          </w:p>
        </w:tc>
      </w:tr>
      <w:tr>
        <w:trPr/>
        <w:tc>
          <w:tcPr>
            <w:tcW w:w="5040" w:type="dxa"/>
            <w:tcBorders/>
            <w:shd w:fill="FFFFFF" w:val="clear"/>
          </w:tcPr>
          <w:p>
            <w:pPr>
              <w:pStyle w:val="TableContents"/>
              <w:spacing w:before="0" w:after="283"/>
              <w:ind w:left="200" w:right="0" w:hanging="200"/>
              <w:rPr>
                <w:rFonts w:ascii="times" w:hAnsi="times"/>
                <w:sz w:val="20"/>
              </w:rPr>
            </w:pPr>
            <w:r>
              <w:rPr>
                <w:rFonts w:ascii="times" w:hAnsi="times"/>
                <w:sz w:val="20"/>
              </w:rPr>
              <w:t>Waterborne foreign crude oil imported</w:t>
            </w:r>
          </w:p>
        </w:tc>
        <w:tc>
          <w:tcPr>
            <w:tcW w:w="180" w:type="dxa"/>
            <w:tcBorders/>
            <w:shd w:fill="FFFFFF" w:val="clear"/>
          </w:tcPr>
          <w:p>
            <w:pPr>
              <w:pStyle w:val="TableContents"/>
              <w:spacing w:before="0" w:after="283"/>
              <w:rPr/>
            </w:pPr>
            <w:r>
              <w:rPr/>
              <w:t> </w:t>
            </w:r>
          </w:p>
        </w:tc>
        <w:tc>
          <w:tcPr>
            <w:tcW w:w="84" w:type="dxa"/>
            <w:tcBorders/>
            <w:shd w:fill="FFFFFF" w:val="clear"/>
          </w:tcPr>
          <w:p>
            <w:pPr>
              <w:pStyle w:val="TableContents"/>
              <w:spacing w:before="0" w:after="283"/>
              <w:rPr/>
            </w:pPr>
            <w:r>
              <w:rPr/>
              <w:t> </w:t>
            </w:r>
          </w:p>
        </w:tc>
        <w:tc>
          <w:tcPr>
            <w:tcW w:w="475" w:type="dxa"/>
            <w:tcBorders/>
            <w:shd w:fill="FFFFFF" w:val="clear"/>
          </w:tcPr>
          <w:p>
            <w:pPr>
              <w:pStyle w:val="TableContents"/>
              <w:spacing w:before="0" w:after="283"/>
              <w:jc w:val="right"/>
              <w:rPr>
                <w:rFonts w:ascii="times" w:hAnsi="times"/>
                <w:sz w:val="20"/>
              </w:rPr>
            </w:pPr>
            <w:r>
              <w:rPr>
                <w:rFonts w:ascii="times" w:hAnsi="times"/>
                <w:sz w:val="20"/>
              </w:rPr>
              <w:t>80</w:t>
            </w:r>
          </w:p>
        </w:tc>
        <w:tc>
          <w:tcPr>
            <w:tcW w:w="60" w:type="dxa"/>
            <w:tcBorders/>
            <w:shd w:fill="FFFFFF" w:val="clear"/>
          </w:tcPr>
          <w:p>
            <w:pPr>
              <w:pStyle w:val="TableContents"/>
              <w:spacing w:before="0" w:after="283"/>
              <w:rPr/>
            </w:pPr>
            <w:r>
              <w:rPr/>
              <w:t> </w:t>
            </w:r>
          </w:p>
        </w:tc>
      </w:tr>
      <w:tr>
        <w:trPr/>
        <w:tc>
          <w:tcPr>
            <w:tcW w:w="504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5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040" w:type="dxa"/>
            <w:tcBorders/>
            <w:shd w:fill="CCEEFF" w:val="clear"/>
          </w:tcPr>
          <w:p>
            <w:pPr>
              <w:pStyle w:val="TableContents"/>
              <w:spacing w:before="0" w:after="283"/>
              <w:ind w:left="200" w:right="0" w:hanging="200"/>
              <w:rPr>
                <w:rFonts w:ascii="times" w:hAnsi="times"/>
                <w:sz w:val="20"/>
              </w:rPr>
            </w:pPr>
            <w:r>
              <w:rPr>
                <w:rFonts w:ascii="times" w:hAnsi="times"/>
                <w:sz w:val="20"/>
              </w:rPr>
              <w:t>Marketing activities total</w:t>
            </w:r>
          </w:p>
        </w:tc>
        <w:tc>
          <w:tcPr>
            <w:tcW w:w="180" w:type="dxa"/>
            <w:tcBorders/>
            <w:shd w:fill="CCEEFF" w:val="clear"/>
          </w:tcPr>
          <w:p>
            <w:pPr>
              <w:pStyle w:val="TableContents"/>
              <w:spacing w:before="0" w:after="283"/>
              <w:rPr/>
            </w:pPr>
            <w:r>
              <w:rPr/>
              <w:t> </w:t>
            </w:r>
          </w:p>
        </w:tc>
        <w:tc>
          <w:tcPr>
            <w:tcW w:w="84" w:type="dxa"/>
            <w:tcBorders/>
            <w:shd w:fill="CCEEFF" w:val="clear"/>
          </w:tcPr>
          <w:p>
            <w:pPr>
              <w:pStyle w:val="TableContents"/>
              <w:spacing w:before="0" w:after="283"/>
              <w:rPr/>
            </w:pPr>
            <w:r>
              <w:rPr/>
              <w:t> </w:t>
            </w:r>
          </w:p>
        </w:tc>
        <w:tc>
          <w:tcPr>
            <w:tcW w:w="475" w:type="dxa"/>
            <w:tcBorders/>
            <w:shd w:fill="CCEEFF" w:val="clear"/>
          </w:tcPr>
          <w:p>
            <w:pPr>
              <w:pStyle w:val="TableContents"/>
              <w:spacing w:before="0" w:after="283"/>
              <w:jc w:val="right"/>
              <w:rPr>
                <w:rFonts w:ascii="times" w:hAnsi="times"/>
                <w:sz w:val="20"/>
              </w:rPr>
            </w:pPr>
            <w:r>
              <w:rPr>
                <w:rFonts w:ascii="times" w:hAnsi="times"/>
                <w:sz w:val="20"/>
              </w:rPr>
              <w:t>867</w:t>
            </w:r>
          </w:p>
        </w:tc>
        <w:tc>
          <w:tcPr>
            <w:tcW w:w="60" w:type="dxa"/>
            <w:tcBorders/>
            <w:shd w:fill="CCEEFF" w:val="clear"/>
          </w:tcPr>
          <w:p>
            <w:pPr>
              <w:pStyle w:val="TableContents"/>
              <w:spacing w:before="0" w:after="283"/>
              <w:rPr/>
            </w:pPr>
            <w:r>
              <w:rPr/>
              <w:t> </w:t>
            </w:r>
          </w:p>
        </w:tc>
      </w:tr>
      <w:tr>
        <w:trPr/>
        <w:tc>
          <w:tcPr>
            <w:tcW w:w="504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12101a_main_toc">
        <w:bookmarkStart w:id="41" w:name="page_dm12101_1_29"/>
        <w:bookmarkEnd w:id="41"/>
        <w:r>
          <w:rPr>
            <w:rStyle w:val="InternetLink"/>
            <w:rFonts w:ascii="times" w:hAnsi="times"/>
            <w:sz w:val="20"/>
          </w:rPr>
          <w:t>Table of Contents</w:t>
        </w:r>
      </w:hyperlink>
    </w:p>
    <w:p>
      <w:pPr>
        <w:pStyle w:val="TextBody"/>
        <w:rPr/>
      </w:pPr>
      <w:r>
        <w:rPr/>
        <w:t>        </w:t>
      </w:r>
      <w:r>
        <w:rPr>
          <w:rFonts w:ascii="times" w:hAnsi="times"/>
          <w:i/>
          <w:sz w:val="20"/>
        </w:rPr>
        <w:t>Crude Oil and LPG Purchases.</w:t>
      </w:r>
      <w:r>
        <w:rPr>
          <w:rFonts w:ascii="times" w:hAnsi="times"/>
        </w:rPr>
        <w:t>    </w:t>
      </w:r>
      <w:r>
        <w:rPr>
          <w:rFonts w:ascii="times" w:hAnsi="times"/>
          <w:sz w:val="20"/>
        </w:rPr>
        <w:t xml:space="preserve">We purchase crude oil in North America from producers under contracts, the majority of which range in term from a thirty-day evergreen to three-year term. We utilize our truck fleet and gathering pipelines as well as third-party pipelines, trucks and barges to transport the crude oil to market. In addition, we purchase foreign crude oil. Under these contracts we may purchase crude oil upon delivery in the U.S. or we may purchase crude oil in foreign locations and transport crude oil on third-party tankers. </w:t>
      </w:r>
    </w:p>
    <w:p>
      <w:pPr>
        <w:pStyle w:val="TextBody"/>
        <w:rPr/>
      </w:pPr>
      <w:r>
        <w:rPr/>
        <w:t>        </w:t>
      </w:r>
      <w:r>
        <w:rPr>
          <w:rFonts w:ascii="times" w:hAnsi="times"/>
          <w:sz w:val="20"/>
        </w:rPr>
        <w:t xml:space="preserve">We purchase LPG from producers, refiners, and other LPG marketing companies under contracts that range from immediate delivery to one year in term. We utilize our trucking fleet as well as leased railcars and third-party tank trucks or pipelines to transport LPG. </w:t>
      </w:r>
    </w:p>
    <w:p>
      <w:pPr>
        <w:pStyle w:val="TextBody"/>
        <w:rPr/>
      </w:pPr>
      <w:r>
        <w:rPr/>
        <w:t>        </w:t>
      </w:r>
      <w:r>
        <w:rPr>
          <w:rFonts w:ascii="times" w:hAnsi="times"/>
          <w:sz w:val="20"/>
        </w:rPr>
        <w:t xml:space="preserve">In addition to purchasing crude oil from producers, we purchase both domestic and foreign crude oil in bulk at major pipeline terminal locations and barge facilities. We also purchase LPG in bulk at major pipeline terminal points and storage facilities from major oil companies, large independent producers or other LPG marketing companies. Crude oil and LPG is purchased in bulk when we believe additional opportunities exist to realize margins further downstream in the crude oil or LPG distribution chain. The opportunities to earn additional margins vary over time with changing market conditions. Accordingly, the margins associated with our bulk purchases will fluctuate from period to period. </w:t>
      </w:r>
    </w:p>
    <w:p>
      <w:pPr>
        <w:pStyle w:val="TextBody"/>
        <w:rPr/>
      </w:pPr>
      <w:r>
        <w:rPr/>
        <w:t>        </w:t>
      </w:r>
      <w:r>
        <w:rPr>
          <w:rFonts w:ascii="times" w:hAnsi="times"/>
          <w:i/>
          <w:sz w:val="20"/>
        </w:rPr>
        <w:t>Crude Oil and LPG Sales.</w:t>
      </w:r>
      <w:r>
        <w:rPr>
          <w:rFonts w:ascii="times" w:hAnsi="times"/>
        </w:rPr>
        <w:t>    </w:t>
      </w:r>
      <w:r>
        <w:rPr>
          <w:rFonts w:ascii="times" w:hAnsi="times"/>
          <w:sz w:val="20"/>
        </w:rPr>
        <w:t xml:space="preserve">The marketing of crude oil and LPG is complex and requires current detailed knowledge of crude oil and LPG sources and end markets and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LPG to the appropriate customer. </w:t>
      </w:r>
    </w:p>
    <w:p>
      <w:pPr>
        <w:pStyle w:val="TextBody"/>
        <w:rPr/>
      </w:pPr>
      <w:r>
        <w:rPr/>
        <w:t>        </w:t>
      </w:r>
      <w:r>
        <w:rPr>
          <w:rFonts w:ascii="times" w:hAnsi="times"/>
          <w:sz w:val="20"/>
        </w:rPr>
        <w:t xml:space="preserve">We sell our crude oil to major integrated oil companies, independent refiners and other resellers in various types of sale and exchange transactions. The majority of these contracts are at market prices and have terms ranging from one month to three years. We sell LPG primarily to retailers and refiners, and limited volumes to other marketers. We establish a margin for the crude oil and LPG we purchase by sales for physical delivery to third party users, or by entering into a future delivery obligation with respect to futures contracts on the NYMEX, ICE or over-the-counter. Through these transactions, we seek to maintain a position that is substantially balanced between crude oil and LPG purchases and sales and future delivery obligations. From time to time, we enter into various types of sale and exchange transactions including fixed price delivery contracts, floating price collar arrangements, financial swaps and crude oil and LPG-related futures contracts as hedging devices. </w:t>
      </w:r>
    </w:p>
    <w:p>
      <w:pPr>
        <w:pStyle w:val="TextBody"/>
        <w:rPr/>
      </w:pPr>
      <w:r>
        <w:rPr/>
        <w:t>        </w:t>
      </w:r>
      <w:r>
        <w:rPr>
          <w:rFonts w:ascii="times" w:hAnsi="times"/>
          <w:i/>
          <w:sz w:val="20"/>
        </w:rPr>
        <w:t>Crude Oil and LPG Exchanges.</w:t>
      </w:r>
      <w:r>
        <w:rPr>
          <w:rFonts w:ascii="times" w:hAnsi="times"/>
        </w:rPr>
        <w:t>    </w:t>
      </w:r>
      <w:r>
        <w:rPr>
          <w:rFonts w:ascii="times" w:hAnsi="times"/>
          <w:sz w:val="20"/>
        </w:rPr>
        <w:t xml:space="preserve">We pursue exchange opportunities to enhance margins throughout the gathering and marketing process. When opportunities arise to increase our margin or to acquire a grade, type or volume of crude oil or LPG that more closely matches our physical delivery requirement, location or the preferences of our customers, we exchange physical crude oil or LPG, as appropriate, with third parties. These exchanges are effected through contracts called exchange or buy/sell agreements. Through an exchange agreement, we agree to buy crude oil or LPG that differs in terms of geographic location, grade of crude oil or type of LPG, or physical delivery schedule from crude oil or LPG we have available for sale. Generally, we enter into exchanges to acquire crude oil or LPG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12101a_main_toc">
        <w:bookmarkStart w:id="42" w:name="page_dm12101_1_30"/>
        <w:bookmarkEnd w:id="42"/>
        <w:r>
          <w:rPr>
            <w:rStyle w:val="InternetLink"/>
            <w:rFonts w:ascii="times" w:hAnsi="times"/>
            <w:sz w:val="20"/>
          </w:rPr>
          <w:t>Table of Contents</w:t>
        </w:r>
      </w:hyperlink>
    </w:p>
    <w:p>
      <w:pPr>
        <w:pStyle w:val="TextBody"/>
        <w:rPr/>
      </w:pPr>
      <w:r>
        <w:rPr/>
        <w:t>        </w:t>
      </w:r>
      <w:r>
        <w:rPr>
          <w:rFonts w:ascii="times" w:hAnsi="times"/>
          <w:i/>
          <w:sz w:val="20"/>
        </w:rPr>
        <w:t>Credit.</w:t>
      </w:r>
      <w:r>
        <w:rPr>
          <w:rFonts w:ascii="times" w:hAnsi="times"/>
        </w:rPr>
        <w:t>    </w:t>
      </w:r>
      <w:r>
        <w:rPr>
          <w:rFonts w:ascii="times" w:hAnsi="times"/>
          <w:sz w:val="20"/>
        </w:rPr>
        <w:t xml:space="preserve">Our merchant activities involve the purchase of crude oil, LPG and refined products for resale and require significant extensions of credit by our suppliers. In order to assure our ability to perform our obligations under the purchase agreements, various credit arrangements are negotiated with our suppliers. These arrangements include open lines of credit directly with us and, to a lesser extent, standby letters of credit issued under our senior unsecured revolving credit facility. </w:t>
      </w:r>
    </w:p>
    <w:p>
      <w:pPr>
        <w:pStyle w:val="TextBody"/>
        <w:rPr/>
      </w:pPr>
      <w:r>
        <w:rPr/>
        <w:t>        </w:t>
      </w:r>
      <w:r>
        <w:rPr>
          <w:rFonts w:ascii="times" w:hAnsi="times"/>
          <w:sz w:val="20"/>
        </w:rPr>
        <w:t xml:space="preserve">When we sell crude oil, LPG and refined products, we must determine the amount, if any, of the line of credit to be extended to any given customer. We manage our exposure to credit risk through credit analysis, credit approvals, credit limits and monitoring procedures. </w:t>
      </w:r>
    </w:p>
    <w:p>
      <w:pPr>
        <w:pStyle w:val="TextBody"/>
        <w:rPr/>
      </w:pPr>
      <w:r>
        <w:rPr/>
        <w:t>        </w:t>
      </w:r>
      <w:r>
        <w:rPr>
          <w:rFonts w:ascii="times" w:hAnsi="times"/>
          <w:sz w:val="20"/>
        </w:rPr>
        <w:t xml:space="preserve">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also settle within 30 days from the date we issue an invoice for the provision of services. </w:t>
      </w:r>
    </w:p>
    <w:p>
      <w:pPr>
        <w:pStyle w:val="TextBody"/>
        <w:rPr/>
      </w:pPr>
      <w:r>
        <w:rPr/>
        <w:t>        </w:t>
      </w:r>
      <w:r>
        <w:rPr>
          <w:rFonts w:ascii="times" w:hAnsi="times"/>
          <w:sz w:val="20"/>
        </w:rPr>
        <w:t xml:space="preserve">We also have credit risk exposure related to our sales of LPG and refined products; however, because our sales are typically in relatively small amounts to individual customers, we do not believe that these transactions pose a material concentration of credit risk. Typically, we enter into annual contracts to sell LPG on a forward basis, as well as to sell LPG on a current basis to local distributors and retailers. In certain cases our LPG customers prepay for their purchases, in amounts ranging from approximately $2 per barrel to 100% of their contracted amounts. Generally, sales of LPG settle within 15 days of the date of invoice and refined products sales settle within 10 days. </w:t>
      </w:r>
    </w:p>
    <w:p>
      <w:pPr>
        <w:pStyle w:val="TextBody"/>
        <w:rPr/>
      </w:pPr>
      <w:r>
        <w:rPr/>
        <w:t>        </w:t>
      </w:r>
      <w:r>
        <w:rPr>
          <w:rFonts w:ascii="times" w:hAnsi="times"/>
          <w:sz w:val="20"/>
        </w:rPr>
        <w:t xml:space="preserve">Certain activities in our marketing segment are affected by seasonal aspects, primarily with respect to LPG marketing activities, which generally have higher activity levels during the first and fourth quarters of each year. </w:t>
      </w:r>
    </w:p>
    <w:p>
      <w:pPr>
        <w:pStyle w:val="TextBody"/>
        <w:rPr>
          <w:rFonts w:ascii="times" w:hAnsi="times"/>
          <w:b/>
          <w:sz w:val="20"/>
        </w:rPr>
      </w:pPr>
      <w:r>
        <w:rPr>
          <w:rFonts w:ascii="times" w:hAnsi="times"/>
          <w:b/>
          <w:sz w:val="20"/>
        </w:rPr>
        <w:t xml:space="preserve">Crude Oil Volatility; Counter-Cyclical Balance; Risk Management </w:t>
      </w:r>
    </w:p>
    <w:p>
      <w:pPr>
        <w:pStyle w:val="TextBody"/>
        <w:rPr/>
      </w:pPr>
      <w:r>
        <w:rPr/>
        <w:t>        </w:t>
      </w:r>
      <w:r>
        <w:rPr>
          <w:rFonts w:ascii="times" w:hAnsi="times"/>
          <w:sz w:val="20"/>
        </w:rPr>
        <w:t xml:space="preserve">Crude oil commodity prices have historically been very volatile and cyclical, and continue to reflect such a trend. For example, over the last 22 years, NYMEX WTI crude oil benchmark prices have ranged from a low of approximately $10 per barrel during March 1986 to a high of over $147 per barrel during July 2008. During more recent months, crude oil prices plummeted from the aforementioned high of $147 per barrel to a five year low of less than $33 per barrel in December 2008. Segment profit from our marketing activities is dependent on our ability to sell crude oil and LPG at prices in excess of our aggregate cost. Although segment profit may be affected during transitional periods, our crude oil marketing operations are not directly affected by the absolute level of crude oil prices, but are affected by overall levels of supply and demand for crude oil and relative fluctuations in market-related indices. </w:t>
      </w:r>
    </w:p>
    <w:p>
      <w:pPr>
        <w:pStyle w:val="TextBody"/>
        <w:rPr>
          <w:rFonts w:ascii="times" w:hAnsi="times"/>
          <w:b/>
          <w:i/>
          <w:sz w:val="20"/>
        </w:rPr>
      </w:pPr>
      <w:r>
        <w:rPr>
          <w:rFonts w:ascii="times" w:hAnsi="times"/>
          <w:b/>
          <w:i/>
          <w:sz w:val="20"/>
        </w:rPr>
        <w:t xml:space="preserve">Counter-Cyclical Balance </w:t>
      </w:r>
    </w:p>
    <w:p>
      <w:pPr>
        <w:pStyle w:val="TextBody"/>
        <w:rPr/>
      </w:pPr>
      <w:r>
        <w:rPr/>
        <w:t>        </w:t>
      </w:r>
      <w:r>
        <w:rPr>
          <w:rFonts w:ascii="times" w:hAnsi="times"/>
          <w:sz w:val="20"/>
        </w:rPr>
        <w:t xml:space="preserve">During periods when supply exceeds the demand for crude oil in the near term, the market for crude oil is often in contango, meaning that the price of crude oil for future deliveries is higher than current prices. A contango market has a generally negative impact on our lease gathering margins, but is favorable to our commercial strategies that are associated with storage tankage leased from the facilities segment or from third parties. Those who control storage at major trading locations (such as the Cushing Interchange) can simultaneously purchase production at current prices for storage and sell forward at higher prices for future delivery. </w:t>
      </w:r>
    </w:p>
    <w:p>
      <w:pPr>
        <w:pStyle w:val="TextBody"/>
        <w:rPr/>
      </w:pPr>
      <w:r>
        <w:rPr/>
        <w:t>        </w:t>
      </w:r>
      <w:r>
        <w:rPr>
          <w:rFonts w:ascii="times" w:hAnsi="times"/>
          <w:sz w:val="20"/>
        </w:rPr>
        <w:t xml:space="preserve">When there is a higher demand than supply of crude oil in the near term, the market is backwardated, meaning that the price of crude oil for future deliveries is lower than current prices. A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12101a_main_toc">
        <w:bookmarkStart w:id="43" w:name="page_dm12101_1_31"/>
        <w:bookmarkEnd w:id="43"/>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backwardated market has a positive impact on our lease gathering margins because crude oil gatherers can capture a premium for prompt deliveries. In this environment, there is little incentive to store crude oil as current prices are above delivery prices in the futures markets. </w:t>
      </w:r>
    </w:p>
    <w:p>
      <w:pPr>
        <w:pStyle w:val="TextBody"/>
        <w:rPr/>
      </w:pPr>
      <w:r>
        <w:rPr/>
        <w:t>        </w:t>
      </w:r>
      <w:r>
        <w:rPr>
          <w:rFonts w:ascii="times" w:hAnsi="times"/>
          <w:sz w:val="20"/>
        </w:rPr>
        <w:t xml:space="preserve">The periods between a backwardated market and a contango market are referred to as transition periods.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most difficult environment for our marketing segment. When the market is in contango, we will use our tankage to improve our lease gathering margins by storing crude oil we have purchased for delivery in future months that are selling at a higher price. In a backwardated market, we use less storage capacity but increased lease gathering margins provide an offset to this reduced cash flow. We believe that the combination of our lease gathering activities and the commercial strategies used with our tankage provides a counter-cyclical balance that has a stabilizing effect on our operations and cash flow. In addition, we supplement the counter-cyclical balance of our asset base with derivative hedging activities in an effort to maintain a base level of margin irrespective of crude oil market conditions and, in certain circumstances, to realize incremental margin during volatile market conditions. References to counter-cyclical balance elsewhere in this report are referring to this relationship between our facilities activities and our marketing activities in transitioning crude oil markets. </w:t>
      </w:r>
    </w:p>
    <w:p>
      <w:pPr>
        <w:pStyle w:val="TextBody"/>
        <w:rPr>
          <w:rFonts w:ascii="times" w:hAnsi="times"/>
          <w:b/>
          <w:i/>
          <w:sz w:val="20"/>
        </w:rPr>
      </w:pPr>
      <w:r>
        <w:rPr>
          <w:rFonts w:ascii="times" w:hAnsi="times"/>
          <w:b/>
          <w:i/>
          <w:sz w:val="20"/>
        </w:rPr>
        <w:t xml:space="preserve">Risk Management </w:t>
      </w:r>
    </w:p>
    <w:p>
      <w:pPr>
        <w:pStyle w:val="TextBody"/>
        <w:rPr/>
      </w:pPr>
      <w:r>
        <w:rPr/>
        <w:t>        </w:t>
      </w:r>
      <w:r>
        <w:rPr>
          <w:rFonts w:ascii="times" w:hAnsi="times"/>
          <w:sz w:val="20"/>
        </w:rPr>
        <w:t xml:space="preserve">As use of the financial markets for crude oil by producers, refiners, utilities and trading entities has increased, risk management strategies have become increasingly important in creating and maintaining margins. In order to hedge margins involving our physical assets and manage risks associated with our various commodity purchase and sale obligations (mainly relating to crude oil) and, in certain circumstances, to realize incremental margin during volatile market conditions, we use derivative instruments. These derivative instruments include exchange traded futures, options and swaps, as well as over-the-counter instruments.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Our risk management policies and procedures are designed to monitor NYMEX, ICE and over-the-counter positions and physical volumes, grades, locations and delivery schedules to ensure that our hedging activities are implemented in accordance with such policies. We have a risk management function that has direct responsibility and authority for our risk policies, our trading controls and procedures and certain other aspects of corporate risk management. Our risk management function also approves all new risk management strategies through a formal process. With the exception of the controlled trading program discussed below, our approved strategies are intended to mitigate and manage enterprise level risks that are inherent in our core businesses of crude oil gathering and marketing and storage. </w:t>
      </w:r>
    </w:p>
    <w:p>
      <w:pPr>
        <w:pStyle w:val="TextBody"/>
        <w:rPr/>
      </w:pPr>
      <w:r>
        <w:rPr/>
        <w:t>        </w:t>
      </w:r>
      <w:r>
        <w:rPr>
          <w:rFonts w:ascii="times" w:hAnsi="times"/>
          <w:sz w:val="20"/>
        </w:rPr>
        <w:t xml:space="preserve">Our policy is generally to purchase only product for which we have a market, and to structure our sales contracts so that price fluctuations do not materially affect the segment profit we receive. Except for the controlled crude oil trading program discussed below, we do not acquire and hold physical inventory, futures contracts or other derivative products for the purpose of speculating on outright commodity price changes as these activities could expose us to significant losses. </w:t>
      </w:r>
    </w:p>
    <w:p>
      <w:pPr>
        <w:pStyle w:val="TextBody"/>
        <w:rPr/>
      </w:pPr>
      <w:r>
        <w:rPr/>
        <w:t>        </w:t>
      </w:r>
      <w:r>
        <w:rPr>
          <w:rFonts w:ascii="times" w:hAnsi="times"/>
          <w:sz w:val="20"/>
        </w:rPr>
        <w:t xml:space="preserve">Although we seek to maintain a position that is substantially balanced within our marketing activities, we may experience net unbalanced positions for short periods of time as a result of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12101a_main_toc">
        <w:bookmarkStart w:id="44" w:name="page_dm12101_1_32"/>
        <w:bookmarkEnd w:id="44"/>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production, transportation and delivery variances as well as logistical issues associated with inclement weather conditions. When unscheduled physical inventory builds or draws do occur, they are monitored constantly and managed to a balanced position over a reasonable period of time. In connection with managing these positions and maintaining a constant presence in the marketplace, both necessary for our core business, we engage in a controlled trading program for up to an aggregate of 500,000 barrels of crude oil and a substantially lesser amount for LPG. This controlled trading activity is monitored independently by our risk management function and must take place within predefined limits and authorizations. Such amounts exclude unhedged working inventory volumes that remain relatively constant and are subject to lower of cost or market adjustments. </w:t>
      </w:r>
    </w:p>
    <w:p>
      <w:pPr>
        <w:pStyle w:val="TextBody"/>
        <w:rPr>
          <w:rFonts w:ascii="times" w:hAnsi="times"/>
          <w:b/>
          <w:sz w:val="20"/>
        </w:rPr>
      </w:pPr>
      <w:r>
        <w:rPr>
          <w:rFonts w:ascii="times" w:hAnsi="times"/>
          <w:b/>
          <w:sz w:val="20"/>
        </w:rPr>
        <w:t xml:space="preserve">Geographic Data; Financial Information about Segments </w:t>
      </w:r>
    </w:p>
    <w:p>
      <w:pPr>
        <w:pStyle w:val="TextBody"/>
        <w:rPr/>
      </w:pPr>
      <w:r>
        <w:rPr/>
        <w:t>        </w:t>
      </w:r>
      <w:r>
        <w:rPr>
          <w:rFonts w:ascii="times" w:hAnsi="times"/>
          <w:sz w:val="20"/>
        </w:rPr>
        <w:t xml:space="preserve">See Note 15 to our Consolidated Financial Statements. </w:t>
      </w:r>
    </w:p>
    <w:p>
      <w:pPr>
        <w:pStyle w:val="TextBody"/>
        <w:rPr>
          <w:rFonts w:ascii="times" w:hAnsi="times"/>
          <w:b/>
          <w:sz w:val="20"/>
        </w:rPr>
      </w:pPr>
      <w:r>
        <w:rPr>
          <w:rFonts w:ascii="times" w:hAnsi="times"/>
          <w:b/>
          <w:sz w:val="20"/>
        </w:rPr>
        <w:t xml:space="preserve">Customers </w:t>
      </w:r>
    </w:p>
    <w:p>
      <w:pPr>
        <w:pStyle w:val="TextBody"/>
        <w:rPr/>
      </w:pPr>
      <w:r>
        <w:rPr/>
        <w:t>        </w:t>
      </w:r>
      <w:r>
        <w:rPr>
          <w:rFonts w:ascii="times" w:hAnsi="times"/>
          <w:sz w:val="20"/>
        </w:rPr>
        <w:t xml:space="preserve">Marathon Petroleum Company, LLC accounted for 14%, 19% and 14% of our revenues for each of the three years ended December 31, 2008, 2007 and 2006, respectively. Valero Marketing &amp; Supply Company accounted for 10% of our revenues for the year ended December 31, 2007. ConocoPhillips Company accounted for 12% and 11% of our revenues for the years ended December 31, 2008 and 2007, respectively. No other customers accounted for 10% or more of our revenues during any of the three years. The majority of revenues from these customers pertain to our marketing operations.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8 to our Consolidated Financial Statements. </w:t>
      </w:r>
    </w:p>
    <w:p>
      <w:pPr>
        <w:pStyle w:val="TextBody"/>
        <w:rPr>
          <w:rFonts w:ascii="times" w:hAnsi="times"/>
          <w:b/>
          <w:sz w:val="20"/>
        </w:rPr>
      </w:pPr>
      <w:r>
        <w:rPr>
          <w:rFonts w:ascii="times" w:hAnsi="times"/>
          <w:b/>
          <w:sz w:val="20"/>
        </w:rPr>
        <w:t xml:space="preserve">Competition </w:t>
      </w:r>
    </w:p>
    <w:p>
      <w:pPr>
        <w:pStyle w:val="TextBody"/>
        <w:rPr/>
      </w:pPr>
      <w:r>
        <w:rPr/>
        <w:t>        </w:t>
      </w:r>
      <w:r>
        <w:rPr>
          <w:rFonts w:ascii="times" w:hAnsi="times"/>
          <w:sz w:val="20"/>
        </w:rPr>
        <w:t xml:space="preserve">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third-party owned pipelines or owners with joint venture pipelines with excess capacity in the vicinity of our operations, we are exposed to significant competition based on the relatively low incremental cost of moving an incremental barrel of crude oil. </w:t>
      </w:r>
    </w:p>
    <w:p>
      <w:pPr>
        <w:pStyle w:val="TextBody"/>
        <w:rPr/>
      </w:pPr>
      <w:r>
        <w:rPr/>
        <w:t>        </w:t>
      </w:r>
      <w:r>
        <w:rPr>
          <w:rFonts w:ascii="times" w:hAnsi="times"/>
          <w:sz w:val="20"/>
        </w:rPr>
        <w:t xml:space="preserve">We also face competition in our marketing services and facilities services. Our competitors include other crude oil pipeline companies, the major integrated oil companies, their marketing affiliates and independent gatherers, investment banks that have established a trading platform, brokers and marketers of widely varying sizes, financial resources and experience. Some of these competitors have capital resources many times greater than ours, and control greater supplies of crude oil. </w:t>
      </w:r>
    </w:p>
    <w:p>
      <w:pPr>
        <w:pStyle w:val="TextBody"/>
        <w:rPr/>
      </w:pPr>
      <w:r>
        <w:rPr/>
        <w:t>        </w:t>
      </w:r>
      <w:r>
        <w:rPr>
          <w:rFonts w:ascii="times" w:hAnsi="times"/>
          <w:sz w:val="20"/>
        </w:rPr>
        <w:t xml:space="preserve">With respect to our natural gas storage operations, we compete with other storage providers, including local distribution companies ("LDCs"), utilities and affiliates of LDCs and utilities. Certain major pipeline companies have existing storage facilities connected to their systems that compete with certain of our facilities. Third-party construction of new capacity could have an adverse impact on our competitive position.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12101a_main_toc">
        <w:bookmarkStart w:id="45" w:name="page_do12101_1_33"/>
        <w:bookmarkEnd w:id="45"/>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Regulation </w:t>
      </w:r>
    </w:p>
    <w:p>
      <w:pPr>
        <w:pStyle w:val="TextBody"/>
        <w:rPr/>
      </w:pPr>
      <w:r>
        <w:rPr/>
        <w:t>        </w:t>
      </w:r>
      <w:r>
        <w:rPr>
          <w:rFonts w:ascii="times" w:hAnsi="times"/>
          <w:sz w:val="20"/>
        </w:rPr>
        <w:t xml:space="preserve">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at any time also be required to apply significant resources in responding to governmental requests for information. The U.S. Commodity Futures Trading Commission (the "CFTC") launched a national crude oil pricing investigation in late 2007. We responded throughout 2008 to a series of requests/demands for information from the CFTC in connection with such investigation. We worked with the CFTC to focus the scope of the inquiry and limit the amount of information we were required to deliver. Within that limited scope, we believe we have completed our response. We may not know when the CFTC has completed its investigation, and the CFTC may at any time broaden the scope of inquiry and require additional information. Early in 2008, the DOT's Pipeline Hazardous Materials Safety Administration ("PHMSA") informed us that Plains had been selected among several other pipeline operators for a pilot test of a comprehensive "integrated" inspection and audit of pipeline safety compliance. We dedicated significant human resources in cooperating with PHMSA in the audit, which included a two-week long review session in our Houston office followed by field tours and records reviews in four separate operational locations. PHMSA has not yet shared its final audit conclusions. We are cooperating in a Department of Justice/Environmental Protection Agency proceeding regarding certain releases of crude oil. The proceeding could result in injunctive remedies the effect of which would subject us to operational requirements and constraints that would not apply to our competitors. See Item 3. "Legal Proceedings." </w:t>
      </w:r>
    </w:p>
    <w:p>
      <w:pPr>
        <w:pStyle w:val="TextBody"/>
        <w:rPr/>
      </w:pPr>
      <w:r>
        <w:rPr/>
        <w:t>        </w:t>
      </w:r>
      <w:r>
        <w:rPr>
          <w:rFonts w:ascii="times" w:hAnsi="times"/>
          <w:sz w:val="20"/>
        </w:rPr>
        <w:t xml:space="preserve">Following is a discussion of certain, but not all, of the laws and regulations affecting our operations. </w:t>
      </w:r>
    </w:p>
    <w:p>
      <w:pPr>
        <w:pStyle w:val="TextBody"/>
        <w:rPr>
          <w:rFonts w:ascii="times" w:hAnsi="times"/>
          <w:b/>
          <w:sz w:val="20"/>
        </w:rPr>
      </w:pPr>
      <w:r>
        <w:rPr>
          <w:rFonts w:ascii="times" w:hAnsi="times"/>
          <w:b/>
          <w:sz w:val="20"/>
        </w:rPr>
        <w:t xml:space="preserve">Environmental, Health and Safety Regulation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12101a_main_toc">
        <w:bookmarkStart w:id="46" w:name="page_do12101_1_34"/>
        <w:bookmarkEnd w:id="46"/>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Pipeline Safety/Pipeline and Storage Tank Integrity Management </w:t>
      </w:r>
    </w:p>
    <w:p>
      <w:pPr>
        <w:pStyle w:val="TextBody"/>
        <w:rPr/>
      </w:pPr>
      <w:r>
        <w:rPr/>
        <w:t>        </w:t>
      </w:r>
      <w:r>
        <w:rPr>
          <w:rFonts w:ascii="times" w:hAnsi="times"/>
          <w:sz w:val="20"/>
        </w:rPr>
        <w:t xml:space="preserve">A substantial portion of our petroleum pipelines and our storage tank facilities in the United States are subject to regulation by the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 </w:t>
      </w:r>
    </w:p>
    <w:p>
      <w:pPr>
        <w:pStyle w:val="TextBody"/>
        <w:rPr/>
      </w:pPr>
      <w:r>
        <w:rPr/>
        <w:t>        </w:t>
      </w:r>
      <w:r>
        <w:rPr>
          <w:rFonts w:ascii="times" w:hAnsi="times"/>
          <w:sz w:val="20"/>
        </w:rPr>
        <w:t xml:space="preserve">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Costs associated with the inspection, testing and correction of identified anomalies were approximately $23 million in 2008, $15 million in 2007 and $8 million in 2006. Based on currently available information, our preliminary estimate for 2009 is that we will incur approximately $10 million in operational expenditures and approximately $22 million in capital expenditures associated with our pipeline integrity management program. The acquisitions we have completed over the last several years have included pipeline assets of varying ages and maintenance and operational histories. Accordingly, we will continue to focus on pipeline integrity management as a primary operational emphasis. Significant additional expenses could be incurred if new or more stringently interpreted pipeline safety requirements are implemented. Currently, we believe our pipelines are in substantial compliance with HLPSA and the more recent 2002 and 2006 amendments. </w:t>
      </w:r>
    </w:p>
    <w:p>
      <w:pPr>
        <w:pStyle w:val="TextBody"/>
        <w:rPr/>
      </w:pPr>
      <w:r>
        <w:rPr/>
        <w:t>        </w:t>
      </w:r>
      <w:r>
        <w:rPr>
          <w:rFonts w:ascii="times" w:hAnsi="times"/>
          <w:sz w:val="20"/>
        </w:rPr>
        <w:t xml:space="preserve">On June 3, 2008, PHMSA published a final rule amending its pipeline safety regulations to extend protection to designated unusually sensitive areas or "USAs" that could be damaged by failure of certain rural onshore hazardous liquid gathering lines or low-stress pipelines. These USAs include locations containing sole-source drinking water, endangered species, or other ecological resources. Operators of rural onshore hazardous liquid gathering lines must comply with safety requirements to address threats of corrosion and third-party damage to their lines by developing a damage prevention program, complying with specified corrosion control requirements, and monitoring and mitigating conditions that could lead to internal corrosion. Moreover, the final rule narrows the regulatory exception for rural onshore low-stress hazardous liquid pipelines by extending existing safety regulations (including integrity management requirements) to certain low-stress pipelines within a defined "buffer" area around a USA. The effective date of this final rule was July 3, 2008, with operational requirements being phased in over time, generally beginning in 2009. We have less than 300 miles of pipeline subject to the new rule and do not expect compliance to have a material effect on our operating expenses. </w:t>
      </w:r>
    </w:p>
    <w:p>
      <w:pPr>
        <w:pStyle w:val="TextBody"/>
        <w:rPr/>
      </w:pPr>
      <w:r>
        <w:rPr/>
        <w:t>        </w:t>
      </w:r>
      <w:r>
        <w:rPr>
          <w:rFonts w:ascii="times" w:hAnsi="times"/>
          <w:sz w:val="20"/>
        </w:rPr>
        <w:t xml:space="preserve">We have expanded an internal review process in which we are reviewing the condition and operating history of certain pipelines and gathering assets to determine if such assets warrant additional investment or replacement. Accordingly, in addition to potential cost increases related to unanticipated regulatory changes or injunctive remedies resulting from Environmental Protection Agency ("EPA") enforcement actions, we may elect (as a result of our own internal initiatives) to spend substantial sums to ensure the integrity of and upgrade our pipeline systems and, in some cases, we may take pipelines out of service if we believe the cost of upgrades will exceed the value of the pipelines.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12101a_main_toc">
        <w:bookmarkStart w:id="47" w:name="page_do12101_1_35"/>
        <w:bookmarkEnd w:id="47"/>
        <w:r>
          <w:rPr>
            <w:rStyle w:val="InternetLink"/>
            <w:rFonts w:ascii="times" w:hAnsi="times"/>
            <w:sz w:val="20"/>
          </w:rPr>
          <w:t>Table of Contents</w:t>
        </w:r>
      </w:hyperlink>
    </w:p>
    <w:p>
      <w:pPr>
        <w:pStyle w:val="TextBody"/>
        <w:rPr/>
      </w:pPr>
      <w:r>
        <w:rPr/>
        <w:t>        </w:t>
      </w:r>
      <w:r>
        <w:rPr>
          <w:rFonts w:ascii="times" w:hAnsi="times"/>
          <w:sz w:val="20"/>
        </w:rPr>
        <w:t xml:space="preserve">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We do not anticipate any significant problems in complying with applicable state laws and regulations. </w:t>
      </w:r>
    </w:p>
    <w:p>
      <w:pPr>
        <w:pStyle w:val="TextBody"/>
        <w:rPr/>
      </w:pPr>
      <w:r>
        <w:rPr/>
        <w:t>        </w:t>
      </w:r>
      <w:r>
        <w:rPr>
          <w:rFonts w:ascii="times" w:hAnsi="times"/>
          <w:sz w:val="20"/>
        </w:rPr>
        <w:t xml:space="preserve">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 concentrated attack. </w:t>
      </w:r>
    </w:p>
    <w:p>
      <w:pPr>
        <w:pStyle w:val="TextBody"/>
        <w:rPr/>
      </w:pPr>
      <w:r>
        <w:rPr/>
        <w:t>        </w:t>
      </w:r>
      <w:r>
        <w:rPr>
          <w:rFonts w:ascii="times" w:hAnsi="times"/>
          <w:sz w:val="20"/>
        </w:rPr>
        <w:t xml:space="preserve">The DOT has adopted American Petroleum Institute Standard 653 ("API 653") as the standard for the inspection, repair, alteration and reconstruction of existing crude oil storage tanks subject to DOT jurisdiction. API 653 requires regularly scheduled inspection and repair of tanks remaining in service. Full compliance, subject to an applicable waiver or stay, is required in May 2009. Costs associated with this program were approximately $41 million, $18 million and $7 million in 2008, 2007 and 2006, respectively. Based on currently available information, we anticipate we will spend approximately $32 million in 2009 in connection with API 653 compliance activities. Certain storage tanks may be taken out of service if we believe the cost of upgrades will exceed the value of the storage tanks or replacement tankage may be constructed at a more optimal location. In addition, due primarily to decreased crude oil consumption, market conditions during the first part of 2009 have resulted in a significant demand for storage capacity. Accordingly, we may elect to spend more in 2009 than initially forecasted if economic conditions warrant. </w:t>
      </w:r>
    </w:p>
    <w:p>
      <w:pPr>
        <w:pStyle w:val="TextBody"/>
        <w:rPr/>
      </w:pPr>
      <w:r>
        <w:rPr/>
        <w:t>        </w:t>
      </w:r>
      <w:r>
        <w:rPr>
          <w:rFonts w:ascii="times" w:hAnsi="times"/>
          <w:sz w:val="20"/>
        </w:rPr>
        <w:t xml:space="preserve">In Canada, the NEB and provincial agencies such as the Energy Resources Conservation Board ("ERCB") in Alberta and the Saskatchewan Ministry of Energy and Resources regulate the construction, alteration, inspection and repair of crude oil storage tanks. We expect to incur costs under laws and regulations related to pipeline and storage tank integrity, such as operator competency programs, regulatory upgrades to our operating and maintenance systems and environmental upgrades of buried sump tanks. We spent approximately $8 million in 2008, $6 million in 2007 and $5 million in 2006. Our preliminary estimate for 2009 is approximately $20 million. Certain of these costs are recurring in nature and thus will affect future periods. </w:t>
      </w:r>
    </w:p>
    <w:p>
      <w:pPr>
        <w:pStyle w:val="TextBody"/>
        <w:rPr/>
      </w:pPr>
      <w:r>
        <w:rPr/>
        <w:t>        </w:t>
      </w:r>
      <w:r>
        <w:rPr>
          <w:rFonts w:ascii="times" w:hAnsi="times"/>
          <w:sz w:val="20"/>
        </w:rPr>
        <w:t xml:space="preserve">Although we believe that our pipeline operations are in substantial compliance with currently applicable regulatory requirements, we cannot predict the potential costs associated with additional, future regulation. Asset acquisitions are an integral part of our business strategy. As we acquire additional assets, we may be required to incur additional costs in order to ensure that the acquired assets comply with the regulatory standards in the U.S. and Canada. </w:t>
      </w:r>
    </w:p>
    <w:p>
      <w:pPr>
        <w:pStyle w:val="TextBody"/>
        <w:rPr>
          <w:rFonts w:ascii="times" w:hAnsi="times"/>
          <w:b/>
          <w:i/>
          <w:sz w:val="20"/>
        </w:rPr>
      </w:pPr>
      <w:r>
        <w:rPr>
          <w:rFonts w:ascii="times" w:hAnsi="times"/>
          <w:b/>
          <w:i/>
          <w:sz w:val="20"/>
        </w:rPr>
        <w:t xml:space="preserve">Occupational Safety and Health </w:t>
      </w:r>
    </w:p>
    <w:p>
      <w:pPr>
        <w:pStyle w:val="TextBody"/>
        <w:rPr/>
      </w:pPr>
      <w:r>
        <w:rPr/>
        <w:t>        </w:t>
      </w:r>
      <w:r>
        <w:rPr>
          <w:rFonts w:ascii="times" w:hAnsi="times"/>
          <w:sz w:val="20"/>
        </w:rPr>
        <w:t xml:space="preserve">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recordkeeping requirements and monitoring of occupational exposure to regulated substances. </w:t>
      </w:r>
    </w:p>
    <w:p>
      <w:pPr>
        <w:pStyle w:val="TextBody"/>
        <w:rPr/>
      </w:pPr>
      <w:r>
        <w:rPr/>
        <w:t>        </w:t>
      </w:r>
      <w:r>
        <w:rPr>
          <w:rFonts w:ascii="times" w:hAnsi="times"/>
          <w:sz w:val="20"/>
        </w:rPr>
        <w:t xml:space="preserve">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under the Criminal Code of Canada, organizations, corporations and individuals may be prosecuted criminally for violating the duty to protect employee and public safety.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12101a_main_toc">
        <w:bookmarkStart w:id="48" w:name="page_do12101_1_36"/>
        <w:bookmarkEnd w:id="48"/>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We believe that our operations are in substantial compliance with applicable occupational health and safety requirements. </w:t>
      </w:r>
    </w:p>
    <w:p>
      <w:pPr>
        <w:pStyle w:val="TextBody"/>
        <w:rPr>
          <w:rFonts w:ascii="times" w:hAnsi="times"/>
          <w:b/>
          <w:i/>
          <w:sz w:val="20"/>
        </w:rPr>
      </w:pPr>
      <w:r>
        <w:rPr>
          <w:rFonts w:ascii="times" w:hAnsi="times"/>
          <w:b/>
          <w:i/>
          <w:sz w:val="20"/>
        </w:rPr>
        <w:t xml:space="preserve">Solid Waste </w:t>
      </w:r>
    </w:p>
    <w:p>
      <w:pPr>
        <w:pStyle w:val="TextBody"/>
        <w:rPr/>
      </w:pPr>
      <w:r>
        <w:rPr/>
        <w:t>        </w:t>
      </w:r>
      <w:r>
        <w:rPr>
          <w:rFonts w:ascii="times" w:hAnsi="times"/>
          <w:sz w:val="20"/>
        </w:rPr>
        <w:t xml:space="preserve">We generate wastes, including hazardous wastes, that are subject to the requirements of the federal Resource Conservation and Recovery Act, as amended, ("RCRA") and analogous state and provincial laws. We are not required to comply with a substantial portion of the RCRA requirements because our operations generate primarily oil and gas wastes, which currently are excluded from consideration as RCRA hazardous wastes. It is possible, however, that in the future oil and gas wastes may be included as RCRA hazardous wastes, in which event our wastes as well as the wastes of our competitors will be subject to more rigorous and costly disposal requirements, resulting in additional capital expenditures or operating expenses. </w:t>
      </w:r>
    </w:p>
    <w:p>
      <w:pPr>
        <w:pStyle w:val="TextBody"/>
        <w:rPr>
          <w:rFonts w:ascii="times" w:hAnsi="times"/>
          <w:b/>
          <w:i/>
          <w:sz w:val="20"/>
        </w:rPr>
      </w:pPr>
      <w:r>
        <w:rPr>
          <w:rFonts w:ascii="times" w:hAnsi="times"/>
          <w:b/>
          <w:i/>
          <w:sz w:val="20"/>
        </w:rPr>
        <w:t xml:space="preserve">Hazardous Substances </w:t>
      </w:r>
    </w:p>
    <w:p>
      <w:pPr>
        <w:pStyle w:val="TextBody"/>
        <w:rPr/>
      </w:pPr>
      <w:r>
        <w:rPr/>
        <w:t>        </w:t>
      </w:r>
      <w:r>
        <w:rPr>
          <w:rFonts w:ascii="times" w:hAnsi="times"/>
          <w:sz w:val="20"/>
        </w:rPr>
        <w:t xml:space="preserve">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We have knowledge of two Superfund sites where an affiliate (Scurlock Permian LLC) of a predecessor owner (Marathon Ashland Petroleum or "MAP") of assets we now own was alleged to have deposited waste oils, but MAP has contractually indemnified us for any liabilities associated with these two sites. Canadian and provincial laws also impose liabilities for releases of certain substances into the environment. </w:t>
      </w:r>
    </w:p>
    <w:p>
      <w:pPr>
        <w:pStyle w:val="TextBody"/>
        <w:rPr>
          <w:rFonts w:ascii="times" w:hAnsi="times"/>
          <w:b/>
          <w:i/>
          <w:sz w:val="20"/>
        </w:rPr>
      </w:pPr>
      <w:r>
        <w:rPr>
          <w:rFonts w:ascii="times" w:hAnsi="times"/>
          <w:b/>
          <w:i/>
          <w:sz w:val="20"/>
        </w:rPr>
        <w:t xml:space="preserve">Environmental Remediation </w:t>
      </w:r>
    </w:p>
    <w:p>
      <w:pPr>
        <w:pStyle w:val="TextBody"/>
        <w:rPr/>
      </w:pPr>
      <w:r>
        <w:rPr/>
        <w:t>        </w:t>
      </w:r>
      <w:r>
        <w:rPr>
          <w:rFonts w:ascii="times" w:hAnsi="times"/>
          <w:sz w:val="20"/>
        </w:rPr>
        <w:t xml:space="preserve">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w:t>
      </w:r>
    </w:p>
    <w:p>
      <w:pPr>
        <w:pStyle w:val="TextBody"/>
        <w:rPr/>
      </w:pPr>
      <w:r>
        <w:rPr/>
        <w:t>        </w:t>
      </w:r>
      <w:r>
        <w:rPr>
          <w:rFonts w:ascii="times" w:hAnsi="times"/>
          <w:sz w:val="20"/>
        </w:rPr>
        <w:t xml:space="preserve">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 </w:t>
      </w:r>
    </w:p>
    <w:p>
      <w:pPr>
        <w:pStyle w:val="TextBody"/>
        <w:rPr/>
      </w:pPr>
      <w:r>
        <w:rPr/>
        <w:t>        </w:t>
      </w:r>
      <w:r>
        <w:rPr>
          <w:rFonts w:ascii="times" w:hAnsi="times"/>
          <w:sz w:val="20"/>
        </w:rPr>
        <w:t xml:space="preserve">In conjunction with our acquisitions, we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bg12101a_main_toc">
        <w:bookmarkStart w:id="49" w:name="page_do12101_1_37"/>
        <w:bookmarkEnd w:id="49"/>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apply, and have term and total dollar limits. For instance, in connection with the purchase of former Texas New Mexico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Shell Oil Products ("SOP"). As of December 31, 2008, we had incurred approximately $9 million of remediation costs associated with these sites, while SOP's share is approximately $5 million. In another example, as a result of our merger with Pacific, we assumed liability for a number of ongoing remediation sites associated with releases from pipeline or storage operations. We have evaluated each of the sites requiring remediation and developed reserve estimates for the Pacific sites, which total approximately $21 million. See Item 3. "Legal Proceedings." </w:t>
      </w:r>
    </w:p>
    <w:p>
      <w:pPr>
        <w:pStyle w:val="TextBody"/>
        <w:rPr/>
      </w:pPr>
      <w:r>
        <w:rPr/>
        <w:t>        </w:t>
      </w:r>
      <w:r>
        <w:rPr>
          <w:rFonts w:ascii="times" w:hAnsi="times"/>
          <w:sz w:val="20"/>
        </w:rPr>
        <w:t xml:space="preserve">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w:t>
      </w:r>
    </w:p>
    <w:p>
      <w:pPr>
        <w:pStyle w:val="TextBody"/>
        <w:rPr/>
      </w:pPr>
      <w:r>
        <w:rPr/>
        <w:t>        </w:t>
      </w:r>
      <w:r>
        <w:rPr>
          <w:rFonts w:ascii="times" w:hAnsi="times"/>
          <w:sz w:val="20"/>
        </w:rPr>
        <w:t xml:space="preserve">Other assets we have acquired or will acquire in the future may have environmental remediation liabilities for which we are not indemnified. </w:t>
      </w:r>
    </w:p>
    <w:p>
      <w:pPr>
        <w:pStyle w:val="TextBody"/>
        <w:rPr>
          <w:rFonts w:ascii="times" w:hAnsi="times"/>
          <w:b/>
          <w:i/>
          <w:sz w:val="20"/>
        </w:rPr>
      </w:pPr>
      <w:r>
        <w:rPr>
          <w:rFonts w:ascii="times" w:hAnsi="times"/>
          <w:b/>
          <w:i/>
          <w:sz w:val="20"/>
        </w:rPr>
        <w:t xml:space="preserve">Air Emissions </w:t>
      </w:r>
    </w:p>
    <w:p>
      <w:pPr>
        <w:pStyle w:val="TextBody"/>
        <w:rPr/>
      </w:pPr>
      <w:r>
        <w:rPr/>
        <w:t>        </w:t>
      </w:r>
      <w:r>
        <w:rPr>
          <w:rFonts w:ascii="times" w:hAnsi="times"/>
          <w:sz w:val="20"/>
        </w:rPr>
        <w:t xml:space="preserve">Our operations are subject to the U.S. Clean Air Act ("Clean Air Act") and comparable state and provincial laws. Under these laws, permits may be required before construction can commence on a new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state and regional air emissions control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results of operations. </w:t>
      </w:r>
    </w:p>
    <w:p>
      <w:pPr>
        <w:pStyle w:val="TextBody"/>
        <w:rPr>
          <w:rFonts w:ascii="times" w:hAnsi="times"/>
          <w:b/>
          <w:i/>
          <w:sz w:val="20"/>
        </w:rPr>
      </w:pPr>
      <w:r>
        <w:rPr>
          <w:rFonts w:ascii="times" w:hAnsi="times"/>
          <w:b/>
          <w:i/>
          <w:sz w:val="20"/>
        </w:rPr>
        <w:t xml:space="preserve">Climate Change Initiatives </w:t>
      </w:r>
    </w:p>
    <w:p>
      <w:pPr>
        <w:pStyle w:val="TextBody"/>
        <w:rPr/>
      </w:pPr>
      <w:r>
        <w:rPr/>
        <w:t>        </w:t>
      </w:r>
      <w:r>
        <w:rPr>
          <w:rFonts w:ascii="times" w:hAnsi="times"/>
          <w:sz w:val="20"/>
        </w:rPr>
        <w:t xml:space="preserve">In response to recent studies suggesting that emissions of carbon dioxide, methane and certain other gases may be contributing to warming of the Earth's atmosphere, many nations, including Canada, have agreed to limit emissions of these gases, generally referred to as greenhouse gases ("GHG"), pursuant to the United Nations Framework Convention on Climate Change, also known as the "Kyoto Protocol." The Kyoto Protocol requires Canada to reduce its emissions of GHG to 6% below 1990 levels by 2012. In response to the Kyoto Protocol, the Canadian federal government introduced the </w:t>
      </w:r>
      <w:r>
        <w:rPr>
          <w:rFonts w:ascii="times" w:hAnsi="times"/>
          <w:i/>
          <w:sz w:val="20"/>
        </w:rPr>
        <w:t>Regulatory Framework for Air Emissions</w:t>
      </w:r>
      <w:r>
        <w:rPr>
          <w:rFonts w:ascii="times" w:hAnsi="times"/>
        </w:rPr>
        <w:t xml:space="preserve"> </w:t>
      </w:r>
      <w:r>
        <w:rPr>
          <w:rFonts w:ascii="times" w:hAnsi="times"/>
          <w:sz w:val="20"/>
        </w:rPr>
        <w:t xml:space="preserve">(the "Regulatory Framework") for regulating air pollution and industrial GHG emissions by establishing mandatory emissions reduction requirements on a sector basis. Sector-specific regulations are expected to become effective in 2010. </w:t>
      </w:r>
    </w:p>
    <w:p>
      <w:pPr>
        <w:pStyle w:val="TextBody"/>
        <w:rPr/>
      </w:pPr>
      <w:r>
        <w:rPr/>
        <w:t>        </w:t>
      </w:r>
      <w:r>
        <w:rPr>
          <w:rFonts w:ascii="times" w:hAnsi="times"/>
          <w:sz w:val="20"/>
        </w:rPr>
        <w:t xml:space="preserve">Although the United States is not participating in the Kyoto Protocol, the U.S. Congress has been actively considering legislation to reduce emissions of GHGs. In addition, more than one-third of the states already have begun implementing legal measures to reduce emissions of GHGs, primarily through the development of GHG emission inventories and/or regional GHG cap and trade programs. Also, on April 2, 2007, the U.S. Supreme Court in </w:t>
      </w:r>
      <w:r>
        <w:rPr>
          <w:rFonts w:ascii="times" w:hAnsi="times"/>
          <w:i/>
          <w:sz w:val="20"/>
        </w:rPr>
        <w:t>Massachusetts, et al. v. EPA</w:t>
      </w:r>
      <w:r>
        <w:rPr>
          <w:rFonts w:ascii="times" w:hAnsi="times"/>
        </w:rPr>
        <w:t xml:space="preserve"> </w:t>
      </w:r>
      <w:r>
        <w:rPr>
          <w:rFonts w:ascii="times" w:hAnsi="times"/>
          <w:sz w:val="20"/>
        </w:rPr>
        <w:t xml:space="preserve">held that carbon dioxide may be regulated as an "air pollutant" under the federal Clean Air Act and that EPA must consider whether it is required to regulate GHG emissions from mobile sources such as cars and trucks. Moreover, the Court's holding in </w:t>
      </w:r>
      <w:r>
        <w:rPr>
          <w:rFonts w:ascii="times" w:hAnsi="times"/>
          <w:i/>
          <w:sz w:val="20"/>
        </w:rPr>
        <w:t>Massachusetts</w:t>
      </w:r>
      <w:r>
        <w:rPr>
          <w:rFonts w:ascii="times" w:hAnsi="times"/>
        </w:rPr>
        <w:t xml:space="preserve"> </w:t>
      </w:r>
      <w:r>
        <w:rPr>
          <w:rFonts w:ascii="times" w:hAnsi="times"/>
          <w:sz w:val="20"/>
        </w:rPr>
        <w:t xml:space="preserve">that GHGs fall under the federal Clean Air Act's </w:t>
      </w:r>
    </w:p>
    <w:p>
      <w:pPr>
        <w:pStyle w:val="TextBody"/>
        <w:jc w:val="center"/>
        <w:rPr>
          <w:rFonts w:ascii="times" w:hAnsi="times"/>
          <w:sz w:val="20"/>
        </w:rPr>
      </w:pPr>
      <w:r>
        <w:rPr>
          <w:rFonts w:ascii="times" w:hAnsi="times"/>
          <w:sz w:val="20"/>
        </w:rPr>
        <w:t>37</w:t>
      </w:r>
    </w:p>
    <w:p>
      <w:pPr>
        <w:pStyle w:val="HorizontalLine"/>
        <w:pBdr>
          <w:bottom w:val="single" w:sz="20" w:space="0" w:color="808080"/>
        </w:pBdr>
        <w:rPr/>
      </w:pPr>
      <w:r>
        <w:rPr/>
      </w:r>
      <w:r>
        <w:br w:type="page"/>
      </w:r>
    </w:p>
    <w:p>
      <w:pPr>
        <w:pStyle w:val="TextBody"/>
        <w:rPr/>
      </w:pPr>
      <w:hyperlink w:anchor="bg12101a_main_toc">
        <w:bookmarkStart w:id="50" w:name="page_do12101_1_38"/>
        <w:bookmarkEnd w:id="50"/>
        <w:r>
          <w:rPr>
            <w:rStyle w:val="InternetLink"/>
            <w:rFonts w:ascii="times" w:hAnsi="times"/>
            <w:sz w:val="20"/>
          </w:rPr>
          <w:t>Table of Contents</w:t>
        </w:r>
      </w:hyperlink>
    </w:p>
    <w:p>
      <w:pPr>
        <w:pStyle w:val="TextBody"/>
        <w:rPr/>
      </w:pPr>
      <w:r>
        <w:rPr/>
      </w:r>
    </w:p>
    <w:p>
      <w:pPr>
        <w:pStyle w:val="TextBody"/>
        <w:rPr>
          <w:rFonts w:ascii="times" w:hAnsi="times"/>
        </w:rPr>
      </w:pPr>
      <w:r>
        <w:rPr>
          <w:rFonts w:ascii="times" w:hAnsi="times"/>
          <w:sz w:val="20"/>
        </w:rPr>
        <w:t xml:space="preserve">definition of "air pollutant" also may result in future regulation of GHG emissions from stationary sources such as refineries and power plants. In July 2008, EPA released an Advance Notice of Proposed Rulemaking regarding possible future regulation of GHG emissions under the Clean Air Act, in response to the Supreme Court's decision in </w:t>
      </w:r>
      <w:r>
        <w:rPr>
          <w:rFonts w:ascii="times" w:hAnsi="times"/>
          <w:i/>
          <w:sz w:val="20"/>
        </w:rPr>
        <w:t>Massachusetts</w:t>
      </w:r>
      <w:r>
        <w:rPr>
          <w:rFonts w:ascii="times" w:hAnsi="times"/>
          <w:sz w:val="20"/>
        </w:rPr>
        <w:t xml:space="preserve">. In the notice, EPA evaluated the potential regulation of GHGs under the Clean Air Act and other potential methods of regulating GHGs. Although the notice did not propose any specific, new regulatory requirements for GHGs, it indicates that federal regulation of GHG emissions could occur in the near future. Thus, there may be restrictions imposed on the emission of GHGs if Congress does not adopt new legislation specifically addressing emissions of GHGs. </w:t>
      </w:r>
    </w:p>
    <w:p>
      <w:pPr>
        <w:pStyle w:val="TextBody"/>
        <w:rPr/>
      </w:pPr>
      <w:r>
        <w:rPr/>
        <w:t>        </w:t>
      </w:r>
      <w:r>
        <w:rPr>
          <w:rFonts w:ascii="times" w:hAnsi="times"/>
          <w:sz w:val="20"/>
        </w:rPr>
        <w:t xml:space="preserve">Operational components of our stationary facilities that require the combustion of carbon-based fuel (such as compression stations, line heaters and internal combustion engine-driven pumps) produce GHG emissions in the form of CO2. Although we believe that these emissions in the aggregate are not significant relative to other industries that are fuel-combustion intensive, we have commenced a process of identifying potential emission sources and establishing GHG inventories for such sources. </w:t>
      </w:r>
    </w:p>
    <w:p>
      <w:pPr>
        <w:pStyle w:val="TextBody"/>
        <w:rPr/>
      </w:pPr>
      <w:r>
        <w:rPr/>
        <w:t>        </w:t>
      </w:r>
      <w:r>
        <w:rPr>
          <w:rFonts w:ascii="times" w:hAnsi="times"/>
          <w:sz w:val="20"/>
        </w:rPr>
        <w:t xml:space="preserve">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financial condition, demand for our services, results of operations, and cash flows. </w:t>
      </w:r>
    </w:p>
    <w:p>
      <w:pPr>
        <w:pStyle w:val="TextBody"/>
        <w:rPr>
          <w:rFonts w:ascii="times" w:hAnsi="times"/>
          <w:b/>
          <w:i/>
          <w:sz w:val="20"/>
        </w:rPr>
      </w:pPr>
      <w:r>
        <w:rPr>
          <w:rFonts w:ascii="times" w:hAnsi="times"/>
          <w:b/>
          <w:i/>
          <w:sz w:val="20"/>
        </w:rPr>
        <w:t xml:space="preserve">Water </w:t>
      </w:r>
    </w:p>
    <w:p>
      <w:pPr>
        <w:pStyle w:val="TextBody"/>
        <w:rPr/>
      </w:pPr>
      <w:r>
        <w:rPr/>
        <w:t>        </w:t>
      </w:r>
      <w:r>
        <w:rPr>
          <w:rFonts w:ascii="times" w:hAnsi="times"/>
          <w:sz w:val="20"/>
        </w:rPr>
        <w:t xml:space="preserve">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and Note 11 to our Consolidated Financial Statements. Federal, state and provincial regulatory agencies can impose administrative, civil and/or criminal penalties for non-compliance with discharge permits or other requirements of the CWA. </w:t>
      </w:r>
    </w:p>
    <w:p>
      <w:pPr>
        <w:pStyle w:val="TextBody"/>
        <w:rPr/>
      </w:pPr>
      <w:r>
        <w:rPr/>
        <w:t>        </w:t>
      </w:r>
      <w:r>
        <w:rPr>
          <w:rFonts w:ascii="times" w:hAnsi="times"/>
          <w:sz w:val="20"/>
        </w:rPr>
        <w:t xml:space="preserve">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 </w:t>
      </w:r>
    </w:p>
    <w:p>
      <w:pPr>
        <w:pStyle w:val="TextBody"/>
        <w:rPr>
          <w:rFonts w:ascii="times" w:hAnsi="times"/>
          <w:b/>
          <w:sz w:val="20"/>
        </w:rPr>
      </w:pPr>
      <w:r>
        <w:rPr>
          <w:rFonts w:ascii="times" w:hAnsi="times"/>
          <w:b/>
          <w:sz w:val="20"/>
        </w:rPr>
        <w:t xml:space="preserve">Other Regulation </w:t>
      </w:r>
    </w:p>
    <w:p>
      <w:pPr>
        <w:pStyle w:val="TextBody"/>
        <w:rPr>
          <w:rFonts w:ascii="times" w:hAnsi="times"/>
          <w:b/>
          <w:i/>
          <w:sz w:val="20"/>
        </w:rPr>
      </w:pPr>
      <w:r>
        <w:rPr>
          <w:rFonts w:ascii="times" w:hAnsi="times"/>
          <w:b/>
          <w:i/>
          <w:sz w:val="20"/>
        </w:rPr>
        <w:t xml:space="preserve">Transportation Regulation </w:t>
      </w:r>
    </w:p>
    <w:p>
      <w:pPr>
        <w:pStyle w:val="TextBody"/>
        <w:rPr/>
      </w:pPr>
      <w:r>
        <w:rPr/>
        <w:t>        </w:t>
      </w:r>
      <w:r>
        <w:rPr>
          <w:rFonts w:ascii="times" w:hAnsi="times"/>
          <w:sz w:val="20"/>
        </w:rPr>
        <w:t xml:space="preserve">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 </w:t>
      </w:r>
    </w:p>
    <w:p>
      <w:pPr>
        <w:pStyle w:val="TextBody"/>
        <w:rPr/>
      </w:pPr>
      <w:r>
        <w:rPr/>
        <w:t>        </w:t>
      </w:r>
      <w:r>
        <w:rPr>
          <w:rFonts w:ascii="times" w:hAnsi="times"/>
          <w:i/>
          <w:sz w:val="20"/>
        </w:rPr>
        <w:t>General Interstate Regulation.</w:t>
      </w:r>
      <w:r>
        <w:rPr>
          <w:rFonts w:ascii="times" w:hAnsi="times"/>
        </w:rPr>
        <w:t>    </w:t>
      </w:r>
      <w:r>
        <w:rPr>
          <w:rFonts w:ascii="times" w:hAnsi="times"/>
          <w:sz w:val="20"/>
        </w:rPr>
        <w:t xml:space="preserve">Our interstate common carrier pipeline operations are subject to rate regulation by the FERC under the Interstate Commerce Act ("ICA"). The ICA requires that tariff rates for petroleum pipelines, which include both crude oil pipelines and refined products pipelines, be just and reasonable and non-discriminatory. </w:t>
      </w:r>
    </w:p>
    <w:p>
      <w:pPr>
        <w:pStyle w:val="TextBody"/>
        <w:jc w:val="center"/>
        <w:rPr>
          <w:rFonts w:ascii="times" w:hAnsi="times"/>
          <w:sz w:val="20"/>
        </w:rPr>
      </w:pPr>
      <w:r>
        <w:rPr>
          <w:rFonts w:ascii="times" w:hAnsi="times"/>
          <w:sz w:val="20"/>
        </w:rPr>
        <w:t>38</w:t>
      </w:r>
    </w:p>
    <w:p>
      <w:pPr>
        <w:pStyle w:val="HorizontalLine"/>
        <w:pBdr>
          <w:bottom w:val="single" w:sz="20" w:space="0" w:color="808080"/>
        </w:pBdr>
        <w:rPr/>
      </w:pPr>
      <w:r>
        <w:rPr/>
      </w:r>
      <w:r>
        <w:br w:type="page"/>
      </w:r>
    </w:p>
    <w:p>
      <w:pPr>
        <w:pStyle w:val="TextBody"/>
        <w:rPr/>
      </w:pPr>
      <w:hyperlink w:anchor="bg12101a_main_toc">
        <w:bookmarkStart w:id="51" w:name="page_do12101_1_39"/>
        <w:bookmarkEnd w:id="51"/>
        <w:r>
          <w:rPr>
            <w:rStyle w:val="InternetLink"/>
            <w:rFonts w:ascii="times" w:hAnsi="times"/>
            <w:sz w:val="20"/>
          </w:rPr>
          <w:t>Table of Contents</w:t>
        </w:r>
      </w:hyperlink>
    </w:p>
    <w:p>
      <w:pPr>
        <w:pStyle w:val="TextBody"/>
        <w:rPr/>
      </w:pPr>
      <w:r>
        <w:rPr/>
        <w:t>        </w:t>
      </w:r>
      <w:r>
        <w:rPr>
          <w:rFonts w:ascii="times" w:hAnsi="times"/>
          <w:i/>
          <w:sz w:val="20"/>
        </w:rPr>
        <w:t>State Regulation.</w:t>
      </w:r>
      <w:r>
        <w:rPr>
          <w:rFonts w:ascii="times" w:hAnsi="times"/>
        </w:rPr>
        <w:t>    </w:t>
      </w:r>
      <w:r>
        <w:rPr>
          <w:rFonts w:ascii="times" w:hAnsi="times"/>
          <w:sz w:val="20"/>
        </w:rPr>
        <w:t xml:space="preserve">Our intrastate pipeline transportation activities are subject to various state laws and regulations, as well as orders of state regulatory bodies, including the California Public Utility Commission, which prohibits certain of our subsidiaries from acting as guarantors of our senior notes and credit facilities. See Note 13 to our Consolidated Financial Statements. </w:t>
      </w:r>
    </w:p>
    <w:p>
      <w:pPr>
        <w:pStyle w:val="TextBody"/>
        <w:rPr/>
      </w:pPr>
      <w:r>
        <w:rPr/>
        <w:t>        </w:t>
      </w:r>
      <w:r>
        <w:rPr>
          <w:rFonts w:ascii="times" w:hAnsi="times"/>
          <w:i/>
          <w:sz w:val="20"/>
        </w:rPr>
        <w:t>Canadian Regulation.</w:t>
      </w:r>
      <w:r>
        <w:rPr>
          <w:rFonts w:ascii="times" w:hAnsi="times"/>
        </w:rPr>
        <w:t>    </w:t>
      </w:r>
      <w:r>
        <w:rPr>
          <w:rFonts w:ascii="times" w:hAnsi="times"/>
          <w:sz w:val="20"/>
        </w:rPr>
        <w:t xml:space="preserve">Our Canadian pipeline assets are subject to regulation by the NEB and by provincial authorities, such as the Alberta ERCB. With 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 </w:t>
      </w:r>
    </w:p>
    <w:p>
      <w:pPr>
        <w:pStyle w:val="TextBody"/>
        <w:rPr/>
      </w:pPr>
      <w:r>
        <w:rPr/>
        <w:t>        </w:t>
      </w:r>
      <w:r>
        <w:rPr>
          <w:rFonts w:ascii="times" w:hAnsi="times"/>
          <w:i/>
          <w:sz w:val="20"/>
        </w:rPr>
        <w:t>Regulation of OCS Pipelines.</w:t>
      </w:r>
      <w:r>
        <w:rPr>
          <w:rFonts w:ascii="times" w:hAnsi="times"/>
        </w:rPr>
        <w:t>    </w:t>
      </w:r>
      <w:r>
        <w:rPr>
          <w:rFonts w:ascii="times" w:hAnsi="times"/>
          <w:sz w:val="20"/>
        </w:rPr>
        <w:t xml:space="preserve">The Outer Continental Shelf Lands Act requires that all pipelines operating on or across the OCS provide open access, non-discriminatory transportation service. In June 2008, the Minerals Management Service issued a final rule establishing formal and informal complaint procedures for shippers that believe they have been denied open and nondiscriminatory access to transportation on the OCS. We do not expect the rule to have a material impact on our operations or results. </w:t>
      </w:r>
    </w:p>
    <w:p>
      <w:pPr>
        <w:pStyle w:val="TextBody"/>
        <w:rPr/>
      </w:pPr>
      <w:r>
        <w:rPr/>
        <w:t>        </w:t>
      </w:r>
      <w:r>
        <w:rPr>
          <w:rFonts w:ascii="times" w:hAnsi="times"/>
          <w:i/>
          <w:sz w:val="20"/>
        </w:rPr>
        <w:t>Energy Policy Act of 1992 and Subsequent Developments.</w:t>
      </w:r>
      <w:r>
        <w:rPr>
          <w:rFonts w:ascii="times" w:hAnsi="times"/>
        </w:rPr>
        <w:t>    </w:t>
      </w:r>
      <w:r>
        <w:rPr>
          <w:rFonts w:ascii="times" w:hAnsi="times"/>
          <w:sz w:val="20"/>
        </w:rPr>
        <w:t xml:space="preserve">In October 1992, Congress passed the Energy Policy Act of 1992 ("EPAct"), which, among other things, required the FERC to issue rules to establish a simplified and generally applicable ratemaking methodology for petroleum pipelines and to streamline procedures in petroleum pipeline proceedings. The FERC responded to this mandate by establishing a methodology for petroleum pipelines to change their rates within prescribed ceiling levels that are tied to an inflation index (currently, the producer price index for finished goods plus 1.3 percent). Pipelines are allowed to raise their rates to the rate ceiling level generated by application of the index. If the methodology reduces the ceiling level such that it is lower than a pipeline's filed rate, the pipeline must reduce its rate to conform with the lower ceiling unless doing so would reduce a rate "grandfathered" by EPAct (see below) to below the grandfathered level. A pipeline must, as a general rule, use the indexing methodology to change its rates. The FERC, however, retained cost-of-service ratemaking, market-based rates, agreement with an unaffiliated shipper, and settlement as alternatives to the indexing approach that may be used in certain specified circumstances. The FERC's indexing methodology is subject to review every five years; the current methodology will remain in place through June 30, 2011. Because the indexing methodology is tied to an inflation index and is not based on pipeline-specific costs, the indexing methodology could hamper our ability to recover cost increases. </w:t>
      </w:r>
    </w:p>
    <w:p>
      <w:pPr>
        <w:pStyle w:val="TextBody"/>
        <w:rPr/>
      </w:pPr>
      <w:r>
        <w:rPr/>
        <w:t>        </w:t>
      </w:r>
      <w:r>
        <w:rPr>
          <w:rFonts w:ascii="times" w:hAnsi="times"/>
          <w:sz w:val="20"/>
        </w:rPr>
        <w:t xml:space="preserve">Under the EPAct, petroleum pipeline rates in effect for the 365-day period ending on the date of enactment of EPAct are deemed to be just and reasonable under the ICA, if such rates had not been subject to complaint, protest or investigation during that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 Litigation is ongoing at FERC regarding the methodology to be applied for determining whether there has been "substantial change" under EPAct. We have no way of knowing what result FERC will reach in these proceedings. </w:t>
      </w:r>
    </w:p>
    <w:p>
      <w:pPr>
        <w:pStyle w:val="TextBody"/>
        <w:rPr/>
      </w:pPr>
      <w:r>
        <w:rPr/>
        <w:t>        </w:t>
      </w:r>
      <w:r>
        <w:rPr>
          <w:rFonts w:ascii="times" w:hAnsi="times"/>
          <w:sz w:val="20"/>
        </w:rPr>
        <w:t xml:space="preserve">FERC permits entities owning public utility assets, including oil pipelines, to include an income tax allowance in their cost-of-service rates to reflect the actual or potential income tax liability attributable to their public utility income, regardless of the form of ownership. A tax pass-through entity such as a master limited partnership ("MLP") seeking such an income tax allowance would have to establish that its partners or members have an actual or potential income tax obligation on the entity's public utility </w:t>
      </w:r>
    </w:p>
    <w:p>
      <w:pPr>
        <w:pStyle w:val="TextBody"/>
        <w:jc w:val="center"/>
        <w:rPr>
          <w:rFonts w:ascii="times" w:hAnsi="times"/>
          <w:sz w:val="20"/>
        </w:rPr>
      </w:pPr>
      <w:r>
        <w:rPr>
          <w:rFonts w:ascii="times" w:hAnsi="times"/>
          <w:sz w:val="20"/>
        </w:rPr>
        <w:t>39</w:t>
      </w:r>
    </w:p>
    <w:p>
      <w:pPr>
        <w:pStyle w:val="HorizontalLine"/>
        <w:pBdr>
          <w:bottom w:val="single" w:sz="20" w:space="0" w:color="808080"/>
        </w:pBdr>
        <w:rPr/>
      </w:pPr>
      <w:r>
        <w:rPr/>
      </w:r>
      <w:r>
        <w:br w:type="page"/>
      </w:r>
    </w:p>
    <w:p>
      <w:pPr>
        <w:pStyle w:val="TextBody"/>
        <w:rPr/>
      </w:pPr>
      <w:hyperlink w:anchor="bg12101a_main_toc">
        <w:bookmarkStart w:id="52" w:name="page_do12101_1_40"/>
        <w:bookmarkEnd w:id="52"/>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income. Whether a pipeline's owners have such actual or potential income tax liability will be reviewed by the FERC on a case-by-case basis. Although the FERC's current income tax allowance policy is generally favorable for pipelines that are organized as pass-through entities, such as MLPs, it still entails rate risk due to the case-by-case review requirement. FERC continues to refine its tax allowance policy in case-by-case reviews; how the tax allowance policy is applied in practice to pipelines owned by MLPs could affect the rates of pipelines regulated by FERC. </w:t>
      </w:r>
    </w:p>
    <w:p>
      <w:pPr>
        <w:pStyle w:val="TextBody"/>
        <w:rPr/>
      </w:pPr>
      <w:r>
        <w:rPr/>
        <w:t>        </w:t>
      </w:r>
      <w:r>
        <w:rPr>
          <w:rFonts w:ascii="times" w:hAnsi="times"/>
          <w:i/>
          <w:sz w:val="20"/>
        </w:rPr>
        <w:t>Our Pipelines.</w:t>
      </w:r>
      <w:r>
        <w:rPr>
          <w:rFonts w:ascii="times" w:hAnsi="times"/>
        </w:rPr>
        <w:t>    </w:t>
      </w:r>
      <w:r>
        <w:rPr>
          <w:rFonts w:ascii="times" w:hAnsi="times"/>
          <w:sz w:val="20"/>
        </w:rPr>
        <w:t xml:space="preserve">The FERC generally has not investigated rates on its own initiative when those rates have not been the subject of a protest or complaint by a shipper. Substantially all of our transportation segment profit is produced by rates that are either grandfathered or set by agreement with one or more shippers. </w:t>
      </w:r>
    </w:p>
    <w:p>
      <w:pPr>
        <w:pStyle w:val="TextBody"/>
        <w:rPr>
          <w:rFonts w:ascii="times" w:hAnsi="times"/>
          <w:b/>
          <w:i/>
          <w:sz w:val="20"/>
        </w:rPr>
      </w:pPr>
      <w:r>
        <w:rPr>
          <w:rFonts w:ascii="times" w:hAnsi="times"/>
          <w:b/>
          <w:i/>
          <w:sz w:val="20"/>
        </w:rPr>
        <w:t xml:space="preserve">Trucking Regulation </w:t>
      </w:r>
    </w:p>
    <w:p>
      <w:pPr>
        <w:pStyle w:val="TextBody"/>
        <w:rPr/>
      </w:pPr>
      <w:r>
        <w:rPr/>
        <w:t>        </w:t>
      </w:r>
      <w:r>
        <w:rPr>
          <w:rFonts w:ascii="times" w:hAnsi="times"/>
          <w:sz w:val="20"/>
        </w:rPr>
        <w:t xml:space="preserve">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driver operations, log book maintenance, truck manifest preparations, safety placard placement on the trucks and trailer vehicles, drug and alcohol testing, operation and equipment safety, and many other aspects of truck operations. We are also subject to OSHA with respect to our trucking operations. </w:t>
      </w:r>
    </w:p>
    <w:p>
      <w:pPr>
        <w:pStyle w:val="TextBody"/>
        <w:rPr/>
      </w:pPr>
      <w:r>
        <w:rPr/>
        <w:t>        </w:t>
      </w:r>
      <w:r>
        <w:rPr>
          <w:rFonts w:ascii="times" w:hAnsi="times"/>
          <w:sz w:val="20"/>
        </w:rPr>
        <w:t xml:space="preserve">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t>
      </w:r>
    </w:p>
    <w:p>
      <w:pPr>
        <w:pStyle w:val="TextBody"/>
        <w:rPr>
          <w:rFonts w:ascii="times" w:hAnsi="times"/>
          <w:b/>
          <w:i/>
          <w:sz w:val="20"/>
        </w:rPr>
      </w:pPr>
      <w:r>
        <w:rPr>
          <w:rFonts w:ascii="times" w:hAnsi="times"/>
          <w:b/>
          <w:i/>
          <w:sz w:val="20"/>
        </w:rPr>
        <w:t xml:space="preserve">Cross Border Regulation </w:t>
      </w:r>
    </w:p>
    <w:p>
      <w:pPr>
        <w:pStyle w:val="TextBody"/>
        <w:rPr/>
      </w:pPr>
      <w:r>
        <w:rPr/>
        <w:t>        </w:t>
      </w:r>
      <w:r>
        <w:rPr>
          <w:rFonts w:ascii="times" w:hAnsi="times"/>
          <w:sz w:val="20"/>
        </w:rPr>
        <w:t xml:space="preserve">As a result of our Canadian acquisitions and cross border activities, including importation of crude oil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licensing,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requirements could lead to the imposition of additional taxes, interest and penalties. </w:t>
      </w:r>
    </w:p>
    <w:p>
      <w:pPr>
        <w:pStyle w:val="TextBody"/>
        <w:rPr>
          <w:rFonts w:ascii="times" w:hAnsi="times"/>
          <w:b/>
          <w:i/>
          <w:sz w:val="20"/>
        </w:rPr>
      </w:pPr>
      <w:r>
        <w:rPr>
          <w:rFonts w:ascii="times" w:hAnsi="times"/>
          <w:b/>
          <w:i/>
          <w:sz w:val="20"/>
        </w:rPr>
        <w:t xml:space="preserve">Natural Gas Storage Regulation </w:t>
      </w:r>
    </w:p>
    <w:p>
      <w:pPr>
        <w:pStyle w:val="TextBody"/>
        <w:rPr/>
      </w:pPr>
      <w:r>
        <w:rPr/>
        <w:t>        </w:t>
      </w:r>
      <w:r>
        <w:rPr>
          <w:rFonts w:ascii="times" w:hAnsi="times"/>
          <w:i/>
          <w:sz w:val="20"/>
        </w:rPr>
        <w:t>Interstate Regulation.</w:t>
      </w:r>
      <w:r>
        <w:rPr>
          <w:rFonts w:ascii="times" w:hAnsi="times"/>
        </w:rPr>
        <w:t>    </w:t>
      </w:r>
      <w:r>
        <w:rPr>
          <w:rFonts w:ascii="times" w:hAnsi="times"/>
          <w:sz w:val="20"/>
        </w:rPr>
        <w:t xml:space="preserve">The interstate storage facilities in which we have an investment are or will be subject to rate regulation by the FERC under the Natural Gas Act. The Natural Gas Act requires that tariff rates for gas storage facilities be just and reasonable and non-discriminatory. The FERC has authority to regulate rates and charges for natural gas transported and stored for U.S. interstate commerce or sold by a natural gas company via interstate commerce for resale. The FERC has granted market-based rate authority under its existing regulations to PAA/Vulcan's Pine Prairie Energy Center and to its Bluewater gas storage facility. </w:t>
      </w:r>
    </w:p>
    <w:p>
      <w:pPr>
        <w:pStyle w:val="TextBody"/>
        <w:rPr/>
      </w:pPr>
      <w:r>
        <w:rPr/>
        <w:t>        </w:t>
      </w:r>
      <w:r>
        <w:rPr>
          <w:rFonts w:ascii="times" w:hAnsi="times"/>
          <w:sz w:val="20"/>
        </w:rPr>
        <w:t xml:space="preserve">The FERC also has authority over the construction and operation of U.S. transportation and storage facilities and related facilities used in the transportation, storage and sale of natural gas in interstate commerce, including the extension, enlargement or abandonment of such facilities. In addition, FERC's authority extends to maintenance of accounts and records, terms and conditions of service, depreciation and amortization policies, acquisition and disposition of facilities, initiation and </w:t>
      </w:r>
    </w:p>
    <w:p>
      <w:pPr>
        <w:pStyle w:val="TextBody"/>
        <w:jc w:val="center"/>
        <w:rPr>
          <w:rFonts w:ascii="times" w:hAnsi="times"/>
          <w:sz w:val="20"/>
        </w:rPr>
      </w:pPr>
      <w:r>
        <w:rPr>
          <w:rFonts w:ascii="times" w:hAnsi="times"/>
          <w:sz w:val="20"/>
        </w:rPr>
        <w:t>40</w:t>
      </w:r>
    </w:p>
    <w:p>
      <w:pPr>
        <w:pStyle w:val="HorizontalLine"/>
        <w:pBdr>
          <w:bottom w:val="single" w:sz="20" w:space="0" w:color="808080"/>
        </w:pBdr>
        <w:rPr/>
      </w:pPr>
      <w:r>
        <w:rPr/>
      </w:r>
      <w:r>
        <w:br w:type="page"/>
      </w:r>
    </w:p>
    <w:p>
      <w:pPr>
        <w:pStyle w:val="TextBody"/>
        <w:rPr/>
      </w:pPr>
      <w:hyperlink w:anchor="bg12101a_main_toc">
        <w:bookmarkStart w:id="53" w:name="page_do12101_1_41"/>
        <w:bookmarkEnd w:id="53"/>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discontinuation of services and relationships between pipelines and storage companies and certain affiliates. </w:t>
      </w:r>
    </w:p>
    <w:p>
      <w:pPr>
        <w:pStyle w:val="TextBody"/>
        <w:rPr/>
      </w:pPr>
      <w:r>
        <w:rPr/>
        <w:t>        </w:t>
      </w:r>
      <w:r>
        <w:rPr>
          <w:rFonts w:ascii="times" w:hAnsi="times"/>
          <w:i/>
          <w:sz w:val="20"/>
        </w:rPr>
        <w:t>Standards of Conduct for Transmission Providers.</w:t>
      </w:r>
      <w:r>
        <w:rPr>
          <w:rFonts w:ascii="times" w:hAnsi="times"/>
        </w:rPr>
        <w:t>    </w:t>
      </w:r>
      <w:r>
        <w:rPr>
          <w:rFonts w:ascii="times" w:hAnsi="times"/>
          <w:sz w:val="20"/>
        </w:rPr>
        <w:t xml:space="preserve">Historically, FERC's standards of conduct regulations (now vacated) generally restricted access to U.S. interstate natural gas storage customer data by marketing and other energy affiliates, and placed certain conditions on services provided by U.S. storage facility operators to their affiliated gas marketing entities. The standards of conduct did not apply, however, to natural gas storage providers authorized to charge market-based rates that (i) were not interconnected with the jurisdictional facilities of any affiliated interstate natural gas pipeline, and (ii) had no exclusive franchise area, no captive ratepayers, and no market power. In January of 2006, the FERC found that PAA/Vulcan's Pine Prairie Energy Center qualified for this exemption from the standards of conduct. </w:t>
      </w:r>
    </w:p>
    <w:p>
      <w:pPr>
        <w:pStyle w:val="TextBody"/>
        <w:rPr/>
      </w:pPr>
      <w:r>
        <w:rPr/>
        <w:t>        </w:t>
      </w:r>
      <w:r>
        <w:rPr>
          <w:rFonts w:ascii="times" w:hAnsi="times"/>
          <w:sz w:val="20"/>
        </w:rPr>
        <w:t xml:space="preserve">On November 17, 2006, the D.C. Circuit vacated the standards of conduct regulations with respect to natural gas pipelines and storage companies, and remanded the matter to the FERC. Following a notice of proposed rulemaking, on October 16, 2008, the FERC issued its revised Standards of Conduct for Transmission Providers ("Standards of Conduct"). The Standards of Conduct continue to exempt natural gas storage providers like PAA/Vulcan's Pine Prairie Energy Center and its Bluewater facility. However, requests for rehearing of the October 16, 2008 order are pending with the FERC. Accordingly, there may be further modifications to the Standards of Conduct upon rehearing. </w:t>
      </w:r>
    </w:p>
    <w:p>
      <w:pPr>
        <w:pStyle w:val="TextBody"/>
        <w:rPr/>
      </w:pPr>
      <w:r>
        <w:rPr/>
        <w:t>        </w:t>
      </w:r>
      <w:r>
        <w:rPr>
          <w:rFonts w:ascii="times" w:hAnsi="times"/>
          <w:sz w:val="20"/>
        </w:rPr>
        <w:t xml:space="preserve">On November 20, 2008, the FERC issued a final rule that requires interstate pipelines and certain non-interstate facilities to post certain daily capacity and volume information. The rule extends to storage facilities (such as Bluewater) that provide no-notice service. The rule has been appealed, but pending the results of that appeal, Bluewater will have a requirement to post volumes with respect to no-notice service flows at each receipt and delivery point. </w:t>
      </w:r>
    </w:p>
    <w:p>
      <w:pPr>
        <w:pStyle w:val="TextBody"/>
        <w:rPr/>
      </w:pPr>
      <w:r>
        <w:rPr/>
        <w:t>        </w:t>
      </w:r>
      <w:r>
        <w:rPr>
          <w:rFonts w:ascii="times" w:hAnsi="times"/>
          <w:i/>
          <w:sz w:val="20"/>
        </w:rPr>
        <w:t>Energy Policy Act of 2005.</w:t>
      </w:r>
      <w:r>
        <w:rPr>
          <w:rFonts w:ascii="times" w:hAnsi="times"/>
        </w:rPr>
        <w:t>    </w:t>
      </w:r>
      <w:r>
        <w:rPr>
          <w:rFonts w:ascii="times" w:hAnsi="times"/>
          <w:sz w:val="20"/>
        </w:rPr>
        <w:t xml:space="preserve">On January 19, 2006, the FERC issued Order No. 670, which implements the anti-manipulation provision of EPAct 2005. Pursuant to EPAct 2005 and Order No. 670, it is unlawful in connection with the purchase or sale of natural gas or transportation services subject to the jurisdiction of the FERC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also gives the FERC authority to impose civil penalties for violations of the Natural Gas Act up to $1,000,000 per day per violation for violations occurring after August 8, 2005. The anti-manipulation rule and enhanced civil penalty authority reflect an expansion of the FERC's Natural Gas Act enforcement authority. </w:t>
      </w:r>
    </w:p>
    <w:p>
      <w:pPr>
        <w:pStyle w:val="TextBody"/>
        <w:rPr>
          <w:rFonts w:ascii="times" w:hAnsi="times"/>
          <w:b/>
          <w:sz w:val="20"/>
        </w:rPr>
      </w:pPr>
      <w:r>
        <w:rPr>
          <w:rFonts w:ascii="times" w:hAnsi="times"/>
          <w:b/>
          <w:sz w:val="20"/>
        </w:rPr>
        <w:t xml:space="preserve">Operational Hazards and Insurance </w:t>
      </w:r>
    </w:p>
    <w:p>
      <w:pPr>
        <w:pStyle w:val="TextBody"/>
        <w:rPr/>
      </w:pPr>
      <w:r>
        <w:rPr/>
        <w:t>        </w:t>
      </w:r>
      <w:r>
        <w:rPr>
          <w:rFonts w:ascii="times" w:hAnsi="times"/>
          <w:sz w:val="20"/>
        </w:rPr>
        <w:t xml:space="preserve">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1,500% since the end of 1998. At the same time that the scale and scope of our business activities have expanded, the breadth and depth of the available </w:t>
      </w:r>
    </w:p>
    <w:p>
      <w:pPr>
        <w:pStyle w:val="TextBody"/>
        <w:jc w:val="center"/>
        <w:rPr>
          <w:rFonts w:ascii="times" w:hAnsi="times"/>
          <w:sz w:val="20"/>
        </w:rPr>
      </w:pPr>
      <w:r>
        <w:rPr>
          <w:rFonts w:ascii="times" w:hAnsi="times"/>
          <w:sz w:val="20"/>
        </w:rPr>
        <w:t>41</w:t>
      </w:r>
    </w:p>
    <w:p>
      <w:pPr>
        <w:pStyle w:val="HorizontalLine"/>
        <w:pBdr>
          <w:bottom w:val="single" w:sz="20" w:space="0" w:color="808080"/>
        </w:pBdr>
        <w:rPr/>
      </w:pPr>
      <w:r>
        <w:rPr/>
      </w:r>
      <w:r>
        <w:br w:type="page"/>
      </w:r>
    </w:p>
    <w:p>
      <w:pPr>
        <w:pStyle w:val="TextBody"/>
        <w:rPr/>
      </w:pPr>
      <w:hyperlink w:anchor="bg12101a_main_toc">
        <w:bookmarkStart w:id="54" w:name="page_do12101_1_42"/>
        <w:bookmarkEnd w:id="54"/>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 </w:t>
      </w:r>
    </w:p>
    <w:p>
      <w:pPr>
        <w:pStyle w:val="TextBody"/>
        <w:rPr/>
      </w:pPr>
      <w:r>
        <w:rPr/>
        <w:t>        </w:t>
      </w:r>
      <w:r>
        <w:rPr>
          <w:rFonts w:ascii="times" w:hAnsi="times"/>
          <w:sz w:val="20"/>
        </w:rPr>
        <w:t xml:space="preserve">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 concentrated attack. Any future terrorist attacks on our facilities, those of our customers and, in some cases, those of our competitors, could have a material adverse effect on our business, whether insured or not. </w:t>
      </w:r>
    </w:p>
    <w:p>
      <w:pPr>
        <w:pStyle w:val="TextBody"/>
        <w:rPr/>
      </w:pPr>
      <w:r>
        <w:rPr/>
        <w:t>        </w:t>
      </w:r>
      <w:r>
        <w:rPr>
          <w:rFonts w:ascii="times" w:hAnsi="times"/>
          <w:sz w:val="20"/>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 </w:t>
      </w:r>
    </w:p>
    <w:p>
      <w:pPr>
        <w:pStyle w:val="TextBody"/>
        <w:rPr>
          <w:rFonts w:ascii="times" w:hAnsi="times"/>
          <w:b/>
          <w:sz w:val="20"/>
        </w:rPr>
      </w:pPr>
      <w:r>
        <w:rPr>
          <w:rFonts w:ascii="times" w:hAnsi="times"/>
          <w:b/>
          <w:sz w:val="20"/>
        </w:rPr>
        <w:t xml:space="preserve">Title to Properties and Rights-of-Way </w:t>
      </w:r>
    </w:p>
    <w:p>
      <w:pPr>
        <w:pStyle w:val="TextBody"/>
        <w:rPr/>
      </w:pPr>
      <w:r>
        <w:rPr/>
        <w:t>        </w:t>
      </w:r>
      <w:r>
        <w:rPr>
          <w:rFonts w:ascii="times" w:hAnsi="times"/>
          <w:sz w:val="20"/>
        </w:rPr>
        <w:t xml:space="preserve">We believe that we have satisfactory title to all of our assets. Although title to such properties is subject to encumbrances in certain cases, such as customary interests generally retained in connection with acquisition of real property, liens related to environmental liabilities associated with historical operations, liens for current taxes and other burdens and minor easements, restrictions and other encumbrances to which the underlying properties were subject at the time of acquisition by our predecessor, or subsequently granted by us, we believe that none of these burdens will materially detract from the value of such properties or from our interest therein or will materially interfere with their use in the operation of our business. </w:t>
      </w:r>
    </w:p>
    <w:p>
      <w:pPr>
        <w:pStyle w:val="TextBody"/>
        <w:rPr/>
      </w:pPr>
      <w:r>
        <w:rPr/>
        <w:t>        </w:t>
      </w:r>
      <w:r>
        <w:rPr>
          <w:rFonts w:ascii="times" w:hAnsi="times"/>
          <w:sz w:val="20"/>
        </w:rPr>
        <w:t xml:space="preserve">Substantially all of our pipelines are constructed on rights-of-way granted by the apparent record owners of such property and, in some instances, such rights-of-way are revocable at the election of the grantor. In many instances, lands over which rights-of-way have been obtained are subject to prior liens that have not been subordinated to the right-of-way grants. In some cases, not all of the apparent record owners have joined in the right-of-way grants, but in substantially all such cases, signatures of the owners of majority interests have been obtained. We have obtained permits from public authorities to cross over or under, or to lay facilities in or along water courses, county roads, municipal streets and state highways, and in some instances, such permits are revocable at the election of the grantor. We have also obtained permits from railroad companies to cross over or under lands or rights-of-way, many of which are also revocable at the grantor's election. In some cases, property for pipeline purposes was purchased in fee. All of the pump stations are located on property owned in fee or property under leases. In certain states and under certain circumstances, we have the right of eminent domain to acquire rights-of-way and lands necessary for our common carrier pipelines. </w:t>
      </w:r>
    </w:p>
    <w:p>
      <w:pPr>
        <w:pStyle w:val="TextBody"/>
        <w:jc w:val="center"/>
        <w:rPr>
          <w:rFonts w:ascii="times" w:hAnsi="times"/>
          <w:sz w:val="20"/>
        </w:rPr>
      </w:pPr>
      <w:r>
        <w:rPr>
          <w:rFonts w:ascii="times" w:hAnsi="times"/>
          <w:sz w:val="20"/>
        </w:rPr>
        <w:t>42</w:t>
      </w:r>
    </w:p>
    <w:p>
      <w:pPr>
        <w:pStyle w:val="HorizontalLine"/>
        <w:pBdr>
          <w:bottom w:val="single" w:sz="20" w:space="0" w:color="808080"/>
        </w:pBdr>
        <w:rPr/>
      </w:pPr>
      <w:r>
        <w:rPr/>
      </w:r>
      <w:r>
        <w:br w:type="page"/>
      </w:r>
    </w:p>
    <w:p>
      <w:pPr>
        <w:pStyle w:val="TextBody"/>
        <w:rPr/>
      </w:pPr>
      <w:hyperlink w:anchor="bg12101a_main_toc">
        <w:bookmarkStart w:id="55" w:name="page_do12101_1_43"/>
        <w:bookmarkEnd w:id="55"/>
        <w:r>
          <w:rPr>
            <w:rStyle w:val="InternetLink"/>
            <w:rFonts w:ascii="times" w:hAnsi="times"/>
            <w:sz w:val="20"/>
          </w:rPr>
          <w:t>Table of Contents</w:t>
        </w:r>
      </w:hyperlink>
    </w:p>
    <w:p>
      <w:pPr>
        <w:pStyle w:val="TextBody"/>
        <w:rPr/>
      </w:pPr>
      <w:r>
        <w:rPr/>
        <w:t>        </w:t>
      </w:r>
      <w:r>
        <w:rPr>
          <w:rFonts w:ascii="times" w:hAnsi="times"/>
          <w:sz w:val="20"/>
        </w:rPr>
        <w:t xml:space="preserve">Some of the leases, easements, rights-of-way, permits and licenses transferred to us, upon our formation in 1998 and in connection with acquisitions we have made since that time, required the consent of the grantor to transfer such rights, which in certain instances is a governmental entity. We believe that we have obtained such third party consents, permits and authorizations as are sufficient for the transfer to us of the assets necessary for us to operate our business in all material respects as described in this report. With respect to any consents, permits or authorizations that have not yet been obtained, we believe that such consents, permits or authorizations will be obtained within a reasonable period, or that the failure to obtain such consents, permits or authorizations will have no material adverse effect on the operation of our business. </w:t>
      </w:r>
    </w:p>
    <w:p>
      <w:pPr>
        <w:pStyle w:val="TextBody"/>
        <w:rPr>
          <w:rFonts w:ascii="times" w:hAnsi="times"/>
          <w:b/>
          <w:sz w:val="20"/>
        </w:rPr>
      </w:pPr>
      <w:r>
        <w:rPr>
          <w:rFonts w:ascii="times" w:hAnsi="times"/>
          <w:b/>
          <w:sz w:val="20"/>
        </w:rPr>
        <w:t xml:space="preserve">Employees and Labor Relations </w:t>
      </w:r>
    </w:p>
    <w:p>
      <w:pPr>
        <w:pStyle w:val="TextBody"/>
        <w:rPr/>
      </w:pPr>
      <w:r>
        <w:rPr/>
        <w:t>        </w:t>
      </w:r>
      <w:r>
        <w:rPr>
          <w:rFonts w:ascii="times" w:hAnsi="times"/>
          <w:sz w:val="20"/>
        </w:rPr>
        <w:t xml:space="preserve">To carry out our operations, our general partner or its affiliates (including PMC (Nova Scotia) Company) employed 3,302 employees at December 31, 2008. None of the employees of our general partner were subject to a collective bargaining agreement, except for eight employees covered by one agreement and another eight employees covered by another agreement. Both collective bargaining agreements are scheduled for renegotiation in September 2009. Our general partner considers its employee relations to be good. </w:t>
      </w:r>
    </w:p>
    <w:p>
      <w:pPr>
        <w:pStyle w:val="TextBody"/>
        <w:rPr>
          <w:rFonts w:ascii="times" w:hAnsi="times"/>
          <w:b/>
          <w:sz w:val="20"/>
        </w:rPr>
      </w:pPr>
      <w:r>
        <w:rPr>
          <w:rFonts w:ascii="times" w:hAnsi="times"/>
          <w:b/>
          <w:sz w:val="20"/>
        </w:rPr>
        <w:t xml:space="preserve">Summary of Tax Considerations </w:t>
      </w:r>
    </w:p>
    <w:p>
      <w:pPr>
        <w:pStyle w:val="TextBody"/>
        <w:rPr/>
      </w:pPr>
      <w:r>
        <w:rPr/>
        <w:t>        </w:t>
      </w:r>
      <w:r>
        <w:rPr>
          <w:rFonts w:ascii="times" w:hAnsi="times"/>
          <w:i/>
          <w:sz w:val="20"/>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including the Canadian provinces and Canada, of the unitholder's investment in us. Further, it is the responsibility of each unitholder to file all U.S. federal, Canadian, state, provincial and local tax returns that may be required of the unitholder.</w:t>
      </w:r>
    </w:p>
    <w:p>
      <w:pPr>
        <w:pStyle w:val="TextBody"/>
        <w:rPr>
          <w:rFonts w:ascii="times" w:hAnsi="times"/>
          <w:b/>
          <w:i/>
          <w:sz w:val="20"/>
        </w:rPr>
      </w:pPr>
      <w:r>
        <w:rPr>
          <w:rFonts w:ascii="times" w:hAnsi="times"/>
          <w:b/>
          <w:i/>
          <w:sz w:val="20"/>
        </w:rPr>
        <w:t xml:space="preserve">Partnership Status; Cash Distributions </w:t>
      </w:r>
    </w:p>
    <w:p>
      <w:pPr>
        <w:pStyle w:val="TextBody"/>
        <w:rPr/>
      </w:pPr>
      <w:r>
        <w:rPr/>
        <w:t>        </w:t>
      </w:r>
      <w:r>
        <w:rPr>
          <w:rFonts w:ascii="times" w:hAnsi="times"/>
          <w:sz w:val="20"/>
        </w:rPr>
        <w:t xml:space="preserve">We are treated for federal income tax purposes as a partnership based upon our meeting certain requirements imposed by the Internal Revenue Code (the "Code"), which we must meet each year. The owners of our common units are considered partners in the Partnership so long as they do not loan their common units to others to cover short sales or otherwise dispose of those units. Accordingly, we pay no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credits and dividend payments. </w:t>
      </w:r>
    </w:p>
    <w:p>
      <w:pPr>
        <w:pStyle w:val="TextBody"/>
        <w:rPr>
          <w:rFonts w:ascii="times" w:hAnsi="times"/>
          <w:b/>
          <w:i/>
          <w:sz w:val="20"/>
        </w:rPr>
      </w:pPr>
      <w:r>
        <w:rPr>
          <w:rFonts w:ascii="times" w:hAnsi="times"/>
          <w:b/>
          <w:i/>
          <w:sz w:val="20"/>
        </w:rPr>
        <w:t xml:space="preserve">Partnership Allocations </w:t>
      </w:r>
    </w:p>
    <w:p>
      <w:pPr>
        <w:pStyle w:val="TextBody"/>
        <w:rPr/>
      </w:pPr>
      <w:r>
        <w:rPr/>
        <w:t>        </w:t>
      </w:r>
      <w:r>
        <w:rPr>
          <w:rFonts w:ascii="times" w:hAnsi="times"/>
          <w:sz w:val="20"/>
        </w:rPr>
        <w:t xml:space="preserve">In general, our income and loss is allocated to the general partner and the unitholders for each taxable year in accordance with their respective percentage interests in the Partnership (including, with respect to the general partner, its incentive distribution right),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Any time incentive distributions are made to the general partner, gross income will be allocated to the recipient to the extent of those distributions. </w:t>
      </w:r>
    </w:p>
    <w:p>
      <w:pPr>
        <w:pStyle w:val="TextBody"/>
        <w:jc w:val="center"/>
        <w:rPr>
          <w:rFonts w:ascii="times" w:hAnsi="times"/>
          <w:sz w:val="20"/>
        </w:rPr>
      </w:pPr>
      <w:r>
        <w:rPr>
          <w:rFonts w:ascii="times" w:hAnsi="times"/>
          <w:sz w:val="20"/>
        </w:rPr>
        <w:t>43</w:t>
      </w:r>
    </w:p>
    <w:p>
      <w:pPr>
        <w:pStyle w:val="HorizontalLine"/>
        <w:pBdr>
          <w:bottom w:val="single" w:sz="20" w:space="0" w:color="808080"/>
        </w:pBdr>
        <w:rPr/>
      </w:pPr>
      <w:r>
        <w:rPr/>
      </w:r>
      <w:r>
        <w:br w:type="page"/>
      </w:r>
    </w:p>
    <w:p>
      <w:pPr>
        <w:pStyle w:val="TextBody"/>
        <w:rPr/>
      </w:pPr>
      <w:hyperlink w:anchor="bg12101a_main_toc">
        <w:bookmarkStart w:id="56" w:name="page_dq12101_1_44"/>
        <w:bookmarkEnd w:id="56"/>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Basis of Common Units </w:t>
      </w:r>
    </w:p>
    <w:p>
      <w:pPr>
        <w:pStyle w:val="TextBody"/>
        <w:rPr/>
      </w:pPr>
      <w:r>
        <w:rPr/>
        <w:t>        </w:t>
      </w:r>
      <w:r>
        <w:rPr>
          <w:rFonts w:ascii="times" w:hAnsi="times"/>
          <w:sz w:val="20"/>
        </w:rPr>
        <w:t xml:space="preserve">A unitholder's initial tax basis for a common unit is generally the amount paid for the common unit and the unitholder's share of our nonrecourse liabilities.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 </w:t>
      </w:r>
    </w:p>
    <w:p>
      <w:pPr>
        <w:pStyle w:val="TextBody"/>
        <w:rPr>
          <w:rFonts w:ascii="times" w:hAnsi="times"/>
          <w:b/>
          <w:i/>
          <w:sz w:val="20"/>
        </w:rPr>
      </w:pPr>
      <w:r>
        <w:rPr>
          <w:rFonts w:ascii="times" w:hAnsi="times"/>
          <w:b/>
          <w:i/>
          <w:sz w:val="20"/>
        </w:rPr>
        <w:t xml:space="preserve">Limitations on Deductibility of Partnership Losses </w:t>
      </w:r>
    </w:p>
    <w:p>
      <w:pPr>
        <w:pStyle w:val="TextBody"/>
        <w:rPr/>
      </w:pPr>
      <w:r>
        <w:rPr/>
        <w:t>        </w:t>
      </w:r>
      <w:r>
        <w:rPr>
          <w:rFonts w:ascii="times" w:hAnsi="times"/>
          <w:sz w:val="20"/>
        </w:rPr>
        <w:t xml:space="preserve">In the case of taxpayers subject to the passive loss rules (generally, individuals and closely held corporations), any partnership losses generated by us are only available to offset future income generated by us and cannot be used to offset income from other activities, including passive activities or investments. Any losses unused or suspended by virtue of the passive loss rules may be fully deducted if the unitholder disposes of all of the unitholder's common units in a taxable transaction with an unrelated party. </w:t>
      </w:r>
    </w:p>
    <w:p>
      <w:pPr>
        <w:pStyle w:val="TextBody"/>
        <w:rPr>
          <w:rFonts w:ascii="times" w:hAnsi="times"/>
          <w:b/>
          <w:i/>
          <w:sz w:val="20"/>
        </w:rPr>
      </w:pPr>
      <w:r>
        <w:rPr>
          <w:rFonts w:ascii="times" w:hAnsi="times"/>
          <w:b/>
          <w:i/>
          <w:sz w:val="20"/>
        </w:rPr>
        <w:t xml:space="preserve">Section 754 Election </w:t>
      </w:r>
    </w:p>
    <w:p>
      <w:pPr>
        <w:pStyle w:val="TextBody"/>
        <w:rPr/>
      </w:pPr>
      <w:r>
        <w:rPr/>
        <w:t>        </w:t>
      </w:r>
      <w:r>
        <w:rPr>
          <w:rFonts w:ascii="times" w:hAnsi="times"/>
          <w:sz w:val="20"/>
        </w:rPr>
        <w:t xml:space="preserve">We have made the election provided for by Section 754 of the Code, which will generally result in a unitholder being allocated income and deductions calculated by reference to the portion of the unitholder's purchase price attributable to each asset of the Partnership. </w:t>
      </w:r>
    </w:p>
    <w:p>
      <w:pPr>
        <w:pStyle w:val="TextBody"/>
        <w:rPr>
          <w:rFonts w:ascii="times" w:hAnsi="times"/>
          <w:b/>
          <w:i/>
          <w:sz w:val="20"/>
        </w:rPr>
      </w:pPr>
      <w:r>
        <w:rPr>
          <w:rFonts w:ascii="times" w:hAnsi="times"/>
          <w:b/>
          <w:i/>
          <w:sz w:val="20"/>
        </w:rPr>
        <w:t xml:space="preserve">Disposition of Common Units </w:t>
      </w:r>
    </w:p>
    <w:p>
      <w:pPr>
        <w:pStyle w:val="TextBody"/>
        <w:rPr/>
      </w:pPr>
      <w:r>
        <w:rPr/>
        <w:t>        </w:t>
      </w:r>
      <w:r>
        <w:rPr>
          <w:rFonts w:ascii="times" w:hAnsi="times"/>
          <w:sz w:val="20"/>
        </w:rPr>
        <w:t xml:space="preserve">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 </w:t>
      </w:r>
    </w:p>
    <w:p>
      <w:pPr>
        <w:pStyle w:val="TextBody"/>
        <w:rPr>
          <w:rFonts w:ascii="times" w:hAnsi="times"/>
          <w:b/>
          <w:i/>
          <w:sz w:val="20"/>
        </w:rPr>
      </w:pPr>
      <w:r>
        <w:rPr>
          <w:rFonts w:ascii="times" w:hAnsi="times"/>
          <w:b/>
          <w:i/>
          <w:sz w:val="20"/>
        </w:rPr>
        <w:t xml:space="preserve">Foreign, State, Local and Other Tax Considerations </w:t>
      </w:r>
    </w:p>
    <w:p>
      <w:pPr>
        <w:pStyle w:val="TextBody"/>
        <w:rPr/>
      </w:pPr>
      <w:r>
        <w:rPr/>
        <w:t>        </w:t>
      </w:r>
      <w:r>
        <w:rPr>
          <w:rFonts w:ascii="times" w:hAnsi="times"/>
          <w:sz w:val="20"/>
        </w:rPr>
        <w:t xml:space="preserve">In addition to federal income taxes, unitholders will likely be subject to other taxes, such as foreign, state and local income taxes, unincorporated business taxes, and estate, inheritance or intangible taxes that are imposed by the various jurisdictions in which a unitholder resides or in which we conduct business or own property. We own property and conduct business in Canada as well as in most states in the United States. A unitholder will therefore be required to file Canadian federal income tax returns and to pay Canadian federal and provincial income taxes in respect of our Canadian source income earned through partnership entities. A unitholder may also be required to file state income tax returns and to pay taxes in various states. 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w:t>
      </w:r>
    </w:p>
    <w:p>
      <w:pPr>
        <w:pStyle w:val="TextBody"/>
        <w:jc w:val="center"/>
        <w:rPr>
          <w:rFonts w:ascii="times" w:hAnsi="times"/>
          <w:sz w:val="20"/>
        </w:rPr>
      </w:pPr>
      <w:r>
        <w:rPr>
          <w:rFonts w:ascii="times" w:hAnsi="times"/>
          <w:sz w:val="20"/>
        </w:rPr>
        <w:t>44</w:t>
      </w:r>
    </w:p>
    <w:p>
      <w:pPr>
        <w:pStyle w:val="HorizontalLine"/>
        <w:pBdr>
          <w:bottom w:val="single" w:sz="20" w:space="0" w:color="808080"/>
        </w:pBdr>
        <w:rPr/>
      </w:pPr>
      <w:r>
        <w:rPr/>
      </w:r>
      <w:r>
        <w:br w:type="page"/>
      </w:r>
    </w:p>
    <w:p>
      <w:pPr>
        <w:pStyle w:val="TextBody"/>
        <w:rPr/>
      </w:pPr>
      <w:hyperlink w:anchor="bg12101a_main_toc">
        <w:bookmarkStart w:id="57" w:name="page_dq12101_1_45"/>
        <w:bookmarkEnd w:id="57"/>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obligation to file an income tax return in that state. Amounts withheld may be treated as if distributed to unitholders for purposes of determining the amounts distributed by us. </w:t>
      </w:r>
    </w:p>
    <w:p>
      <w:pPr>
        <w:pStyle w:val="TextBody"/>
        <w:rPr>
          <w:rFonts w:ascii="times" w:hAnsi="times"/>
          <w:b/>
          <w:i/>
          <w:sz w:val="20"/>
        </w:rPr>
      </w:pPr>
      <w:r>
        <w:rPr>
          <w:rFonts w:ascii="times" w:hAnsi="times"/>
          <w:b/>
          <w:i/>
          <w:sz w:val="20"/>
        </w:rPr>
        <w:t xml:space="preserve">Ownership of Common Units by Tax-Exempt Organizations and Certain Other Investors </w:t>
      </w:r>
    </w:p>
    <w:p>
      <w:pPr>
        <w:pStyle w:val="TextBody"/>
        <w:rPr/>
      </w:pPr>
      <w:r>
        <w:rPr/>
        <w:t>        </w:t>
      </w:r>
      <w:r>
        <w:rPr>
          <w:rFonts w:ascii="times" w:hAnsi="times"/>
          <w:sz w:val="20"/>
        </w:rPr>
        <w:t xml:space="preserve">An investment in common units by tax-exempt organizations (including IRAs and other retirement plans) and foreign persons raises issues unique to such persons. Virtually all of our income allocated to a unitholder that is a tax-exempt organization is unrelated business taxable income and, thus, is taxable to such a unitholder. A unitholder who is a nonresident alien, foreign corporation or other foreign person is regarded as being engaged in a trade or business in the United States as a result of ownership of a common unit and, thus, is required to file federal income tax returns and to pay tax on the unitholder's share of our taxable income. Finally, distributions to foreign unitholders are subject to federal income tax withholding. </w:t>
      </w:r>
    </w:p>
    <w:p>
      <w:pPr>
        <w:pStyle w:val="TextBody"/>
        <w:rPr>
          <w:rFonts w:ascii="times" w:hAnsi="times"/>
          <w:b/>
          <w:sz w:val="20"/>
        </w:rPr>
      </w:pPr>
      <w:r>
        <w:rPr>
          <w:rFonts w:ascii="times" w:hAnsi="times"/>
          <w:b/>
          <w:sz w:val="20"/>
        </w:rPr>
        <w:t xml:space="preserve">Available Information </w:t>
      </w:r>
    </w:p>
    <w:p>
      <w:pPr>
        <w:pStyle w:val="TextBody"/>
        <w:rPr/>
      </w:pPr>
      <w:r>
        <w:rPr/>
        <w:t>        </w:t>
      </w:r>
      <w:r>
        <w:rPr>
          <w:rFonts w:ascii="times" w:hAnsi="times"/>
          <w:sz w:val="20"/>
        </w:rPr>
        <w:t xml:space="preserve">We make available, free of charge on our Internet website (http://www.paalp.com),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w:t>
      </w:r>
    </w:p>
    <w:p>
      <w:pPr>
        <w:pStyle w:val="TextBody"/>
        <w:rPr>
          <w:rFonts w:ascii="times" w:hAnsi="times"/>
        </w:rPr>
      </w:pPr>
      <w:bookmarkStart w:id="58" w:name="toc_dq12101_1"/>
      <w:bookmarkStart w:id="59" w:name="dq12101_item_1a._risk_factors"/>
      <w:bookmarkEnd w:id="58"/>
      <w:bookmarkEnd w:id="59"/>
      <w:r>
        <w:rPr>
          <w:rFonts w:ascii="times" w:hAnsi="times"/>
          <w:b/>
          <w:sz w:val="20"/>
        </w:rPr>
        <w:t>Item 1A.</w:t>
      </w:r>
      <w:r>
        <w:rPr>
          <w:rFonts w:ascii="times" w:hAnsi="times"/>
        </w:rPr>
        <w:t>    </w:t>
      </w:r>
      <w:r>
        <w:rPr>
          <w:rFonts w:ascii="times" w:hAnsi="times"/>
          <w:b/>
          <w:i/>
          <w:sz w:val="20"/>
        </w:rPr>
        <w:t xml:space="preserve">Risk Factors </w:t>
      </w:r>
    </w:p>
    <w:p>
      <w:pPr>
        <w:pStyle w:val="TextBody"/>
        <w:rPr>
          <w:rFonts w:ascii="times" w:hAnsi="times"/>
          <w:b/>
          <w:sz w:val="20"/>
        </w:rPr>
      </w:pPr>
      <w:r>
        <w:rPr>
          <w:rFonts w:ascii="times" w:hAnsi="times"/>
          <w:b/>
          <w:sz w:val="20"/>
        </w:rPr>
        <w:t xml:space="preserve">Risks Related to Our Business </w:t>
      </w:r>
    </w:p>
    <w:p>
      <w:pPr>
        <w:pStyle w:val="TextBody"/>
        <w:rPr>
          <w:rFonts w:ascii="times" w:hAnsi="times"/>
          <w:b/>
          <w:i/>
          <w:sz w:val="20"/>
        </w:rPr>
      </w:pPr>
      <w:r>
        <w:rPr>
          <w:rFonts w:ascii="times" w:hAnsi="times"/>
          <w:b/>
          <w:i/>
          <w:sz w:val="20"/>
        </w:rPr>
        <w:t xml:space="preserve">Certain Risks are Amplified by the Current Economic Environment </w:t>
      </w:r>
    </w:p>
    <w:p>
      <w:pPr>
        <w:pStyle w:val="TextBody"/>
        <w:rPr/>
      </w:pPr>
      <w:r>
        <w:rPr/>
        <w:t>        </w:t>
      </w:r>
      <w:r>
        <w:rPr>
          <w:rFonts w:ascii="times" w:hAnsi="times"/>
          <w:sz w:val="20"/>
        </w:rPr>
        <w:t xml:space="preserve">During 2007, the U.S. and many key countries began to exhibit signs of economic weakness, which continued throughout 2008 and into 2009. This weakness had a severe adverse impact on the global financial system, stressing a number of large financial institutions to the point of failure, merger or requiring government assistance and resulting in a severe reduction in available capital. Capital constraints coupled with significant energy price volatility have produced pervasive liquidity issues for many companies. Such events have created pronounced uncertainty in the economic outlook, and have amplified the potential impact and likelihood of occurrence of certain risks inherent in our business. Such amplified risks include: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 of capital and increased difficulties accessing capital to fund expansion and acquisition activities as well as routine operating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inability or unwillingness of lenders to honor their contractual commitments;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failure of customers to timely or fully pay amounts due to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failure of suppliers to pay third parties under obligations for which we have potential contingent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potential for adverse actions by rating agencies;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Potentially adverse changes in tax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failure of counterparties to fulfill their delivery or purchase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Business failures by vendors, suppliers or customers that result in (i) delays in progress on our capital projects, (ii) nonpayment of receivables or (iii) expensive and protracted court or bankruptcy proceedings;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criminal activities, including fraud, theft, vandalism and random violence that could affect our assets or business activities; and </w:t>
      </w:r>
    </w:p>
    <w:p>
      <w:pPr>
        <w:pStyle w:val="TextBody"/>
        <w:jc w:val="center"/>
        <w:rPr>
          <w:rFonts w:ascii="times" w:hAnsi="times"/>
          <w:sz w:val="20"/>
        </w:rPr>
      </w:pPr>
      <w:r>
        <w:rPr>
          <w:rFonts w:ascii="times" w:hAnsi="times"/>
          <w:sz w:val="20"/>
        </w:rPr>
        <w:t>45</w:t>
      </w:r>
    </w:p>
    <w:p>
      <w:pPr>
        <w:pStyle w:val="HorizontalLine"/>
        <w:pBdr>
          <w:bottom w:val="single" w:sz="20" w:space="0" w:color="808080"/>
        </w:pBdr>
        <w:rPr/>
      </w:pPr>
      <w:r>
        <w:rPr/>
      </w:r>
      <w:r>
        <w:br w:type="page"/>
      </w:r>
    </w:p>
    <w:p>
      <w:pPr>
        <w:pStyle w:val="TextBody"/>
        <w:rPr/>
      </w:pPr>
      <w:hyperlink w:anchor="bg12101a_main_toc">
        <w:bookmarkStart w:id="60" w:name="page_dq12101_1_46"/>
        <w:bookmarkEnd w:id="60"/>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Decreases in domestic consumption or in volumes imported to or produced in the United States and related reductions in transportation, terminalling or marketing margins. </w:t>
      </w:r>
    </w:p>
    <w:p>
      <w:pPr>
        <w:pStyle w:val="TextBody"/>
        <w:rPr>
          <w:rFonts w:ascii="times" w:hAnsi="times"/>
          <w:b/>
          <w:i/>
          <w:sz w:val="20"/>
        </w:rPr>
      </w:pPr>
      <w:r>
        <w:rPr>
          <w:rFonts w:ascii="times" w:hAnsi="times"/>
          <w:b/>
          <w:i/>
          <w:sz w:val="20"/>
        </w:rPr>
        <w:t xml:space="preserve">We may not be able to fully implement or capitalize upon planned growth projects. </w:t>
      </w:r>
    </w:p>
    <w:p>
      <w:pPr>
        <w:pStyle w:val="TextBody"/>
        <w:rPr/>
      </w:pPr>
      <w:r>
        <w:rPr/>
        <w:t>        </w:t>
      </w:r>
      <w:r>
        <w:rPr>
          <w:rFonts w:ascii="times" w:hAnsi="times"/>
          <w:sz w:val="20"/>
        </w:rPr>
        <w:t xml:space="preserve">We have a number of organic growth projects that require the expenditure of significant amounts of capital, including the Pier 400 project, the Pine Prairie joint venture, the Cushing, St. James and Patoka terminal and dock projects. Many of these projects involve numerous regulatory, environmental, commercial, weather-related, political and legal uncertainties that will be beyond our control. As these projects are undertaken, required approvals may not be obtained, may be delayed or may be obtained with conditions that materially alter the expected return associated with the underlying projects. Moreover, revenues associated with these organic growth projects will not increase immediately upon the expenditures of funds with respect to a particular project and these projects may be completed behind schedule or in excess of budgeted cost. We may construct pipelines, facilities or other assets in anticipation of market demand that dissipates or market growth that never materializes. As a result of these uncertainties, the anticipated benefits associated with our capital projects may not be achieved. </w:t>
      </w:r>
    </w:p>
    <w:p>
      <w:pPr>
        <w:pStyle w:val="TextBody"/>
        <w:rPr>
          <w:rFonts w:ascii="times" w:hAnsi="times"/>
          <w:b/>
          <w:i/>
          <w:sz w:val="20"/>
        </w:rPr>
      </w:pPr>
      <w:r>
        <w:rPr>
          <w:rFonts w:ascii="times" w:hAnsi="times"/>
          <w:b/>
          <w:i/>
          <w:sz w:val="20"/>
        </w:rPr>
        <w:t xml:space="preserve">Loss of credit rating or the ability to receive open credit could negatively affect our ability to use the counter-cyclical aspects of our asset base or to capitalize on a volatile market. </w:t>
      </w:r>
    </w:p>
    <w:p>
      <w:pPr>
        <w:pStyle w:val="TextBody"/>
        <w:rPr/>
      </w:pPr>
      <w:r>
        <w:rPr/>
        <w:t>        </w:t>
      </w:r>
      <w:r>
        <w:rPr>
          <w:rFonts w:ascii="times" w:hAnsi="times"/>
          <w:sz w:val="20"/>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For example, our ability to utilize our crude oil storage capacity for merchant activities to capture contango market opportunities is dependent upon having adequate credit facilities, including the total amount of credit facilities and the cost of such credit facilities, which enables us to finance the storage of the crude oil from the time we complete the purchase of the oil until the time we complete the sale of the oil. </w:t>
      </w:r>
    </w:p>
    <w:p>
      <w:pPr>
        <w:pStyle w:val="TextBody"/>
        <w:rPr>
          <w:rFonts w:ascii="times" w:hAnsi="times"/>
          <w:b/>
          <w:i/>
          <w:sz w:val="20"/>
        </w:rPr>
      </w:pPr>
      <w:r>
        <w:rPr>
          <w:rFonts w:ascii="times" w:hAnsi="times"/>
          <w:b/>
          <w:i/>
          <w:sz w:val="20"/>
        </w:rPr>
        <w:t xml:space="preserve">We are exposed to the credit risk of our customers in the ordinary course of our marketing activities. </w:t>
      </w:r>
    </w:p>
    <w:p>
      <w:pPr>
        <w:pStyle w:val="TextBody"/>
        <w:rPr/>
      </w:pPr>
      <w:r>
        <w:rPr/>
        <w:t>        </w:t>
      </w:r>
      <w:r>
        <w:rPr>
          <w:rFonts w:ascii="times" w:hAnsi="times"/>
          <w:sz w:val="20"/>
        </w:rPr>
        <w:t xml:space="preserve">There can be no assurance that we have adequately assessed the creditworthiness of our existing or future counterparties or that there will not be an unanticipated deterioration in their creditworthiness, which could have an adverse impact on us. </w:t>
      </w:r>
    </w:p>
    <w:p>
      <w:pPr>
        <w:pStyle w:val="TextBody"/>
        <w:rPr/>
      </w:pPr>
      <w:r>
        <w:rPr/>
        <w:t>        </w:t>
      </w:r>
      <w:r>
        <w:rPr>
          <w:rFonts w:ascii="times" w:hAnsi="times"/>
          <w:sz w:val="20"/>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rPr>
          <w:rFonts w:ascii="times" w:hAnsi="times"/>
          <w:b/>
          <w:i/>
          <w:sz w:val="20"/>
        </w:rPr>
      </w:pPr>
      <w:r>
        <w:rPr>
          <w:rFonts w:ascii="times" w:hAnsi="times"/>
          <w:b/>
          <w:i/>
          <w:sz w:val="20"/>
        </w:rPr>
        <w:t xml:space="preserve">Our trading policies cannot eliminate all price risks. In addition, any non-compliance with our trading policies could result in significant financial losses. </w:t>
      </w:r>
    </w:p>
    <w:p>
      <w:pPr>
        <w:pStyle w:val="TextBody"/>
        <w:rPr/>
      </w:pPr>
      <w:r>
        <w:rPr/>
        <w:t>        </w:t>
      </w:r>
      <w:r>
        <w:rPr>
          <w:rFonts w:ascii="times" w:hAnsi="times"/>
          <w:sz w:val="20"/>
        </w:rPr>
        <w:t xml:space="preserve">Generally, it is our policy that we establish a margin for crude oil we purchase by selling crude oil for physical delivery to third party users, such as independent refiners or major oil companies, or by entering into a future delivery obligation under futures contracts on the NYMEX, ICE and over-the-counter. Through these transactions, we seek to maintain a position that is substantially balanced between purchases on the one hand, and sales or future delivery obligations on the other hand. Our policy is generally not to acquire and hold physical inventory, futures contracts or derivative products for the purpose of speculating on commodity price changes. These policies and practices cannot, however, eliminate all price risks. For example, any event that disrupts our anticipated physical supply of crude oil could expose us to risk of loss resulting from price changes. We are also exposed to </w:t>
      </w:r>
    </w:p>
    <w:p>
      <w:pPr>
        <w:pStyle w:val="TextBody"/>
        <w:jc w:val="center"/>
        <w:rPr>
          <w:rFonts w:ascii="times" w:hAnsi="times"/>
          <w:sz w:val="20"/>
        </w:rPr>
      </w:pPr>
      <w:r>
        <w:rPr>
          <w:rFonts w:ascii="times" w:hAnsi="times"/>
          <w:sz w:val="20"/>
        </w:rPr>
        <w:t>46</w:t>
      </w:r>
    </w:p>
    <w:p>
      <w:pPr>
        <w:pStyle w:val="HorizontalLine"/>
        <w:pBdr>
          <w:bottom w:val="single" w:sz="20" w:space="0" w:color="808080"/>
        </w:pBdr>
        <w:rPr/>
      </w:pPr>
      <w:r>
        <w:rPr/>
      </w:r>
      <w:r>
        <w:br w:type="page"/>
      </w:r>
    </w:p>
    <w:p>
      <w:pPr>
        <w:pStyle w:val="TextBody"/>
        <w:rPr/>
      </w:pPr>
      <w:hyperlink w:anchor="bg12101a_main_toc">
        <w:bookmarkStart w:id="61" w:name="page_dq12101_1_47"/>
        <w:bookmarkEnd w:id="61"/>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basis risk when crude oil is purchased against one pricing index and sold against a different index. Moreover, we are exposed to some risks that are not hedged, including price risks on certain of our inventory, such as linefill, which must be maintained in order to transport crude oil on our pipelines. In addition, we engage in a controlled trading program for up to an aggregate of 500,000 barrels of crude oil and a substantially lesser amount for LPG. Although this activity is monitored independently by our risk management function, it exposes us to price risks within predefined limits and authorizations. </w:t>
      </w:r>
    </w:p>
    <w:p>
      <w:pPr>
        <w:pStyle w:val="TextBody"/>
        <w:rPr/>
      </w:pPr>
      <w:r>
        <w:rPr/>
        <w:t>        </w:t>
      </w:r>
      <w:r>
        <w:rPr>
          <w:rFonts w:ascii="times" w:hAnsi="times"/>
          <w:sz w:val="20"/>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rPr>
          <w:rFonts w:ascii="times" w:hAnsi="times"/>
          <w:b/>
          <w:i/>
          <w:sz w:val="20"/>
        </w:rPr>
      </w:pPr>
      <w:r>
        <w:rPr>
          <w:rFonts w:ascii="times" w:hAnsi="times"/>
          <w:b/>
          <w:i/>
          <w:sz w:val="20"/>
        </w:rPr>
        <w:t xml:space="preserve">The nature of our business and assets exposes us to significant compliance costs and liabilities. Our asset base has more than tripled within the last four years. As we add assets, we historically have experienced a corresponding increase in the relative number of releases of crude oil into the environment. Although we believe we have reduced the trend, additional assets acquired in the future could again result in increased frequency of releases. Substantial expenditures may be required to maintain the integrity of aged and aging pipelines and terminals at acceptable levels. </w:t>
      </w:r>
    </w:p>
    <w:p>
      <w:pPr>
        <w:pStyle w:val="TextBody"/>
        <w:rPr/>
      </w:pPr>
      <w:r>
        <w:rPr/>
        <w:t>        </w:t>
      </w:r>
      <w:r>
        <w:rPr>
          <w:rFonts w:ascii="times" w:hAnsi="times"/>
          <w:sz w:val="20"/>
        </w:rPr>
        <w:t xml:space="preserve">Our operations involving the storage, treatment, processing, and transportation of liquid hydrocarbons, including crude oil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operational safety and related matters. Compliance with all of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Any such change or interpretation adverse to us could have a material adverse effect on our operations, revenues and profitability. </w:t>
      </w:r>
    </w:p>
    <w:p>
      <w:pPr>
        <w:pStyle w:val="TextBody"/>
        <w:rPr/>
      </w:pPr>
      <w:r>
        <w:rPr/>
        <w:t>        </w:t>
      </w:r>
      <w:r>
        <w:rPr>
          <w:rFonts w:ascii="times" w:hAnsi="times"/>
          <w:sz w:val="20"/>
        </w:rPr>
        <w:t xml:space="preserve">Today we own approximately twice the miles of pipeline we owned five years ago. We have also increased our terminalling and storage capacity and operate several facilities on or near navigable waters and domestic water supplies. As we have expanded our asset base, we historically have observed an increase in the number of releases of liquid hydrocarbons into the environment. Although we believe that our integrity management efforts (discussed below) have been successful in reversing that trend, the future acquisition of assets could once again result in an increase in the overall number of releases.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During 2006 and 2007, we acquired refined products pipeline and terminalling assets. These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 </w:t>
      </w:r>
    </w:p>
    <w:p>
      <w:pPr>
        <w:pStyle w:val="TextBody"/>
        <w:rPr/>
      </w:pPr>
      <w:r>
        <w:rPr/>
        <w:t>        </w:t>
      </w:r>
      <w:r>
        <w:rPr>
          <w:rFonts w:ascii="times" w:hAnsi="times"/>
          <w:sz w:val="20"/>
        </w:rPr>
        <w:t xml:space="preserve">We currently devote substantial resources to comply with DOT-mandated pipeline integrity rules. The 2006 Pipeline Safety Act, enacted in December 2006, requires the DOT to issue regulations for </w:t>
      </w:r>
    </w:p>
    <w:p>
      <w:pPr>
        <w:pStyle w:val="TextBody"/>
        <w:jc w:val="center"/>
        <w:rPr>
          <w:rFonts w:ascii="times" w:hAnsi="times"/>
          <w:sz w:val="20"/>
        </w:rPr>
      </w:pPr>
      <w:r>
        <w:rPr>
          <w:rFonts w:ascii="times" w:hAnsi="times"/>
          <w:sz w:val="20"/>
        </w:rPr>
        <w:t>47</w:t>
      </w:r>
    </w:p>
    <w:p>
      <w:pPr>
        <w:pStyle w:val="HorizontalLine"/>
        <w:pBdr>
          <w:bottom w:val="single" w:sz="20" w:space="0" w:color="808080"/>
        </w:pBdr>
        <w:rPr/>
      </w:pPr>
      <w:r>
        <w:rPr/>
      </w:r>
      <w:r>
        <w:br w:type="page"/>
      </w:r>
    </w:p>
    <w:p>
      <w:pPr>
        <w:pStyle w:val="TextBody"/>
        <w:rPr/>
      </w:pPr>
      <w:hyperlink w:anchor="bg12101a_main_toc">
        <w:bookmarkStart w:id="62" w:name="page_dq12101_1_48"/>
        <w:bookmarkEnd w:id="62"/>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certain pipelines that were not previously subject to regulation. These new regulations, adopted in July 2008, include requirements for the establishment of additional pipeline integrity management programs. See Items 1 and 2. "Business and PropertiesRegulationEnvironmental, Health and Safety RegulationPipeline Safety/Pipeline and Storage Tank Integration Management." </w:t>
      </w:r>
    </w:p>
    <w:p>
      <w:pPr>
        <w:pStyle w:val="TextBody"/>
        <w:rPr/>
      </w:pPr>
      <w:r>
        <w:rPr/>
        <w:t>        </w:t>
      </w:r>
      <w:r>
        <w:rPr>
          <w:rFonts w:ascii="times" w:hAnsi="times"/>
          <w:sz w:val="20"/>
        </w:rPr>
        <w:t xml:space="preserve">The acquisitions we have completed over the last several years have included pipeline assets of varying ages and maintenance and operational histories. Accordingly, for 2008 and beyond we will continue to focus on pipeline integrity management as a primary operational emphasis. In that regard, we have added staff and implemented programs intended to improve the integrity of our assets, with a focus on risk reduction through testing, enhanced corrosion control, leak detection, and damage prevention. We have expanded an internal review process pursuant to which we review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EPA enforcement actions,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See Item 3. "Legal ProceedingsEnvironmental." </w:t>
      </w:r>
    </w:p>
    <w:p>
      <w:pPr>
        <w:pStyle w:val="TextBody"/>
        <w:rPr>
          <w:rFonts w:ascii="times" w:hAnsi="times"/>
          <w:b/>
          <w:i/>
          <w:sz w:val="20"/>
        </w:rPr>
      </w:pPr>
      <w:r>
        <w:rPr>
          <w:rFonts w:ascii="times" w:hAnsi="times"/>
          <w:b/>
          <w:i/>
          <w:sz w:val="20"/>
        </w:rPr>
        <w:t xml:space="preserve">The level of our profitability is dependent upon an adequate supply of crude oil from fields located offshore and onshore California. A shut-in of this production due to economic limitations or a significant event could adversely affect our profitability. In addition, these offshore fields have experienced substantial production declines since 1995. </w:t>
      </w:r>
    </w:p>
    <w:p>
      <w:pPr>
        <w:pStyle w:val="TextBody"/>
        <w:rPr/>
      </w:pPr>
      <w:r>
        <w:rPr/>
        <w:t>        </w:t>
      </w:r>
      <w:r>
        <w:rPr>
          <w:rFonts w:ascii="times" w:hAnsi="times"/>
          <w:sz w:val="20"/>
        </w:rPr>
        <w:t xml:space="preserve">A significant portion of our transportation segment profit is derived from pipeline transportation tariff associated with the Santa Ynez and Point Arguello fields located offshore California and the onshore fields in the San Joaquin Valley. We expect that there will continue to be natural production declines from each of these fields as the underlying reservoirs are depleted. In addition, any significant production disruption from OCS fields and the San Joaquin Valley due to production problems, transportation problems, earthquakes or other reasons could have a material adverse effect on our business. We estimate that a 5,000 barrel per day decline in volumes shipped from these OCS fields would result in a decrease in annual transportation segment profit of approximately $7 million. A similar decline in volumes shipped from the San Joaquin Valley would result in an estimated $3 million decrease in annual transportation segment profit. </w:t>
      </w:r>
    </w:p>
    <w:p>
      <w:pPr>
        <w:pStyle w:val="TextBody"/>
        <w:rPr>
          <w:rFonts w:ascii="times" w:hAnsi="times"/>
          <w:b/>
          <w:i/>
          <w:sz w:val="20"/>
        </w:rPr>
      </w:pPr>
      <w:r>
        <w:rPr>
          <w:rFonts w:ascii="times" w:hAnsi="times"/>
          <w:b/>
          <w:i/>
          <w:sz w:val="20"/>
        </w:rPr>
        <w:t xml:space="preserve">Our profitability depends on the volume of crude oil, refined product and LPG shipped, purchased and gathered. </w:t>
      </w:r>
    </w:p>
    <w:p>
      <w:pPr>
        <w:pStyle w:val="TextBody"/>
        <w:rPr/>
      </w:pPr>
      <w:r>
        <w:rPr/>
        <w:t>        </w:t>
      </w:r>
      <w:r>
        <w:rPr>
          <w:rFonts w:ascii="times" w:hAnsi="times"/>
          <w:sz w:val="20"/>
        </w:rPr>
        <w:t xml:space="preserve">Third party shippers generally do not have long-term contractual commitments to ship crude oil on our pipelines. A decision by a shipper to substantially reduce or cease to ship volumes of crude oil on our pipelines could cause a significant decline in our revenues. </w:t>
      </w:r>
    </w:p>
    <w:p>
      <w:pPr>
        <w:pStyle w:val="TextBody"/>
        <w:rPr/>
      </w:pPr>
      <w:r>
        <w:rPr/>
        <w:t>        </w:t>
      </w:r>
      <w:r>
        <w:rPr>
          <w:rFonts w:ascii="times" w:hAnsi="times"/>
          <w:sz w:val="20"/>
        </w:rPr>
        <w:t xml:space="preserve">To maintain the volumes of crude oil we purchase in connection with our operations, we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 </w:t>
      </w:r>
    </w:p>
    <w:p>
      <w:pPr>
        <w:pStyle w:val="TextBody"/>
        <w:jc w:val="center"/>
        <w:rPr>
          <w:rFonts w:ascii="times" w:hAnsi="times"/>
          <w:sz w:val="20"/>
        </w:rPr>
      </w:pPr>
      <w:r>
        <w:rPr>
          <w:rFonts w:ascii="times" w:hAnsi="times"/>
          <w:sz w:val="20"/>
        </w:rPr>
        <w:t>48</w:t>
      </w:r>
    </w:p>
    <w:p>
      <w:pPr>
        <w:pStyle w:val="HorizontalLine"/>
        <w:pBdr>
          <w:bottom w:val="single" w:sz="20" w:space="0" w:color="808080"/>
        </w:pBdr>
        <w:rPr/>
      </w:pPr>
      <w:r>
        <w:rPr/>
      </w:r>
      <w:r>
        <w:br w:type="page"/>
      </w:r>
    </w:p>
    <w:p>
      <w:pPr>
        <w:pStyle w:val="TextBody"/>
        <w:rPr/>
      </w:pPr>
      <w:hyperlink w:anchor="bg12101a_main_toc">
        <w:bookmarkStart w:id="63" w:name="page_dq12101_1_49"/>
        <w:bookmarkEnd w:id="63"/>
        <w:r>
          <w:rPr>
            <w:rStyle w:val="InternetLink"/>
            <w:rFonts w:ascii="times" w:hAnsi="times"/>
            <w:sz w:val="20"/>
          </w:rPr>
          <w:t>Table of Contents</w:t>
        </w:r>
      </w:hyperlink>
    </w:p>
    <w:p>
      <w:pPr>
        <w:pStyle w:val="TextBody"/>
        <w:rPr/>
      </w:pPr>
      <w:r>
        <w:rPr/>
      </w:r>
    </w:p>
    <w:p>
      <w:pPr>
        <w:pStyle w:val="TextBody"/>
        <w:rPr>
          <w:rFonts w:ascii="times" w:hAnsi="times"/>
          <w:b/>
          <w:i/>
          <w:sz w:val="20"/>
        </w:rPr>
      </w:pPr>
      <w:r>
        <w:rPr>
          <w:rFonts w:ascii="times" w:hAnsi="times"/>
          <w:b/>
          <w:i/>
          <w:sz w:val="20"/>
        </w:rPr>
        <w:t xml:space="preserve">Fluctuations in demand can negatively affect our operating results. </w:t>
      </w:r>
    </w:p>
    <w:p>
      <w:pPr>
        <w:pStyle w:val="TextBody"/>
        <w:rPr/>
      </w:pPr>
      <w:r>
        <w:rPr/>
        <w:t>        </w:t>
      </w:r>
      <w:r>
        <w:rPr>
          <w:rFonts w:ascii="times" w:hAnsi="times"/>
          <w:sz w:val="20"/>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w:t>
      </w:r>
    </w:p>
    <w:p>
      <w:pPr>
        <w:pStyle w:val="TextBody"/>
        <w:rPr/>
      </w:pPr>
      <w:r>
        <w:rPr/>
        <w:t>        </w:t>
      </w:r>
      <w:r>
        <w:rPr>
          <w:rFonts w:ascii="times" w:hAnsi="times"/>
          <w:sz w:val="20"/>
        </w:rPr>
        <w:t xml:space="preserve">Fluctuations in demand for crude oil, such as caused by refinery downtime or shutdown,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rPr>
          <w:rFonts w:ascii="times" w:hAnsi="times"/>
          <w:b/>
          <w:i/>
          <w:sz w:val="20"/>
        </w:rPr>
      </w:pPr>
      <w:r>
        <w:rPr>
          <w:rFonts w:ascii="times" w:hAnsi="times"/>
          <w:b/>
          <w:i/>
          <w:sz w:val="20"/>
        </w:rPr>
        <w:t xml:space="preserve">If we do not make acquisitions on economically acceptable terms, our future growth may be limited. </w:t>
      </w:r>
    </w:p>
    <w:p>
      <w:pPr>
        <w:pStyle w:val="TextBody"/>
        <w:rPr/>
      </w:pPr>
      <w:r>
        <w:rPr/>
        <w:t>        </w:t>
      </w:r>
      <w:r>
        <w:rPr>
          <w:rFonts w:ascii="times" w:hAnsi="times"/>
          <w:sz w:val="20"/>
        </w:rPr>
        <w:t xml:space="preserve">Our ability to grow our distributions depends in part on our ability to make acquisitions that result in an increase in adjusted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complete the number or size of acquisitions that we have targeted internally or to continue to grow as quickly as we have historically. </w:t>
      </w:r>
    </w:p>
    <w:p>
      <w:pPr>
        <w:pStyle w:val="TextBody"/>
        <w:rPr/>
      </w:pPr>
      <w:r>
        <w:rPr/>
        <w:t>        </w:t>
      </w:r>
      <w:r>
        <w:rPr>
          <w:rFonts w:ascii="times" w:hAnsi="times"/>
          <w:sz w:val="20"/>
        </w:rPr>
        <w:t xml:space="preserve">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which are difficult to predict.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timely and effectively to integrate the underlying assets and such assets perform at or near the levels anticipated in our acquisition projections. </w:t>
      </w:r>
    </w:p>
    <w:p>
      <w:pPr>
        <w:pStyle w:val="TextBody"/>
        <w:rPr>
          <w:rFonts w:ascii="times" w:hAnsi="times"/>
          <w:b/>
          <w:i/>
          <w:sz w:val="20"/>
        </w:rPr>
      </w:pPr>
      <w:r>
        <w:rPr>
          <w:rFonts w:ascii="times" w:hAnsi="times"/>
          <w:b/>
          <w:i/>
          <w:sz w:val="20"/>
        </w:rPr>
        <w:t xml:space="preserve">Our growth strategy requires access to new capital. Tightened capital markets or other factors that increase our cost of capital could impair our ability to grow. </w:t>
      </w:r>
    </w:p>
    <w:p>
      <w:pPr>
        <w:pStyle w:val="TextBody"/>
        <w:rPr/>
      </w:pPr>
      <w:r>
        <w:rPr/>
        <w:t>        </w:t>
      </w:r>
      <w:r>
        <w:rPr>
          <w:rFonts w:ascii="times" w:hAnsi="times"/>
          <w:sz w:val="20"/>
        </w:rPr>
        <w:t xml:space="preserve">We continuously consider potential acquisitions and opportunities for internal growth. These transactions can be effected quickly, may occur at any time and may be significant in size relative to our existing assets and operations. Any material acquisition or internal growth project will require access to capital.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w:t>
      </w:r>
    </w:p>
    <w:p>
      <w:pPr>
        <w:pStyle w:val="TextBody"/>
        <w:rPr>
          <w:rFonts w:ascii="times" w:hAnsi="times"/>
          <w:b/>
          <w:i/>
          <w:sz w:val="20"/>
        </w:rPr>
      </w:pPr>
      <w:r>
        <w:rPr>
          <w:rFonts w:ascii="times" w:hAnsi="times"/>
          <w:b/>
          <w:i/>
          <w:sz w:val="20"/>
        </w:rPr>
        <w:t xml:space="preserve">Our acquisition strategy involves risks that may adversely affect our business. </w:t>
      </w:r>
    </w:p>
    <w:p>
      <w:pPr>
        <w:pStyle w:val="TextBody"/>
        <w:rPr/>
      </w:pPr>
      <w:r>
        <w:rPr/>
        <w:t>        </w:t>
      </w:r>
      <w:r>
        <w:rPr>
          <w:rFonts w:ascii="times" w:hAnsi="times"/>
          <w:sz w:val="20"/>
        </w:rPr>
        <w:t xml:space="preserve">Any acquisition involves potential risks, including: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performance from the acquired businesses or assets that is below the forecasts we used in evaluating the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significant increase in our indebtedness and working capital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inability to timely and effectively integrate the operations of recently acquired businesses or assets; </w:t>
      </w:r>
    </w:p>
    <w:p>
      <w:pPr>
        <w:pStyle w:val="TextBody"/>
        <w:jc w:val="center"/>
        <w:rPr>
          <w:rFonts w:ascii="times" w:hAnsi="times"/>
          <w:sz w:val="20"/>
        </w:rPr>
      </w:pPr>
      <w:r>
        <w:rPr>
          <w:rFonts w:ascii="times" w:hAnsi="times"/>
          <w:sz w:val="20"/>
        </w:rPr>
        <w:t>49</w:t>
      </w:r>
    </w:p>
    <w:p>
      <w:pPr>
        <w:pStyle w:val="HorizontalLine"/>
        <w:pBdr>
          <w:bottom w:val="single" w:sz="20" w:space="0" w:color="808080"/>
        </w:pBdr>
        <w:rPr/>
      </w:pPr>
      <w:r>
        <w:rPr/>
      </w:r>
      <w:r>
        <w:br w:type="page"/>
      </w:r>
    </w:p>
    <w:p>
      <w:pPr>
        <w:pStyle w:val="TextBody"/>
        <w:rPr/>
      </w:pPr>
      <w:hyperlink w:anchor="bg12101a_main_toc">
        <w:bookmarkStart w:id="64" w:name="page_dq12101_1_50"/>
        <w:bookmarkEnd w:id="6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incurrence of substantial unforeseen environmental and other liabilities arising out of the acquired businesses or assets, including liabilities arising from the operation of the acquired businesses or assets prior to our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associated with operating in lines of business that are distinct and separate from our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customer or key employee loss from the acquired businesses;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diversion of management's attention from other business concerns. </w:t>
      </w:r>
    </w:p>
    <w:p>
      <w:pPr>
        <w:pStyle w:val="TextBody"/>
        <w:rPr/>
      </w:pPr>
      <w:r>
        <w:rPr/>
        <w:t>        </w:t>
      </w:r>
      <w:r>
        <w:rPr>
          <w:rFonts w:ascii="times" w:hAnsi="times"/>
          <w:sz w:val="20"/>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rPr>
          <w:rFonts w:ascii="times" w:hAnsi="times"/>
          <w:b/>
          <w:i/>
          <w:sz w:val="20"/>
        </w:rPr>
      </w:pPr>
      <w:r>
        <w:rPr>
          <w:rFonts w:ascii="times" w:hAnsi="times"/>
          <w:b/>
          <w:i/>
          <w:sz w:val="20"/>
        </w:rPr>
        <w:t xml:space="preserve">Our results of operations are influenced by the overall forward market for crude oil, and certain market structures or the absence of pricing volatility may adversely impact our results. </w:t>
      </w:r>
    </w:p>
    <w:p>
      <w:pPr>
        <w:pStyle w:val="TextBody"/>
        <w:rPr/>
      </w:pPr>
      <w:r>
        <w:rPr/>
        <w:t>        </w:t>
      </w:r>
      <w:r>
        <w:rPr>
          <w:rFonts w:ascii="times" w:hAnsi="times"/>
          <w:sz w:val="20"/>
        </w:rPr>
        <w:t xml:space="preserve">Results from our marketing segment are influenced by the overall forward market for crude oil. A contango market (meaning that the price of crude oil for future deliveries is higher than current prices) is favorable to commercial strategies that are associated with storage tankage as it allows a party to simultaneously purchase production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has a positive impact on lease gathering margins because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marketing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marketing segment. </w:t>
      </w:r>
    </w:p>
    <w:p>
      <w:pPr>
        <w:pStyle w:val="TextBody"/>
        <w:rPr>
          <w:rFonts w:ascii="times" w:hAnsi="times"/>
          <w:b/>
          <w:i/>
          <w:sz w:val="20"/>
        </w:rPr>
      </w:pPr>
      <w:r>
        <w:rPr>
          <w:rFonts w:ascii="times" w:hAnsi="times"/>
          <w:b/>
          <w:i/>
          <w:sz w:val="20"/>
        </w:rPr>
        <w:t xml:space="preserve">Our assets are subject to federal, state and provincial regulation. Rate regulation or a successful challenge to the rates we charge on our U.S. and Canadian pipeline system may reduce the amount of cash we generate. </w:t>
      </w:r>
    </w:p>
    <w:p>
      <w:pPr>
        <w:pStyle w:val="TextBody"/>
        <w:rPr/>
      </w:pPr>
      <w:r>
        <w:rPr/>
        <w:t>        </w:t>
      </w:r>
      <w:r>
        <w:rPr>
          <w:rFonts w:ascii="times" w:hAnsi="times"/>
          <w:sz w:val="20"/>
        </w:rPr>
        <w:t xml:space="preserve">Our U.S. interstate common carrier pipelines are subject to regulation by the FERC under the ICA. The ICA requires that tariff rates for petroleum pipelines be just and reasonable and non-discriminatory. We are also subject to the Pipeline Safety Regulations of the DOT. Our intrastate pipeline transportation activities are subject to various state laws and regulations as well as orders of regulatory bodies. </w:t>
      </w:r>
    </w:p>
    <w:p>
      <w:pPr>
        <w:pStyle w:val="TextBody"/>
        <w:rPr/>
      </w:pPr>
      <w:r>
        <w:rPr/>
        <w:t>        </w:t>
      </w:r>
      <w:r>
        <w:rPr>
          <w:rFonts w:ascii="times" w:hAnsi="times"/>
          <w:sz w:val="20"/>
        </w:rPr>
        <w:t xml:space="preserve">For our U.S. interstate common carrier pipelines subject to FERC regulation under the ICA, shippers may protest our pipeline tariff filings,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 A change in PAA/Vulcan's rate structure could adversely affect its revenues. </w:t>
      </w:r>
    </w:p>
    <w:p>
      <w:pPr>
        <w:pStyle w:val="TextBody"/>
        <w:jc w:val="center"/>
        <w:rPr>
          <w:rFonts w:ascii="times" w:hAnsi="times"/>
          <w:sz w:val="20"/>
        </w:rPr>
      </w:pPr>
      <w:r>
        <w:rPr>
          <w:rFonts w:ascii="times" w:hAnsi="times"/>
          <w:sz w:val="20"/>
        </w:rPr>
        <w:t>50</w:t>
      </w:r>
    </w:p>
    <w:p>
      <w:pPr>
        <w:pStyle w:val="HorizontalLine"/>
        <w:pBdr>
          <w:bottom w:val="single" w:sz="20" w:space="0" w:color="808080"/>
        </w:pBdr>
        <w:rPr/>
      </w:pPr>
      <w:r>
        <w:rPr/>
      </w:r>
      <w:r>
        <w:br w:type="page"/>
      </w:r>
    </w:p>
    <w:p>
      <w:pPr>
        <w:pStyle w:val="TextBody"/>
        <w:rPr/>
      </w:pPr>
      <w:hyperlink w:anchor="bg12101a_main_toc">
        <w:bookmarkStart w:id="65" w:name="page_dq12101_1_51"/>
        <w:bookmarkEnd w:id="65"/>
        <w:r>
          <w:rPr>
            <w:rStyle w:val="InternetLink"/>
            <w:rFonts w:ascii="times" w:hAnsi="times"/>
            <w:sz w:val="20"/>
          </w:rPr>
          <w:t>Table of Contents</w:t>
        </w:r>
      </w:hyperlink>
    </w:p>
    <w:p>
      <w:pPr>
        <w:pStyle w:val="TextBody"/>
        <w:rPr/>
      </w:pPr>
      <w:r>
        <w:rPr/>
        <w:t>        </w:t>
      </w:r>
      <w:r>
        <w:rPr>
          <w:rFonts w:ascii="times" w:hAnsi="times"/>
          <w:sz w:val="20"/>
        </w:rPr>
        <w:t xml:space="preserve">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it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 </w:t>
      </w:r>
    </w:p>
    <w:p>
      <w:pPr>
        <w:pStyle w:val="TextBody"/>
        <w:rPr>
          <w:rFonts w:ascii="times" w:hAnsi="times"/>
          <w:b/>
          <w:i/>
          <w:sz w:val="20"/>
        </w:rPr>
      </w:pPr>
      <w:r>
        <w:rPr>
          <w:rFonts w:ascii="times" w:hAnsi="times"/>
          <w:b/>
          <w:i/>
          <w:sz w:val="20"/>
        </w:rPr>
        <w:t xml:space="preserve">Some of our operations cross the U.S./Canada border and are subject to cross border regulation. </w:t>
      </w:r>
    </w:p>
    <w:p>
      <w:pPr>
        <w:pStyle w:val="TextBody"/>
        <w:rPr/>
      </w:pPr>
      <w:r>
        <w:rPr/>
        <w:t>        </w:t>
      </w:r>
      <w:r>
        <w:rPr>
          <w:rFonts w:ascii="times" w:hAnsi="times"/>
          <w:sz w:val="20"/>
        </w:rPr>
        <w:t xml:space="preserve">Our cross border activities with our Canadian subsidiaries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 </w:t>
      </w:r>
    </w:p>
    <w:p>
      <w:pPr>
        <w:pStyle w:val="TextBody"/>
        <w:rPr>
          <w:rFonts w:ascii="times" w:hAnsi="times"/>
          <w:b/>
          <w:i/>
          <w:sz w:val="20"/>
        </w:rPr>
      </w:pPr>
      <w:r>
        <w:rPr>
          <w:rFonts w:ascii="times" w:hAnsi="times"/>
          <w:b/>
          <w:i/>
          <w:sz w:val="20"/>
        </w:rPr>
        <w:t xml:space="preserve">We face competition in our transportation, facilities and marketing activities. </w:t>
      </w:r>
    </w:p>
    <w:p>
      <w:pPr>
        <w:pStyle w:val="TextBody"/>
        <w:rPr/>
      </w:pPr>
      <w:r>
        <w:rPr/>
        <w:t>        </w:t>
      </w:r>
      <w:r>
        <w:rPr>
          <w:rFonts w:ascii="times" w:hAnsi="times"/>
          <w:sz w:val="20"/>
        </w:rPr>
        <w:t xml:space="preserve">Our competitors include other crude oil pipelines, the major integrated oil companies, their marketing affiliates, and independent gatherers, investment banks, brokers and marketers of widely varying sizes, financial resources and experience. Some of these competitors have capital resources many times greater than ours and control greater supplies of crude oil. </w:t>
      </w:r>
    </w:p>
    <w:p>
      <w:pPr>
        <w:pStyle w:val="TextBody"/>
        <w:rPr/>
      </w:pPr>
      <w:r>
        <w:rPr/>
        <w:t>        </w:t>
      </w:r>
      <w:r>
        <w:rPr>
          <w:rFonts w:ascii="times" w:hAnsi="times"/>
          <w:sz w:val="20"/>
        </w:rPr>
        <w:t xml:space="preserve">With respect to our interest in PAA/Vulcan's natural gas storage operations, we compete with other storage providers, including LDCs, utilities and affiliates of LDCs and utilities. Certain major pipeline companies have existing storage facilities connected to their systems that compete with certain of PAA/Vulcan's facilities. Third-party construction of new capacity could have an adverse impact on PAA/Vulcan's competitive position. </w:t>
      </w:r>
    </w:p>
    <w:p>
      <w:pPr>
        <w:pStyle w:val="TextBody"/>
        <w:rPr>
          <w:rFonts w:ascii="times" w:hAnsi="times"/>
          <w:b/>
          <w:i/>
          <w:sz w:val="20"/>
        </w:rPr>
      </w:pPr>
      <w:r>
        <w:rPr>
          <w:rFonts w:ascii="times" w:hAnsi="times"/>
          <w:b/>
          <w:i/>
          <w:sz w:val="20"/>
        </w:rPr>
        <w:t xml:space="preserve">We may in the future encounter increased costs related to, and lack of availability of, insurance. </w:t>
      </w:r>
    </w:p>
    <w:p>
      <w:pPr>
        <w:pStyle w:val="TextBody"/>
        <w:rPr/>
      </w:pPr>
      <w:r>
        <w:rPr/>
        <w:t>        </w:t>
      </w:r>
      <w:r>
        <w:rPr>
          <w:rFonts w:ascii="times" w:hAnsi="times"/>
          <w:sz w:val="20"/>
        </w:rPr>
        <w:t xml:space="preserve">Over the last several years, as the scale and scope of our business activities has expanded, the breadth and depth of available insurance markets has contracted. We can give no assurance that we will be able to maintain adequate insurance in the future at rates we consider reasonable. The occurrence of a significant event not fully insured could materially and adversely affect our operations and financial condition. </w:t>
      </w:r>
    </w:p>
    <w:p>
      <w:pPr>
        <w:pStyle w:val="TextBody"/>
        <w:rPr>
          <w:rFonts w:ascii="times" w:hAnsi="times"/>
          <w:b/>
          <w:i/>
          <w:sz w:val="20"/>
        </w:rPr>
      </w:pPr>
      <w:r>
        <w:rPr>
          <w:rFonts w:ascii="times" w:hAnsi="times"/>
          <w:b/>
          <w:i/>
          <w:sz w:val="20"/>
        </w:rPr>
        <w:t xml:space="preserve">The terms of our indebtedness may limit our ability to borrow additional funds or capitalize on business opportunities. In addition, our future debt level may limit our future financial and operating flexibility. </w:t>
      </w:r>
    </w:p>
    <w:p>
      <w:pPr>
        <w:pStyle w:val="TextBody"/>
        <w:rPr/>
      </w:pPr>
      <w:r>
        <w:rPr/>
        <w:t>        </w:t>
      </w:r>
      <w:r>
        <w:rPr>
          <w:rFonts w:ascii="times" w:hAnsi="times"/>
          <w:sz w:val="20"/>
        </w:rPr>
        <w:t xml:space="preserve">As of December 31, 2008, our consolidated debt outstanding was approximately $4.3 billion, consisting of approximately $3.3 billion principal amount of long-term debt (including senior notes) and approximately $1.0 billion of short-term borrowings. As of December 31, 2008, we had approximately $1.0 billion of available borrowing capacity under our senior unsecured revolving credit facility and our senior secured hedged inventory facility. </w:t>
      </w:r>
    </w:p>
    <w:p>
      <w:pPr>
        <w:pStyle w:val="TextBody"/>
        <w:jc w:val="center"/>
        <w:rPr>
          <w:rFonts w:ascii="times" w:hAnsi="times"/>
          <w:sz w:val="20"/>
        </w:rPr>
      </w:pPr>
      <w:r>
        <w:rPr>
          <w:rFonts w:ascii="times" w:hAnsi="times"/>
          <w:sz w:val="20"/>
        </w:rPr>
        <w:t>51</w:t>
      </w:r>
    </w:p>
    <w:p>
      <w:pPr>
        <w:pStyle w:val="HorizontalLine"/>
        <w:pBdr>
          <w:bottom w:val="single" w:sz="20" w:space="0" w:color="808080"/>
        </w:pBdr>
        <w:rPr/>
      </w:pPr>
      <w:r>
        <w:rPr/>
      </w:r>
      <w:r>
        <w:br w:type="page"/>
      </w:r>
    </w:p>
    <w:p>
      <w:pPr>
        <w:pStyle w:val="TextBody"/>
        <w:rPr/>
      </w:pPr>
      <w:hyperlink w:anchor="bg12101a_main_toc">
        <w:bookmarkStart w:id="66" w:name="page_dq12101_1_52"/>
        <w:bookmarkEnd w:id="66"/>
        <w:r>
          <w:rPr>
            <w:rStyle w:val="InternetLink"/>
            <w:rFonts w:ascii="times" w:hAnsi="times"/>
            <w:sz w:val="20"/>
          </w:rPr>
          <w:t>Table of Contents</w:t>
        </w:r>
      </w:hyperlink>
    </w:p>
    <w:p>
      <w:pPr>
        <w:pStyle w:val="TextBody"/>
        <w:rPr/>
      </w:pPr>
      <w:r>
        <w:rPr/>
        <w:t>        </w:t>
      </w:r>
      <w:r>
        <w:rPr>
          <w:rFonts w:ascii="times" w:hAnsi="times"/>
          <w:sz w:val="20"/>
        </w:rPr>
        <w:t xml:space="preserve">The amount of our current or future indebtedness could have significant effects on our operations, including, among other things: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significant portion of our cash flow will be dedicated to the payment of principal and interest on our indebtedness and may not be available for other purposes, including the payment of distributions on our units and capital expenditures;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credit rating agencies may view our debt level negatively;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covenants contained in our existing debt arrangements will require us to continue to meet financial tests that may adversely affect our flexibility in planning for and reacting to changes in our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additional financing for working capital, capital expenditures, acquisitions and general partnership purposes may be limited;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may be at a competitive disadvantage relative to similar companies that have less debt;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may be more vulnerable to adverse economic and industry conditions as a result of our significant debt level. </w:t>
      </w:r>
    </w:p>
    <w:p>
      <w:pPr>
        <w:pStyle w:val="TextBody"/>
        <w:rPr/>
      </w:pPr>
      <w:r>
        <w:rPr/>
        <w:t>        </w:t>
      </w:r>
      <w:r>
        <w:rPr>
          <w:rFonts w:ascii="times" w:hAnsi="times"/>
          <w:sz w:val="20"/>
        </w:rPr>
        <w:t xml:space="preserve">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ResourcesSources of LiquidityCredit Facilities and Long-Term Debt." </w:t>
      </w:r>
    </w:p>
    <w:p>
      <w:pPr>
        <w:pStyle w:val="TextBody"/>
        <w:rPr/>
      </w:pPr>
      <w:r>
        <w:rPr/>
        <w:t>        </w:t>
      </w:r>
      <w:r>
        <w:rPr>
          <w:rFonts w:ascii="times" w:hAnsi="times"/>
          <w:sz w:val="20"/>
        </w:rPr>
        <w:t xml:space="preserve">Our ability to access capital markets to raise capital on favorable terms will be affected by our debt level, our operating and financial performance, the amount of our debt maturing in the next several years and current maturities,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 </w:t>
      </w:r>
    </w:p>
    <w:p>
      <w:pPr>
        <w:pStyle w:val="TextBody"/>
        <w:rPr>
          <w:rFonts w:ascii="times" w:hAnsi="times"/>
          <w:b/>
          <w:i/>
          <w:sz w:val="20"/>
        </w:rPr>
      </w:pPr>
      <w:r>
        <w:rPr>
          <w:rFonts w:ascii="times" w:hAnsi="times"/>
          <w:b/>
          <w:i/>
          <w:sz w:val="20"/>
        </w:rPr>
        <w:t xml:space="preserve">Marine transportation of crude oil and refined product has inherent operating risks. </w:t>
      </w:r>
    </w:p>
    <w:p>
      <w:pPr>
        <w:pStyle w:val="TextBody"/>
        <w:rPr/>
      </w:pPr>
      <w:r>
        <w:rPr/>
        <w:t>        </w:t>
      </w:r>
      <w:r>
        <w:rPr>
          <w:rFonts w:ascii="times" w:hAnsi="times"/>
          <w:sz w:val="20"/>
        </w:rPr>
        <w:t xml:space="preserve">Our gathering and marketing operations include purchasing crude oil that is carried on third-party tankers. Our waterborne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w:t>
      </w:r>
    </w:p>
    <w:p>
      <w:pPr>
        <w:pStyle w:val="TextBody"/>
        <w:jc w:val="center"/>
        <w:rPr>
          <w:rFonts w:ascii="times" w:hAnsi="times"/>
          <w:sz w:val="20"/>
        </w:rPr>
      </w:pPr>
      <w:r>
        <w:rPr>
          <w:rFonts w:ascii="times" w:hAnsi="times"/>
          <w:sz w:val="20"/>
        </w:rPr>
        <w:t>52</w:t>
      </w:r>
    </w:p>
    <w:p>
      <w:pPr>
        <w:pStyle w:val="HorizontalLine"/>
        <w:pBdr>
          <w:bottom w:val="single" w:sz="20" w:space="0" w:color="808080"/>
        </w:pBdr>
        <w:rPr/>
      </w:pPr>
      <w:r>
        <w:rPr/>
      </w:r>
      <w:r>
        <w:br w:type="page"/>
      </w:r>
    </w:p>
    <w:p>
      <w:pPr>
        <w:pStyle w:val="TextBody"/>
        <w:rPr/>
      </w:pPr>
      <w:hyperlink w:anchor="bg12101a_main_toc">
        <w:bookmarkStart w:id="67" w:name="page_dq12101_1_53"/>
        <w:bookmarkEnd w:id="67"/>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on conducting business, higher insurance rates and damage to our reputation and customer relationships generally. Although certain of these risks may be covered under our insurance program, any of these circumstances or events could increase our costs or lower our revenues. </w:t>
      </w:r>
    </w:p>
    <w:p>
      <w:pPr>
        <w:pStyle w:val="TextBody"/>
        <w:rPr>
          <w:rFonts w:ascii="times" w:hAnsi="times"/>
          <w:b/>
          <w:i/>
          <w:sz w:val="20"/>
        </w:rPr>
      </w:pPr>
      <w:r>
        <w:rPr>
          <w:rFonts w:ascii="times" w:hAnsi="times"/>
          <w:b/>
          <w:i/>
          <w:sz w:val="20"/>
        </w:rPr>
        <w:t xml:space="preserve">Maritime claimants could arrest the vessels carrying our cargoes. </w:t>
      </w:r>
    </w:p>
    <w:p>
      <w:pPr>
        <w:pStyle w:val="TextBody"/>
        <w:rPr/>
      </w:pPr>
      <w:r>
        <w:rPr/>
        <w:t>        </w:t>
      </w:r>
      <w:r>
        <w:rPr>
          <w:rFonts w:ascii="times" w:hAnsi="times"/>
          <w:sz w:val="20"/>
        </w:rPr>
        <w:t xml:space="preserve">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 </w:t>
      </w:r>
    </w:p>
    <w:p>
      <w:pPr>
        <w:pStyle w:val="TextBody"/>
        <w:rPr/>
      </w:pPr>
      <w:r>
        <w:rPr/>
        <w:t>        </w:t>
      </w:r>
      <w:r>
        <w:rPr>
          <w:rFonts w:ascii="times" w:hAnsi="times"/>
          <w:sz w:val="20"/>
        </w:rPr>
        <w:t xml:space="preserve">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 </w:t>
      </w:r>
    </w:p>
    <w:p>
      <w:pPr>
        <w:pStyle w:val="TextBody"/>
        <w:rPr>
          <w:rFonts w:ascii="times" w:hAnsi="times"/>
          <w:b/>
          <w:i/>
          <w:sz w:val="20"/>
        </w:rPr>
      </w:pPr>
      <w:r>
        <w:rPr>
          <w:rFonts w:ascii="times" w:hAnsi="times"/>
          <w:b/>
          <w:i/>
          <w:sz w:val="20"/>
        </w:rPr>
        <w:t xml:space="preserve">We are dependent on use of third-party assets for certain of our operations. </w:t>
      </w:r>
    </w:p>
    <w:p>
      <w:pPr>
        <w:pStyle w:val="TextBody"/>
        <w:rPr/>
      </w:pPr>
      <w:r>
        <w:rPr/>
        <w:t>        </w:t>
      </w:r>
      <w:r>
        <w:rPr>
          <w:rFonts w:ascii="times" w:hAnsi="times"/>
          <w:sz w:val="20"/>
        </w:rPr>
        <w:t xml:space="preserve">Certain of our business activities require the use of third-party assets over which we may have little or no control. For example, a portion of our storage and distribution business conducted in the Los Angeles basin (acquired in connection with the Pacific merger) receives waterborne crude oil through dock facilities operated by a third party in the Port of Long Beach. We are currently a hold-over tenant with respect to such facilities. If we are unable to renew the agreement that allows us to utilize these dock facilities, and if other alternative dock access cannot be arranged, the volumes of crude oil that we presently receive from our customers in the Los Angeles basin may be reduced, which could result in a reduction of facilities segment revenue and cash flow. </w:t>
      </w:r>
    </w:p>
    <w:p>
      <w:pPr>
        <w:pStyle w:val="TextBody"/>
        <w:rPr>
          <w:rFonts w:ascii="times" w:hAnsi="times"/>
          <w:b/>
          <w:i/>
          <w:sz w:val="20"/>
        </w:rPr>
      </w:pPr>
      <w:r>
        <w:rPr>
          <w:rFonts w:ascii="times" w:hAnsi="times"/>
          <w:b/>
          <w:i/>
          <w:sz w:val="20"/>
        </w:rPr>
        <w:t xml:space="preserve">Increases in interest rates could adversely affect our business and the trading price of our units. </w:t>
      </w:r>
    </w:p>
    <w:p>
      <w:pPr>
        <w:pStyle w:val="TextBody"/>
        <w:rPr/>
      </w:pPr>
      <w:r>
        <w:rPr/>
        <w:t>        </w:t>
      </w:r>
      <w:r>
        <w:rPr>
          <w:rFonts w:ascii="times" w:hAnsi="times"/>
          <w:sz w:val="20"/>
        </w:rPr>
        <w:t xml:space="preserve">We use both fixed and variable rate debt, and we are exposed to market risk due to the floating interest rates on our credit facilities. As of December 31, 2008, we had approximately $4.3 billion of consolidated debt, of which approximately $3.1 billion was at fixed interest rates and approximately $1.2 billion was at variable interest rates (including $80 million of interest rate derivatives that swap fixed-rate debt for floating). From time to time we use interest rate derivatives to hedge interest obligations on specific debt issuances, including anticipated debt issuances. Our results of operations, cash flows and financial position could be adversely affected by significant increases in interest rates above current levels. Additionally, increases in interest rates could adversely affect our marketing segment results by increasing interest costs associated with the storage of hedged crude oil and LPG inventory. Further, the trading price of our common units may be sensitive to changes in interest rates and any rise in interest rates could adversely impact such trading price. </w:t>
      </w:r>
    </w:p>
    <w:p>
      <w:pPr>
        <w:pStyle w:val="TextBody"/>
        <w:rPr>
          <w:rFonts w:ascii="times" w:hAnsi="times"/>
          <w:b/>
          <w:i/>
          <w:sz w:val="20"/>
        </w:rPr>
      </w:pPr>
      <w:r>
        <w:rPr>
          <w:rFonts w:ascii="times" w:hAnsi="times"/>
          <w:b/>
          <w:i/>
          <w:sz w:val="20"/>
        </w:rPr>
        <w:t xml:space="preserve">Changes in currency exchange rates could adversely affect our operating results. </w:t>
      </w:r>
    </w:p>
    <w:p>
      <w:pPr>
        <w:pStyle w:val="TextBody"/>
        <w:rPr/>
      </w:pPr>
      <w:r>
        <w:rPr/>
        <w:t>        </w:t>
      </w:r>
      <w:r>
        <w:rPr>
          <w:rFonts w:ascii="times" w:hAnsi="times"/>
          <w:sz w:val="20"/>
        </w:rPr>
        <w:t xml:space="preserve">Because we conduct operations in Canada, we are exposed to currency fluctuations and exchange rate risks that may adversely affect our results of operations. For example, the financial market turmoil, which started in 2007 and continued through 2008, impacted the exchange rate, specifically within the latter portion of 2008. The average monthly exchange rate for the Canadian dollar to U.S. dollar ranged between $1.00:1 and $1.06:1 during the first nine months of 2008, but spiked to a range between $1.18:1 and $1.23:1 during the fourth quarter of 2008. </w:t>
      </w:r>
    </w:p>
    <w:p>
      <w:pPr>
        <w:pStyle w:val="TextBody"/>
        <w:rPr>
          <w:rFonts w:ascii="times" w:hAnsi="times"/>
          <w:b/>
          <w:i/>
          <w:sz w:val="20"/>
        </w:rPr>
      </w:pPr>
      <w:r>
        <w:rPr>
          <w:rFonts w:ascii="times" w:hAnsi="times"/>
          <w:b/>
          <w:i/>
          <w:sz w:val="20"/>
        </w:rPr>
        <w:t xml:space="preserve">Terrorist attacks aimed at our facilities could adversely affect our business. </w:t>
      </w:r>
    </w:p>
    <w:p>
      <w:pPr>
        <w:pStyle w:val="TextBody"/>
        <w:rPr/>
      </w:pPr>
      <w:r>
        <w:rPr/>
        <w:t>        </w:t>
      </w:r>
      <w:r>
        <w:rPr>
          <w:rFonts w:ascii="times" w:hAnsi="times"/>
          <w:sz w:val="20"/>
        </w:rPr>
        <w:t xml:space="preserve">Since the September 11, 2001 terrorist attacks, the U.S. government has issued warnings that energy assets, specifically the nation's pipeline infrastructure, may be future targets of terrorist </w:t>
      </w:r>
    </w:p>
    <w:p>
      <w:pPr>
        <w:pStyle w:val="TextBody"/>
        <w:jc w:val="center"/>
        <w:rPr>
          <w:rFonts w:ascii="times" w:hAnsi="times"/>
          <w:sz w:val="20"/>
        </w:rPr>
      </w:pPr>
      <w:r>
        <w:rPr>
          <w:rFonts w:ascii="times" w:hAnsi="times"/>
          <w:sz w:val="20"/>
        </w:rPr>
        <w:t>53</w:t>
      </w:r>
    </w:p>
    <w:p>
      <w:pPr>
        <w:pStyle w:val="HorizontalLine"/>
        <w:pBdr>
          <w:bottom w:val="single" w:sz="20" w:space="0" w:color="808080"/>
        </w:pBdr>
        <w:rPr/>
      </w:pPr>
      <w:r>
        <w:rPr/>
      </w:r>
      <w:r>
        <w:br w:type="page"/>
      </w:r>
    </w:p>
    <w:p>
      <w:pPr>
        <w:pStyle w:val="TextBody"/>
        <w:rPr/>
      </w:pPr>
      <w:hyperlink w:anchor="bg12101a_main_toc">
        <w:bookmarkStart w:id="68" w:name="page_dq12101_1_54"/>
        <w:bookmarkEnd w:id="68"/>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organizations. These developments will subject our operations to increased risks. Any future terrorist attack that may target our facilities, those of our customers and, in some cases, those of other pipelines, could have a material adverse effect on our business. </w:t>
      </w:r>
    </w:p>
    <w:p>
      <w:pPr>
        <w:pStyle w:val="TextBody"/>
        <w:rPr>
          <w:rFonts w:ascii="times" w:hAnsi="times"/>
          <w:b/>
          <w:i/>
          <w:sz w:val="20"/>
        </w:rPr>
      </w:pPr>
      <w:r>
        <w:rPr>
          <w:rFonts w:ascii="times" w:hAnsi="times"/>
          <w:b/>
          <w:i/>
          <w:sz w:val="20"/>
        </w:rPr>
        <w:t xml:space="preserve">An impairment of goodwill could reduce our earnings. </w:t>
      </w:r>
    </w:p>
    <w:p>
      <w:pPr>
        <w:pStyle w:val="TextBody"/>
        <w:rPr/>
      </w:pPr>
      <w:r>
        <w:rPr/>
        <w:t>        </w:t>
      </w:r>
      <w:r>
        <w:rPr>
          <w:rFonts w:ascii="times" w:hAnsi="times"/>
          <w:sz w:val="20"/>
        </w:rPr>
        <w:t xml:space="preserve">At December 31, 2008, we had $1.2 billion of goodwill, of which we recorded approximately $875 million upon completion of our merger with Pacific. The purchase price for the Pacific merger was approximately $2.5 billion. Goodwill is recorded when the purchase price of a business exceeds the fair market value of the acquired tangible and separately measurable intangible net assets. U.S. generally accepted accounting principles, or GAAP, requires us to test goodwill for impairment on an annual basis or when events or circumstances occur indicating that goodwill might be impaired. If we were to determine that any of our remaining balance of goodwill was impaired, we would be required to take an immediate charge to earnings with a corresponding reduction of partners' equity and increase in balance sheet leverage as measured by debt to total capitalization. </w:t>
      </w:r>
    </w:p>
    <w:p>
      <w:pPr>
        <w:pStyle w:val="TextBody"/>
        <w:rPr>
          <w:rFonts w:ascii="times" w:hAnsi="times"/>
          <w:b/>
          <w:i/>
          <w:sz w:val="20"/>
        </w:rPr>
      </w:pPr>
      <w:r>
        <w:rPr>
          <w:rFonts w:ascii="times" w:hAnsi="times"/>
          <w:b/>
          <w:i/>
          <w:sz w:val="20"/>
        </w:rPr>
        <w:t xml:space="preserve">PAA/Vulcan's natural gas storage facilities are new and have limited operating history. </w:t>
      </w:r>
    </w:p>
    <w:p>
      <w:pPr>
        <w:pStyle w:val="TextBody"/>
        <w:rPr/>
      </w:pPr>
      <w:r>
        <w:rPr/>
        <w:t>        </w:t>
      </w:r>
      <w:r>
        <w:rPr>
          <w:rFonts w:ascii="times" w:hAnsi="times"/>
          <w:sz w:val="20"/>
        </w:rPr>
        <w:t xml:space="preserve">Although we believe that PAA/Vulcan's operating natural gas storage facilities are designed substantially to meet PAA/Vulcan's contractual obligations with respect to injection and withdrawal volumes and specifications, the facilities are new and have a limited operating history. If PAA/Vulcan fails to receive or deliver natural gas at contracted rates, or cannot deliver natural gas consistent with contractual quality specifications, PAA/Vulcan could incur significant costs to maintain compliance with PAA/Vulcan's contracts. </w:t>
      </w:r>
    </w:p>
    <w:p>
      <w:pPr>
        <w:pStyle w:val="TextBody"/>
        <w:rPr>
          <w:rFonts w:ascii="times" w:hAnsi="times"/>
          <w:b/>
          <w:i/>
          <w:sz w:val="20"/>
        </w:rPr>
      </w:pPr>
      <w:r>
        <w:rPr>
          <w:rFonts w:ascii="times" w:hAnsi="times"/>
          <w:b/>
          <w:i/>
          <w:sz w:val="20"/>
        </w:rPr>
        <w:t xml:space="preserve">We have a limited history of operating natural gas storage facilities and transporting, storing and marketing refined products. </w:t>
      </w:r>
    </w:p>
    <w:p>
      <w:pPr>
        <w:pStyle w:val="TextBody"/>
        <w:rPr/>
      </w:pPr>
      <w:r>
        <w:rPr/>
        <w:t>        </w:t>
      </w:r>
      <w:r>
        <w:rPr>
          <w:rFonts w:ascii="times" w:hAnsi="times"/>
          <w:sz w:val="20"/>
        </w:rPr>
        <w:t xml:space="preserve">We may enter into lines of business that are distinct and separate from our historical operations and that involve different commercial, operational and regulatory issues. For example, although many aspects of the natural gas storage and refined products industries are similar to our crude oil operations, our current management had little experience in operating natural gas storage facilities or refined products assets prior to our acquisition of such assets. There are significant risks and costs inherent in our efforts to engage in these operations, including the risk that we might not be able to implement our operating policies and strategies successfully. The devotion of capital, management time and other resources to unfamiliar operations could adversely affect our existing business. </w:t>
      </w:r>
    </w:p>
    <w:p>
      <w:pPr>
        <w:pStyle w:val="TextBody"/>
        <w:rPr>
          <w:rFonts w:ascii="times" w:hAnsi="times"/>
          <w:b/>
          <w:i/>
          <w:sz w:val="20"/>
        </w:rPr>
      </w:pPr>
      <w:r>
        <w:rPr>
          <w:rFonts w:ascii="times" w:hAnsi="times"/>
          <w:b/>
          <w:i/>
          <w:sz w:val="20"/>
        </w:rPr>
        <w:t xml:space="preserve">Joint venture and other investment structures can create operational difficulties. </w:t>
      </w:r>
    </w:p>
    <w:p>
      <w:pPr>
        <w:pStyle w:val="TextBody"/>
        <w:rPr/>
      </w:pPr>
      <w:r>
        <w:rPr/>
        <w:t>        </w:t>
      </w:r>
      <w:r>
        <w:rPr>
          <w:rFonts w:ascii="times" w:hAnsi="times"/>
          <w:sz w:val="20"/>
        </w:rPr>
        <w:t xml:space="preserve">Our natural gas storage operations are conducted through PAA/Vulcan, a joint venture between us and a subsidiary of Vulcan Capital Private Equity I LLC. We are also engaged in an investment arrangement with Settoon Towing. Joint venture arrangements typically include provisions designed to allow each venturer to participate at some level in the management of the venture and to protect such venturer's investment. </w:t>
      </w:r>
    </w:p>
    <w:p>
      <w:pPr>
        <w:pStyle w:val="TextBody"/>
        <w:rPr/>
      </w:pPr>
      <w:r>
        <w:rPr/>
        <w:t>        </w:t>
      </w:r>
      <w:r>
        <w:rPr>
          <w:rFonts w:ascii="times" w:hAnsi="times"/>
          <w:sz w:val="20"/>
        </w:rPr>
        <w:t xml:space="preserve">As a result, differences in views among the venture participants may result in delayed decisions or in failures to agree on major matters, such as large expenditures or contractual commitments, the construction or acquisition of assets or borrowing money, among others. Delay or failure to agree may prevent action with respect to such matters, even though such action may serve our best interest or that of the venture. Accordingly, delayed decisions and failures to agree can potentially adversely affect the business and operations of the ventures and in turn our business and operations. </w:t>
      </w:r>
    </w:p>
    <w:p>
      <w:pPr>
        <w:pStyle w:val="TextBody"/>
        <w:rPr/>
      </w:pPr>
      <w:r>
        <w:rPr/>
        <w:t>        </w:t>
      </w:r>
      <w:r>
        <w:rPr>
          <w:rFonts w:ascii="times" w:hAnsi="times"/>
          <w:sz w:val="20"/>
        </w:rPr>
        <w:t xml:space="preserve">From time to time, enterprises in which we have interests may be involved in disputes or legal proceedings which, although not involving a loss contingency to us, may nonetheless have the potential to negatively affect our investment. For example, Settoon Towing is party to a lawsuit involving </w:t>
      </w:r>
    </w:p>
    <w:p>
      <w:pPr>
        <w:pStyle w:val="TextBody"/>
        <w:jc w:val="center"/>
        <w:rPr>
          <w:rFonts w:ascii="times" w:hAnsi="times"/>
          <w:sz w:val="20"/>
        </w:rPr>
      </w:pPr>
      <w:r>
        <w:rPr>
          <w:rFonts w:ascii="times" w:hAnsi="times"/>
          <w:sz w:val="20"/>
        </w:rPr>
        <w:t>54</w:t>
      </w:r>
    </w:p>
    <w:p>
      <w:pPr>
        <w:pStyle w:val="HorizontalLine"/>
        <w:pBdr>
          <w:bottom w:val="single" w:sz="20" w:space="0" w:color="808080"/>
        </w:pBdr>
        <w:rPr/>
      </w:pPr>
      <w:r>
        <w:rPr/>
      </w:r>
      <w:r>
        <w:br w:type="page"/>
      </w:r>
    </w:p>
    <w:p>
      <w:pPr>
        <w:pStyle w:val="TextBody"/>
        <w:rPr/>
      </w:pPr>
      <w:hyperlink w:anchor="bg12101a_main_toc">
        <w:bookmarkStart w:id="69" w:name="page_dq12101_1_55"/>
        <w:bookmarkEnd w:id="69"/>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allegations that a Settoon barge struck a wellhead, causing the release of oil into the Intracoastal Canal. </w:t>
      </w:r>
    </w:p>
    <w:p>
      <w:pPr>
        <w:pStyle w:val="TextBody"/>
        <w:rPr>
          <w:rFonts w:ascii="times" w:hAnsi="times"/>
          <w:b/>
          <w:i/>
          <w:sz w:val="20"/>
        </w:rPr>
      </w:pPr>
      <w:r>
        <w:rPr>
          <w:rFonts w:ascii="times" w:hAnsi="times"/>
          <w:b/>
          <w:i/>
          <w:sz w:val="20"/>
        </w:rPr>
        <w:t xml:space="preserve">Risks Inherent in an Investment in Plains All American Pipeline, L.P. </w:t>
      </w:r>
    </w:p>
    <w:p>
      <w:pPr>
        <w:pStyle w:val="TextBody"/>
        <w:rPr>
          <w:rFonts w:ascii="times" w:hAnsi="times"/>
          <w:b/>
          <w:i/>
          <w:sz w:val="20"/>
        </w:rPr>
      </w:pPr>
      <w:r>
        <w:rPr>
          <w:rFonts w:ascii="times" w:hAnsi="times"/>
          <w:b/>
          <w:i/>
          <w:sz w:val="20"/>
        </w:rPr>
        <w:t xml:space="preserve">Cost reimbursements due to our general partner may be substantial and will reduce our cash available for distribution to unitholders. </w:t>
      </w:r>
    </w:p>
    <w:p>
      <w:pPr>
        <w:pStyle w:val="TextBody"/>
        <w:rPr/>
      </w:pPr>
      <w:r>
        <w:rPr/>
        <w:t>        </w:t>
      </w:r>
      <w:r>
        <w:rPr>
          <w:rFonts w:ascii="times" w:hAnsi="times"/>
          <w:sz w:val="20"/>
        </w:rPr>
        <w:t xml:space="preserve">Prior to making any distribution on our common units, we will reimburse our general partner and its affiliates, including officers and directors of the general partner, for all expenses incurred on our behalf (other than expenses related to the Class B units of Plains AAP, L.P.).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rPr>
          <w:rFonts w:ascii="times" w:hAnsi="times"/>
          <w:b/>
          <w:i/>
          <w:sz w:val="20"/>
        </w:rPr>
      </w:pPr>
      <w:r>
        <w:rPr>
          <w:rFonts w:ascii="times" w:hAnsi="times"/>
          <w:b/>
          <w:i/>
          <w:sz w:val="20"/>
        </w:rPr>
        <w:t xml:space="preserve">Cash distributions are not guaranteed and may fluctuate with our performance and the establishment of financial reserves. </w:t>
      </w:r>
    </w:p>
    <w:p>
      <w:pPr>
        <w:pStyle w:val="TextBody"/>
        <w:rPr/>
      </w:pPr>
      <w:r>
        <w:rPr/>
        <w:t>        </w:t>
      </w:r>
      <w:r>
        <w:rPr>
          <w:rFonts w:ascii="times" w:hAnsi="times"/>
          <w:sz w:val="20"/>
        </w:rPr>
        <w:t xml:space="preserve">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rPr>
          <w:rFonts w:ascii="times" w:hAnsi="times"/>
          <w:b/>
          <w:i/>
          <w:sz w:val="20"/>
        </w:rPr>
      </w:pPr>
      <w:r>
        <w:rPr>
          <w:rFonts w:ascii="times" w:hAnsi="times"/>
          <w:b/>
          <w:i/>
          <w:sz w:val="20"/>
        </w:rPr>
        <w:t xml:space="preserve">Unitholders may not be able to remove our general partner even if they wish to do so. </w:t>
      </w:r>
    </w:p>
    <w:p>
      <w:pPr>
        <w:pStyle w:val="TextBody"/>
        <w:rPr/>
      </w:pPr>
      <w:r>
        <w:rPr/>
        <w:t>        </w:t>
      </w:r>
      <w:r>
        <w:rPr>
          <w:rFonts w:ascii="times" w:hAnsi="times"/>
          <w:sz w:val="20"/>
        </w:rPr>
        <w:t xml:space="preserve">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 </w:t>
      </w:r>
    </w:p>
    <w:p>
      <w:pPr>
        <w:pStyle w:val="TextBody"/>
        <w:rPr/>
      </w:pPr>
      <w:r>
        <w:rPr/>
        <w:t>        </w:t>
      </w:r>
      <w:r>
        <w:rPr>
          <w:rFonts w:ascii="times" w:hAnsi="times"/>
          <w:sz w:val="20"/>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xml:space="preserve">%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 </w:t>
      </w:r>
    </w:p>
    <w:p>
      <w:pPr>
        <w:pStyle w:val="TextBody"/>
        <w:rPr/>
      </w:pPr>
      <w:r>
        <w:rPr/>
        <w:t>        </w:t>
      </w:r>
      <w:r>
        <w:rPr>
          <w:rFonts w:ascii="times" w:hAnsi="times"/>
          <w:sz w:val="20"/>
        </w:rPr>
        <w:t xml:space="preserve">In addition, the following provisions of our partnership agreement may discourage a person or group from attempting to remove our general partner or otherwise change our management: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limitations upon the ability of unitholders to call meetings or to acquire information about our operations, as well as other limitations upon the unitholders' ability to influence the manner or direction of management. </w:t>
      </w:r>
    </w:p>
    <w:p>
      <w:pPr>
        <w:pStyle w:val="TextBody"/>
        <w:rPr/>
      </w:pPr>
      <w:r>
        <w:rPr/>
        <w:t>        </w:t>
      </w:r>
      <w:r>
        <w:rPr>
          <w:rFonts w:ascii="times" w:hAnsi="times"/>
          <w:sz w:val="20"/>
        </w:rPr>
        <w:t xml:space="preserve">As a result of these provisions, the price at which our common units will trade may be lower because of the absence or reduction of a takeover premium in the trading price. </w:t>
      </w:r>
    </w:p>
    <w:p>
      <w:pPr>
        <w:pStyle w:val="TextBody"/>
        <w:jc w:val="center"/>
        <w:rPr>
          <w:rFonts w:ascii="times" w:hAnsi="times"/>
          <w:sz w:val="20"/>
        </w:rPr>
      </w:pPr>
      <w:r>
        <w:rPr>
          <w:rFonts w:ascii="times" w:hAnsi="times"/>
          <w:sz w:val="20"/>
        </w:rPr>
        <w:t>55</w:t>
      </w:r>
    </w:p>
    <w:p>
      <w:pPr>
        <w:pStyle w:val="HorizontalLine"/>
        <w:pBdr>
          <w:bottom w:val="single" w:sz="20" w:space="0" w:color="808080"/>
        </w:pBdr>
        <w:rPr/>
      </w:pPr>
      <w:r>
        <w:rPr/>
      </w:r>
      <w:r>
        <w:br w:type="page"/>
      </w:r>
    </w:p>
    <w:p>
      <w:pPr>
        <w:pStyle w:val="TextBody"/>
        <w:rPr/>
      </w:pPr>
      <w:hyperlink w:anchor="bg12101a_main_toc">
        <w:bookmarkStart w:id="70" w:name="page_dq12101_1_56"/>
        <w:bookmarkEnd w:id="70"/>
        <w:r>
          <w:rPr>
            <w:rStyle w:val="InternetLink"/>
            <w:rFonts w:ascii="times" w:hAnsi="times"/>
            <w:sz w:val="20"/>
          </w:rPr>
          <w:t>Table of Contents</w:t>
        </w:r>
      </w:hyperlink>
    </w:p>
    <w:p>
      <w:pPr>
        <w:pStyle w:val="TextBody"/>
        <w:rPr/>
      </w:pPr>
      <w:r>
        <w:rPr/>
      </w:r>
    </w:p>
    <w:p>
      <w:pPr>
        <w:pStyle w:val="TextBody"/>
        <w:rPr>
          <w:rFonts w:ascii="times" w:hAnsi="times"/>
          <w:b/>
          <w:i/>
          <w:sz w:val="20"/>
        </w:rPr>
      </w:pPr>
      <w:r>
        <w:rPr>
          <w:rFonts w:ascii="times" w:hAnsi="times"/>
          <w:b/>
          <w:i/>
          <w:sz w:val="20"/>
        </w:rPr>
        <w:t xml:space="preserve">We may issue additional common units without unitholder approval, which would dilute a unitholder's existing ownership interests. </w:t>
      </w:r>
    </w:p>
    <w:p>
      <w:pPr>
        <w:pStyle w:val="TextBody"/>
        <w:rPr/>
      </w:pPr>
      <w:r>
        <w:rPr/>
        <w:t>        </w:t>
      </w:r>
      <w:r>
        <w:rPr>
          <w:rFonts w:ascii="times" w:hAnsi="times"/>
          <w:sz w:val="20"/>
        </w:rPr>
        <w:t xml:space="preserve">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existing unitholder's proportionate ownership interest in the Partnership will decrease;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of cash available for distribution on each unit may decrease;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relative voting strength of each previously outstanding unit may be diminished;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market price of the common units may decline. </w:t>
      </w:r>
    </w:p>
    <w:p>
      <w:pPr>
        <w:pStyle w:val="TextBody"/>
        <w:rPr>
          <w:rFonts w:ascii="times" w:hAnsi="times"/>
          <w:b/>
          <w:i/>
          <w:sz w:val="20"/>
        </w:rPr>
      </w:pPr>
      <w:r>
        <w:rPr>
          <w:rFonts w:ascii="times" w:hAnsi="times"/>
          <w:b/>
          <w:i/>
          <w:sz w:val="20"/>
        </w:rPr>
        <w:t xml:space="preserve">Our general partner has a limited call right that may require unitholders to sell their units at an undesirable time or price. </w:t>
      </w:r>
    </w:p>
    <w:p>
      <w:pPr>
        <w:pStyle w:val="TextBody"/>
        <w:rPr/>
      </w:pPr>
      <w:r>
        <w:rPr/>
        <w:t>        </w:t>
      </w:r>
      <w:r>
        <w:rPr>
          <w:rFonts w:ascii="times" w:hAnsi="times"/>
          <w:sz w:val="20"/>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 </w:t>
      </w:r>
    </w:p>
    <w:p>
      <w:pPr>
        <w:pStyle w:val="TextBody"/>
        <w:rPr>
          <w:rFonts w:ascii="times" w:hAnsi="times"/>
          <w:b/>
          <w:i/>
          <w:sz w:val="20"/>
        </w:rPr>
      </w:pPr>
      <w:r>
        <w:rPr>
          <w:rFonts w:ascii="times" w:hAnsi="times"/>
          <w:b/>
          <w:i/>
          <w:sz w:val="20"/>
        </w:rPr>
        <w:t xml:space="preserve">Unitholders may not have limited liability if a court finds that unitholder actions constitute control of our business. </w:t>
      </w:r>
    </w:p>
    <w:p>
      <w:pPr>
        <w:pStyle w:val="TextBody"/>
        <w:rPr/>
      </w:pPr>
      <w:r>
        <w:rPr/>
        <w:t>        </w:t>
      </w:r>
      <w:r>
        <w:rPr>
          <w:rFonts w:ascii="times" w:hAnsi="times"/>
          <w:sz w:val="20"/>
        </w:rPr>
        <w:t xml:space="preserve">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rPr/>
      </w:pPr>
      <w:r>
        <w:rPr/>
        <w:t>        </w:t>
      </w:r>
      <w:r>
        <w:rPr>
          <w:rFonts w:ascii="times" w:hAnsi="times"/>
          <w:sz w:val="20"/>
        </w:rPr>
        <w:t xml:space="preserve">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 </w:t>
      </w:r>
    </w:p>
    <w:p>
      <w:pPr>
        <w:pStyle w:val="TextBody"/>
        <w:jc w:val="center"/>
        <w:rPr>
          <w:rFonts w:ascii="times" w:hAnsi="times"/>
          <w:sz w:val="20"/>
        </w:rPr>
      </w:pPr>
      <w:r>
        <w:rPr>
          <w:rFonts w:ascii="times" w:hAnsi="times"/>
          <w:sz w:val="20"/>
        </w:rPr>
        <w:t>56</w:t>
      </w:r>
    </w:p>
    <w:p>
      <w:pPr>
        <w:pStyle w:val="HorizontalLine"/>
        <w:pBdr>
          <w:bottom w:val="single" w:sz="20" w:space="0" w:color="808080"/>
        </w:pBdr>
        <w:rPr/>
      </w:pPr>
      <w:r>
        <w:rPr/>
      </w:r>
      <w:r>
        <w:br w:type="page"/>
      </w:r>
    </w:p>
    <w:p>
      <w:pPr>
        <w:pStyle w:val="TextBody"/>
        <w:rPr/>
      </w:pPr>
      <w:hyperlink w:anchor="bg12101a_main_toc">
        <w:bookmarkStart w:id="71" w:name="page_ds12101_1_57"/>
        <w:bookmarkEnd w:id="71"/>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rPr>
          <w:rFonts w:ascii="times" w:hAnsi="times"/>
          <w:b/>
          <w:i/>
          <w:sz w:val="20"/>
        </w:rPr>
      </w:pPr>
      <w:r>
        <w:rPr>
          <w:rFonts w:ascii="times" w:hAnsi="times"/>
          <w:b/>
          <w:i/>
          <w:sz w:val="20"/>
        </w:rPr>
        <w:t xml:space="preserve">Conflicts of interest could arise among our general partner and us or the unitholders. </w:t>
      </w:r>
    </w:p>
    <w:p>
      <w:pPr>
        <w:pStyle w:val="TextBody"/>
        <w:rPr/>
      </w:pPr>
      <w:r>
        <w:rPr/>
        <w:t>        </w:t>
      </w:r>
      <w:r>
        <w:rPr>
          <w:rFonts w:ascii="times" w:hAnsi="times"/>
          <w:sz w:val="20"/>
        </w:rPr>
        <w:t xml:space="preserve">These conflicts may include the following: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under our partnership agreement, we reimburse the general partner for the costs of managing and for operating the partnership;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of cash expenditures, borrowings and reserves in any quarter may affect available cash to pay quarterly distributions to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general partner would not breach our partnership agreement by exercising its call rights to purchase limited partnership interests or by assigning its call rights to one of its affiliates or to us. </w:t>
      </w:r>
    </w:p>
    <w:p>
      <w:pPr>
        <w:pStyle w:val="TextBody"/>
        <w:rPr>
          <w:rFonts w:ascii="times" w:hAnsi="times"/>
          <w:b/>
          <w:i/>
          <w:sz w:val="20"/>
        </w:rPr>
      </w:pPr>
      <w:r>
        <w:rPr>
          <w:rFonts w:ascii="times" w:hAnsi="times"/>
          <w:b/>
          <w:i/>
          <w:sz w:val="20"/>
        </w:rPr>
        <w:t xml:space="preserve">The control of our general partner may be transferred to a third party without unitholder consent. A change of control may result in defaults under certain of our debt instruments and the triggering of payment obligations under compensation arrangements. </w:t>
      </w:r>
    </w:p>
    <w:p>
      <w:pPr>
        <w:pStyle w:val="TextBody"/>
        <w:rPr/>
      </w:pPr>
      <w:r>
        <w:rPr/>
        <w:t>        </w:t>
      </w:r>
      <w:r>
        <w:rPr>
          <w:rFonts w:ascii="times" w:hAnsi="times"/>
          <w:sz w:val="20"/>
        </w:rPr>
        <w:t xml:space="preserve">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from transferring its general partnership interest in our general partner to a third party. Any new owner of our general partner would be able to replace the board of directors and officers with its own choices and to control their decisions and actions. </w:t>
      </w:r>
    </w:p>
    <w:p>
      <w:pPr>
        <w:pStyle w:val="TextBody"/>
        <w:rPr/>
      </w:pPr>
      <w:r>
        <w:rPr/>
        <w:t>        </w:t>
      </w:r>
      <w:r>
        <w:rPr>
          <w:rFonts w:ascii="times" w:hAnsi="times"/>
          <w:sz w:val="20"/>
        </w:rPr>
        <w:t xml:space="preserve">In addition, a change of control would constitute an event of default under the indentures governing certain issues of our senior notes and under our revolving credit agreement. An event of default under certain of our indentures could require us to make an offer to purchase the senior notes issued thereunder at a purchase price equal to 101% of the aggregate principal amount, plus accrued and unpaid interest, if any, to the date of purchase. During the continuance of an event of default under our revolving credit agreement,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 </w:t>
      </w:r>
    </w:p>
    <w:p>
      <w:pPr>
        <w:pStyle w:val="TextBody"/>
        <w:jc w:val="center"/>
        <w:rPr>
          <w:rFonts w:ascii="times" w:hAnsi="times"/>
          <w:sz w:val="20"/>
        </w:rPr>
      </w:pPr>
      <w:r>
        <w:rPr>
          <w:rFonts w:ascii="times" w:hAnsi="times"/>
          <w:sz w:val="20"/>
        </w:rPr>
        <w:t>57</w:t>
      </w:r>
    </w:p>
    <w:p>
      <w:pPr>
        <w:pStyle w:val="HorizontalLine"/>
        <w:pBdr>
          <w:bottom w:val="single" w:sz="20" w:space="0" w:color="808080"/>
        </w:pBdr>
        <w:rPr/>
      </w:pPr>
      <w:r>
        <w:rPr/>
      </w:r>
      <w:r>
        <w:br w:type="page"/>
      </w:r>
    </w:p>
    <w:p>
      <w:pPr>
        <w:pStyle w:val="TextBody"/>
        <w:rPr/>
      </w:pPr>
      <w:hyperlink w:anchor="bg12101a_main_toc">
        <w:bookmarkStart w:id="72" w:name="page_ds12101_1_58"/>
        <w:bookmarkEnd w:id="72"/>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Risks Related to an Investment in Our Debt Securities </w:t>
      </w:r>
    </w:p>
    <w:p>
      <w:pPr>
        <w:pStyle w:val="TextBody"/>
        <w:rPr>
          <w:rFonts w:ascii="times" w:hAnsi="times"/>
          <w:b/>
          <w:i/>
          <w:sz w:val="20"/>
        </w:rPr>
      </w:pPr>
      <w:r>
        <w:rPr>
          <w:rFonts w:ascii="times" w:hAnsi="times"/>
          <w:b/>
          <w:i/>
          <w:sz w:val="20"/>
        </w:rPr>
        <w:t xml:space="preserve">The right to receive payments on our outstanding debt securities and subsidiary guarantees is unsecured and will be effectively subordinated to our existing and future secured indebtedness as well as to any existing and future indebtedness of our subsidiaries that do not guarantee the notes. </w:t>
      </w:r>
    </w:p>
    <w:p>
      <w:pPr>
        <w:pStyle w:val="TextBody"/>
        <w:rPr/>
      </w:pPr>
      <w:r>
        <w:rPr/>
        <w:t>        </w:t>
      </w:r>
      <w:r>
        <w:rPr>
          <w:rFonts w:ascii="times" w:hAnsi="times"/>
          <w:sz w:val="20"/>
        </w:rPr>
        <w:t xml:space="preserve">Our debt securities are effectively subordinated to claims of our secured creditors and the guarantees are effectively subordinated to the claims of our secured creditors as well as the secured creditors of our subsidiary guarantors. Although substantially all of our operating subsidiaries, other than minor subsidiaries and those regulated by the California Public Utilities Commission, have guaranteed such debt securities, the guarantees are subject to release under certain circumstances, and we may have subsidiaries that are not guarantors. In that case, the debt securities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debt securities. </w:t>
      </w:r>
    </w:p>
    <w:p>
      <w:pPr>
        <w:pStyle w:val="TextBody"/>
        <w:rPr>
          <w:rFonts w:ascii="times" w:hAnsi="times"/>
          <w:b/>
          <w:i/>
          <w:sz w:val="20"/>
        </w:rPr>
      </w:pPr>
      <w:r>
        <w:rPr>
          <w:rFonts w:ascii="times" w:hAnsi="times"/>
          <w:b/>
          <w:i/>
          <w:sz w:val="20"/>
        </w:rPr>
        <w:t xml:space="preserve">Our leverage may limit our ability to borrow additional funds, comply with the terms of our indebtedness or capitalize on business opportunities. </w:t>
      </w:r>
    </w:p>
    <w:p>
      <w:pPr>
        <w:pStyle w:val="TextBody"/>
        <w:rPr/>
      </w:pPr>
      <w:r>
        <w:rPr/>
        <w:t>        </w:t>
      </w:r>
      <w:r>
        <w:rPr>
          <w:rFonts w:ascii="times" w:hAnsi="times"/>
          <w:sz w:val="20"/>
        </w:rPr>
        <w:t xml:space="preserve">Our leverage is significant in relation to our partners' capital. At December 31, 2008, our total outstanding debt was approximately $4.3 billion. We will be prohibited from making cash distributions during an event of default under any of our indebtedness. Various limitations in our credit facilities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rPr/>
      </w:pPr>
      <w:r>
        <w:rPr/>
        <w:t>        </w:t>
      </w:r>
      <w:r>
        <w:rPr>
          <w:rFonts w:ascii="times" w:hAnsi="times"/>
          <w:sz w:val="20"/>
        </w:rPr>
        <w:t xml:space="preserve">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 </w:t>
      </w:r>
    </w:p>
    <w:p>
      <w:pPr>
        <w:pStyle w:val="TextBody"/>
        <w:rPr/>
      </w:pPr>
      <w:r>
        <w:rPr/>
        <w:t>        </w:t>
      </w:r>
      <w:r>
        <w:rPr>
          <w:rFonts w:ascii="times" w:hAnsi="times"/>
          <w:sz w:val="20"/>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jc w:val="center"/>
        <w:rPr>
          <w:rFonts w:ascii="times" w:hAnsi="times"/>
          <w:sz w:val="20"/>
        </w:rPr>
      </w:pPr>
      <w:r>
        <w:rPr>
          <w:rFonts w:ascii="times" w:hAnsi="times"/>
          <w:sz w:val="20"/>
        </w:rPr>
        <w:t>58</w:t>
      </w:r>
    </w:p>
    <w:p>
      <w:pPr>
        <w:pStyle w:val="HorizontalLine"/>
        <w:pBdr>
          <w:bottom w:val="single" w:sz="20" w:space="0" w:color="808080"/>
        </w:pBdr>
        <w:rPr/>
      </w:pPr>
      <w:r>
        <w:rPr/>
      </w:r>
      <w:r>
        <w:br w:type="page"/>
      </w:r>
    </w:p>
    <w:p>
      <w:pPr>
        <w:pStyle w:val="TextBody"/>
        <w:rPr/>
      </w:pPr>
      <w:hyperlink w:anchor="bg12101a_main_toc">
        <w:bookmarkStart w:id="73" w:name="page_ds12101_1_59"/>
        <w:bookmarkEnd w:id="73"/>
        <w:r>
          <w:rPr>
            <w:rStyle w:val="InternetLink"/>
            <w:rFonts w:ascii="times" w:hAnsi="times"/>
            <w:sz w:val="20"/>
          </w:rPr>
          <w:t>Table of Contents</w:t>
        </w:r>
      </w:hyperlink>
    </w:p>
    <w:p>
      <w:pPr>
        <w:pStyle w:val="TextBody"/>
        <w:rPr/>
      </w:pPr>
      <w:r>
        <w:rPr/>
      </w:r>
    </w:p>
    <w:p>
      <w:pPr>
        <w:pStyle w:val="TextBody"/>
        <w:rPr>
          <w:rFonts w:ascii="times" w:hAnsi="times"/>
          <w:b/>
          <w:i/>
          <w:sz w:val="20"/>
        </w:rPr>
      </w:pPr>
      <w:r>
        <w:rPr>
          <w:rFonts w:ascii="times" w:hAnsi="times"/>
          <w:b/>
          <w:i/>
          <w:sz w:val="20"/>
        </w:rPr>
        <w:t xml:space="preserve">A court may use fraudulent conveyance considerations to avoid or subordinate the subsidiary guarantees. </w:t>
      </w:r>
    </w:p>
    <w:p>
      <w:pPr>
        <w:pStyle w:val="TextBody"/>
        <w:rPr/>
      </w:pPr>
      <w:r>
        <w:rPr/>
        <w:t>        </w:t>
      </w:r>
      <w:r>
        <w:rPr>
          <w:rFonts w:ascii="times" w:hAnsi="times"/>
          <w:sz w:val="20"/>
        </w:rPr>
        <w:t xml:space="preserve">Various applicable fraudulent conveyance laws have been enacted for the protection of creditors. A court may use fraudulent conveyance laws to subordinate or avoid the subsidiary guarantees of our debt securities issued by any of our subsidiary guarantors. It is also possible that under certain circumstances a court could hold that the direct obligations of a subsidiary guaranteeing our debt securities could be superior to the obligations under that guarantee. </w:t>
      </w:r>
    </w:p>
    <w:p>
      <w:pPr>
        <w:pStyle w:val="TextBody"/>
        <w:rPr/>
      </w:pPr>
      <w:r>
        <w:rPr/>
        <w:t>        </w:t>
      </w:r>
      <w:r>
        <w:rPr>
          <w:rFonts w:ascii="times" w:hAnsi="times"/>
          <w:sz w:val="20"/>
        </w:rPr>
        <w:t xml:space="preserve">A court could avoid or subordinate the guarantee of our debt securities by any of our subsidiaries in favor of that subsidiary's other debts or liabilities to the extent that the court determined either of the following were true at the time the subsidiary issued the guarantee: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subsidiary incurred the guarantee with the intent to hinder, delay or defraud any of its present or future creditors or that subsidiary contemplated insolvency with a design to favor one or more creditors to the total or partial exclusion of others;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subsidiary did not receive fair consideration or reasonable equivalent value for issuing the guarantee and, at the time it issued the guarantee, that subsidiary: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was insolvent or rendered insolvent by reason of the issuance of the guarantee;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was engaged or about to engage in a business or transaction for which the remaining assets of that subsidiary constituted unreasonably small capital; or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intended to incur, or believed that it would incur, debts beyond its ability to pay such debts as they matured. </w:t>
      </w:r>
    </w:p>
    <w:p>
      <w:pPr>
        <w:pStyle w:val="TextBody"/>
        <w:rPr/>
      </w:pPr>
      <w:r>
        <w:rPr/>
        <w:t>        </w:t>
      </w:r>
      <w:r>
        <w:rPr>
          <w:rFonts w:ascii="times" w:hAnsi="times"/>
          <w:sz w:val="20"/>
        </w:rPr>
        <w:t xml:space="preserve">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 </w:t>
      </w:r>
    </w:p>
    <w:p>
      <w:pPr>
        <w:pStyle w:val="TextBody"/>
        <w:rPr/>
      </w:pPr>
      <w:r>
        <w:rPr/>
        <w:t>        </w:t>
      </w:r>
      <w:r>
        <w:rPr>
          <w:rFonts w:ascii="times" w:hAnsi="times"/>
          <w:sz w:val="20"/>
        </w:rPr>
        <w:t xml:space="preserve">Among other things, a legal challenge of a subsidiary's guarantee of our debt securities on fraudulent conveyance grounds may focus on the benefits, if any, realized by that subsidiary as a result of our issuance of our debt securities. To the extent a subsidiary's guarantee of our debt securities is avoided as a result of fraudulent conveyance or held unenforceable for any other reason, the holders of our debt securities would cease to have any claim in respect of that guarantee. </w:t>
      </w:r>
    </w:p>
    <w:p>
      <w:pPr>
        <w:pStyle w:val="TextBody"/>
        <w:rPr>
          <w:rFonts w:ascii="times" w:hAnsi="times"/>
          <w:b/>
          <w:i/>
          <w:sz w:val="20"/>
        </w:rPr>
      </w:pPr>
      <w:r>
        <w:rPr>
          <w:rFonts w:ascii="times" w:hAnsi="times"/>
          <w:b/>
          <w:i/>
          <w:sz w:val="20"/>
        </w:rPr>
        <w:t xml:space="preserve">The ability to transfer our debt securities may be limited by the absence of a trading market. </w:t>
      </w:r>
    </w:p>
    <w:p>
      <w:pPr>
        <w:pStyle w:val="TextBody"/>
        <w:rPr/>
      </w:pPr>
      <w:r>
        <w:rPr/>
        <w:t>        </w:t>
      </w:r>
      <w:r>
        <w:rPr>
          <w:rFonts w:ascii="times" w:hAnsi="times"/>
          <w:sz w:val="20"/>
        </w:rPr>
        <w:t xml:space="preserve">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or liquidity of any market for the debt securities. </w:t>
      </w:r>
    </w:p>
    <w:p>
      <w:pPr>
        <w:pStyle w:val="TextBody"/>
        <w:rPr>
          <w:rFonts w:ascii="times" w:hAnsi="times"/>
          <w:b/>
          <w:i/>
          <w:sz w:val="20"/>
        </w:rPr>
      </w:pPr>
      <w:r>
        <w:rPr>
          <w:rFonts w:ascii="times" w:hAnsi="times"/>
          <w:b/>
          <w:i/>
          <w:sz w:val="20"/>
        </w:rPr>
        <w:t xml:space="preserve">We have a holding company structure in which our subsidiaries conduct our operations and own our operating assets. </w:t>
      </w:r>
    </w:p>
    <w:p>
      <w:pPr>
        <w:pStyle w:val="TextBody"/>
        <w:rPr/>
      </w:pPr>
      <w:r>
        <w:rPr/>
        <w:t>        </w:t>
      </w:r>
      <w:r>
        <w:rPr>
          <w:rFonts w:ascii="times" w:hAnsi="times"/>
          <w:sz w:val="20"/>
        </w:rPr>
        <w:t xml:space="preserve">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w:t>
      </w:r>
    </w:p>
    <w:p>
      <w:pPr>
        <w:pStyle w:val="TextBody"/>
        <w:jc w:val="center"/>
        <w:rPr>
          <w:rFonts w:ascii="times" w:hAnsi="times"/>
          <w:sz w:val="20"/>
        </w:rPr>
      </w:pPr>
      <w:r>
        <w:rPr>
          <w:rFonts w:ascii="times" w:hAnsi="times"/>
          <w:sz w:val="20"/>
        </w:rPr>
        <w:t>59</w:t>
      </w:r>
    </w:p>
    <w:p>
      <w:pPr>
        <w:pStyle w:val="HorizontalLine"/>
        <w:pBdr>
          <w:bottom w:val="single" w:sz="20" w:space="0" w:color="808080"/>
        </w:pBdr>
        <w:rPr/>
      </w:pPr>
      <w:r>
        <w:rPr/>
      </w:r>
      <w:r>
        <w:br w:type="page"/>
      </w:r>
    </w:p>
    <w:p>
      <w:pPr>
        <w:pStyle w:val="TextBody"/>
        <w:rPr/>
      </w:pPr>
      <w:hyperlink w:anchor="bg12101a_main_toc">
        <w:bookmarkStart w:id="74" w:name="page_ds12101_1_60"/>
        <w:bookmarkEnd w:id="74"/>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partnership laws and other laws and regulations. Pursuant to the credit facilities, we may be required to establish cash reserves for the future payment of principal and interest on the amounts outstanding under our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rPr>
          <w:rFonts w:ascii="times" w:hAnsi="times"/>
          <w:b/>
          <w:i/>
          <w:sz w:val="20"/>
        </w:rPr>
      </w:pPr>
      <w:r>
        <w:rPr>
          <w:rFonts w:ascii="times" w:hAnsi="times"/>
          <w:b/>
          <w:i/>
          <w:sz w:val="20"/>
        </w:rPr>
        <w:t xml:space="preserve">We do not have the same flexibility as other types of organizations to accumulate cash, which may limit cash available to service our debt securities or to repay them at maturity. </w:t>
      </w:r>
    </w:p>
    <w:p>
      <w:pPr>
        <w:pStyle w:val="TextBody"/>
        <w:rPr/>
      </w:pPr>
      <w:r>
        <w:rPr/>
        <w:t>        </w:t>
      </w:r>
      <w:r>
        <w:rPr>
          <w:rFonts w:ascii="times" w:hAnsi="times"/>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provide for the proper conduct of our business and the businesses of our operating partnerships (including reserves for future capital expenditures and for our anticipated future credit needs);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provide funds for distributions to our unitholders and the general partner for any one or more of the next four calendar quarters;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comply with applicable law or any of our loan or other agreements. </w:t>
      </w:r>
    </w:p>
    <w:p>
      <w:pPr>
        <w:pStyle w:val="TextBody"/>
        <w:rPr/>
      </w:pPr>
      <w:r>
        <w:rPr/>
        <w:t>        </w:t>
      </w:r>
      <w:r>
        <w:rPr>
          <w:rFonts w:ascii="times" w:hAnsi="times"/>
          <w:sz w:val="20"/>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rPr>
          <w:rFonts w:ascii="times" w:hAnsi="times"/>
          <w:b/>
          <w:sz w:val="20"/>
        </w:rPr>
      </w:pPr>
      <w:r>
        <w:rPr>
          <w:rFonts w:ascii="times" w:hAnsi="times"/>
          <w:b/>
          <w:sz w:val="20"/>
        </w:rPr>
        <w:t xml:space="preserve">Tax Risks to Common Unitholders </w:t>
      </w:r>
    </w:p>
    <w:p>
      <w:pPr>
        <w:pStyle w:val="TextBody"/>
        <w:rPr>
          <w:rFonts w:ascii="times" w:hAnsi="times"/>
          <w:b/>
          <w:i/>
          <w:sz w:val="20"/>
        </w:rPr>
      </w:pPr>
      <w:r>
        <w:rPr>
          <w:rFonts w:ascii="times" w:hAnsi="times"/>
          <w:b/>
          <w:i/>
          <w:sz w:val="20"/>
        </w:rPr>
        <w:t xml:space="preserve">Our tax treatment depends on our status as a partnership for federal income tax purposes, as well as our not being subject to a material amount of entity-level taxation by individual states. If the IRS were to treat us as a corporation or if we become subject to additional amounts of entity-level taxation for state or foreign tax purposes, it would reduce the amount of cash available to pay distributions and our debt obligations. </w:t>
      </w:r>
    </w:p>
    <w:p>
      <w:pPr>
        <w:pStyle w:val="TextBody"/>
        <w:rPr/>
      </w:pPr>
      <w:r>
        <w:rPr/>
        <w:t>        </w:t>
      </w:r>
      <w:r>
        <w:rPr>
          <w:rFonts w:ascii="times" w:hAnsi="times"/>
          <w:sz w:val="20"/>
        </w:rPr>
        <w:t xml:space="preserve">If we were treated as a corporation for federal income tax purposes, we would pay federal income tax on our taxable income at the corporate tax rate, which is currently a maximum of 35%,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units. </w:t>
      </w:r>
    </w:p>
    <w:p>
      <w:pPr>
        <w:pStyle w:val="TextBody"/>
        <w:rPr/>
      </w:pPr>
      <w:r>
        <w:rPr/>
        <w:t>        </w:t>
      </w:r>
      <w:r>
        <w:rPr>
          <w:rFonts w:ascii="times" w:hAnsi="times"/>
          <w:sz w:val="20"/>
        </w:rPr>
        <w:t xml:space="preserve">Current law may change causing us to be treated as a corporation for federal income tax purposes or otherwise subject us to entity-level taxation. In addition, because of widespread state budget deficits and other reasons, several states are evaluating ways to subject partnerships to entity-level taxation through the imposition of state income, franchise and other forms of taxation. Specifically, beginning in 2008, we became subject to a new entity level tax on the portion of our income that is generated in Texas in the prior year. Imposition of any such additional taxes on us will reduce the cash available for distribution to our unitholders. Our partnership agreement provides that if a law is enacted or existing law is modified or interpreted in a manner that subjects us to taxation as a corporation or otherwise </w:t>
      </w:r>
    </w:p>
    <w:p>
      <w:pPr>
        <w:pStyle w:val="TextBody"/>
        <w:jc w:val="center"/>
        <w:rPr>
          <w:rFonts w:ascii="times" w:hAnsi="times"/>
          <w:sz w:val="20"/>
        </w:rPr>
      </w:pPr>
      <w:r>
        <w:rPr>
          <w:rFonts w:ascii="times" w:hAnsi="times"/>
          <w:sz w:val="20"/>
        </w:rPr>
        <w:t>60</w:t>
      </w:r>
    </w:p>
    <w:p>
      <w:pPr>
        <w:pStyle w:val="HorizontalLine"/>
        <w:pBdr>
          <w:bottom w:val="single" w:sz="20" w:space="0" w:color="808080"/>
        </w:pBdr>
        <w:rPr/>
      </w:pPr>
      <w:r>
        <w:rPr/>
      </w:r>
      <w:r>
        <w:br w:type="page"/>
      </w:r>
    </w:p>
    <w:p>
      <w:pPr>
        <w:pStyle w:val="TextBody"/>
        <w:rPr/>
      </w:pPr>
      <w:hyperlink w:anchor="bg12101a_main_toc">
        <w:bookmarkStart w:id="75" w:name="page_ds12101_1_61"/>
        <w:bookmarkEnd w:id="75"/>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subjects us to entity-level taxation for federal income tax purposes, our target distribution amounts will be adjusted to reflect the impact of that law on us. </w:t>
      </w:r>
    </w:p>
    <w:p>
      <w:pPr>
        <w:pStyle w:val="TextBody"/>
        <w:rPr>
          <w:rFonts w:ascii="times" w:hAnsi="times"/>
          <w:b/>
          <w:i/>
          <w:sz w:val="20"/>
        </w:rPr>
      </w:pPr>
      <w:r>
        <w:rPr>
          <w:rFonts w:ascii="times" w:hAnsi="times"/>
          <w:b/>
          <w:i/>
          <w:sz w:val="20"/>
        </w:rPr>
        <w:t xml:space="preserve">Recent changes in Canadian tax law will subject our Canadian subsidiaries to entity-level tax, which will reduce the amount of cash available to pay distributions and our debt obligations. </w:t>
      </w:r>
    </w:p>
    <w:p>
      <w:pPr>
        <w:pStyle w:val="TextBody"/>
        <w:rPr/>
      </w:pPr>
      <w:r>
        <w:rPr/>
        <w:t>        </w:t>
      </w:r>
      <w:r>
        <w:rPr>
          <w:rFonts w:ascii="times" w:hAnsi="times"/>
          <w:sz w:val="20"/>
        </w:rPr>
        <w:t xml:space="preserve">In June 2007, the Canadian government passed legislation that imposes entity-level taxes on certain types of flow-through entities. The legislation refers to safe harbor guidelines that grandfather certain existing entities and delay the effective date of such legislation until 2011 provided that the entities do not exceed the normal growth guidelines. We believe that we are currently within the normal growth guidelines as defined in the legislation, which should delay the effective date until 2011. However, future acquisitions could be subject to an entity-level tax prior to 2011. Entity-level taxation of our Canadian flow-through entities will reduce cash available for distributions or to pay debt obligations. </w:t>
      </w:r>
    </w:p>
    <w:p>
      <w:pPr>
        <w:pStyle w:val="TextBody"/>
        <w:rPr>
          <w:rFonts w:ascii="times" w:hAnsi="times"/>
          <w:b/>
          <w:i/>
          <w:sz w:val="20"/>
        </w:rPr>
      </w:pPr>
      <w:r>
        <w:rPr>
          <w:rFonts w:ascii="times" w:hAnsi="times"/>
          <w:b/>
          <w:i/>
          <w:sz w:val="20"/>
        </w:rPr>
        <w:t xml:space="preserve">The sale or exchange of 50% or more of our capital and profits interests during any twelve-month period will result in our termination as a partnership for federal income tax purposes. </w:t>
      </w:r>
    </w:p>
    <w:p>
      <w:pPr>
        <w:pStyle w:val="TextBody"/>
        <w:rPr/>
      </w:pPr>
      <w:r>
        <w:rPr/>
        <w:t>        </w:t>
      </w:r>
      <w:r>
        <w:rPr>
          <w:rFonts w:ascii="times" w:hAnsi="times"/>
          <w:sz w:val="20"/>
        </w:rPr>
        <w:t xml:space="preserve">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us filing two tax returns (and our unitholders could receive two Schedules K-1) for one fiscal year and could result in a deferral of depreciation deductions allowable in computing our taxable income. In the case of a unitholder reporting on a taxable year other than a fiscal year ending December 31,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instead, we would be treated as a new partnership for tax purposes. If treated as a new partnership, we must make new tax elections and could be subject to penalties if we are unable to determine that a termination occurred. </w:t>
      </w:r>
    </w:p>
    <w:p>
      <w:pPr>
        <w:pStyle w:val="TextBody"/>
        <w:rPr>
          <w:rFonts w:ascii="times" w:hAnsi="times"/>
          <w:b/>
          <w:i/>
          <w:sz w:val="20"/>
        </w:rPr>
      </w:pPr>
      <w:r>
        <w:rPr>
          <w:rFonts w:ascii="times" w:hAnsi="times"/>
          <w:b/>
          <w:i/>
          <w:sz w:val="20"/>
        </w:rPr>
        <w:t xml:space="preserve">If the IRS contests the federal income tax positions we take, the market for our common units may be adversely impacted and the cost of any IRS contest will reduce our cash available for distribution or debt service. </w:t>
      </w:r>
    </w:p>
    <w:p>
      <w:pPr>
        <w:pStyle w:val="TextBody"/>
        <w:rPr/>
      </w:pPr>
      <w:r>
        <w:rPr/>
        <w:t>        </w:t>
      </w:r>
      <w:r>
        <w:rPr>
          <w:rFonts w:ascii="times" w:hAnsi="times"/>
          <w:sz w:val="20"/>
        </w:rPr>
        <w:t xml:space="preserve">The IRS has made no determination as to our status as a partnership for federal income tax purposes or as to any other matter affecting us. The IRS may adopt positions that differ from the positions we take. It may be necessary to resort to administrative or court proceedings to sustain some or all of the positions we take. A court may not agree with some or all positions we take. Any contest with the IRS may materially and adversely impact the market for our common units and the price at which they trade. In addition, our costs of any contest with the IRS will be borne indirectly by our unitholders and our general partner because the costs will reduce our cash available for distribution or debt service. </w:t>
      </w:r>
    </w:p>
    <w:p>
      <w:pPr>
        <w:pStyle w:val="TextBody"/>
        <w:rPr>
          <w:rFonts w:ascii="times" w:hAnsi="times"/>
          <w:b/>
          <w:i/>
          <w:sz w:val="20"/>
        </w:rPr>
      </w:pPr>
      <w:r>
        <w:rPr>
          <w:rFonts w:ascii="times" w:hAnsi="times"/>
          <w:b/>
          <w:i/>
          <w:sz w:val="20"/>
        </w:rPr>
        <w:t xml:space="preserve">Our unitholders may be required to pay taxes on their share of our income even if they do not receive any cash distributions from us. </w:t>
      </w:r>
    </w:p>
    <w:p>
      <w:pPr>
        <w:pStyle w:val="TextBody"/>
        <w:rPr/>
      </w:pPr>
      <w:r>
        <w:rPr/>
        <w:t>        </w:t>
      </w:r>
      <w:r>
        <w:rPr>
          <w:rFonts w:ascii="times" w:hAnsi="times"/>
          <w:sz w:val="20"/>
        </w:rPr>
        <w:t xml:space="preserve">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 </w:t>
      </w:r>
    </w:p>
    <w:p>
      <w:pPr>
        <w:pStyle w:val="TextBody"/>
        <w:jc w:val="center"/>
        <w:rPr>
          <w:rFonts w:ascii="times" w:hAnsi="times"/>
          <w:sz w:val="20"/>
        </w:rPr>
      </w:pPr>
      <w:r>
        <w:rPr>
          <w:rFonts w:ascii="times" w:hAnsi="times"/>
          <w:sz w:val="20"/>
        </w:rPr>
        <w:t>61</w:t>
      </w:r>
    </w:p>
    <w:p>
      <w:pPr>
        <w:pStyle w:val="HorizontalLine"/>
        <w:pBdr>
          <w:bottom w:val="single" w:sz="20" w:space="0" w:color="808080"/>
        </w:pBdr>
        <w:rPr/>
      </w:pPr>
      <w:r>
        <w:rPr/>
      </w:r>
      <w:r>
        <w:br w:type="page"/>
      </w:r>
    </w:p>
    <w:p>
      <w:pPr>
        <w:pStyle w:val="TextBody"/>
        <w:rPr/>
      </w:pPr>
      <w:hyperlink w:anchor="bg12101a_main_toc">
        <w:bookmarkStart w:id="76" w:name="page_ds12101_1_62"/>
        <w:bookmarkEnd w:id="76"/>
        <w:r>
          <w:rPr>
            <w:rStyle w:val="InternetLink"/>
            <w:rFonts w:ascii="times" w:hAnsi="times"/>
            <w:sz w:val="20"/>
          </w:rPr>
          <w:t>Table of Contents</w:t>
        </w:r>
      </w:hyperlink>
    </w:p>
    <w:p>
      <w:pPr>
        <w:pStyle w:val="TextBody"/>
        <w:rPr/>
      </w:pPr>
      <w:r>
        <w:rPr/>
      </w:r>
    </w:p>
    <w:p>
      <w:pPr>
        <w:pStyle w:val="TextBody"/>
        <w:rPr>
          <w:rFonts w:ascii="times" w:hAnsi="times"/>
          <w:b/>
          <w:i/>
          <w:sz w:val="20"/>
        </w:rPr>
      </w:pPr>
      <w:r>
        <w:rPr>
          <w:rFonts w:ascii="times" w:hAnsi="times"/>
          <w:b/>
          <w:i/>
          <w:sz w:val="20"/>
        </w:rPr>
        <w:t xml:space="preserve">Tax gain or loss on the disposition of our common units could be more or less than expected. </w:t>
      </w:r>
    </w:p>
    <w:p>
      <w:pPr>
        <w:pStyle w:val="TextBody"/>
        <w:rPr/>
      </w:pPr>
      <w:r>
        <w:rPr/>
        <w:t>        </w:t>
      </w:r>
      <w:r>
        <w:rPr>
          <w:rFonts w:ascii="times" w:hAnsi="times"/>
          <w:sz w:val="20"/>
        </w:rPr>
        <w:t xml:space="preserve">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a unitholder sells units, the unitholder may incur a tax liability in excess of the amount of cash received from the sale. </w:t>
      </w:r>
    </w:p>
    <w:p>
      <w:pPr>
        <w:pStyle w:val="TextBody"/>
        <w:rPr>
          <w:rFonts w:ascii="times" w:hAnsi="times"/>
          <w:b/>
          <w:i/>
          <w:sz w:val="20"/>
        </w:rPr>
      </w:pPr>
      <w:r>
        <w:rPr>
          <w:rFonts w:ascii="times" w:hAnsi="times"/>
          <w:b/>
          <w:i/>
          <w:sz w:val="20"/>
        </w:rPr>
        <w:t xml:space="preserve">Tax-exempt entities and non-U.S. persons face unique tax issues from owning our common units that may result in adverse tax consequences to them. </w:t>
      </w:r>
    </w:p>
    <w:p>
      <w:pPr>
        <w:pStyle w:val="TextBody"/>
        <w:rPr/>
      </w:pPr>
      <w:r>
        <w:rPr/>
        <w:t>        </w:t>
      </w:r>
      <w:r>
        <w:rPr>
          <w:rFonts w:ascii="times" w:hAnsi="times"/>
          <w:sz w:val="20"/>
        </w:rPr>
        <w:t xml:space="preserve">Investment in common units by tax-exempt entities, such as employee benefit plans and individual retirement accounts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Tax-exempt entities and non-U.S. persons should consult their tax advisor before investing in our common units. </w:t>
      </w:r>
    </w:p>
    <w:p>
      <w:pPr>
        <w:pStyle w:val="TextBody"/>
        <w:rPr>
          <w:rFonts w:ascii="times" w:hAnsi="times"/>
          <w:b/>
          <w:i/>
          <w:sz w:val="20"/>
        </w:rPr>
      </w:pPr>
      <w:r>
        <w:rPr>
          <w:rFonts w:ascii="times" w:hAnsi="times"/>
          <w:b/>
          <w:i/>
          <w:sz w:val="20"/>
        </w:rPr>
        <w:t xml:space="preserve">We treat each purchaser of our common units as having the same tax benefits without regard to the actual units purchased. The IRS may challenge this treatment, which could adversely affect the value of our common units. </w:t>
      </w:r>
    </w:p>
    <w:p>
      <w:pPr>
        <w:pStyle w:val="TextBody"/>
        <w:rPr/>
      </w:pPr>
      <w:r>
        <w:rPr/>
        <w:t>        </w:t>
      </w:r>
      <w:r>
        <w:rPr>
          <w:rFonts w:ascii="times" w:hAnsi="times"/>
          <w:sz w:val="20"/>
        </w:rPr>
        <w:t xml:space="preserve">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 </w:t>
      </w:r>
    </w:p>
    <w:p>
      <w:pPr>
        <w:pStyle w:val="TextBody"/>
        <w:rPr>
          <w:rFonts w:ascii="times" w:hAnsi="times"/>
          <w:b/>
          <w:i/>
          <w:sz w:val="20"/>
        </w:rPr>
      </w:pPr>
      <w:r>
        <w:rPr>
          <w:rFonts w:ascii="times" w:hAnsi="times"/>
          <w:b/>
          <w:i/>
          <w:sz w:val="20"/>
        </w:rPr>
        <w:t xml:space="preserve">Our unitholders will likely be subject to state, local and foreign taxes and return filing requirements in states and jurisdictions where they do not live as a result of investing in our units. </w:t>
      </w:r>
    </w:p>
    <w:p>
      <w:pPr>
        <w:pStyle w:val="TextBody"/>
        <w:rPr/>
      </w:pPr>
      <w:r>
        <w:rPr/>
        <w:t>        </w:t>
      </w:r>
      <w:r>
        <w:rPr>
          <w:rFonts w:ascii="times" w:hAnsi="times"/>
          <w:sz w:val="20"/>
        </w:rPr>
        <w:t xml:space="preserve">In addition to federal income taxes, our unitholders will likely be subject to other taxes, including state, local and foreign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and Canada, most of which impose a personal income tax on individuals and an income tax on corporations and other entities. It is our unitholders' responsibility to file all U.S. federal, state, local and foreign tax returns. </w:t>
      </w:r>
    </w:p>
    <w:p>
      <w:pPr>
        <w:pStyle w:val="TextBody"/>
        <w:jc w:val="center"/>
        <w:rPr>
          <w:rFonts w:ascii="times" w:hAnsi="times"/>
          <w:sz w:val="20"/>
        </w:rPr>
      </w:pPr>
      <w:r>
        <w:rPr>
          <w:rFonts w:ascii="times" w:hAnsi="times"/>
          <w:sz w:val="20"/>
        </w:rPr>
        <w:t>62</w:t>
      </w:r>
    </w:p>
    <w:p>
      <w:pPr>
        <w:pStyle w:val="HorizontalLine"/>
        <w:pBdr>
          <w:bottom w:val="single" w:sz="20" w:space="0" w:color="808080"/>
        </w:pBdr>
        <w:rPr/>
      </w:pPr>
      <w:r>
        <w:rPr/>
      </w:r>
      <w:r>
        <w:br w:type="page"/>
      </w:r>
    </w:p>
    <w:p>
      <w:pPr>
        <w:pStyle w:val="TextBody"/>
        <w:rPr/>
      </w:pPr>
      <w:hyperlink w:anchor="bg12101a_main_toc">
        <w:bookmarkStart w:id="77" w:name="page_ds12101_1_63"/>
        <w:bookmarkEnd w:id="77"/>
        <w:r>
          <w:rPr>
            <w:rStyle w:val="InternetLink"/>
            <w:rFonts w:ascii="times" w:hAnsi="times"/>
            <w:sz w:val="20"/>
          </w:rPr>
          <w:t>Table of Contents</w:t>
        </w:r>
      </w:hyperlink>
    </w:p>
    <w:p>
      <w:pPr>
        <w:pStyle w:val="TextBody"/>
        <w:rPr/>
      </w:pPr>
      <w:r>
        <w:rPr/>
      </w:r>
    </w:p>
    <w:p>
      <w:pPr>
        <w:pStyle w:val="TextBody"/>
        <w:rPr>
          <w:rFonts w:ascii="times" w:hAnsi="times"/>
          <w:b/>
          <w:i/>
          <w:sz w:val="20"/>
        </w:rPr>
      </w:pPr>
      <w:r>
        <w:rPr>
          <w:rFonts w:ascii="times" w:hAnsi="times"/>
          <w:b/>
          <w:i/>
          <w:sz w:val="20"/>
        </w:rPr>
        <w:t xml:space="preserve">We have adopted certain valuation methodologies that may result in a shift of income, gain, loss and deduction between our general partner and our unitholders. The IRS may challenge this treatment, which could adversely affect the value of our common units. </w:t>
      </w:r>
    </w:p>
    <w:p>
      <w:pPr>
        <w:pStyle w:val="TextBody"/>
        <w:rPr/>
      </w:pPr>
      <w:r>
        <w:rPr/>
        <w:t>        </w:t>
      </w:r>
      <w:r>
        <w:rPr>
          <w:rFonts w:ascii="times" w:hAnsi="times"/>
          <w:sz w:val="20"/>
        </w:rPr>
        <w:t xml:space="preserve">When we issue additional units or engage in certain other transactions, we determine the fair market value of our assets and allocate any unrealized gain or loss attributable to our assets to the capital accounts of our unitholders and our general partner. Our methodology may be viewed as understating the value of our assets. In that case, there may be a shift of income, gain, loss and deduction between certain unitholders and the general partner, which may be unfavorable to such unitholders. Moreover, under our current valuation methods, subsequent purchasers of common units may have a greater portion of their Internal Revenue Code Section 743(b) adjustment allocated to our tangible assets and a lesser portion allocated to our intangible assets. The IRS may challenge our valuation methods, or our allocation of the Section 743(b) adjustment attributable to our tangible and intangible assets, and allocations of income, gain, loss and deduction between the general partner and certain of our unitholders. </w:t>
      </w:r>
    </w:p>
    <w:p>
      <w:pPr>
        <w:pStyle w:val="TextBody"/>
        <w:rPr/>
      </w:pPr>
      <w:r>
        <w:rPr/>
        <w:t>        </w:t>
      </w:r>
      <w:r>
        <w:rPr>
          <w:rFonts w:ascii="times" w:hAnsi="times"/>
          <w:sz w:val="20"/>
        </w:rPr>
        <w:t xml:space="preserve">A successful IRS challenge to these methods or allocations could adversely affect the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 </w:t>
      </w:r>
    </w:p>
    <w:p>
      <w:pPr>
        <w:pStyle w:val="TextBody"/>
        <w:rPr>
          <w:rFonts w:ascii="times" w:hAnsi="times"/>
          <w:b/>
          <w:i/>
          <w:sz w:val="20"/>
        </w:rPr>
      </w:pPr>
      <w:r>
        <w:rPr>
          <w:rFonts w:ascii="times" w:hAnsi="times"/>
          <w:b/>
          <w:i/>
          <w:sz w:val="20"/>
        </w:rPr>
        <w:t xml:space="preserve">A unitholder whose common units are loaned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 </w:t>
      </w:r>
    </w:p>
    <w:p>
      <w:pPr>
        <w:pStyle w:val="TextBody"/>
        <w:rPr/>
      </w:pPr>
      <w:r>
        <w:rPr/>
        <w:t>        </w:t>
      </w:r>
      <w:r>
        <w:rPr>
          <w:rFonts w:ascii="times" w:hAnsi="times"/>
          <w:sz w:val="20"/>
        </w:rPr>
        <w:t xml:space="preserve">Because there is no tax concept of loaning a partnership interest, a unitholder whose common units are loaned to a "short seller" to cover a short sale of common units may be considered as having disposed of the loaned units, he may no longer be treated for tax purposes as a partner with respect to those common units during the period of the loan to the short seller and the unitholder may recognize gain or loss from such disposition. Moreover, during the period of the loan to the short seller,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loan to a short seller should modify any applicable brokerage account agreements to prohibit their brokers from borrowing their common units. </w:t>
      </w:r>
    </w:p>
    <w:p>
      <w:pPr>
        <w:pStyle w:val="TextBody"/>
        <w:rPr>
          <w:rFonts w:ascii="times" w:hAnsi="times"/>
          <w:b/>
          <w:i/>
          <w:sz w:val="20"/>
        </w:rPr>
      </w:pPr>
      <w:r>
        <w:rPr>
          <w:rFonts w:ascii="times" w:hAnsi="times"/>
          <w:b/>
          <w:i/>
          <w:sz w:val="20"/>
        </w:rPr>
        <w:t xml:space="preserve">The tax treatment of (i) publicly traded partnerships or (ii) an investment in our units could be subject to potential legislative, judicial or administrative changes and differing interpretations, possibly on a retroactive basis. </w:t>
      </w:r>
    </w:p>
    <w:p>
      <w:pPr>
        <w:pStyle w:val="TextBody"/>
        <w:rPr/>
      </w:pPr>
      <w:r>
        <w:rPr/>
        <w:t>        </w:t>
      </w:r>
      <w:r>
        <w:rPr>
          <w:rFonts w:ascii="times" w:hAnsi="times"/>
          <w:sz w:val="20"/>
        </w:rPr>
        <w:t xml:space="preserve">The present U.S. federal income tax treatment of (i) publicly traded partnerships, including us, or (ii) an investment in our common units may be modified by administrative, legislative or judicial interpretation at any time. For example, members of Congress have recently considered substantive changes to the existing federal income tax laws that affect publicly traded partnerships. Any modification to the U.S. federal income tax laws and interpretations thereof may or may not be applied retroactively and could make it more difficult or impossible to meet the exception for certain publicly traded partnerships to be treated as partnerships for U.S. federal income tax purposes. Although the considered legislation would not have appeared to have affected our treatment as a partnership, we are unable to predict whether any of these changes, or other proposals will be reintroduced or will ultimately be enacted. Any such changes could negatively impact the value of an investment in our common units. </w:t>
      </w:r>
    </w:p>
    <w:p>
      <w:pPr>
        <w:pStyle w:val="TextBody"/>
        <w:jc w:val="center"/>
        <w:rPr>
          <w:rFonts w:ascii="times" w:hAnsi="times"/>
          <w:sz w:val="20"/>
        </w:rPr>
      </w:pPr>
      <w:r>
        <w:rPr>
          <w:rFonts w:ascii="times" w:hAnsi="times"/>
          <w:sz w:val="20"/>
        </w:rPr>
        <w:t>63</w:t>
      </w:r>
    </w:p>
    <w:p>
      <w:pPr>
        <w:pStyle w:val="HorizontalLine"/>
        <w:pBdr>
          <w:bottom w:val="single" w:sz="20" w:space="0" w:color="808080"/>
        </w:pBdr>
        <w:rPr/>
      </w:pPr>
      <w:r>
        <w:rPr/>
      </w:r>
      <w:r>
        <w:br w:type="page"/>
      </w:r>
    </w:p>
    <w:p>
      <w:pPr>
        <w:pStyle w:val="TextBody"/>
        <w:rPr/>
      </w:pPr>
      <w:hyperlink w:anchor="bg12101a_main_toc">
        <w:bookmarkStart w:id="78" w:name="page_ds12101_1_64"/>
        <w:bookmarkEnd w:id="78"/>
        <w:r>
          <w:rPr>
            <w:rStyle w:val="InternetLink"/>
            <w:rFonts w:ascii="times" w:hAnsi="times"/>
            <w:sz w:val="20"/>
          </w:rPr>
          <w:t>Table of Contents</w:t>
        </w:r>
      </w:hyperlink>
    </w:p>
    <w:p>
      <w:pPr>
        <w:pStyle w:val="TextBody"/>
        <w:rPr/>
      </w:pPr>
      <w:r>
        <w:rPr/>
      </w:r>
    </w:p>
    <w:p>
      <w:pPr>
        <w:pStyle w:val="TextBody"/>
        <w:rPr>
          <w:rFonts w:ascii="times" w:hAnsi="times"/>
          <w:b/>
          <w:i/>
          <w:sz w:val="20"/>
        </w:rPr>
      </w:pPr>
      <w:r>
        <w:rPr>
          <w:rFonts w:ascii="times" w:hAnsi="times"/>
          <w:b/>
          <w:i/>
          <w:sz w:val="20"/>
        </w:rPr>
        <w:t xml:space="preserve">We will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 </w:t>
      </w:r>
    </w:p>
    <w:p>
      <w:pPr>
        <w:pStyle w:val="TextBody"/>
        <w:rPr/>
      </w:pPr>
      <w:r>
        <w:rPr/>
        <w:t>        </w:t>
      </w:r>
      <w:r>
        <w:rPr>
          <w:rFonts w:ascii="times" w:hAnsi="times"/>
          <w:sz w:val="20"/>
        </w:rPr>
        <w:t xml:space="preserve">Our method of proration of items of income, gain, loss and deduction between transferors and transferees may not be permitted under existing Treasury Regulations, and, accordingly, our counsel is unable to opine as to the validity of this method. If the IRS were to challenge this method or new Treasury regulations were issued, we may be required to change the allocation of items of income, gain, loss and deduction among our unitholders. </w:t>
      </w:r>
    </w:p>
    <w:p>
      <w:pPr>
        <w:pStyle w:val="TextBody"/>
        <w:rPr>
          <w:rFonts w:ascii="times" w:hAnsi="times"/>
        </w:rPr>
      </w:pPr>
      <w:bookmarkStart w:id="79" w:name="toc_ds12101_1"/>
      <w:bookmarkStart w:id="80" w:name="ds12101_item_1b._unresolved_staff_commen"/>
      <w:bookmarkEnd w:id="79"/>
      <w:bookmarkEnd w:id="80"/>
      <w:r>
        <w:rPr>
          <w:rFonts w:ascii="times" w:hAnsi="times"/>
          <w:b/>
          <w:sz w:val="20"/>
        </w:rPr>
        <w:t>Item 1B.</w:t>
      </w:r>
      <w:r>
        <w:rPr>
          <w:rFonts w:ascii="times" w:hAnsi="times"/>
        </w:rPr>
        <w:t>    </w:t>
      </w:r>
      <w:r>
        <w:rPr>
          <w:rFonts w:ascii="times" w:hAnsi="times"/>
          <w:b/>
          <w:i/>
          <w:sz w:val="20"/>
        </w:rPr>
        <w:t xml:space="preserve">Unresolved Staff Comments </w:t>
      </w:r>
    </w:p>
    <w:p>
      <w:pPr>
        <w:pStyle w:val="TextBody"/>
        <w:rPr/>
      </w:pPr>
      <w:r>
        <w:rPr/>
        <w:t>        </w:t>
      </w:r>
      <w:r>
        <w:rPr>
          <w:rFonts w:ascii="times" w:hAnsi="times"/>
          <w:sz w:val="20"/>
        </w:rPr>
        <w:t xml:space="preserve">None. </w:t>
      </w:r>
    </w:p>
    <w:p>
      <w:pPr>
        <w:pStyle w:val="TextBody"/>
        <w:rPr>
          <w:rFonts w:ascii="times" w:hAnsi="times"/>
        </w:rPr>
      </w:pPr>
      <w:bookmarkStart w:id="81" w:name="toc_ds12101_2"/>
      <w:bookmarkStart w:id="82" w:name="ds12101_item_3._legal_proceedings"/>
      <w:bookmarkEnd w:id="81"/>
      <w:bookmarkEnd w:id="82"/>
      <w:r>
        <w:rPr>
          <w:rFonts w:ascii="times" w:hAnsi="times"/>
          <w:b/>
          <w:sz w:val="20"/>
        </w:rPr>
        <w:t>Item 3.    </w:t>
      </w:r>
      <w:r>
        <w:rPr>
          <w:rFonts w:ascii="times" w:hAnsi="times"/>
          <w:b/>
          <w:i/>
          <w:sz w:val="20"/>
        </w:rPr>
        <w:t xml:space="preserve">Legal Proceedings </w:t>
      </w:r>
    </w:p>
    <w:p>
      <w:pPr>
        <w:pStyle w:val="TextBody"/>
        <w:rPr/>
      </w:pPr>
      <w:r>
        <w:rPr/>
        <w:t>        </w:t>
      </w:r>
      <w:r>
        <w:rPr>
          <w:rFonts w:ascii="times" w:hAnsi="times"/>
          <w:i/>
          <w:sz w:val="20"/>
        </w:rPr>
        <w:t>Pipeline Releases.</w:t>
      </w:r>
      <w:r>
        <w:rPr>
          <w:rFonts w:ascii="times" w:hAnsi="times"/>
        </w:rPr>
        <w:t>    </w:t>
      </w:r>
      <w:r>
        <w:rPr>
          <w:rFonts w:ascii="times" w:hAnsi="times"/>
          <w:sz w:val="20"/>
        </w:rPr>
        <w:t xml:space="preserve">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$4 million to $5 million. In cooperation with the appropriate state and federal environmental authorities, we have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civil penalty enforcement action under the Federal Clean Water Act. We have cooperated in the investigation and are currently involved in settlement discussions with the DOJ and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We understand that the maximum permissible penalty, if any, that the EPA could assess with respect to the subject releases under relevant statutes would be approximately $6.8 million. Such statutes contemplate the potential for substantial reduction in penalties based on mitigating circumstances and factors. We believe that several of such circumstances and factors exist, and thus have been a primary focus in our discussions with the DOJ and EPA with respect to these matters. </w:t>
      </w:r>
    </w:p>
    <w:p>
      <w:pPr>
        <w:pStyle w:val="TextBody"/>
        <w:rPr/>
      </w:pPr>
      <w:r>
        <w:rPr/>
        <w:t>        </w:t>
      </w:r>
      <w:r>
        <w:rPr>
          <w:rFonts w:ascii="times" w:hAnsi="times"/>
          <w:i/>
          <w:sz w:val="20"/>
        </w:rPr>
        <w:t>SemCrude Bankruptcy.</w:t>
      </w:r>
      <w:r>
        <w:rPr>
          <w:rFonts w:ascii="times" w:hAnsi="times"/>
        </w:rPr>
        <w:t>    </w:t>
      </w:r>
      <w:r>
        <w:rPr>
          <w:rFonts w:ascii="times" w:hAnsi="times"/>
          <w:sz w:val="20"/>
        </w:rPr>
        <w:t xml:space="preserve">We will from time to time have claims relating to insolvent suppliers, customers or counterparties, such as the bankruptcy proceedings of SemCrude. As a result of our statutory protections and contractual rights of setoff, substantially all of our pre-petition claims against SemCrude should be satisfied. Certain creditors of SemCrude and its affiliates have challenged our contractual and statutory rights to setoff certain of our payables to the debtor against our receivables from the debtor. The aggregate amount subject to challenge is approximately $62 million. We intend to vigorously defend our contractual and statutory rights. </w:t>
      </w:r>
    </w:p>
    <w:p>
      <w:pPr>
        <w:pStyle w:val="TextBody"/>
        <w:jc w:val="center"/>
        <w:rPr>
          <w:rFonts w:ascii="times" w:hAnsi="times"/>
          <w:sz w:val="20"/>
        </w:rPr>
      </w:pPr>
      <w:r>
        <w:rPr>
          <w:rFonts w:ascii="times" w:hAnsi="times"/>
          <w:sz w:val="20"/>
        </w:rPr>
        <w:t>64</w:t>
      </w:r>
    </w:p>
    <w:p>
      <w:pPr>
        <w:pStyle w:val="HorizontalLine"/>
        <w:pBdr>
          <w:bottom w:val="single" w:sz="20" w:space="0" w:color="808080"/>
        </w:pBdr>
        <w:rPr/>
      </w:pPr>
      <w:r>
        <w:rPr/>
      </w:r>
      <w:r>
        <w:br w:type="page"/>
      </w:r>
    </w:p>
    <w:p>
      <w:pPr>
        <w:pStyle w:val="TextBody"/>
        <w:rPr/>
      </w:pPr>
      <w:hyperlink w:anchor="bg12101a_main_toc">
        <w:bookmarkStart w:id="83" w:name="page_ds12101_1_65"/>
        <w:bookmarkEnd w:id="83"/>
        <w:r>
          <w:rPr>
            <w:rStyle w:val="InternetLink"/>
            <w:rFonts w:ascii="times" w:hAnsi="times"/>
            <w:sz w:val="20"/>
          </w:rPr>
          <w:t>Table of Contents</w:t>
        </w:r>
      </w:hyperlink>
    </w:p>
    <w:p>
      <w:pPr>
        <w:pStyle w:val="TextBody"/>
        <w:rPr/>
      </w:pPr>
      <w:r>
        <w:rPr/>
        <w:t>        </w:t>
      </w:r>
      <w:r>
        <w:rPr>
          <w:rFonts w:ascii="times" w:hAnsi="times"/>
          <w:sz w:val="20"/>
        </w:rPr>
        <w:t xml:space="preserve">On November 15, 2006, we completed the Pacific merger. The following is a summary of the more significant matters that relate to Pacific, its assets or operations. </w:t>
      </w:r>
    </w:p>
    <w:p>
      <w:pPr>
        <w:pStyle w:val="TextBody"/>
        <w:rPr/>
      </w:pPr>
      <w:r>
        <w:rPr/>
        <w:t>        </w:t>
      </w:r>
      <w:r>
        <w:rPr>
          <w:rFonts w:ascii="times" w:hAnsi="times"/>
          <w:i/>
          <w:sz w:val="20"/>
        </w:rPr>
        <w:t>The People of the State of California v. Pacific Pipeline System, LLC ("PPS").</w:t>
      </w:r>
      <w:r>
        <w:rPr>
          <w:rFonts w:ascii="times" w:hAnsi="times"/>
        </w:rPr>
        <w:t>    </w:t>
      </w:r>
      <w:r>
        <w:rPr>
          <w:rFonts w:ascii="times" w:hAnsi="times"/>
          <w:sz w:val="20"/>
        </w:rPr>
        <w:t xml:space="preserve">In March 2005, a release of approximately 3,400 barrels of crude oil occurred on Line 63, subsequently acquired by us in the Pacific merger. The release occurred when the pipeline was severed as a result of a landslide caused by heavy rainfall in the Pyramid Lake area of Los Angeles County. Total projected emergency response, remediation and restoration costs are approximately $26 million, substantially all of which have been incurred and recovered under a pre-existing PPS pollution liability insurance policy. </w:t>
      </w:r>
    </w:p>
    <w:p>
      <w:pPr>
        <w:pStyle w:val="TextBody"/>
        <w:rPr/>
      </w:pPr>
      <w:r>
        <w:rPr/>
        <w:t>        </w:t>
      </w:r>
      <w:r>
        <w:rPr>
          <w:rFonts w:ascii="times" w:hAnsi="times"/>
          <w:sz w:val="20"/>
        </w:rPr>
        <w:t xml:space="preserve">In connection with this release, in March 2006, PPS, a subsidiary acquired in the Pacific merger, was served with a four-count misdemeanor criminal action in the Los Angeles Superior Court Case No. 6NW01020, which alleged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On October 15, 2008 this criminal action (all four counts) was dismissed with prejudice and PPS was not subjected to any fine or penalty. </w:t>
      </w:r>
    </w:p>
    <w:p>
      <w:pPr>
        <w:pStyle w:val="TextBody"/>
        <w:rPr/>
      </w:pPr>
      <w:r>
        <w:rPr/>
        <w:t>        </w:t>
      </w:r>
      <w:r>
        <w:rPr>
          <w:rFonts w:ascii="times" w:hAnsi="times"/>
          <w:sz w:val="20"/>
        </w:rPr>
        <w:t xml:space="preserve">In September 2008, PPS was served by the State of California with a civil complaint in connection with this release, in the Los Angeles Superior Court Case No. BC398627, alleging violations of the California Fish and Game Code for the unlawful deposit of oil or substances harmful to wildlife into the environment, violations of two sections of the California Water Code for the unlawful discharge of waste into state waters without a permit, and violations of the Public Nuisance Code alleging that discharge of petroleum into waters of the state had created a public nuisance. This case was settled in October 2008. Pursuant to the terms of the settlement agreement, PPS paid no fine or penalty, but made civil settlement payments to various agencies of the State of California in the total amount of approximately $1.1 million. </w:t>
      </w:r>
    </w:p>
    <w:p>
      <w:pPr>
        <w:pStyle w:val="TextBody"/>
        <w:rPr/>
      </w:pPr>
      <w:r>
        <w:rPr/>
        <w:t>        </w:t>
      </w:r>
      <w:r>
        <w:rPr>
          <w:rFonts w:ascii="times" w:hAnsi="times"/>
          <w:i/>
          <w:sz w:val="20"/>
        </w:rPr>
        <w:t>United States of America v. Pacific Pipeline System, LLC.</w:t>
      </w:r>
      <w:r>
        <w:rPr>
          <w:rFonts w:ascii="times" w:hAnsi="times"/>
        </w:rPr>
        <w:t>    </w:t>
      </w:r>
      <w:r>
        <w:rPr>
          <w:rFonts w:ascii="times" w:hAnsi="times"/>
          <w:sz w:val="20"/>
        </w:rPr>
        <w:t xml:space="preserve">In September 2008, the EPA filed a civil complaint against PPS in connection with the Pyramid Lake release. The complaint, which was filed in the Federal District Court for the Central District of California, Civil Action No. CV08-5768DSF(SSX), seeks the maximum permissible penalty under the relevant statutes of approximately $3.7 million. The EPA and DOJ have discretion to reduce the fine, if any, after considering other mitigating factors. Because of the uncertainty associated with these factors, the final amount of the fine that will be assessed for the alleged offenses cannot be ascertained. We may also be subjected to injunctive remedies that would impose additional requirements, costs and constraints on our operations. We will defend against these charges. We believe that several defenses and mitigating circumstances and factors exist that could substantially reduce any penalty or fine that might be imposed by the EPA and DOJ, and intend to pursue discussions with the EPA and DOJ regarding such defenses and mitigating circumstances and factors. Although we have established an estimated loss contingency for this matter, we are presently unable to determine whether the March 2005 spill incident may result in a loss in excess of our accrual for this matter. Discussions with the DOJ on behalf of the EPA to resolve this matter have commenced. </w:t>
      </w:r>
    </w:p>
    <w:p>
      <w:pPr>
        <w:pStyle w:val="TextBody"/>
        <w:rPr/>
      </w:pPr>
      <w:r>
        <w:rPr/>
        <w:t>        </w:t>
      </w:r>
      <w:r>
        <w:rPr>
          <w:rFonts w:ascii="times" w:hAnsi="times"/>
          <w:i/>
          <w:sz w:val="20"/>
        </w:rPr>
        <w:t>Exxon v. GATX.</w:t>
      </w:r>
      <w:r>
        <w:rPr>
          <w:rFonts w:ascii="times" w:hAnsi="times"/>
        </w:rPr>
        <w:t>    </w:t>
      </w:r>
      <w:r>
        <w:rPr>
          <w:rFonts w:ascii="times" w:hAnsi="times"/>
          <w:sz w:val="20"/>
        </w:rPr>
        <w:t xml:space="preserve">This Pacific legacy matter involves the allocation of responsibility for remediation of MTBE (and other petroleum product) contamination at the Pacific Atlantic Terminals LLC ("PAT") facility at Paulsboro, New Jersey. The estimated maximum potential remediation cost ranges up to $10 million. Both Exxon and GATX were prior owners of the terminal. We contend that Exxon and GATX are primarily responsible for the majority of the remediation costs. We are in dispute with Kinder Morgan (as successor in interest to GATX) regarding the indemnity by GATX in favor of Pacific in connection with Pacific's purchase of the facility. In a related matter, the New Jersey Department of Environmental Protection has brought suit against GATX and Exxon to recover natural resources damages. Exxon and GATX have filed third-party demands against PAT, seeking indemnity </w:t>
      </w:r>
    </w:p>
    <w:p>
      <w:pPr>
        <w:pStyle w:val="TextBody"/>
        <w:jc w:val="center"/>
        <w:rPr>
          <w:rFonts w:ascii="times" w:hAnsi="times"/>
          <w:sz w:val="20"/>
        </w:rPr>
      </w:pPr>
      <w:r>
        <w:rPr>
          <w:rFonts w:ascii="times" w:hAnsi="times"/>
          <w:sz w:val="20"/>
        </w:rPr>
        <w:t>65</w:t>
      </w:r>
    </w:p>
    <w:p>
      <w:pPr>
        <w:pStyle w:val="HorizontalLine"/>
        <w:pBdr>
          <w:bottom w:val="single" w:sz="20" w:space="0" w:color="808080"/>
        </w:pBdr>
        <w:rPr/>
      </w:pPr>
      <w:r>
        <w:rPr/>
      </w:r>
      <w:r>
        <w:br w:type="page"/>
      </w:r>
    </w:p>
    <w:p>
      <w:pPr>
        <w:pStyle w:val="TextBody"/>
        <w:rPr/>
      </w:pPr>
      <w:hyperlink w:anchor="bg12101a_main_toc">
        <w:bookmarkStart w:id="84" w:name="page_ds12101_1_66"/>
        <w:bookmarkEnd w:id="84"/>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and contribution. We are vigorously defending against any claim that PAT is directly or indirectly liable for damages or costs associated with the contamination. </w:t>
      </w:r>
    </w:p>
    <w:p>
      <w:pPr>
        <w:pStyle w:val="TextBody"/>
        <w:rPr/>
      </w:pPr>
      <w:r>
        <w:rPr/>
        <w:t>        </w:t>
      </w:r>
      <w:r>
        <w:rPr>
          <w:rFonts w:ascii="times" w:hAnsi="times"/>
          <w:i/>
          <w:sz w:val="20"/>
        </w:rPr>
        <w:t>Other Pacific-Legacy Matters.</w:t>
      </w:r>
      <w:r>
        <w:rPr>
          <w:rFonts w:ascii="times" w:hAnsi="times"/>
        </w:rPr>
        <w:t>    </w:t>
      </w:r>
      <w:r>
        <w:rPr>
          <w:rFonts w:ascii="times" w:hAnsi="times"/>
          <w:sz w:val="20"/>
        </w:rPr>
        <w:t xml:space="preserve">Pacific had completed a number of acquisitions that had not been fully integrated prior to the merger with Plains. Accordingly, we have and may become aware of other matters involving the assets and operations acquired in the Pacific merger as they relate to compliance with environmental and safety regulations, which matters may result in mitigative costs or the imposition of fines and penalties. We have, for instance, recently settled numerous air permit violations alleged by the Bay Area Air Quality Management District. </w:t>
      </w:r>
    </w:p>
    <w:p>
      <w:pPr>
        <w:pStyle w:val="TextBody"/>
        <w:rPr/>
      </w:pPr>
      <w:r>
        <w:rPr/>
        <w:t>        </w:t>
      </w:r>
      <w:r>
        <w:rPr>
          <w:rFonts w:ascii="times" w:hAnsi="times"/>
          <w:i/>
          <w:sz w:val="20"/>
        </w:rPr>
        <w:t>General.</w:t>
      </w:r>
      <w:r>
        <w:rPr>
          <w:rFonts w:ascii="times" w:hAnsi="times"/>
        </w:rPr>
        <w:t>    </w:t>
      </w:r>
      <w:r>
        <w:rPr>
          <w:rFonts w:ascii="times" w:hAnsi="times"/>
          <w:sz w:val="20"/>
        </w:rPr>
        <w:t xml:space="preserve">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w:t>
      </w:r>
    </w:p>
    <w:p>
      <w:pPr>
        <w:pStyle w:val="TextBody"/>
        <w:rPr/>
      </w:pPr>
      <w:r>
        <w:rPr/>
        <w:t>        </w:t>
      </w:r>
      <w:r>
        <w:rPr>
          <w:rFonts w:ascii="times" w:hAnsi="times"/>
          <w:i/>
          <w:sz w:val="20"/>
        </w:rPr>
        <w:t>Environmental.</w:t>
      </w:r>
      <w:r>
        <w:rPr>
          <w:rFonts w:ascii="times" w:hAnsi="times"/>
        </w:rPr>
        <w:t>    </w:t>
      </w:r>
      <w:r>
        <w:rPr>
          <w:rFonts w:ascii="times" w:hAnsi="times"/>
          <w:sz w:val="20"/>
        </w:rPr>
        <w:t xml:space="preserve">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help prevent releases, damages and liabilities incurred due to any such releases from our assets may substantially affect our business. As we expand our pipeline assets through acquisitions, we typically improve on (decrease) the rate of releases from such assets as we implement our procedures, remove selected assets from service and spend capital to upgrade the assets. See Items 1 and 2. "Business and PropertiesRegulationEnvironmental, Health and Safety RegulationPipeline Safety/Pipeline and Storage Tank Integration Management."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including a Section 308 request received in late October 2007 with respect to a 400-barrel release of crude oil, a portion of which reached a tributary of the Colorado River in a remote area of West Texas. See "Pipeline Releases" above. </w:t>
      </w:r>
    </w:p>
    <w:p>
      <w:pPr>
        <w:pStyle w:val="TextBody"/>
        <w:rPr/>
      </w:pPr>
      <w:r>
        <w:rPr/>
        <w:t>        </w:t>
      </w:r>
      <w:r>
        <w:rPr>
          <w:rFonts w:ascii="times" w:hAnsi="times"/>
          <w:sz w:val="20"/>
        </w:rPr>
        <w:t xml:space="preserve">At December 31, 2008, our reserve for environmental liabilities totaled approximately $42 million, of which approximately $8 million is classified as short-term and $34 million is classified as long-term. At December 31, 2008, we have recorded receivables totaling approximately $4 million for amounts that are probable of recovery under insurance and from third parties under indemnification agreements. </w:t>
      </w:r>
    </w:p>
    <w:p>
      <w:pPr>
        <w:pStyle w:val="TextBody"/>
        <w:rPr/>
      </w:pPr>
      <w:r>
        <w:rPr/>
        <w:t>        </w:t>
      </w:r>
      <w:r>
        <w:rPr>
          <w:rFonts w:ascii="times" w:hAnsi="times"/>
          <w:sz w:val="20"/>
        </w:rPr>
        <w:t xml:space="preserve">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in excess of this reserve may be higher and may potentially have a material adverse effect on our financial condition, results of operations, or cash flows. </w:t>
      </w:r>
    </w:p>
    <w:p>
      <w:pPr>
        <w:pStyle w:val="TextBody"/>
        <w:jc w:val="center"/>
        <w:rPr>
          <w:rFonts w:ascii="times" w:hAnsi="times"/>
          <w:sz w:val="20"/>
        </w:rPr>
      </w:pPr>
      <w:r>
        <w:rPr>
          <w:rFonts w:ascii="times" w:hAnsi="times"/>
          <w:sz w:val="20"/>
        </w:rPr>
        <w:t>66</w:t>
      </w:r>
    </w:p>
    <w:p>
      <w:pPr>
        <w:pStyle w:val="HorizontalLine"/>
        <w:pBdr>
          <w:bottom w:val="single" w:sz="20" w:space="0" w:color="808080"/>
        </w:pBdr>
        <w:rPr/>
      </w:pPr>
      <w:r>
        <w:rPr/>
      </w:r>
      <w:r>
        <w:br w:type="page"/>
      </w:r>
    </w:p>
    <w:p>
      <w:pPr>
        <w:pStyle w:val="TextBody"/>
        <w:rPr/>
      </w:pPr>
      <w:hyperlink w:anchor="bg12101a_main_toc">
        <w:bookmarkStart w:id="85" w:name="page_ds12101_1_67"/>
        <w:bookmarkEnd w:id="85"/>
        <w:r>
          <w:rPr>
            <w:rStyle w:val="InternetLink"/>
            <w:rFonts w:ascii="times" w:hAnsi="times"/>
            <w:sz w:val="20"/>
          </w:rPr>
          <w:t>Table of Contents</w:t>
        </w:r>
      </w:hyperlink>
    </w:p>
    <w:p>
      <w:pPr>
        <w:pStyle w:val="TextBody"/>
        <w:rPr/>
      </w:pPr>
      <w:r>
        <w:rPr/>
        <w:t>        </w:t>
      </w:r>
      <w:r>
        <w:rPr>
          <w:rFonts w:ascii="times" w:hAnsi="times"/>
          <w:i/>
          <w:sz w:val="20"/>
        </w:rPr>
        <w:t>Other.</w:t>
      </w:r>
      <w:r>
        <w:rPr>
          <w:rFonts w:ascii="times" w:hAnsi="times"/>
        </w:rPr>
        <w:t>    </w:t>
      </w:r>
      <w:r>
        <w:rPr>
          <w:rFonts w:ascii="times" w:hAnsi="times"/>
          <w:sz w:val="20"/>
        </w:rPr>
        <w:t xml:space="preserve">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environmental insurance markets, this trend is expected to continue as we continue to grow and expand. As a result, we anticipate that we will elect to self-insure more of our environmental activities or incorporate higher retention in our insurance arrangements. </w:t>
      </w:r>
    </w:p>
    <w:p>
      <w:pPr>
        <w:pStyle w:val="TextBody"/>
        <w:rPr/>
      </w:pPr>
      <w:r>
        <w:rPr/>
        <w:t>        </w:t>
      </w:r>
      <w:r>
        <w:rPr>
          <w:rFonts w:ascii="times" w:hAnsi="times"/>
          <w:sz w:val="20"/>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 results of operations or cash flows. </w:t>
      </w:r>
    </w:p>
    <w:p>
      <w:pPr>
        <w:pStyle w:val="TextBody"/>
        <w:rPr>
          <w:rFonts w:ascii="times" w:hAnsi="times"/>
        </w:rPr>
      </w:pPr>
      <w:bookmarkStart w:id="86" w:name="toc_ds12101_3"/>
      <w:bookmarkStart w:id="87" w:name="ds12101_item_4._submission_of___ds102384"/>
      <w:bookmarkEnd w:id="86"/>
      <w:bookmarkEnd w:id="87"/>
      <w:r>
        <w:rPr>
          <w:rFonts w:ascii="times" w:hAnsi="times"/>
          <w:b/>
          <w:sz w:val="20"/>
        </w:rPr>
        <w:t>Item 4.    </w:t>
      </w:r>
      <w:r>
        <w:rPr>
          <w:rFonts w:ascii="times" w:hAnsi="times"/>
          <w:b/>
          <w:i/>
          <w:sz w:val="20"/>
        </w:rPr>
        <w:t xml:space="preserve">Submission of Matters to a Vote of Security Holders </w:t>
      </w:r>
    </w:p>
    <w:p>
      <w:pPr>
        <w:pStyle w:val="TextBody"/>
        <w:rPr/>
      </w:pPr>
      <w:r>
        <w:rPr/>
        <w:t>        </w:t>
      </w:r>
      <w:r>
        <w:rPr>
          <w:rFonts w:ascii="times" w:hAnsi="times"/>
          <w:sz w:val="20"/>
        </w:rPr>
        <w:t xml:space="preserve">None. </w:t>
      </w:r>
    </w:p>
    <w:p>
      <w:pPr>
        <w:pStyle w:val="TextBody"/>
        <w:jc w:val="center"/>
        <w:rPr>
          <w:rFonts w:ascii="times" w:hAnsi="times"/>
          <w:sz w:val="20"/>
        </w:rPr>
      </w:pPr>
      <w:r>
        <w:rPr>
          <w:rFonts w:ascii="times" w:hAnsi="times"/>
          <w:sz w:val="20"/>
        </w:rPr>
        <w:t>67</w:t>
      </w:r>
    </w:p>
    <w:p>
      <w:pPr>
        <w:pStyle w:val="HorizontalLine"/>
        <w:pBdr>
          <w:bottom w:val="single" w:sz="20" w:space="0" w:color="808080"/>
        </w:pBdr>
        <w:rPr/>
      </w:pPr>
      <w:r>
        <w:rPr/>
      </w:r>
      <w:r>
        <w:br w:type="page"/>
      </w:r>
    </w:p>
    <w:p>
      <w:pPr>
        <w:pStyle w:val="TextBody"/>
        <w:rPr/>
      </w:pPr>
      <w:hyperlink w:anchor="bg12101a_main_toc">
        <w:bookmarkStart w:id="88" w:name="page_du12101_1_68"/>
        <w:bookmarkEnd w:id="8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89" w:name="toc_du12101_1"/>
      <w:bookmarkStart w:id="90" w:name="du12101_part_ii"/>
      <w:bookmarkEnd w:id="89"/>
      <w:bookmarkEnd w:id="90"/>
      <w:r>
        <w:rPr>
          <w:rFonts w:ascii="times" w:hAnsi="times"/>
          <w:sz w:val="20"/>
        </w:rPr>
        <w:br/>
      </w:r>
      <w:r>
        <w:rPr>
          <w:rFonts w:ascii="times" w:hAnsi="times"/>
          <w:b/>
          <w:sz w:val="20"/>
        </w:rPr>
        <w:t xml:space="preserve">PART II </w:t>
      </w:r>
    </w:p>
    <w:p>
      <w:pPr>
        <w:pStyle w:val="TextBody"/>
        <w:rPr>
          <w:rFonts w:ascii="times" w:hAnsi="times"/>
        </w:rPr>
      </w:pPr>
      <w:bookmarkStart w:id="91" w:name="toc_du12101_2"/>
      <w:bookmarkStart w:id="92" w:name="du12101_item_5._market_for_registrant___"/>
      <w:bookmarkEnd w:id="91"/>
      <w:bookmarkEnd w:id="92"/>
      <w:r>
        <w:rPr>
          <w:rFonts w:ascii="times" w:hAnsi="times"/>
          <w:b/>
          <w:sz w:val="20"/>
        </w:rPr>
        <w:t>Item 5.    </w:t>
      </w:r>
      <w:r>
        <w:rPr>
          <w:rFonts w:ascii="times" w:hAnsi="times"/>
          <w:b/>
          <w:i/>
          <w:sz w:val="20"/>
        </w:rPr>
        <w:t xml:space="preserve">Market For Registrant's Common Units, Related Unitholder Matters and Issuer Purchases of Equity Securities </w:t>
      </w:r>
    </w:p>
    <w:p>
      <w:pPr>
        <w:pStyle w:val="TextBody"/>
        <w:rPr/>
      </w:pPr>
      <w:r>
        <w:rPr/>
        <w:t>        </w:t>
      </w:r>
      <w:r>
        <w:rPr>
          <w:rFonts w:ascii="times" w:hAnsi="times"/>
          <w:sz w:val="20"/>
        </w:rPr>
        <w:t xml:space="preserve">Our common units are listed and traded on the New York Stock Exchange ("NYSE") under the symbol "PAA." On February 20, 2009, the closing market price for our common units was $37.23 per unit and there were approximately 90,000 record holders and beneficial owners (held in street name). As of February 20, 2009, there were 122,911,645 common units outstanding. </w:t>
      </w:r>
    </w:p>
    <w:p>
      <w:pPr>
        <w:pStyle w:val="TextBody"/>
        <w:rPr/>
      </w:pPr>
      <w:r>
        <w:rPr/>
        <w:t>        </w:t>
      </w:r>
      <w:r>
        <w:rPr>
          <w:rFonts w:ascii="times" w:hAnsi="times"/>
          <w:sz w:val="20"/>
        </w:rPr>
        <w:t xml:space="preserve">The following table sets forth high and low sales prices for our common units and the cash distributions declared per common unit for the periods indicated: </w:t>
      </w:r>
    </w:p>
    <w:tbl>
      <w:tblPr>
        <w:tblW w:w="6324" w:type="dxa"/>
        <w:jc w:val="center"/>
        <w:tblInd w:w="0" w:type="dxa"/>
        <w:tblCellMar>
          <w:top w:w="0" w:type="dxa"/>
          <w:left w:w="0" w:type="dxa"/>
          <w:bottom w:w="0" w:type="dxa"/>
          <w:right w:w="0" w:type="dxa"/>
        </w:tblCellMar>
      </w:tblPr>
      <w:tblGrid>
        <w:gridCol w:w="150"/>
        <w:gridCol w:w="3300"/>
        <w:gridCol w:w="180"/>
        <w:gridCol w:w="125"/>
        <w:gridCol w:w="485"/>
        <w:gridCol w:w="225"/>
        <w:gridCol w:w="125"/>
        <w:gridCol w:w="485"/>
        <w:gridCol w:w="225"/>
        <w:gridCol w:w="133"/>
        <w:gridCol w:w="831"/>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330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450" w:type="dxa"/>
            <w:gridSpan w:val="2"/>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445"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Common Unit</w:t>
              <w:br/>
              <w:t xml:space="preserve">Price Range </w:t>
            </w:r>
          </w:p>
        </w:tc>
        <w:tc>
          <w:tcPr>
            <w:tcW w:w="225" w:type="dxa"/>
            <w:tcBorders/>
            <w:shd w:fill="auto" w:val="clear"/>
            <w:vAlign w:val="bottom"/>
          </w:tcPr>
          <w:p>
            <w:pPr>
              <w:pStyle w:val="TableHeading"/>
              <w:suppressLineNumbers/>
              <w:spacing w:before="0" w:after="283"/>
              <w:jc w:val="center"/>
              <w:rPr/>
            </w:pPr>
            <w:r>
              <w:rPr/>
              <w:t> </w:t>
            </w:r>
          </w:p>
        </w:tc>
        <w:tc>
          <w:tcPr>
            <w:tcW w:w="964" w:type="dxa"/>
            <w:gridSpan w:val="2"/>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r>
      <w:tr>
        <w:trPr/>
        <w:tc>
          <w:tcPr>
            <w:tcW w:w="3450" w:type="dxa"/>
            <w:gridSpan w:val="2"/>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445" w:type="dxa"/>
            <w:gridSpan w:val="5"/>
            <w:vMerge w:val="continue"/>
            <w:tcBorders>
              <w:bottom w:val="single" w:sz="8" w:space="0" w:color="000000"/>
            </w:tcBorders>
            <w:shd w:fill="auto" w:val="clear"/>
            <w:tcMar>
              <w:bottom w:w="28" w:type="dxa"/>
            </w:tcMar>
            <w:vAlign w:val="bottom"/>
          </w:tcPr>
          <w:p>
            <w:pPr>
              <w:pStyle w:val="Normal"/>
              <w:rPr/>
            </w:pPr>
            <w:r>
              <w:rPr/>
            </w:r>
          </w:p>
        </w:tc>
        <w:tc>
          <w:tcPr>
            <w:tcW w:w="225" w:type="dxa"/>
            <w:vMerge w:val="restart"/>
            <w:tcBorders/>
            <w:shd w:fill="auto" w:val="clear"/>
            <w:vAlign w:val="bottom"/>
          </w:tcPr>
          <w:p>
            <w:pPr>
              <w:pStyle w:val="TableHeading"/>
              <w:suppressLineNumbers/>
              <w:spacing w:before="0" w:after="283"/>
              <w:jc w:val="center"/>
              <w:rPr/>
            </w:pPr>
            <w:r>
              <w:rPr/>
              <w:t> </w:t>
            </w:r>
          </w:p>
        </w:tc>
        <w:tc>
          <w:tcPr>
            <w:tcW w:w="964"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Cash</w:t>
              <w:br/>
              <w:t>Distributions</w:t>
            </w:r>
            <w:r>
              <w:rPr>
                <w:rFonts w:ascii="times" w:hAnsi="times"/>
                <w:b/>
                <w:position w:val="5"/>
                <w:sz w:val="11"/>
                <w:sz w:val="14"/>
              </w:rPr>
              <w:t>(1)</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3450"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225" w:type="dxa"/>
            <w:vMerge w:val="continue"/>
            <w:tcBorders/>
            <w:shd w:fill="auto" w:val="clear"/>
            <w:vAlign w:val="bottom"/>
          </w:tcPr>
          <w:p>
            <w:pPr>
              <w:pStyle w:val="Normal"/>
              <w:rPr/>
            </w:pPr>
            <w:r>
              <w:rPr/>
            </w:r>
          </w:p>
        </w:tc>
        <w:tc>
          <w:tcPr>
            <w:tcW w:w="964"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Heading"/>
              <w:suppressLineNumbers/>
              <w:spacing w:before="0" w:after="283"/>
              <w:jc w:val="center"/>
              <w:rPr/>
            </w:pPr>
            <w:r>
              <w:rPr/>
              <w:t> </w:t>
            </w:r>
          </w:p>
        </w:tc>
      </w:tr>
      <w:tr>
        <w:trPr/>
        <w:tc>
          <w:tcPr>
            <w:tcW w:w="3450" w:type="dxa"/>
            <w:gridSpan w:val="2"/>
            <w:tcBorders/>
            <w:shd w:fill="CCEEFF" w:val="clear"/>
          </w:tcPr>
          <w:p>
            <w:pPr>
              <w:pStyle w:val="TableContents"/>
              <w:spacing w:before="0" w:after="283"/>
              <w:ind w:left="200" w:right="0" w:hanging="200"/>
              <w:rPr>
                <w:rFonts w:ascii="times" w:hAnsi="times"/>
                <w:b/>
                <w:sz w:val="20"/>
              </w:rPr>
            </w:pPr>
            <w:r>
              <w:rPr>
                <w:rFonts w:ascii="times" w:hAnsi="times"/>
                <w:b/>
                <w:sz w:val="20"/>
              </w:rPr>
              <w:t>2008</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33" w:type="dxa"/>
            <w:tcBorders/>
            <w:shd w:fill="CCEEFF" w:val="clear"/>
          </w:tcPr>
          <w:p>
            <w:pPr>
              <w:pStyle w:val="TableContents"/>
              <w:spacing w:before="0" w:after="283"/>
              <w:rPr/>
            </w:pPr>
            <w:r>
              <w:rPr/>
              <w:t> </w:t>
            </w:r>
          </w:p>
        </w:tc>
        <w:tc>
          <w:tcPr>
            <w:tcW w:w="831"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300" w:type="dxa"/>
            <w:tcBorders/>
            <w:shd w:fill="FFFFFF" w:val="clear"/>
          </w:tcPr>
          <w:p>
            <w:pPr>
              <w:pStyle w:val="TableContents"/>
              <w:spacing w:before="0" w:after="283"/>
              <w:ind w:left="200" w:right="0" w:hanging="200"/>
              <w:rPr>
                <w:rFonts w:ascii="times" w:hAnsi="times"/>
                <w:sz w:val="20"/>
              </w:rPr>
            </w:pPr>
            <w:r>
              <w:rPr>
                <w:rFonts w:ascii="times" w:hAnsi="times"/>
                <w:sz w:val="20"/>
              </w:rPr>
              <w:t>4th Quarter</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42.39</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23.25</w:t>
            </w:r>
          </w:p>
        </w:tc>
        <w:tc>
          <w:tcPr>
            <w:tcW w:w="225" w:type="dxa"/>
            <w:tcBorders/>
            <w:shd w:fill="FFFFFF" w:val="clear"/>
          </w:tcPr>
          <w:p>
            <w:pPr>
              <w:pStyle w:val="TableContents"/>
              <w:spacing w:before="0" w:after="283"/>
              <w:rPr/>
            </w:pPr>
            <w:r>
              <w:rPr/>
              <w:t> </w:t>
            </w:r>
          </w:p>
        </w:tc>
        <w:tc>
          <w:tcPr>
            <w:tcW w:w="133" w:type="dxa"/>
            <w:tcBorders/>
            <w:shd w:fill="FFFFFF" w:val="clear"/>
          </w:tcPr>
          <w:p>
            <w:pPr>
              <w:pStyle w:val="TableContents"/>
              <w:spacing w:before="0" w:after="283"/>
              <w:jc w:val="right"/>
              <w:rPr>
                <w:rFonts w:ascii="times" w:hAnsi="times"/>
                <w:sz w:val="20"/>
              </w:rPr>
            </w:pPr>
            <w:r>
              <w:rPr>
                <w:rFonts w:ascii="times" w:hAnsi="times"/>
                <w:sz w:val="20"/>
              </w:rPr>
              <w:t>$</w:t>
            </w:r>
          </w:p>
        </w:tc>
        <w:tc>
          <w:tcPr>
            <w:tcW w:w="831" w:type="dxa"/>
            <w:tcBorders/>
            <w:shd w:fill="FFFFFF" w:val="clear"/>
          </w:tcPr>
          <w:p>
            <w:pPr>
              <w:pStyle w:val="TableContents"/>
              <w:spacing w:before="0" w:after="283"/>
              <w:jc w:val="right"/>
              <w:rPr>
                <w:rFonts w:ascii="times" w:hAnsi="times"/>
                <w:sz w:val="20"/>
              </w:rPr>
            </w:pPr>
            <w:r>
              <w:rPr>
                <w:rFonts w:ascii="times" w:hAnsi="times"/>
                <w:sz w:val="20"/>
              </w:rPr>
              <w:t>0.8925</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300" w:type="dxa"/>
            <w:tcBorders/>
            <w:shd w:fill="CCEEFF" w:val="clear"/>
          </w:tcPr>
          <w:p>
            <w:pPr>
              <w:pStyle w:val="TableContents"/>
              <w:spacing w:before="0" w:after="283"/>
              <w:ind w:left="200" w:right="0" w:hanging="200"/>
              <w:rPr>
                <w:rFonts w:ascii="times" w:hAnsi="times"/>
                <w:sz w:val="20"/>
              </w:rPr>
            </w:pPr>
            <w:r>
              <w:rPr>
                <w:rFonts w:ascii="times" w:hAnsi="times"/>
                <w:sz w:val="20"/>
              </w:rPr>
              <w:t>3rd Quarter</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48.36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35.68</w:t>
            </w:r>
          </w:p>
        </w:tc>
        <w:tc>
          <w:tcPr>
            <w:tcW w:w="225" w:type="dxa"/>
            <w:tcBorders/>
            <w:shd w:fill="CCEEFF" w:val="clear"/>
          </w:tcPr>
          <w:p>
            <w:pPr>
              <w:pStyle w:val="TableContents"/>
              <w:spacing w:before="0" w:after="283"/>
              <w:rPr/>
            </w:pPr>
            <w:r>
              <w:rPr/>
              <w:t> </w:t>
            </w:r>
          </w:p>
        </w:tc>
        <w:tc>
          <w:tcPr>
            <w:tcW w:w="133" w:type="dxa"/>
            <w:tcBorders/>
            <w:shd w:fill="CCEEFF" w:val="clear"/>
          </w:tcPr>
          <w:p>
            <w:pPr>
              <w:pStyle w:val="TableContents"/>
              <w:spacing w:before="0" w:after="283"/>
              <w:rPr/>
            </w:pPr>
            <w:r>
              <w:rPr/>
              <w:t> </w:t>
            </w:r>
          </w:p>
        </w:tc>
        <w:tc>
          <w:tcPr>
            <w:tcW w:w="831" w:type="dxa"/>
            <w:tcBorders/>
            <w:shd w:fill="CCEEFF" w:val="clear"/>
          </w:tcPr>
          <w:p>
            <w:pPr>
              <w:pStyle w:val="TableContents"/>
              <w:spacing w:before="0" w:after="283"/>
              <w:jc w:val="right"/>
              <w:rPr>
                <w:rFonts w:ascii="times" w:hAnsi="times"/>
                <w:sz w:val="20"/>
              </w:rPr>
            </w:pPr>
            <w:r>
              <w:rPr>
                <w:rFonts w:ascii="times" w:hAnsi="times"/>
                <w:sz w:val="20"/>
              </w:rPr>
              <w:t>0.8925</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300" w:type="dxa"/>
            <w:tcBorders/>
            <w:shd w:fill="FFFFFF" w:val="clear"/>
          </w:tcPr>
          <w:p>
            <w:pPr>
              <w:pStyle w:val="TableContents"/>
              <w:spacing w:before="0" w:after="283"/>
              <w:ind w:left="200" w:right="0" w:hanging="200"/>
              <w:rPr>
                <w:rFonts w:ascii="times" w:hAnsi="times"/>
                <w:sz w:val="20"/>
              </w:rPr>
            </w:pPr>
            <w:r>
              <w:rPr>
                <w:rFonts w:ascii="times" w:hAnsi="times"/>
                <w:sz w:val="20"/>
              </w:rPr>
              <w:t>2nd Quarter</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50.96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44.54</w:t>
            </w:r>
          </w:p>
        </w:tc>
        <w:tc>
          <w:tcPr>
            <w:tcW w:w="225" w:type="dxa"/>
            <w:tcBorders/>
            <w:shd w:fill="FFFFFF" w:val="clear"/>
          </w:tcPr>
          <w:p>
            <w:pPr>
              <w:pStyle w:val="TableContents"/>
              <w:spacing w:before="0" w:after="283"/>
              <w:rPr/>
            </w:pPr>
            <w:r>
              <w:rPr/>
              <w:t> </w:t>
            </w:r>
          </w:p>
        </w:tc>
        <w:tc>
          <w:tcPr>
            <w:tcW w:w="133" w:type="dxa"/>
            <w:tcBorders/>
            <w:shd w:fill="FFFFFF" w:val="clear"/>
          </w:tcPr>
          <w:p>
            <w:pPr>
              <w:pStyle w:val="TableContents"/>
              <w:spacing w:before="0" w:after="283"/>
              <w:rPr/>
            </w:pPr>
            <w:r>
              <w:rPr/>
              <w:t> </w:t>
            </w:r>
          </w:p>
        </w:tc>
        <w:tc>
          <w:tcPr>
            <w:tcW w:w="831" w:type="dxa"/>
            <w:tcBorders/>
            <w:shd w:fill="FFFFFF" w:val="clear"/>
          </w:tcPr>
          <w:p>
            <w:pPr>
              <w:pStyle w:val="TableContents"/>
              <w:spacing w:before="0" w:after="283"/>
              <w:jc w:val="right"/>
              <w:rPr>
                <w:rFonts w:ascii="times" w:hAnsi="times"/>
                <w:sz w:val="20"/>
              </w:rPr>
            </w:pPr>
            <w:r>
              <w:rPr>
                <w:rFonts w:ascii="times" w:hAnsi="times"/>
                <w:sz w:val="20"/>
              </w:rPr>
              <w:t>0.8875</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300" w:type="dxa"/>
            <w:tcBorders/>
            <w:shd w:fill="CCEEFF" w:val="clear"/>
          </w:tcPr>
          <w:p>
            <w:pPr>
              <w:pStyle w:val="TableContents"/>
              <w:spacing w:before="0" w:after="283"/>
              <w:ind w:left="200" w:right="0" w:hanging="200"/>
              <w:rPr>
                <w:rFonts w:ascii="times" w:hAnsi="times"/>
                <w:sz w:val="20"/>
              </w:rPr>
            </w:pPr>
            <w:r>
              <w:rPr>
                <w:rFonts w:ascii="times" w:hAnsi="times"/>
                <w:sz w:val="20"/>
              </w:rPr>
              <w:t>1st Quarter</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52.44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43.93</w:t>
            </w:r>
          </w:p>
        </w:tc>
        <w:tc>
          <w:tcPr>
            <w:tcW w:w="225" w:type="dxa"/>
            <w:tcBorders/>
            <w:shd w:fill="CCEEFF" w:val="clear"/>
          </w:tcPr>
          <w:p>
            <w:pPr>
              <w:pStyle w:val="TableContents"/>
              <w:spacing w:before="0" w:after="283"/>
              <w:rPr/>
            </w:pPr>
            <w:r>
              <w:rPr/>
              <w:t> </w:t>
            </w:r>
          </w:p>
        </w:tc>
        <w:tc>
          <w:tcPr>
            <w:tcW w:w="133" w:type="dxa"/>
            <w:tcBorders/>
            <w:shd w:fill="CCEEFF" w:val="clear"/>
          </w:tcPr>
          <w:p>
            <w:pPr>
              <w:pStyle w:val="TableContents"/>
              <w:spacing w:before="0" w:after="283"/>
              <w:rPr/>
            </w:pPr>
            <w:r>
              <w:rPr/>
              <w:t> </w:t>
            </w:r>
          </w:p>
        </w:tc>
        <w:tc>
          <w:tcPr>
            <w:tcW w:w="831" w:type="dxa"/>
            <w:tcBorders/>
            <w:shd w:fill="CCEEFF" w:val="clear"/>
          </w:tcPr>
          <w:p>
            <w:pPr>
              <w:pStyle w:val="TableContents"/>
              <w:spacing w:before="0" w:after="283"/>
              <w:jc w:val="right"/>
              <w:rPr>
                <w:rFonts w:ascii="times" w:hAnsi="times"/>
                <w:sz w:val="20"/>
              </w:rPr>
            </w:pPr>
            <w:r>
              <w:rPr>
                <w:rFonts w:ascii="times" w:hAnsi="times"/>
                <w:sz w:val="20"/>
              </w:rPr>
              <w:t>0.8650</w:t>
            </w:r>
          </w:p>
        </w:tc>
        <w:tc>
          <w:tcPr>
            <w:tcW w:w="60" w:type="dxa"/>
            <w:tcBorders/>
            <w:shd w:fill="CCEEFF" w:val="clear"/>
          </w:tcPr>
          <w:p>
            <w:pPr>
              <w:pStyle w:val="TableContents"/>
              <w:spacing w:before="0" w:after="283"/>
              <w:rPr/>
            </w:pPr>
            <w:r>
              <w:rPr/>
              <w:t> </w:t>
            </w:r>
          </w:p>
        </w:tc>
      </w:tr>
      <w:tr>
        <w:trPr/>
        <w:tc>
          <w:tcPr>
            <w:tcW w:w="3450" w:type="dxa"/>
            <w:gridSpan w:val="2"/>
            <w:tcBorders/>
            <w:shd w:fill="FFFFFF" w:val="clear"/>
          </w:tcPr>
          <w:p>
            <w:pPr>
              <w:pStyle w:val="TableContents"/>
              <w:spacing w:before="0" w:after="283"/>
              <w:ind w:left="200" w:right="0" w:hanging="200"/>
              <w:rPr>
                <w:rFonts w:ascii="times" w:hAnsi="times"/>
                <w:b/>
                <w:sz w:val="20"/>
              </w:rPr>
            </w:pPr>
            <w:r>
              <w:rPr>
                <w:rFonts w:ascii="times" w:hAnsi="times"/>
                <w:b/>
                <w:sz w:val="20"/>
              </w:rPr>
              <w:t>2007</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33" w:type="dxa"/>
            <w:tcBorders/>
            <w:shd w:fill="FFFFFF" w:val="clear"/>
          </w:tcPr>
          <w:p>
            <w:pPr>
              <w:pStyle w:val="TableContents"/>
              <w:spacing w:before="0" w:after="283"/>
              <w:rPr/>
            </w:pPr>
            <w:r>
              <w:rPr/>
              <w:t> </w:t>
            </w:r>
          </w:p>
        </w:tc>
        <w:tc>
          <w:tcPr>
            <w:tcW w:w="831"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300" w:type="dxa"/>
            <w:tcBorders/>
            <w:shd w:fill="CCEEFF" w:val="clear"/>
          </w:tcPr>
          <w:p>
            <w:pPr>
              <w:pStyle w:val="TableContents"/>
              <w:spacing w:before="0" w:after="283"/>
              <w:ind w:left="200" w:right="0" w:hanging="200"/>
              <w:rPr>
                <w:rFonts w:ascii="times" w:hAnsi="times"/>
                <w:sz w:val="20"/>
              </w:rPr>
            </w:pPr>
            <w:r>
              <w:rPr>
                <w:rFonts w:ascii="times" w:hAnsi="times"/>
                <w:sz w:val="20"/>
              </w:rPr>
              <w:t>4th Quarter</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57.09</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46.25</w:t>
            </w:r>
          </w:p>
        </w:tc>
        <w:tc>
          <w:tcPr>
            <w:tcW w:w="225" w:type="dxa"/>
            <w:tcBorders/>
            <w:shd w:fill="CCEEFF" w:val="clear"/>
          </w:tcPr>
          <w:p>
            <w:pPr>
              <w:pStyle w:val="TableContents"/>
              <w:spacing w:before="0" w:after="283"/>
              <w:rPr/>
            </w:pPr>
            <w:r>
              <w:rPr/>
              <w:t> </w:t>
            </w:r>
          </w:p>
        </w:tc>
        <w:tc>
          <w:tcPr>
            <w:tcW w:w="133" w:type="dxa"/>
            <w:tcBorders/>
            <w:shd w:fill="CCEEFF" w:val="clear"/>
          </w:tcPr>
          <w:p>
            <w:pPr>
              <w:pStyle w:val="TableContents"/>
              <w:spacing w:before="0" w:after="283"/>
              <w:jc w:val="right"/>
              <w:rPr>
                <w:rFonts w:ascii="times" w:hAnsi="times"/>
                <w:sz w:val="20"/>
              </w:rPr>
            </w:pPr>
            <w:r>
              <w:rPr>
                <w:rFonts w:ascii="times" w:hAnsi="times"/>
                <w:sz w:val="20"/>
              </w:rPr>
              <w:t>$</w:t>
            </w:r>
          </w:p>
        </w:tc>
        <w:tc>
          <w:tcPr>
            <w:tcW w:w="831" w:type="dxa"/>
            <w:tcBorders/>
            <w:shd w:fill="CCEEFF" w:val="clear"/>
          </w:tcPr>
          <w:p>
            <w:pPr>
              <w:pStyle w:val="TableContents"/>
              <w:spacing w:before="0" w:after="283"/>
              <w:jc w:val="right"/>
              <w:rPr>
                <w:rFonts w:ascii="times" w:hAnsi="times"/>
                <w:sz w:val="20"/>
              </w:rPr>
            </w:pPr>
            <w:r>
              <w:rPr>
                <w:rFonts w:ascii="times" w:hAnsi="times"/>
                <w:sz w:val="20"/>
              </w:rPr>
              <w:t>0.8500</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300" w:type="dxa"/>
            <w:tcBorders/>
            <w:shd w:fill="FFFFFF" w:val="clear"/>
          </w:tcPr>
          <w:p>
            <w:pPr>
              <w:pStyle w:val="TableContents"/>
              <w:spacing w:before="0" w:after="283"/>
              <w:ind w:left="200" w:right="0" w:hanging="200"/>
              <w:rPr>
                <w:rFonts w:ascii="times" w:hAnsi="times"/>
                <w:sz w:val="20"/>
              </w:rPr>
            </w:pPr>
            <w:r>
              <w:rPr>
                <w:rFonts w:ascii="times" w:hAnsi="times"/>
                <w:sz w:val="20"/>
              </w:rPr>
              <w:t>3rd Quarter</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65.24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52.01</w:t>
            </w:r>
          </w:p>
        </w:tc>
        <w:tc>
          <w:tcPr>
            <w:tcW w:w="225" w:type="dxa"/>
            <w:tcBorders/>
            <w:shd w:fill="FFFFFF" w:val="clear"/>
          </w:tcPr>
          <w:p>
            <w:pPr>
              <w:pStyle w:val="TableContents"/>
              <w:spacing w:before="0" w:after="283"/>
              <w:rPr/>
            </w:pPr>
            <w:r>
              <w:rPr/>
              <w:t> </w:t>
            </w:r>
          </w:p>
        </w:tc>
        <w:tc>
          <w:tcPr>
            <w:tcW w:w="133" w:type="dxa"/>
            <w:tcBorders/>
            <w:shd w:fill="FFFFFF" w:val="clear"/>
          </w:tcPr>
          <w:p>
            <w:pPr>
              <w:pStyle w:val="TableContents"/>
              <w:spacing w:before="0" w:after="283"/>
              <w:rPr/>
            </w:pPr>
            <w:r>
              <w:rPr/>
              <w:t> </w:t>
            </w:r>
          </w:p>
        </w:tc>
        <w:tc>
          <w:tcPr>
            <w:tcW w:w="831" w:type="dxa"/>
            <w:tcBorders/>
            <w:shd w:fill="FFFFFF" w:val="clear"/>
          </w:tcPr>
          <w:p>
            <w:pPr>
              <w:pStyle w:val="TableContents"/>
              <w:spacing w:before="0" w:after="283"/>
              <w:jc w:val="right"/>
              <w:rPr>
                <w:rFonts w:ascii="times" w:hAnsi="times"/>
                <w:sz w:val="20"/>
              </w:rPr>
            </w:pPr>
            <w:r>
              <w:rPr>
                <w:rFonts w:ascii="times" w:hAnsi="times"/>
                <w:sz w:val="20"/>
              </w:rPr>
              <w:t>0.8400</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300" w:type="dxa"/>
            <w:tcBorders/>
            <w:shd w:fill="CCEEFF" w:val="clear"/>
          </w:tcPr>
          <w:p>
            <w:pPr>
              <w:pStyle w:val="TableContents"/>
              <w:spacing w:before="0" w:after="283"/>
              <w:ind w:left="200" w:right="0" w:hanging="200"/>
              <w:rPr>
                <w:rFonts w:ascii="times" w:hAnsi="times"/>
                <w:sz w:val="20"/>
              </w:rPr>
            </w:pPr>
            <w:r>
              <w:rPr>
                <w:rFonts w:ascii="times" w:hAnsi="times"/>
                <w:sz w:val="20"/>
              </w:rPr>
              <w:t>2nd Quarter</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64.82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56.32</w:t>
            </w:r>
          </w:p>
        </w:tc>
        <w:tc>
          <w:tcPr>
            <w:tcW w:w="225" w:type="dxa"/>
            <w:tcBorders/>
            <w:shd w:fill="CCEEFF" w:val="clear"/>
          </w:tcPr>
          <w:p>
            <w:pPr>
              <w:pStyle w:val="TableContents"/>
              <w:spacing w:before="0" w:after="283"/>
              <w:rPr/>
            </w:pPr>
            <w:r>
              <w:rPr/>
              <w:t> </w:t>
            </w:r>
          </w:p>
        </w:tc>
        <w:tc>
          <w:tcPr>
            <w:tcW w:w="133" w:type="dxa"/>
            <w:tcBorders/>
            <w:shd w:fill="CCEEFF" w:val="clear"/>
          </w:tcPr>
          <w:p>
            <w:pPr>
              <w:pStyle w:val="TableContents"/>
              <w:spacing w:before="0" w:after="283"/>
              <w:rPr/>
            </w:pPr>
            <w:r>
              <w:rPr/>
              <w:t> </w:t>
            </w:r>
          </w:p>
        </w:tc>
        <w:tc>
          <w:tcPr>
            <w:tcW w:w="831" w:type="dxa"/>
            <w:tcBorders/>
            <w:shd w:fill="CCEEFF" w:val="clear"/>
          </w:tcPr>
          <w:p>
            <w:pPr>
              <w:pStyle w:val="TableContents"/>
              <w:spacing w:before="0" w:after="283"/>
              <w:jc w:val="right"/>
              <w:rPr>
                <w:rFonts w:ascii="times" w:hAnsi="times"/>
                <w:sz w:val="20"/>
              </w:rPr>
            </w:pPr>
            <w:r>
              <w:rPr>
                <w:rFonts w:ascii="times" w:hAnsi="times"/>
                <w:sz w:val="20"/>
              </w:rPr>
              <w:t>0.8300</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300" w:type="dxa"/>
            <w:tcBorders/>
            <w:shd w:fill="FFFFFF" w:val="clear"/>
          </w:tcPr>
          <w:p>
            <w:pPr>
              <w:pStyle w:val="TableContents"/>
              <w:spacing w:before="0" w:after="283"/>
              <w:ind w:left="200" w:right="0" w:hanging="200"/>
              <w:rPr>
                <w:rFonts w:ascii="times" w:hAnsi="times"/>
                <w:sz w:val="20"/>
              </w:rPr>
            </w:pPr>
            <w:r>
              <w:rPr>
                <w:rFonts w:ascii="times" w:hAnsi="times"/>
                <w:sz w:val="20"/>
              </w:rPr>
              <w:t>1st Quarter</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59.33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49.56</w:t>
            </w:r>
          </w:p>
        </w:tc>
        <w:tc>
          <w:tcPr>
            <w:tcW w:w="225" w:type="dxa"/>
            <w:tcBorders/>
            <w:shd w:fill="FFFFFF" w:val="clear"/>
          </w:tcPr>
          <w:p>
            <w:pPr>
              <w:pStyle w:val="TableContents"/>
              <w:spacing w:before="0" w:after="283"/>
              <w:rPr/>
            </w:pPr>
            <w:r>
              <w:rPr/>
              <w:t> </w:t>
            </w:r>
          </w:p>
        </w:tc>
        <w:tc>
          <w:tcPr>
            <w:tcW w:w="133" w:type="dxa"/>
            <w:tcBorders/>
            <w:shd w:fill="FFFFFF" w:val="clear"/>
          </w:tcPr>
          <w:p>
            <w:pPr>
              <w:pStyle w:val="TableContents"/>
              <w:spacing w:before="0" w:after="283"/>
              <w:rPr/>
            </w:pPr>
            <w:r>
              <w:rPr/>
              <w:t> </w:t>
            </w:r>
          </w:p>
        </w:tc>
        <w:tc>
          <w:tcPr>
            <w:tcW w:w="831" w:type="dxa"/>
            <w:tcBorders/>
            <w:shd w:fill="FFFFFF" w:val="clear"/>
          </w:tcPr>
          <w:p>
            <w:pPr>
              <w:pStyle w:val="TableContents"/>
              <w:spacing w:before="0" w:after="283"/>
              <w:jc w:val="right"/>
              <w:rPr>
                <w:rFonts w:ascii="times" w:hAnsi="times"/>
                <w:sz w:val="20"/>
              </w:rPr>
            </w:pPr>
            <w:r>
              <w:rPr>
                <w:rFonts w:ascii="times" w:hAnsi="times"/>
                <w:sz w:val="20"/>
              </w:rPr>
              <w:t>0.8125</w:t>
            </w:r>
          </w:p>
        </w:tc>
        <w:tc>
          <w:tcPr>
            <w:tcW w:w="60" w:type="dxa"/>
            <w:tcBorders/>
            <w:shd w:fill="FFFFFF"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Cash distributions for a quarter are declared and paid in the following calendar quarter. </w:t>
      </w:r>
    </w:p>
    <w:p>
      <w:pPr>
        <w:pStyle w:val="TextBody"/>
        <w:rPr/>
      </w:pPr>
      <w:r>
        <w:rPr/>
        <w:t>        </w:t>
      </w:r>
      <w:r>
        <w:rPr>
          <w:rFonts w:ascii="times" w:hAnsi="times"/>
          <w:sz w:val="20"/>
        </w:rPr>
        <w:t xml:space="preserve">Our common units are used as a form of compensation to our employees. Additional information regarding our equity compensation plans is included in Part III of this report under Item 13. "Certain Relationships and Related Transactions, and Director Independence." </w:t>
      </w:r>
    </w:p>
    <w:p>
      <w:pPr>
        <w:pStyle w:val="TextBody"/>
        <w:rPr>
          <w:rFonts w:ascii="times" w:hAnsi="times"/>
          <w:b/>
          <w:sz w:val="20"/>
        </w:rPr>
      </w:pPr>
      <w:r>
        <w:rPr>
          <w:rFonts w:ascii="times" w:hAnsi="times"/>
          <w:b/>
          <w:sz w:val="20"/>
        </w:rPr>
        <w:t xml:space="preserve">Cash Distribution Policy </w:t>
      </w:r>
    </w:p>
    <w:p>
      <w:pPr>
        <w:pStyle w:val="TextBody"/>
        <w:rPr/>
      </w:pPr>
      <w:r>
        <w:rPr/>
        <w:t>        </w:t>
      </w:r>
      <w:r>
        <w:rPr>
          <w:rFonts w:ascii="times" w:hAnsi="times"/>
          <w:sz w:val="20"/>
        </w:rPr>
        <w:t xml:space="preserve">We will distribute all of our available cash to our unitholders on a quarterly basis in the manner described below. Available cash generally means, for any quarter ending prior to liquidation, all cash on hand at the end of that quarter less the amount of cash reserves that are necessary or appropriate in the reasonable discretion of the general partner 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the proper conduct of our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or any partnership debt instrument or other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funds for distributions to unitholders and the general partner in respect of any one or more of the next four quarters. </w:t>
      </w:r>
    </w:p>
    <w:p>
      <w:pPr>
        <w:pStyle w:val="TextBody"/>
        <w:rPr/>
      </w:pPr>
      <w:r>
        <w:rPr/>
        <w:t>        </w:t>
      </w:r>
      <w:r>
        <w:rPr>
          <w:rFonts w:ascii="times" w:hAnsi="times"/>
          <w:sz w:val="20"/>
        </w:rPr>
        <w:t xml:space="preserve">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 discussed below, to 15% of amounts we distribute in excess of $0.450 per unit, 25% of the amounts we distribute in excess of $0.495 per unit and 50% of amounts we distribute in excess of $0.675 per unit. </w:t>
      </w:r>
    </w:p>
    <w:p>
      <w:pPr>
        <w:pStyle w:val="TextBody"/>
        <w:rPr/>
      </w:pPr>
      <w:r>
        <w:rPr/>
        <w:t>        </w:t>
      </w:r>
      <w:r>
        <w:rPr>
          <w:rFonts w:ascii="times" w:hAnsi="times"/>
          <w:sz w:val="20"/>
        </w:rPr>
        <w:t xml:space="preserve">Upon closing of the Pacific and Rainbow acquisitions, our general partner agreed to reduce the amounts due to it as incentive distributions. The total reduction in incentive distributions will be </w:t>
      </w:r>
    </w:p>
    <w:p>
      <w:pPr>
        <w:pStyle w:val="TextBody"/>
        <w:jc w:val="center"/>
        <w:rPr>
          <w:rFonts w:ascii="times" w:hAnsi="times"/>
          <w:sz w:val="20"/>
        </w:rPr>
      </w:pPr>
      <w:r>
        <w:rPr>
          <w:rFonts w:ascii="times" w:hAnsi="times"/>
          <w:sz w:val="20"/>
        </w:rPr>
        <w:t>68</w:t>
      </w:r>
    </w:p>
    <w:p>
      <w:pPr>
        <w:pStyle w:val="HorizontalLine"/>
        <w:pBdr>
          <w:bottom w:val="single" w:sz="20" w:space="0" w:color="808080"/>
        </w:pBdr>
        <w:rPr/>
      </w:pPr>
      <w:r>
        <w:rPr/>
      </w:r>
      <w:r>
        <w:br w:type="page"/>
      </w:r>
    </w:p>
    <w:p>
      <w:pPr>
        <w:pStyle w:val="TextBody"/>
        <w:rPr/>
      </w:pPr>
      <w:hyperlink w:anchor="bg12101a_main_toc">
        <w:bookmarkStart w:id="93" w:name="page_du12101_1_69"/>
        <w:bookmarkEnd w:id="93"/>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$75 million. Following the distribution in February 2009, the aggregate remaining incentive distribution reductions are $31 million. </w:t>
      </w:r>
    </w:p>
    <w:p>
      <w:pPr>
        <w:pStyle w:val="TextBody"/>
        <w:rPr/>
      </w:pPr>
      <w:r>
        <w:rPr/>
        <w:t>        </w:t>
      </w:r>
      <w:r>
        <w:rPr>
          <w:rFonts w:ascii="times" w:hAnsi="times"/>
          <w:sz w:val="20"/>
        </w:rPr>
        <w:t xml:space="preserve">We paid $106 million to the general partner in incentive distributions in 2008. On February 13, 2009, we paid a quarterly distribution of $0.8925 per unit applicable to the fourth quarter of 2008, of which approximately $30 million was paid to the general partner. See Item 13. "Certain Relationships and Related Transactions, and Director IndependenceOur General Partner." </w:t>
      </w:r>
    </w:p>
    <w:p>
      <w:pPr>
        <w:pStyle w:val="TextBody"/>
        <w:rPr/>
      </w:pPr>
      <w:r>
        <w:rPr/>
        <w:t>        </w:t>
      </w:r>
      <w:r>
        <w:rPr>
          <w:rFonts w:ascii="times" w:hAnsi="times"/>
          <w:sz w:val="20"/>
        </w:rPr>
        <w:t xml:space="preserve">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ResourcesSources of LiquidityCredit Facilities and Long-Term Debt." </w:t>
      </w:r>
    </w:p>
    <w:p>
      <w:pPr>
        <w:pStyle w:val="TextBody"/>
        <w:rPr>
          <w:rFonts w:ascii="times" w:hAnsi="times"/>
          <w:b/>
          <w:sz w:val="20"/>
        </w:rPr>
      </w:pPr>
      <w:r>
        <w:rPr>
          <w:rFonts w:ascii="times" w:hAnsi="times"/>
          <w:b/>
          <w:sz w:val="20"/>
        </w:rPr>
        <w:t xml:space="preserve">Issuer Purchases of Equity Securities </w:t>
      </w:r>
    </w:p>
    <w:p>
      <w:pPr>
        <w:pStyle w:val="TextBody"/>
        <w:rPr/>
      </w:pPr>
      <w:r>
        <w:rPr/>
        <w:t>        </w:t>
      </w:r>
      <w:r>
        <w:rPr>
          <w:rFonts w:ascii="times" w:hAnsi="times"/>
          <w:sz w:val="20"/>
        </w:rPr>
        <w:t xml:space="preserve">We did not repurchase any of our common units during the fourth quarter of fiscal 2008, and we do not have any announced or existing plans to repurchase any of our common units. </w:t>
      </w:r>
    </w:p>
    <w:p>
      <w:pPr>
        <w:pStyle w:val="TextBody"/>
        <w:jc w:val="center"/>
        <w:rPr>
          <w:rFonts w:ascii="times" w:hAnsi="times"/>
          <w:sz w:val="20"/>
        </w:rPr>
      </w:pPr>
      <w:r>
        <w:rPr>
          <w:rFonts w:ascii="times" w:hAnsi="times"/>
          <w:sz w:val="20"/>
        </w:rPr>
        <w:t>69</w:t>
      </w:r>
    </w:p>
    <w:p>
      <w:pPr>
        <w:pStyle w:val="HorizontalLine"/>
        <w:pBdr>
          <w:bottom w:val="single" w:sz="20" w:space="0" w:color="808080"/>
        </w:pBdr>
        <w:rPr/>
      </w:pPr>
      <w:r>
        <w:rPr/>
      </w:r>
      <w:r>
        <w:br w:type="page"/>
      </w:r>
    </w:p>
    <w:p>
      <w:pPr>
        <w:pStyle w:val="TextBody"/>
        <w:rPr/>
      </w:pPr>
      <w:hyperlink w:anchor="bg12101a_main_toc">
        <w:bookmarkStart w:id="94" w:name="page_du12101_1_70"/>
        <w:bookmarkEnd w:id="94"/>
        <w:r>
          <w:rPr>
            <w:rStyle w:val="InternetLink"/>
            <w:rFonts w:ascii="times" w:hAnsi="times"/>
            <w:sz w:val="20"/>
          </w:rPr>
          <w:t>Table of Contents</w:t>
        </w:r>
      </w:hyperlink>
    </w:p>
    <w:p>
      <w:pPr>
        <w:pStyle w:val="TextBody"/>
        <w:rPr>
          <w:rFonts w:ascii="times" w:hAnsi="times"/>
        </w:rPr>
      </w:pPr>
      <w:bookmarkStart w:id="95" w:name="toc_du12101_3"/>
      <w:bookmarkStart w:id="96" w:name="du12101_item_6._selected_financial_data"/>
      <w:bookmarkEnd w:id="95"/>
      <w:bookmarkEnd w:id="96"/>
      <w:r>
        <w:rPr>
          <w:rFonts w:ascii="times" w:hAnsi="times"/>
          <w:b/>
          <w:sz w:val="20"/>
        </w:rPr>
        <w:t>Item 6.    </w:t>
      </w:r>
      <w:r>
        <w:rPr>
          <w:rFonts w:ascii="times" w:hAnsi="times"/>
          <w:b/>
          <w:i/>
          <w:sz w:val="20"/>
        </w:rPr>
        <w:t xml:space="preserve">Selected Financial Data </w:t>
      </w:r>
    </w:p>
    <w:p>
      <w:pPr>
        <w:pStyle w:val="TextBody"/>
        <w:rPr/>
      </w:pPr>
      <w:r>
        <w:rPr/>
        <w:t>        </w:t>
      </w:r>
      <w:r>
        <w:rPr>
          <w:rFonts w:ascii="times" w:hAnsi="times"/>
          <w:sz w:val="20"/>
        </w:rPr>
        <w:t xml:space="preserve">The historical financial information below was derived from our audited consolidated financial statements as of December 31, 2008, 2007, 2006, 2005 and 2004 and for the years then ended. The selected financial data should be read in conjunction with the Consolidated Financial Statements, including the notes thereto, and Item 7. "Management's Discussion and Analysis of Financial Condition and Results of Operations." </w:t>
      </w:r>
    </w:p>
    <w:tbl>
      <w:tblPr>
        <w:tblW w:w="7630" w:type="dxa"/>
        <w:jc w:val="center"/>
        <w:tblInd w:w="0" w:type="dxa"/>
        <w:tblCellMar>
          <w:top w:w="0" w:type="dxa"/>
          <w:left w:w="0" w:type="dxa"/>
          <w:bottom w:w="0" w:type="dxa"/>
          <w:right w:w="0" w:type="dxa"/>
        </w:tblCellMar>
      </w:tblPr>
      <w:tblGrid>
        <w:gridCol w:w="4005"/>
        <w:gridCol w:w="180"/>
        <w:gridCol w:w="95"/>
        <w:gridCol w:w="425"/>
        <w:gridCol w:w="195"/>
        <w:gridCol w:w="95"/>
        <w:gridCol w:w="425"/>
        <w:gridCol w:w="195"/>
        <w:gridCol w:w="95"/>
        <w:gridCol w:w="425"/>
        <w:gridCol w:w="195"/>
        <w:gridCol w:w="95"/>
        <w:gridCol w:w="425"/>
        <w:gridCol w:w="195"/>
        <w:gridCol w:w="95"/>
        <w:gridCol w:w="425"/>
        <w:gridCol w:w="65"/>
      </w:tblGrid>
      <w:tr>
        <w:trPr/>
        <w:tc>
          <w:tcPr>
            <w:tcW w:w="40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00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380"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65" w:type="dxa"/>
            <w:tcBorders/>
            <w:shd w:fill="auto" w:val="clear"/>
            <w:vAlign w:val="bottom"/>
          </w:tcPr>
          <w:p>
            <w:pPr>
              <w:pStyle w:val="TableHeading"/>
              <w:suppressLineNumbers/>
              <w:spacing w:before="0" w:after="283"/>
              <w:jc w:val="center"/>
              <w:rPr/>
            </w:pPr>
            <w:r>
              <w:rPr/>
              <w:t> </w:t>
            </w:r>
          </w:p>
        </w:tc>
      </w:tr>
      <w:tr>
        <w:trPr/>
        <w:tc>
          <w:tcPr>
            <w:tcW w:w="400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2005 </w:t>
            </w:r>
          </w:p>
        </w:tc>
        <w:tc>
          <w:tcPr>
            <w:tcW w:w="19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2004 </w:t>
            </w:r>
          </w:p>
        </w:tc>
        <w:tc>
          <w:tcPr>
            <w:tcW w:w="65" w:type="dxa"/>
            <w:tcBorders/>
            <w:shd w:fill="auto" w:val="clear"/>
            <w:vAlign w:val="bottom"/>
          </w:tcPr>
          <w:p>
            <w:pPr>
              <w:pStyle w:val="TableHeading"/>
              <w:suppressLineNumbers/>
              <w:spacing w:before="0" w:after="283"/>
              <w:jc w:val="center"/>
              <w:rPr/>
            </w:pPr>
            <w:r>
              <w:rPr/>
              <w:t> </w:t>
            </w:r>
          </w:p>
        </w:tc>
      </w:tr>
      <w:tr>
        <w:trPr/>
        <w:tc>
          <w:tcPr>
            <w:tcW w:w="400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380"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millions, except for per unit data)</w:t>
            </w:r>
          </w:p>
        </w:tc>
        <w:tc>
          <w:tcPr>
            <w:tcW w:w="65" w:type="dxa"/>
            <w:tcBorders/>
            <w:shd w:fill="auto" w:val="clear"/>
            <w:vAlign w:val="bottom"/>
          </w:tcPr>
          <w:p>
            <w:pPr>
              <w:pStyle w:val="TableHeading"/>
              <w:suppressLineNumbers/>
              <w:spacing w:before="0" w:after="283"/>
              <w:jc w:val="center"/>
              <w:rPr/>
            </w:pPr>
            <w:r>
              <w:rPr/>
              <w:t> </w:t>
            </w:r>
          </w:p>
        </w:tc>
      </w:tr>
      <w:tr>
        <w:trPr/>
        <w:tc>
          <w:tcPr>
            <w:tcW w:w="4005" w:type="dxa"/>
            <w:tcBorders/>
            <w:shd w:fill="CCEEFF" w:val="clear"/>
            <w:vAlign w:val="bottom"/>
          </w:tcPr>
          <w:p>
            <w:pPr>
              <w:pStyle w:val="TableContents"/>
              <w:spacing w:before="0" w:after="283"/>
              <w:ind w:left="160" w:right="0" w:hanging="160"/>
              <w:rPr>
                <w:rFonts w:ascii="times" w:hAnsi="times"/>
                <w:b/>
                <w:sz w:val="14"/>
              </w:rPr>
            </w:pPr>
            <w:r>
              <w:rPr>
                <w:rFonts w:ascii="times" w:hAnsi="times"/>
                <w:b/>
                <w:sz w:val="14"/>
              </w:rPr>
              <w:t>Statement of operations data:</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Total Revenues</w:t>
            </w:r>
            <w:r>
              <w:rPr>
                <w:rFonts w:ascii="times" w:hAnsi="times"/>
                <w:position w:val="5"/>
                <w:sz w:val="11"/>
                <w:sz w:val="14"/>
              </w:rPr>
              <w:t>(1)</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30,061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20,394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22,445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31,177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20,975</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Income before cumulative effect of change in accounting principle</w:t>
            </w:r>
            <w:r>
              <w:rPr>
                <w:rFonts w:ascii="times" w:hAnsi="times"/>
                <w:position w:val="5"/>
                <w:sz w:val="11"/>
                <w:sz w:val="14"/>
              </w:rPr>
              <w:t>(2)</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437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365</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279</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218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133</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Income</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437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365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285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218</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130</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Basic net income before cumulative effect of change in accounting principle</w:t>
            </w:r>
            <w:r>
              <w:rPr>
                <w:rFonts w:ascii="times" w:hAnsi="times"/>
                <w:position w:val="5"/>
                <w:sz w:val="11"/>
                <w:sz w:val="14"/>
              </w:rPr>
              <w:t>(2)</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2.70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2.54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2.84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2.77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1.94</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Basic net income after cumulative effect of change in accounting principle</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2.70</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2.54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2.91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2.77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1.89</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Diluted net income before cumulative effect of change in accounting principle</w:t>
            </w:r>
            <w:r>
              <w:rPr>
                <w:rFonts w:ascii="times" w:hAnsi="times"/>
                <w:position w:val="5"/>
                <w:sz w:val="11"/>
                <w:sz w:val="14"/>
              </w:rPr>
              <w:t>(2)</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2.67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2.52</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2.81</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2.72</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1.94</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Diluted net income after cumulative effect of change in accounting principle</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2.67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2.52</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2.88</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2.72</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1.89</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180" w:after="283"/>
              <w:ind w:left="160" w:right="0" w:hanging="160"/>
              <w:rPr>
                <w:rFonts w:ascii="times" w:hAnsi="times"/>
                <w:b/>
                <w:sz w:val="14"/>
              </w:rPr>
            </w:pPr>
            <w:r>
              <w:rPr>
                <w:rFonts w:ascii="times" w:hAnsi="times"/>
                <w:b/>
                <w:sz w:val="14"/>
              </w:rPr>
              <w:t>Balance sheet data (at end of period):</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Total assets</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10,032</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9,906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8,715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4,120</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3,160</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Total long-term debt</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3,259</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2,624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2,626</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952</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949</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Total debt</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4,286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3,584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3,627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1,330</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1,125</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Partners' capital</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3,552</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3,424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2,977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1,331</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1,070</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180" w:after="283"/>
              <w:ind w:left="160" w:right="0" w:hanging="160"/>
              <w:rPr>
                <w:rFonts w:ascii="times" w:hAnsi="times"/>
                <w:b/>
                <w:sz w:val="14"/>
              </w:rPr>
            </w:pPr>
            <w:r>
              <w:rPr>
                <w:rFonts w:ascii="times" w:hAnsi="times"/>
                <w:b/>
                <w:sz w:val="14"/>
              </w:rPr>
              <w:t>Other data:</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Maintenance capital investments</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81</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50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11</w:t>
            </w:r>
          </w:p>
        </w:tc>
        <w:tc>
          <w:tcPr>
            <w:tcW w:w="65" w:type="dxa"/>
            <w:tcBorders/>
            <w:shd w:fill="CCEEFF" w:val="clear"/>
            <w:vAlign w:val="bottom"/>
          </w:tcPr>
          <w:p>
            <w:pPr>
              <w:pStyle w:val="TableContents"/>
              <w:spacing w:before="0" w:after="283"/>
              <w:rPr/>
            </w:pPr>
            <w:r>
              <w:rPr/>
              <w:t> </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provided by (used in) operating activities</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857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796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(276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104</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cash used in investing activities</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(1,339</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(663</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(1,651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(297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(651</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0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provided by (used in) financing activities</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464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(124</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1,927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271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555</w:t>
            </w:r>
          </w:p>
        </w:tc>
        <w:tc>
          <w:tcPr>
            <w:tcW w:w="65" w:type="dxa"/>
            <w:tcBorders/>
            <w:shd w:fill="FFFFFF" w:val="clear"/>
            <w:vAlign w:val="bottom"/>
          </w:tcPr>
          <w:p>
            <w:pPr>
              <w:pStyle w:val="TableContents"/>
              <w:spacing w:before="0" w:after="283"/>
              <w:rPr/>
            </w:pPr>
            <w:r>
              <w:rPr/>
              <w:t> </w:t>
            </w:r>
          </w:p>
        </w:tc>
      </w:tr>
      <w:tr>
        <w:trPr/>
        <w:tc>
          <w:tcPr>
            <w:tcW w:w="40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Declared distributions per limited partner unit</w:t>
            </w:r>
            <w:r>
              <w:rPr>
                <w:rFonts w:ascii="times" w:hAnsi="times"/>
                <w:position w:val="5"/>
                <w:sz w:val="11"/>
                <w:sz w:val="14"/>
              </w:rPr>
              <w:t>(3)</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3.50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3.28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2.87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2.58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2.30</w:t>
            </w:r>
          </w:p>
        </w:tc>
        <w:tc>
          <w:tcPr>
            <w:tcW w:w="65" w:type="dxa"/>
            <w:tcBorders/>
            <w:shd w:fill="CCEEFF" w:val="clear"/>
            <w:vAlign w:val="bottom"/>
          </w:tcPr>
          <w:p>
            <w:pPr>
              <w:pStyle w:val="TableContents"/>
              <w:spacing w:before="0" w:after="283"/>
              <w:rPr/>
            </w:pPr>
            <w:r>
              <w:rPr/>
              <w:t> </w:t>
            </w:r>
          </w:p>
        </w:tc>
      </w:tr>
    </w:tbl>
    <w:p>
      <w:pPr>
        <w:pStyle w:val="TextBody"/>
        <w:rPr/>
      </w:pPr>
      <w:r>
        <w:rPr/>
        <w:t> </w:t>
      </w:r>
    </w:p>
    <w:tbl>
      <w:tblPr>
        <w:tblW w:w="8939" w:type="dxa"/>
        <w:jc w:val="center"/>
        <w:tblInd w:w="0" w:type="dxa"/>
        <w:tblCellMar>
          <w:top w:w="0" w:type="dxa"/>
          <w:left w:w="0" w:type="dxa"/>
          <w:bottom w:w="0" w:type="dxa"/>
          <w:right w:w="0" w:type="dxa"/>
        </w:tblCellMar>
      </w:tblPr>
      <w:tblGrid>
        <w:gridCol w:w="174"/>
        <w:gridCol w:w="5695"/>
        <w:gridCol w:w="180"/>
        <w:gridCol w:w="60"/>
        <w:gridCol w:w="350"/>
        <w:gridCol w:w="195"/>
        <w:gridCol w:w="60"/>
        <w:gridCol w:w="350"/>
        <w:gridCol w:w="195"/>
        <w:gridCol w:w="60"/>
        <w:gridCol w:w="350"/>
        <w:gridCol w:w="195"/>
        <w:gridCol w:w="60"/>
        <w:gridCol w:w="350"/>
        <w:gridCol w:w="195"/>
        <w:gridCol w:w="60"/>
        <w:gridCol w:w="350"/>
        <w:gridCol w:w="60"/>
      </w:tblGrid>
      <w:tr>
        <w:trPr/>
        <w:tc>
          <w:tcPr>
            <w:tcW w:w="174" w:type="dxa"/>
            <w:tcBorders/>
            <w:shd w:fill="auto" w:val="clear"/>
            <w:vAlign w:val="center"/>
          </w:tcPr>
          <w:p>
            <w:pPr>
              <w:pStyle w:val="TableContents"/>
              <w:spacing w:before="0" w:after="283"/>
              <w:rPr>
                <w:sz w:val="4"/>
                <w:szCs w:val="4"/>
              </w:rPr>
            </w:pPr>
            <w:r>
              <w:rPr>
                <w:sz w:val="4"/>
                <w:szCs w:val="4"/>
              </w:rPr>
            </w:r>
          </w:p>
        </w:tc>
        <w:tc>
          <w:tcPr>
            <w:tcW w:w="56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86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830"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60" w:type="dxa"/>
            <w:tcBorders/>
            <w:shd w:fill="auto" w:val="clear"/>
            <w:vAlign w:val="bottom"/>
          </w:tcPr>
          <w:p>
            <w:pPr>
              <w:pStyle w:val="TableHeading"/>
              <w:suppressLineNumbers/>
              <w:spacing w:before="0" w:after="283"/>
              <w:jc w:val="center"/>
              <w:rPr/>
            </w:pPr>
            <w:r>
              <w:rPr/>
              <w:t> </w:t>
            </w:r>
          </w:p>
        </w:tc>
      </w:tr>
      <w:tr>
        <w:trPr/>
        <w:tc>
          <w:tcPr>
            <w:tcW w:w="586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2005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2004 </w:t>
            </w:r>
          </w:p>
        </w:tc>
        <w:tc>
          <w:tcPr>
            <w:tcW w:w="60" w:type="dxa"/>
            <w:tcBorders/>
            <w:shd w:fill="auto" w:val="clear"/>
            <w:vAlign w:val="bottom"/>
          </w:tcPr>
          <w:p>
            <w:pPr>
              <w:pStyle w:val="TableHeading"/>
              <w:suppressLineNumbers/>
              <w:spacing w:before="0" w:after="283"/>
              <w:jc w:val="center"/>
              <w:rPr/>
            </w:pPr>
            <w:r>
              <w:rPr/>
              <w:t> </w:t>
            </w:r>
          </w:p>
        </w:tc>
      </w:tr>
      <w:tr>
        <w:trPr/>
        <w:tc>
          <w:tcPr>
            <w:tcW w:w="5869" w:type="dxa"/>
            <w:gridSpan w:val="2"/>
            <w:tcBorders/>
            <w:shd w:fill="CCEEFF" w:val="clear"/>
            <w:vAlign w:val="bottom"/>
          </w:tcPr>
          <w:p>
            <w:pPr>
              <w:pStyle w:val="TableContents"/>
              <w:spacing w:before="0" w:after="283"/>
              <w:ind w:left="160" w:right="0" w:hanging="160"/>
              <w:rPr>
                <w:rFonts w:ascii="times" w:hAnsi="times"/>
                <w:b/>
                <w:sz w:val="14"/>
              </w:rPr>
            </w:pPr>
            <w:r>
              <w:rPr>
                <w:rFonts w:ascii="times" w:hAnsi="times"/>
                <w:b/>
                <w:sz w:val="14"/>
              </w:rPr>
              <w:t>Volumes</w:t>
            </w:r>
            <w:r>
              <w:rPr>
                <w:rFonts w:ascii="times" w:hAnsi="times"/>
                <w:b/>
                <w:position w:val="5"/>
                <w:sz w:val="11"/>
                <w:sz w:val="14"/>
              </w:rPr>
              <w:t>(4)(5)(6)</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5869"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Transportation segment (average daily volumes in thousands of barrels):</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r>
      <w:tr>
        <w:trPr/>
        <w:tc>
          <w:tcPr>
            <w:tcW w:w="174" w:type="dxa"/>
            <w:tcBorders/>
            <w:shd w:fill="CCEEFF" w:val="clear"/>
            <w:vAlign w:val="bottom"/>
          </w:tcPr>
          <w:p>
            <w:pPr>
              <w:pStyle w:val="TableContents"/>
              <w:spacing w:before="0" w:after="283"/>
              <w:rPr/>
            </w:pPr>
            <w:r>
              <w:rPr/>
              <w:t> </w:t>
            </w:r>
          </w:p>
        </w:tc>
        <w:tc>
          <w:tcPr>
            <w:tcW w:w="569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Tariff activities</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2,851</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2,712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2,106</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1,799</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1,486</w:t>
            </w:r>
          </w:p>
        </w:tc>
        <w:tc>
          <w:tcPr>
            <w:tcW w:w="60" w:type="dxa"/>
            <w:tcBorders/>
            <w:shd w:fill="CCEEFF" w:val="clear"/>
            <w:vAlign w:val="bottom"/>
          </w:tcPr>
          <w:p>
            <w:pPr>
              <w:pStyle w:val="TableContents"/>
              <w:spacing w:before="0" w:after="283"/>
              <w:rPr/>
            </w:pPr>
            <w:r>
              <w:rPr/>
              <w:t> </w:t>
            </w:r>
          </w:p>
        </w:tc>
      </w:tr>
      <w:tr>
        <w:trPr/>
        <w:tc>
          <w:tcPr>
            <w:tcW w:w="174" w:type="dxa"/>
            <w:tcBorders/>
            <w:shd w:fill="FFFFFF" w:val="clear"/>
            <w:vAlign w:val="bottom"/>
          </w:tcPr>
          <w:p>
            <w:pPr>
              <w:pStyle w:val="TableContents"/>
              <w:spacing w:before="0" w:after="283"/>
              <w:rPr/>
            </w:pPr>
            <w:r>
              <w:rPr/>
              <w:t> </w:t>
            </w:r>
          </w:p>
        </w:tc>
        <w:tc>
          <w:tcPr>
            <w:tcW w:w="569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Trucking</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97</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105</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101</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84</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64</w:t>
            </w:r>
          </w:p>
        </w:tc>
        <w:tc>
          <w:tcPr>
            <w:tcW w:w="60" w:type="dxa"/>
            <w:tcBorders/>
            <w:shd w:fill="FFFF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74" w:type="dxa"/>
            <w:tcBorders/>
            <w:shd w:fill="CCEEFF" w:val="clear"/>
            <w:vAlign w:val="bottom"/>
          </w:tcPr>
          <w:p>
            <w:pPr>
              <w:pStyle w:val="TableContents"/>
              <w:spacing w:before="0" w:after="283"/>
              <w:rPr/>
            </w:pPr>
            <w:r>
              <w:rPr/>
              <w:t> </w:t>
            </w:r>
          </w:p>
        </w:tc>
        <w:tc>
          <w:tcPr>
            <w:tcW w:w="569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Transportation Segment Total</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2,948</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2,817</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2,207</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1,883</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1,550</w:t>
            </w:r>
          </w:p>
        </w:tc>
        <w:tc>
          <w:tcPr>
            <w:tcW w:w="60" w:type="dxa"/>
            <w:tcBorders/>
            <w:shd w:fill="CCEE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869"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Facilities segment:</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r>
      <w:tr>
        <w:trPr/>
        <w:tc>
          <w:tcPr>
            <w:tcW w:w="5869"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Crude oil, refined products and LPG storage (average monthly capacity in millions of barrels)</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53</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25</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60" w:type="dxa"/>
            <w:tcBorders/>
            <w:shd w:fill="CCEE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869"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Natural gas storage, net to our 50% interest (average monthly capacity in billions of cubic feet ("bcf"))</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14</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74" w:type="dxa"/>
            <w:tcBorders/>
            <w:shd w:fill="CCEEFF" w:val="clear"/>
            <w:vAlign w:val="bottom"/>
          </w:tcPr>
          <w:p>
            <w:pPr>
              <w:pStyle w:val="TableContents"/>
              <w:spacing w:before="0" w:after="283"/>
              <w:rPr/>
            </w:pPr>
            <w:r>
              <w:rPr/>
              <w:t> </w:t>
            </w:r>
          </w:p>
        </w:tc>
        <w:tc>
          <w:tcPr>
            <w:tcW w:w="569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LPG processing (average daily throughput in thousands of barrels)</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74" w:type="dxa"/>
            <w:tcBorders/>
            <w:shd w:fill="FFFFFF" w:val="clear"/>
            <w:vAlign w:val="bottom"/>
          </w:tcPr>
          <w:p>
            <w:pPr>
              <w:pStyle w:val="TableContents"/>
              <w:spacing w:before="0" w:after="283"/>
              <w:rPr/>
            </w:pPr>
            <w:r>
              <w:rPr/>
              <w:t> </w:t>
            </w:r>
          </w:p>
        </w:tc>
        <w:tc>
          <w:tcPr>
            <w:tcW w:w="569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Facilities Segment Total (average monthly capacity in millions of barrels)</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56</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48</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27</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22</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20</w:t>
            </w:r>
          </w:p>
        </w:tc>
        <w:tc>
          <w:tcPr>
            <w:tcW w:w="60" w:type="dxa"/>
            <w:tcBorders/>
            <w:shd w:fill="FFFF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869"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Marketing segment (average daily volumes in thousands of barrels):</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174" w:type="dxa"/>
            <w:tcBorders/>
            <w:shd w:fill="FFFFFF" w:val="clear"/>
            <w:vAlign w:val="bottom"/>
          </w:tcPr>
          <w:p>
            <w:pPr>
              <w:pStyle w:val="TableContents"/>
              <w:spacing w:before="0" w:after="283"/>
              <w:rPr/>
            </w:pPr>
            <w:r>
              <w:rPr/>
              <w:t> </w:t>
            </w:r>
          </w:p>
        </w:tc>
        <w:tc>
          <w:tcPr>
            <w:tcW w:w="569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Crude oil lease gathering purchases</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658</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685</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650</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610</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589</w:t>
            </w:r>
          </w:p>
        </w:tc>
        <w:tc>
          <w:tcPr>
            <w:tcW w:w="60" w:type="dxa"/>
            <w:tcBorders/>
            <w:shd w:fill="FFFFFF" w:val="clear"/>
            <w:vAlign w:val="bottom"/>
          </w:tcPr>
          <w:p>
            <w:pPr>
              <w:pStyle w:val="TableContents"/>
              <w:spacing w:before="0" w:after="283"/>
              <w:rPr/>
            </w:pPr>
            <w:r>
              <w:rPr/>
              <w:t> </w:t>
            </w:r>
          </w:p>
        </w:tc>
      </w:tr>
      <w:tr>
        <w:trPr/>
        <w:tc>
          <w:tcPr>
            <w:tcW w:w="174" w:type="dxa"/>
            <w:tcBorders/>
            <w:shd w:fill="CCEEFF" w:val="clear"/>
            <w:vAlign w:val="bottom"/>
          </w:tcPr>
          <w:p>
            <w:pPr>
              <w:pStyle w:val="TableContents"/>
              <w:spacing w:before="0" w:after="283"/>
              <w:rPr/>
            </w:pPr>
            <w:r>
              <w:rPr/>
              <w:t> </w:t>
            </w:r>
          </w:p>
        </w:tc>
        <w:tc>
          <w:tcPr>
            <w:tcW w:w="569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Refined products sales</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26</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11</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60" w:type="dxa"/>
            <w:tcBorders/>
            <w:shd w:fill="CCEEFF" w:val="clear"/>
            <w:vAlign w:val="bottom"/>
          </w:tcPr>
          <w:p>
            <w:pPr>
              <w:pStyle w:val="TableContents"/>
              <w:spacing w:before="0" w:after="283"/>
              <w:rPr/>
            </w:pPr>
            <w:r>
              <w:rPr/>
              <w:t> </w:t>
            </w:r>
          </w:p>
        </w:tc>
      </w:tr>
      <w:tr>
        <w:trPr/>
        <w:tc>
          <w:tcPr>
            <w:tcW w:w="174" w:type="dxa"/>
            <w:tcBorders/>
            <w:shd w:fill="FFFFFF" w:val="clear"/>
            <w:vAlign w:val="bottom"/>
          </w:tcPr>
          <w:p>
            <w:pPr>
              <w:pStyle w:val="TableContents"/>
              <w:spacing w:before="0" w:after="283"/>
              <w:rPr/>
            </w:pPr>
            <w:r>
              <w:rPr/>
              <w:t> </w:t>
            </w:r>
          </w:p>
        </w:tc>
        <w:tc>
          <w:tcPr>
            <w:tcW w:w="569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LPG sales</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103</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90</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70</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56</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48</w:t>
            </w:r>
          </w:p>
        </w:tc>
        <w:tc>
          <w:tcPr>
            <w:tcW w:w="60" w:type="dxa"/>
            <w:tcBorders/>
            <w:shd w:fill="FFFFFF" w:val="clear"/>
            <w:vAlign w:val="bottom"/>
          </w:tcPr>
          <w:p>
            <w:pPr>
              <w:pStyle w:val="TableContents"/>
              <w:spacing w:before="0" w:after="283"/>
              <w:rPr/>
            </w:pPr>
            <w:r>
              <w:rPr/>
              <w:t> </w:t>
            </w:r>
          </w:p>
        </w:tc>
      </w:tr>
      <w:tr>
        <w:trPr/>
        <w:tc>
          <w:tcPr>
            <w:tcW w:w="174" w:type="dxa"/>
            <w:tcBorders/>
            <w:shd w:fill="CCEEFF" w:val="clear"/>
            <w:vAlign w:val="bottom"/>
          </w:tcPr>
          <w:p>
            <w:pPr>
              <w:pStyle w:val="TableContents"/>
              <w:spacing w:before="0" w:after="283"/>
              <w:rPr/>
            </w:pPr>
            <w:r>
              <w:rPr/>
              <w:t> </w:t>
            </w:r>
          </w:p>
        </w:tc>
        <w:tc>
          <w:tcPr>
            <w:tcW w:w="569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Waterborne foreign crude oil imported</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80</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71</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63</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59</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12</w:t>
            </w:r>
          </w:p>
        </w:tc>
        <w:tc>
          <w:tcPr>
            <w:tcW w:w="60" w:type="dxa"/>
            <w:tcBorders/>
            <w:shd w:fill="CCEE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74" w:type="dxa"/>
            <w:tcBorders/>
            <w:shd w:fill="FFFFFF" w:val="clear"/>
            <w:vAlign w:val="bottom"/>
          </w:tcPr>
          <w:p>
            <w:pPr>
              <w:pStyle w:val="TableContents"/>
              <w:spacing w:before="0" w:after="283"/>
              <w:rPr/>
            </w:pPr>
            <w:r>
              <w:rPr/>
              <w:t> </w:t>
            </w:r>
          </w:p>
        </w:tc>
        <w:tc>
          <w:tcPr>
            <w:tcW w:w="569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Marketing Segment Total</w:t>
            </w:r>
          </w:p>
        </w:tc>
        <w:tc>
          <w:tcPr>
            <w:tcW w:w="1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867</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857</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783</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725</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649</w:t>
            </w:r>
          </w:p>
        </w:tc>
        <w:tc>
          <w:tcPr>
            <w:tcW w:w="60" w:type="dxa"/>
            <w:tcBorders/>
            <w:shd w:fill="FFFFFF" w:val="clear"/>
            <w:vAlign w:val="bottom"/>
          </w:tcPr>
          <w:p>
            <w:pPr>
              <w:pStyle w:val="TableContents"/>
              <w:spacing w:before="0" w:after="283"/>
              <w:rPr/>
            </w:pPr>
            <w:r>
              <w:rPr/>
              <w:t> </w:t>
            </w:r>
          </w:p>
        </w:tc>
      </w:tr>
      <w:tr>
        <w:trPr/>
        <w:tc>
          <w:tcPr>
            <w:tcW w:w="58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5"/>
          <w:sz w:val="11"/>
          <w:sz w:val="14"/>
        </w:rPr>
      </w:pPr>
      <w:r>
        <w:rPr>
          <w:rFonts w:ascii="times" w:hAnsi="times"/>
          <w:position w:val="5"/>
          <w:sz w:val="11"/>
          <w:sz w:val="14"/>
        </w:rPr>
        <w:t>(1)</w:t>
      </w:r>
    </w:p>
    <w:p>
      <w:pPr>
        <w:pStyle w:val="ListContents"/>
        <w:spacing w:before="0" w:after="283"/>
        <w:rPr>
          <w:rFonts w:ascii="times" w:hAnsi="times"/>
          <w:sz w:val="14"/>
        </w:rPr>
      </w:pPr>
      <w:r>
        <w:rPr>
          <w:rFonts w:ascii="times" w:hAnsi="times"/>
          <w:sz w:val="14"/>
        </w:rPr>
        <w:t xml:space="preserve">Includes gross presentation of buy/sell transactions for all periods prior to the second quarter of 2006. See Note 2 to our Consolidated Financial Statements for further discussion of buy/sell transactions. </w:t>
      </w:r>
    </w:p>
    <w:p>
      <w:pPr>
        <w:pStyle w:val="TextBody"/>
        <w:jc w:val="center"/>
        <w:rPr>
          <w:rFonts w:ascii="times" w:hAnsi="times"/>
          <w:sz w:val="20"/>
        </w:rPr>
      </w:pPr>
      <w:r>
        <w:rPr>
          <w:rFonts w:ascii="times" w:hAnsi="times"/>
          <w:sz w:val="20"/>
        </w:rPr>
        <w:t>70</w:t>
      </w:r>
    </w:p>
    <w:p>
      <w:pPr>
        <w:pStyle w:val="HorizontalLine"/>
        <w:pBdr>
          <w:bottom w:val="single" w:sz="20" w:space="0" w:color="808080"/>
        </w:pBdr>
        <w:rPr/>
      </w:pPr>
      <w:r>
        <w:rPr/>
      </w:r>
      <w:r>
        <w:br w:type="page"/>
      </w:r>
    </w:p>
    <w:p>
      <w:pPr>
        <w:pStyle w:val="TextBody"/>
        <w:rPr/>
      </w:pPr>
      <w:hyperlink w:anchor="bg12101a_main_toc">
        <w:bookmarkStart w:id="97" w:name="page_du12101_1_71"/>
        <w:bookmarkEnd w:id="97"/>
        <w:r>
          <w:rPr>
            <w:rStyle w:val="InternetLink"/>
            <w:rFonts w:ascii="times" w:hAnsi="times"/>
            <w:sz w:val="20"/>
          </w:rPr>
          <w:t>Table of Contents</w:t>
        </w:r>
      </w:hyperlink>
    </w:p>
    <w:p>
      <w:pPr>
        <w:pStyle w:val="ListHeading"/>
        <w:spacing w:before="0" w:after="0"/>
        <w:rPr>
          <w:rFonts w:ascii="times" w:hAnsi="times"/>
          <w:position w:val="5"/>
          <w:sz w:val="11"/>
          <w:sz w:val="14"/>
        </w:rPr>
      </w:pPr>
      <w:r>
        <w:rPr>
          <w:rFonts w:ascii="times" w:hAnsi="times"/>
          <w:position w:val="5"/>
          <w:sz w:val="11"/>
          <w:sz w:val="14"/>
        </w:rPr>
        <w:t>(2)</w:t>
      </w:r>
    </w:p>
    <w:p>
      <w:pPr>
        <w:pStyle w:val="ListContents"/>
        <w:spacing w:before="0" w:after="283"/>
        <w:rPr>
          <w:rFonts w:ascii="times" w:hAnsi="times"/>
          <w:sz w:val="14"/>
        </w:rPr>
      </w:pPr>
      <w:r>
        <w:rPr>
          <w:rFonts w:ascii="times" w:hAnsi="times"/>
          <w:sz w:val="14"/>
        </w:rPr>
        <w:t xml:space="preserve">Income from continuing operations before cumulative effect of change in accounting principle pro forma for the impact of the January 1, 2006 change in our method of accounting for unit-based payment transactions would have been $224 million and $136 million for 2005 and 2004, respectively. In addition, basic net income per limited partner unit before cumulative effect of change in accounting principle would have been $2.81 ($2.76 diluted) and $1.98 ($1.98 diluted) for 2005 and 2004, respectively. </w:t>
      </w:r>
    </w:p>
    <w:p>
      <w:pPr>
        <w:pStyle w:val="ListHeading"/>
        <w:spacing w:before="0" w:after="0"/>
        <w:rPr>
          <w:rFonts w:ascii="times" w:hAnsi="times"/>
          <w:position w:val="5"/>
          <w:sz w:val="11"/>
          <w:sz w:val="14"/>
        </w:rPr>
      </w:pPr>
      <w:r>
        <w:rPr>
          <w:rFonts w:ascii="times" w:hAnsi="times"/>
          <w:position w:val="5"/>
          <w:sz w:val="11"/>
          <w:sz w:val="14"/>
        </w:rPr>
        <w:t>(3)</w:t>
      </w:r>
    </w:p>
    <w:p>
      <w:pPr>
        <w:pStyle w:val="ListContents"/>
        <w:spacing w:before="0" w:after="283"/>
        <w:rPr>
          <w:rFonts w:ascii="times" w:hAnsi="times"/>
          <w:sz w:val="14"/>
        </w:rPr>
      </w:pPr>
      <w:r>
        <w:rPr>
          <w:rFonts w:ascii="times" w:hAnsi="times"/>
          <w:sz w:val="14"/>
        </w:rPr>
        <w:t xml:space="preserve">Our general partner is entitled, directly or indirectly, to receive 2% proportional distributions, and also incentive distributions if the amount we distribute with respect to any quarter exceeds levels specified in our partnership agreement. See Note 5 to our Consolidated Financial Statements. </w:t>
      </w:r>
    </w:p>
    <w:p>
      <w:pPr>
        <w:pStyle w:val="ListHeading"/>
        <w:spacing w:before="0" w:after="0"/>
        <w:rPr>
          <w:rFonts w:ascii="times" w:hAnsi="times"/>
          <w:position w:val="5"/>
          <w:sz w:val="11"/>
          <w:sz w:val="14"/>
        </w:rPr>
      </w:pPr>
      <w:r>
        <w:rPr>
          <w:rFonts w:ascii="times" w:hAnsi="times"/>
          <w:position w:val="5"/>
          <w:sz w:val="11"/>
          <w:sz w:val="14"/>
        </w:rPr>
        <w:t>(4)</w:t>
      </w:r>
    </w:p>
    <w:p>
      <w:pPr>
        <w:pStyle w:val="ListContents"/>
        <w:spacing w:before="0" w:after="283"/>
        <w:rPr>
          <w:rFonts w:ascii="times" w:hAnsi="times"/>
          <w:sz w:val="14"/>
        </w:rPr>
      </w:pPr>
      <w:r>
        <w:rPr>
          <w:rFonts w:ascii="times" w:hAnsi="times"/>
          <w:sz w:val="14"/>
        </w:rPr>
        <w:t xml:space="preserve">Volumes associated with acquisitions represent total volumes for the number of days or months we actually owned the assets divided by the number of days or months in the year. </w:t>
      </w:r>
    </w:p>
    <w:p>
      <w:pPr>
        <w:pStyle w:val="ListHeading"/>
        <w:spacing w:before="0" w:after="0"/>
        <w:rPr>
          <w:rFonts w:ascii="times" w:hAnsi="times"/>
          <w:position w:val="5"/>
          <w:sz w:val="11"/>
          <w:sz w:val="14"/>
        </w:rPr>
      </w:pPr>
      <w:r>
        <w:rPr>
          <w:rFonts w:ascii="times" w:hAnsi="times"/>
          <w:position w:val="5"/>
          <w:sz w:val="11"/>
          <w:sz w:val="14"/>
        </w:rPr>
        <w:t>(5)</w:t>
      </w:r>
    </w:p>
    <w:p>
      <w:pPr>
        <w:pStyle w:val="ListContents"/>
        <w:spacing w:before="0" w:after="283"/>
        <w:rPr>
          <w:rFonts w:ascii="times" w:hAnsi="times"/>
          <w:sz w:val="14"/>
        </w:rPr>
      </w:pPr>
      <w:r>
        <w:rPr>
          <w:rFonts w:ascii="times" w:hAnsi="times"/>
          <w:sz w:val="14"/>
        </w:rPr>
        <w:t xml:space="preserve">Effective with the second quarter of 2008, facilities segment volumes with respect to crude oil and refined products are reported based on total shell capacity to provide uniform comparisons with respect to our activities for these products. Previously, such volumes were reported based on a combination of shell capacity and working capacity depending on the terms of the third-party or intra-company lease agreements. Natural gas and LPG volumes, which consist primarily of underground storage facilities, reflect working capacity as that is the primary basis upon which such facilities are leased. Corresponding metrics for prior periods have been conformed to this uniform approach. </w:t>
      </w:r>
    </w:p>
    <w:p>
      <w:pPr>
        <w:pStyle w:val="ListHeading"/>
        <w:spacing w:before="0" w:after="0"/>
        <w:rPr>
          <w:rFonts w:ascii="times" w:hAnsi="times"/>
          <w:position w:val="5"/>
          <w:sz w:val="11"/>
          <w:sz w:val="14"/>
        </w:rPr>
      </w:pPr>
      <w:r>
        <w:rPr>
          <w:rFonts w:ascii="times" w:hAnsi="times"/>
          <w:position w:val="5"/>
          <w:sz w:val="11"/>
          <w:sz w:val="14"/>
        </w:rPr>
        <w:t>(6)</w:t>
      </w:r>
    </w:p>
    <w:p>
      <w:pPr>
        <w:pStyle w:val="ListContents"/>
        <w:spacing w:before="0" w:after="283"/>
        <w:rPr>
          <w:rFonts w:ascii="times" w:hAnsi="times"/>
          <w:sz w:val="14"/>
        </w:rPr>
      </w:pPr>
      <w:r>
        <w:rPr>
          <w:rFonts w:ascii="times" w:hAnsi="times"/>
          <w:sz w:val="14"/>
        </w:rPr>
        <w:t xml:space="preserve">Facilities total is calculated as the sum of: (i) crude oil, refined products and LPG storage capacity; (ii) natural gas storage capacity divided by 6 to account for the 6:1 mcf of gas to crude oil barrel ratio; and (iii) LPG processing volumes multiplied by the number of days in the year and divided by the number of months in the year. </w:t>
      </w:r>
    </w:p>
    <w:p>
      <w:pPr>
        <w:pStyle w:val="TextBody"/>
        <w:jc w:val="center"/>
        <w:rPr>
          <w:rFonts w:ascii="times" w:hAnsi="times"/>
          <w:sz w:val="20"/>
        </w:rPr>
      </w:pPr>
      <w:r>
        <w:rPr>
          <w:rFonts w:ascii="times" w:hAnsi="times"/>
          <w:sz w:val="20"/>
        </w:rPr>
        <w:t>71</w:t>
      </w:r>
    </w:p>
    <w:p>
      <w:pPr>
        <w:pStyle w:val="HorizontalLine"/>
        <w:pBdr>
          <w:bottom w:val="single" w:sz="20" w:space="0" w:color="808080"/>
        </w:pBdr>
        <w:rPr/>
      </w:pPr>
      <w:r>
        <w:rPr/>
      </w:r>
      <w:r>
        <w:br w:type="page"/>
      </w:r>
    </w:p>
    <w:p>
      <w:pPr>
        <w:pStyle w:val="TextBody"/>
        <w:rPr/>
      </w:pPr>
      <w:hyperlink w:anchor="bg12101a_main_toc">
        <w:bookmarkStart w:id="98" w:name="page_du12101_1_72"/>
        <w:bookmarkEnd w:id="98"/>
        <w:r>
          <w:rPr>
            <w:rStyle w:val="InternetLink"/>
            <w:rFonts w:ascii="times" w:hAnsi="times"/>
            <w:sz w:val="20"/>
          </w:rPr>
          <w:t>Table of Contents</w:t>
        </w:r>
      </w:hyperlink>
    </w:p>
    <w:p>
      <w:pPr>
        <w:pStyle w:val="TextBody"/>
        <w:rPr>
          <w:rFonts w:ascii="times" w:hAnsi="times"/>
        </w:rPr>
      </w:pPr>
      <w:bookmarkStart w:id="99" w:name="toc_du12101_4"/>
      <w:bookmarkStart w:id="100" w:name="du12101_item_7._management_s_discussio__"/>
      <w:bookmarkEnd w:id="99"/>
      <w:bookmarkEnd w:id="100"/>
      <w:r>
        <w:rPr>
          <w:rFonts w:ascii="times" w:hAnsi="times"/>
          <w:b/>
          <w:sz w:val="20"/>
        </w:rPr>
        <w:t>Item 7.   </w:t>
      </w:r>
      <w:r>
        <w:rPr>
          <w:rFonts w:ascii="times" w:hAnsi="times"/>
          <w:b/>
          <w:i/>
          <w:sz w:val="20"/>
        </w:rPr>
        <w:t xml:space="preserve">Management's Discussion and Analysis of Financial Condition and Results of Operations </w:t>
      </w:r>
    </w:p>
    <w:p>
      <w:pPr>
        <w:pStyle w:val="TextBody"/>
        <w:rPr>
          <w:rFonts w:ascii="times" w:hAnsi="times"/>
          <w:b/>
          <w:sz w:val="20"/>
        </w:rPr>
      </w:pPr>
      <w:r>
        <w:rPr>
          <w:rFonts w:ascii="times" w:hAnsi="times"/>
          <w:b/>
          <w:sz w:val="20"/>
        </w:rPr>
        <w:t xml:space="preserve">Introduction </w:t>
      </w:r>
    </w:p>
    <w:p>
      <w:pPr>
        <w:pStyle w:val="TextBody"/>
        <w:rPr/>
      </w:pPr>
      <w:r>
        <w:rPr/>
        <w:t>        </w:t>
      </w:r>
      <w:r>
        <w:rPr>
          <w:rFonts w:ascii="times" w:hAnsi="times"/>
          <w:sz w:val="20"/>
        </w:rPr>
        <w:t xml:space="preserve">The following discussion is intended to provide investors with an understanding of our financial condition and results of our operations and should be read in conjunction with our historical consolidated financial statements and accompanying notes. </w:t>
      </w:r>
    </w:p>
    <w:p>
      <w:pPr>
        <w:pStyle w:val="TextBody"/>
        <w:rPr/>
      </w:pPr>
      <w:r>
        <w:rPr/>
        <w:t>        </w:t>
      </w:r>
      <w:r>
        <w:rPr>
          <w:rFonts w:ascii="times" w:hAnsi="times"/>
          <w:sz w:val="20"/>
        </w:rPr>
        <w:t xml:space="preserve">Our discussion and analysis includes the following: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Executive Summary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Internal Growth Projects and Acquisitions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Critical Accounting Policies and Estimates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Recent Accounting Pronouncements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Results of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Outlook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Liquidity and Capital Resources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Off-Balance Sheet Arrangements </w:t>
      </w:r>
    </w:p>
    <w:p>
      <w:pPr>
        <w:pStyle w:val="TextBody"/>
        <w:rPr>
          <w:rFonts w:ascii="times" w:hAnsi="times"/>
          <w:b/>
          <w:sz w:val="20"/>
        </w:rPr>
      </w:pPr>
      <w:r>
        <w:rPr>
          <w:rFonts w:ascii="times" w:hAnsi="times"/>
          <w:b/>
          <w:sz w:val="20"/>
        </w:rPr>
        <w:t xml:space="preserve">Executive Summary </w:t>
      </w:r>
    </w:p>
    <w:p>
      <w:pPr>
        <w:pStyle w:val="TextBody"/>
        <w:rPr>
          <w:rFonts w:ascii="times" w:hAnsi="times"/>
          <w:b/>
          <w:i/>
          <w:sz w:val="20"/>
        </w:rPr>
      </w:pPr>
      <w:r>
        <w:rPr>
          <w:rFonts w:ascii="times" w:hAnsi="times"/>
          <w:b/>
          <w:i/>
          <w:sz w:val="20"/>
        </w:rPr>
        <w:t xml:space="preserve">Company Overview </w:t>
      </w:r>
    </w:p>
    <w:p>
      <w:pPr>
        <w:pStyle w:val="TextBody"/>
        <w:rPr/>
      </w:pPr>
      <w:r>
        <w:rPr/>
        <w:t>        </w:t>
      </w:r>
      <w:r>
        <w:rPr>
          <w:rFonts w:ascii="times" w:hAnsi="times"/>
          <w:sz w:val="20"/>
        </w:rPr>
        <w:t xml:space="preserve">We are engaged in the transportation, storage, terminalling and marketing of crude oil, refined products and LPG. In addition, through our 50% equity ownership in PAA/Vulcan, we are involved in the development and operation of natural gas storage facilities. We were formed in 1998, and our operations are conducted directly and indirectly through our operating subsidiaries and are managed through three operating segments: (i) Transportation, (ii) Facilities and (iii) Marketing. See "Results of OperationsAnalysis of Operating Segments" for further discussion. </w:t>
      </w:r>
    </w:p>
    <w:p>
      <w:pPr>
        <w:pStyle w:val="TextBody"/>
        <w:rPr>
          <w:rFonts w:ascii="times" w:hAnsi="times"/>
          <w:b/>
          <w:i/>
          <w:sz w:val="20"/>
        </w:rPr>
      </w:pPr>
      <w:r>
        <w:rPr>
          <w:rFonts w:ascii="times" w:hAnsi="times"/>
          <w:b/>
          <w:i/>
          <w:sz w:val="20"/>
        </w:rPr>
        <w:t xml:space="preserve">Overview of Operating Results, Capital Spending and Significant Activities </w:t>
      </w:r>
    </w:p>
    <w:p>
      <w:pPr>
        <w:pStyle w:val="TextBody"/>
        <w:rPr/>
      </w:pPr>
      <w:r>
        <w:rPr/>
        <w:t>        </w:t>
      </w:r>
      <w:r>
        <w:rPr>
          <w:rFonts w:ascii="times" w:hAnsi="times"/>
          <w:sz w:val="20"/>
        </w:rPr>
        <w:t xml:space="preserve">During 2008, our operations provided solid growth over 2007 and 2006 levels. The growth was driven primarily by our fee based activities included in our Transportation and Facilities segments. Much of the growth in these segments resulted from expanding our asset base through acquisitions and our ongoing internal growth projects. Our Marketing segment provided a positive contribution, but was down from 2007 and 2006. Lease gathering margins were stronger in 2008 than 2007. However, the 2007 results benefited from a contango crude oil market structure (which existed during the first half of the year), favorable crude oil differentials and favorable LPG margins. Key items impacting 2008 include: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Eight months' contributions to earnings from the Rainbow acquisition, which was completed in May 2008 for consideration of approximately $687 million, as well as increased earnings resulting from prior acquisitions and expansion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net loss of $11 million resulting from inventory valuation adjustments partially offset by related net gains from derivative activities. This net loss includes a loss of $145 million resulting from a write-down of inventory to its net realizable value. That loss is partially offset by gains of $134 million on related derivatives. The inventory adjustment and the derivative gains were primarily the result of the significant decrease in crude oil and LPG prices that occurred during the second half of 2008. </w:t>
      </w:r>
    </w:p>
    <w:p>
      <w:pPr>
        <w:pStyle w:val="TextBody"/>
        <w:jc w:val="center"/>
        <w:rPr>
          <w:rFonts w:ascii="times" w:hAnsi="times"/>
          <w:sz w:val="20"/>
        </w:rPr>
      </w:pPr>
      <w:r>
        <w:rPr>
          <w:rFonts w:ascii="times" w:hAnsi="times"/>
          <w:sz w:val="20"/>
        </w:rPr>
        <w:t>72</w:t>
      </w:r>
    </w:p>
    <w:p>
      <w:pPr>
        <w:pStyle w:val="HorizontalLine"/>
        <w:pBdr>
          <w:bottom w:val="single" w:sz="20" w:space="0" w:color="808080"/>
        </w:pBdr>
        <w:rPr/>
      </w:pPr>
      <w:r>
        <w:rPr/>
      </w:r>
      <w:r>
        <w:br w:type="page"/>
      </w:r>
    </w:p>
    <w:p>
      <w:pPr>
        <w:pStyle w:val="TextBody"/>
        <w:rPr/>
      </w:pPr>
      <w:hyperlink w:anchor="bg12101a_main_toc">
        <w:bookmarkStart w:id="101" w:name="page_dw12101_1_73"/>
        <w:bookmarkEnd w:id="101"/>
        <w:r>
          <w:rPr>
            <w:rStyle w:val="InternetLink"/>
            <w:rFonts w:ascii="times" w:hAnsi="times"/>
            <w:sz w:val="20"/>
          </w:rPr>
          <w:t>Table of Contents</w:t>
        </w:r>
      </w:hyperlink>
      <w:r>
        <w:rPr>
          <w:rFonts w:ascii="times" w:hAnsi="times"/>
          <w:sz w:val="20"/>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net gain of $7 million related to other derivative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gain of approximately $29 million related to the settlement of the foreign currency and linefill hedges entered into in conjunction with the Rainbow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Decreased earnings and increased expenses totaling an estimated $15 million to $20 million due to impacts of Hurricanes Gustav and Ike, both of which came through the Gulf Coast area during 2008.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gain of approximately $14 million resulting from the sale of our NYMEX seats and shares in NYMEX Holdings, Inc., which merged with CME Group Inc.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Equity compensation plan expense of $24 million for 2008 compared to $49 million for the prior period. The decreased expense is primarily the result of the decrease in unit price for 2008 compared to the increase in unit price for 2007. The impact of the change in unit price was partially offset by additional LTIP grants that are considered probable of vesting and additional expense for Class B units. The Class B plan was not in existence for most of 2007.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issuance of $600 million of senior notes for net proceeds of approximately $597 million and the issuance of approximately 7 million limited partner units for net proceeds of approximately $315 million. </w:t>
      </w:r>
    </w:p>
    <w:p>
      <w:pPr>
        <w:pStyle w:val="TextBody"/>
        <w:rPr>
          <w:rFonts w:ascii="times" w:hAnsi="times"/>
          <w:b/>
          <w:sz w:val="20"/>
        </w:rPr>
      </w:pPr>
      <w:r>
        <w:rPr>
          <w:rFonts w:ascii="times" w:hAnsi="times"/>
          <w:b/>
          <w:sz w:val="20"/>
        </w:rPr>
        <w:t xml:space="preserve">Internal Growth Projects and Acquisitions </w:t>
      </w:r>
    </w:p>
    <w:p>
      <w:pPr>
        <w:pStyle w:val="TextBody"/>
        <w:rPr/>
      </w:pPr>
      <w:r>
        <w:rPr/>
        <w:t>        </w:t>
      </w:r>
      <w:r>
        <w:rPr>
          <w:rFonts w:ascii="times" w:hAnsi="times"/>
          <w:sz w:val="20"/>
        </w:rPr>
        <w:t xml:space="preserve">We completed a number of capital expansion projects and acquisitions in 2008, 2007 and 2006 that have impacted our results of operations and, combined with prudent financing, enabled us to enhance our liquidity, as discussed herein. The following table summarizes our capital expenditures for acquisitions, investments in unconsolidated entities, internal growth projects and maintenance capital for the periods indicated (in millions): </w:t>
      </w:r>
    </w:p>
    <w:tbl>
      <w:tblPr>
        <w:tblW w:w="6360" w:type="dxa"/>
        <w:jc w:val="center"/>
        <w:tblInd w:w="0" w:type="dxa"/>
        <w:tblCellMar>
          <w:top w:w="0" w:type="dxa"/>
          <w:left w:w="0" w:type="dxa"/>
          <w:bottom w:w="0" w:type="dxa"/>
          <w:right w:w="0" w:type="dxa"/>
        </w:tblCellMar>
      </w:tblPr>
      <w:tblGrid>
        <w:gridCol w:w="3990"/>
        <w:gridCol w:w="180"/>
        <w:gridCol w:w="125"/>
        <w:gridCol w:w="485"/>
        <w:gridCol w:w="225"/>
        <w:gridCol w:w="125"/>
        <w:gridCol w:w="335"/>
        <w:gridCol w:w="225"/>
        <w:gridCol w:w="125"/>
        <w:gridCol w:w="485"/>
        <w:gridCol w:w="60"/>
      </w:tblGrid>
      <w:tr>
        <w:trPr/>
        <w:tc>
          <w:tcPr>
            <w:tcW w:w="39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99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130"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Year Ended</w:t>
              <w:br/>
              <w:t xml:space="preserve">December 31, </w:t>
            </w:r>
          </w:p>
        </w:tc>
        <w:tc>
          <w:tcPr>
            <w:tcW w:w="60" w:type="dxa"/>
            <w:tcBorders/>
            <w:shd w:fill="auto" w:val="clear"/>
            <w:vAlign w:val="bottom"/>
          </w:tcPr>
          <w:p>
            <w:pPr>
              <w:pStyle w:val="TableHeading"/>
              <w:suppressLineNumbers/>
              <w:spacing w:before="0" w:after="283"/>
              <w:jc w:val="center"/>
              <w:rPr/>
            </w:pPr>
            <w:r>
              <w:rPr/>
              <w:t> </w:t>
            </w:r>
          </w:p>
        </w:tc>
      </w:tr>
      <w:tr>
        <w:trPr/>
        <w:tc>
          <w:tcPr>
            <w:tcW w:w="399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0" w:type="dxa"/>
            <w:tcBorders/>
            <w:shd w:fill="auto" w:val="clear"/>
            <w:vAlign w:val="bottom"/>
          </w:tcPr>
          <w:p>
            <w:pPr>
              <w:pStyle w:val="TableHeading"/>
              <w:suppressLineNumbers/>
              <w:spacing w:before="0" w:after="283"/>
              <w:jc w:val="center"/>
              <w:rPr/>
            </w:pPr>
            <w:r>
              <w:rPr/>
              <w:t> </w:t>
            </w:r>
          </w:p>
        </w:tc>
      </w:tr>
      <w:tr>
        <w:trPr/>
        <w:tc>
          <w:tcPr>
            <w:tcW w:w="3990" w:type="dxa"/>
            <w:tcBorders/>
            <w:shd w:fill="CCEEFF" w:val="clear"/>
          </w:tcPr>
          <w:p>
            <w:pPr>
              <w:pStyle w:val="TableContents"/>
              <w:spacing w:before="0" w:after="283"/>
              <w:ind w:left="200" w:right="0" w:hanging="200"/>
              <w:rPr>
                <w:rFonts w:ascii="times" w:hAnsi="times"/>
                <w:sz w:val="20"/>
              </w:rPr>
            </w:pPr>
            <w:r>
              <w:rPr>
                <w:rFonts w:ascii="times" w:hAnsi="times"/>
                <w:sz w:val="20"/>
              </w:rPr>
              <w:t>Acquisition capital</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735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125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3,021</w:t>
            </w:r>
          </w:p>
        </w:tc>
        <w:tc>
          <w:tcPr>
            <w:tcW w:w="60" w:type="dxa"/>
            <w:tcBorders/>
            <w:shd w:fill="CCEEFF" w:val="clear"/>
          </w:tcPr>
          <w:p>
            <w:pPr>
              <w:pStyle w:val="TableContents"/>
              <w:spacing w:before="0" w:after="283"/>
              <w:rPr/>
            </w:pPr>
            <w:r>
              <w:rPr/>
              <w:t> </w:t>
            </w:r>
          </w:p>
        </w:tc>
      </w:tr>
      <w:tr>
        <w:trPr/>
        <w:tc>
          <w:tcPr>
            <w:tcW w:w="3990" w:type="dxa"/>
            <w:tcBorders/>
            <w:shd w:fill="FFFFFF" w:val="clear"/>
          </w:tcPr>
          <w:p>
            <w:pPr>
              <w:pStyle w:val="TableContents"/>
              <w:spacing w:before="0" w:after="283"/>
              <w:ind w:left="200" w:right="0" w:hanging="200"/>
              <w:rPr>
                <w:rFonts w:ascii="times" w:hAnsi="times"/>
                <w:sz w:val="20"/>
              </w:rPr>
            </w:pPr>
            <w:r>
              <w:rPr>
                <w:rFonts w:ascii="times" w:hAnsi="times"/>
                <w:sz w:val="20"/>
              </w:rPr>
              <w:t>Investment in unconsolidated entities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37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9</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44</w:t>
            </w:r>
          </w:p>
        </w:tc>
        <w:tc>
          <w:tcPr>
            <w:tcW w:w="60" w:type="dxa"/>
            <w:tcBorders/>
            <w:shd w:fill="FFFFFF" w:val="clear"/>
          </w:tcPr>
          <w:p>
            <w:pPr>
              <w:pStyle w:val="TableContents"/>
              <w:spacing w:before="0" w:after="283"/>
              <w:rPr/>
            </w:pPr>
            <w:r>
              <w:rPr/>
              <w:t> </w:t>
            </w:r>
          </w:p>
        </w:tc>
      </w:tr>
      <w:tr>
        <w:trPr/>
        <w:tc>
          <w:tcPr>
            <w:tcW w:w="3990" w:type="dxa"/>
            <w:tcBorders/>
            <w:shd w:fill="CCEEFF" w:val="clear"/>
          </w:tcPr>
          <w:p>
            <w:pPr>
              <w:pStyle w:val="TableContents"/>
              <w:spacing w:before="0" w:after="283"/>
              <w:ind w:left="200" w:right="0" w:hanging="200"/>
              <w:rPr>
                <w:rFonts w:ascii="times" w:hAnsi="times"/>
                <w:sz w:val="20"/>
              </w:rPr>
            </w:pPr>
            <w:r>
              <w:rPr>
                <w:rFonts w:ascii="times" w:hAnsi="times"/>
                <w:sz w:val="20"/>
              </w:rPr>
              <w:t>Internal growth projects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491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525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332</w:t>
            </w:r>
          </w:p>
        </w:tc>
        <w:tc>
          <w:tcPr>
            <w:tcW w:w="60" w:type="dxa"/>
            <w:tcBorders/>
            <w:shd w:fill="CCEEFF" w:val="clear"/>
          </w:tcPr>
          <w:p>
            <w:pPr>
              <w:pStyle w:val="TableContents"/>
              <w:spacing w:before="0" w:after="283"/>
              <w:rPr/>
            </w:pPr>
            <w:r>
              <w:rPr/>
              <w:t> </w:t>
            </w:r>
          </w:p>
        </w:tc>
      </w:tr>
      <w:tr>
        <w:trPr/>
        <w:tc>
          <w:tcPr>
            <w:tcW w:w="3990" w:type="dxa"/>
            <w:tcBorders/>
            <w:shd w:fill="FFFFFF" w:val="clear"/>
          </w:tcPr>
          <w:p>
            <w:pPr>
              <w:pStyle w:val="TableContents"/>
              <w:spacing w:before="0" w:after="283"/>
              <w:ind w:left="200" w:right="0" w:hanging="200"/>
              <w:rPr>
                <w:rFonts w:ascii="times" w:hAnsi="times"/>
                <w:sz w:val="20"/>
              </w:rPr>
            </w:pPr>
            <w:r>
              <w:rPr>
                <w:rFonts w:ascii="times" w:hAnsi="times"/>
                <w:sz w:val="20"/>
              </w:rPr>
              <w:t>Maintenance capital</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81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50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28</w:t>
            </w:r>
          </w:p>
        </w:tc>
        <w:tc>
          <w:tcPr>
            <w:tcW w:w="60" w:type="dxa"/>
            <w:tcBorders/>
            <w:shd w:fill="FFFFFF" w:val="clear"/>
          </w:tcPr>
          <w:p>
            <w:pPr>
              <w:pStyle w:val="TableContents"/>
              <w:spacing w:before="0" w:after="283"/>
              <w:rPr/>
            </w:pPr>
            <w:r>
              <w:rPr/>
              <w:t> </w:t>
            </w:r>
          </w:p>
        </w:tc>
      </w:tr>
      <w:tr>
        <w:trPr/>
        <w:tc>
          <w:tcPr>
            <w:tcW w:w="399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990"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1,344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709</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3,425</w:t>
            </w:r>
          </w:p>
        </w:tc>
        <w:tc>
          <w:tcPr>
            <w:tcW w:w="60" w:type="dxa"/>
            <w:tcBorders/>
            <w:shd w:fill="CCEEFF" w:val="clear"/>
          </w:tcPr>
          <w:p>
            <w:pPr>
              <w:pStyle w:val="TableContents"/>
              <w:spacing w:before="0" w:after="283"/>
              <w:rPr/>
            </w:pPr>
            <w:r>
              <w:rPr/>
              <w:t> </w:t>
            </w:r>
          </w:p>
        </w:tc>
      </w:tr>
      <w:tr>
        <w:trPr/>
        <w:tc>
          <w:tcPr>
            <w:tcW w:w="399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73</w:t>
      </w:r>
    </w:p>
    <w:p>
      <w:pPr>
        <w:pStyle w:val="HorizontalLine"/>
        <w:pBdr>
          <w:bottom w:val="single" w:sz="20" w:space="0" w:color="808080"/>
        </w:pBdr>
        <w:rPr/>
      </w:pPr>
      <w:r>
        <w:rPr/>
      </w:r>
      <w:r>
        <w:br w:type="page"/>
      </w:r>
    </w:p>
    <w:p>
      <w:pPr>
        <w:pStyle w:val="TextBody"/>
        <w:rPr/>
      </w:pPr>
      <w:hyperlink w:anchor="bg12101a_main_toc">
        <w:bookmarkStart w:id="102" w:name="page_dw12101_1_74"/>
        <w:bookmarkEnd w:id="102"/>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Internal Growth Projects </w:t>
      </w:r>
    </w:p>
    <w:p>
      <w:pPr>
        <w:pStyle w:val="TextBody"/>
        <w:rPr/>
      </w:pPr>
      <w:r>
        <w:rPr/>
        <w:t>        </w:t>
      </w:r>
      <w:r>
        <w:rPr>
          <w:rFonts w:ascii="times" w:hAnsi="times"/>
          <w:sz w:val="20"/>
        </w:rPr>
        <w:t xml:space="preserve">Our 2008 projects included the construction and expansion of pipeline systems and crude oil storage and terminal facilities. The following table summarizes our 2008 and 2007 projects (in millions): </w:t>
      </w:r>
    </w:p>
    <w:tbl>
      <w:tblPr>
        <w:tblW w:w="6080" w:type="dxa"/>
        <w:jc w:val="center"/>
        <w:tblInd w:w="0" w:type="dxa"/>
        <w:tblCellMar>
          <w:top w:w="0" w:type="dxa"/>
          <w:left w:w="0" w:type="dxa"/>
          <w:bottom w:w="0" w:type="dxa"/>
          <w:right w:w="0" w:type="dxa"/>
        </w:tblCellMar>
      </w:tblPr>
      <w:tblGrid>
        <w:gridCol w:w="150"/>
        <w:gridCol w:w="4545"/>
        <w:gridCol w:w="180"/>
        <w:gridCol w:w="125"/>
        <w:gridCol w:w="335"/>
        <w:gridCol w:w="225"/>
        <w:gridCol w:w="125"/>
        <w:gridCol w:w="335"/>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45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69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Projects </w:t>
            </w:r>
          </w:p>
        </w:tc>
        <w:tc>
          <w:tcPr>
            <w:tcW w:w="18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60" w:type="dxa"/>
            <w:tcBorders/>
            <w:shd w:fill="auto" w:val="clear"/>
            <w:vAlign w:val="bottom"/>
          </w:tcPr>
          <w:p>
            <w:pPr>
              <w:pStyle w:val="TableHeading"/>
              <w:suppressLineNumbers/>
              <w:spacing w:before="0" w:after="283"/>
              <w:jc w:val="center"/>
              <w:rPr/>
            </w:pPr>
            <w:r>
              <w:rPr/>
              <w:t> </w:t>
            </w:r>
          </w:p>
        </w:tc>
      </w:tr>
      <w:tr>
        <w:trPr/>
        <w:tc>
          <w:tcPr>
            <w:tcW w:w="46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Salt Lake City expansion</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154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72</w:t>
            </w:r>
          </w:p>
        </w:tc>
        <w:tc>
          <w:tcPr>
            <w:tcW w:w="60" w:type="dxa"/>
            <w:tcBorders/>
            <w:shd w:fill="CCEEFF" w:val="clear"/>
          </w:tcPr>
          <w:p>
            <w:pPr>
              <w:pStyle w:val="TableContents"/>
              <w:spacing w:before="0" w:after="283"/>
              <w:rPr/>
            </w:pPr>
            <w:r>
              <w:rPr/>
              <w:t> </w:t>
            </w:r>
          </w:p>
        </w:tc>
      </w:tr>
      <w:tr>
        <w:trPr/>
        <w:tc>
          <w:tcPr>
            <w:tcW w:w="469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Patoka tankage</w:t>
            </w:r>
            <w:r>
              <w:rPr>
                <w:rFonts w:ascii="times" w:hAnsi="times"/>
                <w:position w:val="7"/>
                <w:sz w:val="16"/>
                <w:sz w:val="20"/>
              </w:rPr>
              <w:t>(1)</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56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30</w:t>
            </w:r>
          </w:p>
        </w:tc>
        <w:tc>
          <w:tcPr>
            <w:tcW w:w="60" w:type="dxa"/>
            <w:tcBorders/>
            <w:shd w:fill="FFFFFF" w:val="clear"/>
          </w:tcPr>
          <w:p>
            <w:pPr>
              <w:pStyle w:val="TableContents"/>
              <w:spacing w:before="0" w:after="283"/>
              <w:rPr/>
            </w:pPr>
            <w:r>
              <w:rPr/>
              <w:t> </w:t>
            </w:r>
          </w:p>
        </w:tc>
      </w:tr>
      <w:tr>
        <w:trPr/>
        <w:tc>
          <w:tcPr>
            <w:tcW w:w="46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Paulsboro tankage</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30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469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St. JamesPhase III</w:t>
            </w:r>
            <w:r>
              <w:rPr>
                <w:rFonts w:ascii="times" w:hAnsi="times"/>
                <w:position w:val="7"/>
                <w:sz w:val="16"/>
                <w:sz w:val="20"/>
              </w:rPr>
              <w:t>(1)</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27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r>
        <w:trPr/>
        <w:tc>
          <w:tcPr>
            <w:tcW w:w="46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Fort Laramie tank expansion</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12</w:t>
            </w:r>
          </w:p>
        </w:tc>
        <w:tc>
          <w:tcPr>
            <w:tcW w:w="60" w:type="dxa"/>
            <w:tcBorders/>
            <w:shd w:fill="CCEEFF" w:val="clear"/>
          </w:tcPr>
          <w:p>
            <w:pPr>
              <w:pStyle w:val="TableContents"/>
              <w:spacing w:before="0" w:after="283"/>
              <w:rPr/>
            </w:pPr>
            <w:r>
              <w:rPr/>
              <w:t> </w:t>
            </w:r>
          </w:p>
        </w:tc>
      </w:tr>
      <w:tr>
        <w:trPr/>
        <w:tc>
          <w:tcPr>
            <w:tcW w:w="469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St. James, Louisiana storage facility</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82</w:t>
            </w:r>
          </w:p>
        </w:tc>
        <w:tc>
          <w:tcPr>
            <w:tcW w:w="60" w:type="dxa"/>
            <w:tcBorders/>
            <w:shd w:fill="FFFFFF" w:val="clear"/>
          </w:tcPr>
          <w:p>
            <w:pPr>
              <w:pStyle w:val="TableContents"/>
              <w:spacing w:before="0" w:after="283"/>
              <w:rPr/>
            </w:pPr>
            <w:r>
              <w:rPr/>
              <w:t> </w:t>
            </w:r>
          </w:p>
        </w:tc>
      </w:tr>
      <w:tr>
        <w:trPr/>
        <w:tc>
          <w:tcPr>
            <w:tcW w:w="46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Rangeland tankage</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469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Pier 400</w:t>
            </w:r>
            <w:r>
              <w:rPr>
                <w:rFonts w:ascii="times" w:hAnsi="times"/>
                <w:position w:val="7"/>
                <w:sz w:val="16"/>
                <w:sz w:val="20"/>
              </w:rPr>
              <w:t>(2)</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6</w:t>
            </w:r>
          </w:p>
        </w:tc>
        <w:tc>
          <w:tcPr>
            <w:tcW w:w="60" w:type="dxa"/>
            <w:tcBorders/>
            <w:shd w:fill="FFFFFF" w:val="clear"/>
          </w:tcPr>
          <w:p>
            <w:pPr>
              <w:pStyle w:val="TableContents"/>
              <w:spacing w:before="0" w:after="283"/>
              <w:rPr/>
            </w:pPr>
            <w:r>
              <w:rPr/>
              <w:t> </w:t>
            </w:r>
          </w:p>
        </w:tc>
      </w:tr>
      <w:tr>
        <w:trPr/>
        <w:tc>
          <w:tcPr>
            <w:tcW w:w="46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Kerrobert pumping project</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9</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469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 projects</w:t>
            </w:r>
            <w:r>
              <w:rPr>
                <w:rFonts w:ascii="times" w:hAnsi="times"/>
                <w:position w:val="7"/>
                <w:sz w:val="16"/>
                <w:sz w:val="20"/>
              </w:rPr>
              <w:t>(3)</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156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323</w:t>
            </w:r>
          </w:p>
        </w:tc>
        <w:tc>
          <w:tcPr>
            <w:tcW w:w="60" w:type="dxa"/>
            <w:tcBorders/>
            <w:shd w:fill="FFFFFF" w:val="clear"/>
          </w:tcPr>
          <w:p>
            <w:pPr>
              <w:pStyle w:val="TableContents"/>
              <w:spacing w:before="0" w:after="283"/>
              <w:rPr/>
            </w:pPr>
            <w:r>
              <w:rPr/>
              <w:t> </w:t>
            </w:r>
          </w:p>
        </w:tc>
      </w:tr>
      <w:tr>
        <w:trPr/>
        <w:tc>
          <w:tcPr>
            <w:tcW w:w="469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545" w:type="dxa"/>
            <w:tcBorders/>
            <w:shd w:fill="CCEE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491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525</w:t>
            </w:r>
          </w:p>
        </w:tc>
        <w:tc>
          <w:tcPr>
            <w:tcW w:w="60" w:type="dxa"/>
            <w:tcBorders/>
            <w:shd w:fill="CCEEFF" w:val="clear"/>
          </w:tcPr>
          <w:p>
            <w:pPr>
              <w:pStyle w:val="TableContents"/>
              <w:spacing w:before="0" w:after="283"/>
              <w:rPr/>
            </w:pPr>
            <w:r>
              <w:rPr/>
              <w:t> </w:t>
            </w:r>
          </w:p>
        </w:tc>
      </w:tr>
      <w:tr>
        <w:trPr/>
        <w:tc>
          <w:tcPr>
            <w:tcW w:w="469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These projects will continue into 2009. See "Liquidity and Capital ResourcesUses of LiquidityCapital Expenditures and Distributions Paid to Unitholders and General Partner2009 Capital Expansion Projects."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This project requires approval of a number of city and state regulatory agencies in California. Accordingly, the timing and amount of additional costs, if any, related to Pier 400 are not certain at this time. Does not include intangible expenditures of approximately $5 million for emission reduction credits.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Primarily pipeline connections, upgrades and truck stations as well as new tank construction and refurbishing. </w:t>
      </w:r>
    </w:p>
    <w:p>
      <w:pPr>
        <w:pStyle w:val="TextBody"/>
        <w:rPr>
          <w:rFonts w:ascii="times" w:hAnsi="times"/>
          <w:b/>
          <w:i/>
          <w:sz w:val="20"/>
        </w:rPr>
      </w:pPr>
      <w:r>
        <w:rPr>
          <w:rFonts w:ascii="times" w:hAnsi="times"/>
          <w:b/>
          <w:i/>
          <w:sz w:val="20"/>
        </w:rPr>
        <w:t xml:space="preserve">Acquisitions </w:t>
      </w:r>
    </w:p>
    <w:p>
      <w:pPr>
        <w:pStyle w:val="TextBody"/>
        <w:rPr/>
      </w:pPr>
      <w:r>
        <w:rPr/>
        <w:t>        </w:t>
      </w:r>
      <w:r>
        <w:rPr>
          <w:rFonts w:ascii="times" w:hAnsi="times"/>
          <w:sz w:val="20"/>
        </w:rPr>
        <w:t xml:space="preserve">Acquisitions are financed using a combination of equity and debt, including borrowings under our credit facilities and the issuance of senior notes. Businesses acquired impact our results of operations commencing on the effective date of each acquisition. Our ongoing acquisition and capital expansion activities are discussed further in "Liquidity and Capital Resources" and in Note 3 to our </w:t>
      </w:r>
    </w:p>
    <w:p>
      <w:pPr>
        <w:pStyle w:val="TextBody"/>
        <w:jc w:val="center"/>
        <w:rPr>
          <w:rFonts w:ascii="times" w:hAnsi="times"/>
          <w:sz w:val="20"/>
        </w:rPr>
      </w:pPr>
      <w:r>
        <w:rPr>
          <w:rFonts w:ascii="times" w:hAnsi="times"/>
          <w:sz w:val="20"/>
        </w:rPr>
        <w:t>74</w:t>
      </w:r>
    </w:p>
    <w:p>
      <w:pPr>
        <w:pStyle w:val="HorizontalLine"/>
        <w:pBdr>
          <w:bottom w:val="single" w:sz="20" w:space="0" w:color="808080"/>
        </w:pBdr>
        <w:rPr/>
      </w:pPr>
      <w:r>
        <w:rPr/>
      </w:r>
      <w:r>
        <w:br w:type="page"/>
      </w:r>
    </w:p>
    <w:p>
      <w:pPr>
        <w:pStyle w:val="TextBody"/>
        <w:rPr/>
      </w:pPr>
      <w:hyperlink w:anchor="bg12101a_main_toc">
        <w:bookmarkStart w:id="103" w:name="page_dw12101_1_75"/>
        <w:bookmarkEnd w:id="103"/>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Consolidated Financial Statements. Information regarding acquisitions completed in 2008, 2007 and 2006 is set forth in the table below (in millions): </w:t>
      </w:r>
    </w:p>
    <w:p>
      <w:pPr>
        <w:pStyle w:val="TextBody"/>
        <w:jc w:val="center"/>
        <w:rPr>
          <w:rFonts w:ascii="times" w:hAnsi="times"/>
        </w:rPr>
      </w:pPr>
      <w:bookmarkStart w:id="104" w:name="toc_dw12101_1"/>
      <w:bookmarkStart w:id="105" w:name="dw12101_acquisitions"/>
      <w:bookmarkEnd w:id="104"/>
      <w:bookmarkEnd w:id="105"/>
      <w:r>
        <w:rPr>
          <w:rFonts w:ascii="times" w:hAnsi="times"/>
          <w:sz w:val="20"/>
        </w:rPr>
        <w:br/>
      </w:r>
      <w:r>
        <w:rPr>
          <w:rFonts w:ascii="times" w:hAnsi="times"/>
          <w:b/>
          <w:sz w:val="20"/>
          <w:u w:val="single"/>
        </w:rPr>
        <w:t>Acquisitions</w:t>
      </w:r>
      <w:r>
        <w:rPr>
          <w:rFonts w:ascii="times" w:hAnsi="times"/>
          <w:b/>
          <w:sz w:val="20"/>
        </w:rPr>
        <w:t xml:space="preserve"> </w:t>
      </w:r>
    </w:p>
    <w:tbl>
      <w:tblPr>
        <w:tblW w:w="7274" w:type="dxa"/>
        <w:jc w:val="center"/>
        <w:tblInd w:w="0" w:type="dxa"/>
        <w:tblCellMar>
          <w:top w:w="0" w:type="dxa"/>
          <w:left w:w="0" w:type="dxa"/>
          <w:bottom w:w="0" w:type="dxa"/>
          <w:right w:w="0" w:type="dxa"/>
        </w:tblCellMar>
      </w:tblPr>
      <w:tblGrid>
        <w:gridCol w:w="158"/>
        <w:gridCol w:w="2411"/>
        <w:gridCol w:w="180"/>
        <w:gridCol w:w="75"/>
        <w:gridCol w:w="650"/>
        <w:gridCol w:w="225"/>
        <w:gridCol w:w="145"/>
        <w:gridCol w:w="565"/>
        <w:gridCol w:w="225"/>
        <w:gridCol w:w="2640"/>
      </w:tblGrid>
      <w:tr>
        <w:trPr/>
        <w:tc>
          <w:tcPr>
            <w:tcW w:w="158"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r>
      <w:tr>
        <w:trPr/>
        <w:tc>
          <w:tcPr>
            <w:tcW w:w="2569"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Acquisition </w:t>
            </w:r>
          </w:p>
        </w:tc>
        <w:tc>
          <w:tcPr>
            <w:tcW w:w="180" w:type="dxa"/>
            <w:tcBorders/>
            <w:shd w:fill="auto" w:val="clear"/>
            <w:vAlign w:val="bottom"/>
          </w:tcPr>
          <w:p>
            <w:pPr>
              <w:pStyle w:val="TableHeading"/>
              <w:suppressLineNumbers/>
              <w:spacing w:before="0" w:after="283"/>
              <w:jc w:val="center"/>
              <w:rPr/>
            </w:pPr>
            <w:r>
              <w:rPr/>
              <w:t> </w:t>
            </w:r>
          </w:p>
        </w:tc>
        <w:tc>
          <w:tcPr>
            <w:tcW w:w="7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Effective</w:t>
              <w:br/>
              <w:t xml:space="preserve">Date </w:t>
            </w:r>
          </w:p>
        </w:tc>
        <w:tc>
          <w:tcPr>
            <w:tcW w:w="225" w:type="dxa"/>
            <w:tcBorders/>
            <w:shd w:fill="auto" w:val="clear"/>
            <w:vAlign w:val="bottom"/>
          </w:tcPr>
          <w:p>
            <w:pPr>
              <w:pStyle w:val="TableHeading"/>
              <w:suppressLineNumbers/>
              <w:spacing w:before="0" w:after="283"/>
              <w:jc w:val="center"/>
              <w:rPr/>
            </w:pPr>
            <w:r>
              <w:rPr/>
              <w:t> </w:t>
            </w:r>
          </w:p>
        </w:tc>
        <w:tc>
          <w:tcPr>
            <w:tcW w:w="7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Acquisition</w:t>
              <w:br/>
              <w:t xml:space="preserve">Price </w:t>
            </w:r>
          </w:p>
        </w:tc>
        <w:tc>
          <w:tcPr>
            <w:tcW w:w="225" w:type="dxa"/>
            <w:tcBorders/>
            <w:shd w:fill="auto" w:val="clear"/>
            <w:vAlign w:val="bottom"/>
          </w:tcPr>
          <w:p>
            <w:pPr>
              <w:pStyle w:val="TableHeading"/>
              <w:suppressLineNumbers/>
              <w:spacing w:before="0" w:after="283"/>
              <w:jc w:val="center"/>
              <w:rPr/>
            </w:pPr>
            <w:r>
              <w:rPr/>
              <w:t> </w:t>
            </w:r>
          </w:p>
        </w:tc>
        <w:tc>
          <w:tcPr>
            <w:tcW w:w="264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Operating Segment </w:t>
            </w:r>
          </w:p>
        </w:tc>
      </w:tr>
      <w:tr>
        <w:trPr/>
        <w:tc>
          <w:tcPr>
            <w:tcW w:w="256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Rainbow</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650" w:type="dxa"/>
            <w:tcBorders/>
            <w:shd w:fill="CCEEFF" w:val="clear"/>
          </w:tcPr>
          <w:p>
            <w:pPr>
              <w:pStyle w:val="TableContents"/>
              <w:spacing w:before="0" w:after="283"/>
              <w:jc w:val="right"/>
              <w:rPr>
                <w:rFonts w:ascii="times" w:hAnsi="times"/>
                <w:sz w:val="20"/>
              </w:rPr>
            </w:pPr>
            <w:r>
              <w:rPr>
                <w:rFonts w:ascii="times" w:hAnsi="times"/>
                <w:sz w:val="20"/>
              </w:rPr>
              <w:t>05/01/2008</w:t>
            </w:r>
          </w:p>
        </w:tc>
        <w:tc>
          <w:tcPr>
            <w:tcW w:w="225" w:type="dxa"/>
            <w:tcBorders/>
            <w:shd w:fill="CCEEFF" w:val="clear"/>
          </w:tcPr>
          <w:p>
            <w:pPr>
              <w:pStyle w:val="TableContents"/>
              <w:spacing w:before="0" w:after="283"/>
              <w:rPr/>
            </w:pPr>
            <w:r>
              <w:rPr/>
              <w:t> </w:t>
            </w:r>
          </w:p>
        </w:tc>
        <w:tc>
          <w:tcPr>
            <w:tcW w:w="145" w:type="dxa"/>
            <w:tcBorders/>
            <w:shd w:fill="CCEEFF" w:val="clear"/>
          </w:tcPr>
          <w:p>
            <w:pPr>
              <w:pStyle w:val="TableContents"/>
              <w:spacing w:before="0" w:after="283"/>
              <w:jc w:val="right"/>
              <w:rPr>
                <w:rFonts w:ascii="times" w:hAnsi="times"/>
                <w:sz w:val="20"/>
              </w:rPr>
            </w:pPr>
            <w:r>
              <w:rPr>
                <w:rFonts w:ascii="times" w:hAnsi="times"/>
                <w:sz w:val="20"/>
              </w:rPr>
              <w:t>$</w:t>
            </w:r>
          </w:p>
        </w:tc>
        <w:tc>
          <w:tcPr>
            <w:tcW w:w="565" w:type="dxa"/>
            <w:tcBorders/>
            <w:shd w:fill="CCEEFF" w:val="clear"/>
          </w:tcPr>
          <w:p>
            <w:pPr>
              <w:pStyle w:val="TableContents"/>
              <w:spacing w:before="0" w:after="283"/>
              <w:jc w:val="right"/>
              <w:rPr>
                <w:rFonts w:ascii="times" w:hAnsi="times"/>
                <w:sz w:val="20"/>
              </w:rPr>
            </w:pPr>
            <w:r>
              <w:rPr>
                <w:rFonts w:ascii="times" w:hAnsi="times"/>
                <w:sz w:val="20"/>
              </w:rPr>
              <w:t>687</w:t>
            </w:r>
          </w:p>
        </w:tc>
        <w:tc>
          <w:tcPr>
            <w:tcW w:w="225" w:type="dxa"/>
            <w:tcBorders/>
            <w:shd w:fill="CCEEFF" w:val="clear"/>
          </w:tcPr>
          <w:p>
            <w:pPr>
              <w:pStyle w:val="TableContents"/>
              <w:spacing w:before="0" w:after="283"/>
              <w:rPr/>
            </w:pPr>
            <w:r>
              <w:rPr/>
              <w:t> </w:t>
            </w:r>
          </w:p>
        </w:tc>
        <w:tc>
          <w:tcPr>
            <w:tcW w:w="2640" w:type="dxa"/>
            <w:tcBorders/>
            <w:shd w:fill="CCEEFF" w:val="clear"/>
          </w:tcPr>
          <w:p>
            <w:pPr>
              <w:pStyle w:val="TableContents"/>
              <w:spacing w:before="0" w:after="283"/>
              <w:rPr>
                <w:rFonts w:ascii="times" w:hAnsi="times"/>
                <w:sz w:val="20"/>
              </w:rPr>
            </w:pPr>
            <w:r>
              <w:rPr>
                <w:rFonts w:ascii="times" w:hAnsi="times"/>
                <w:sz w:val="20"/>
              </w:rPr>
              <w:t>Transportation</w:t>
            </w:r>
          </w:p>
        </w:tc>
      </w:tr>
      <w:tr>
        <w:trPr/>
        <w:tc>
          <w:tcPr>
            <w:tcW w:w="256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San Pedro and other</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650" w:type="dxa"/>
            <w:tcBorders/>
            <w:shd w:fill="FFFFFF" w:val="clear"/>
          </w:tcPr>
          <w:p>
            <w:pPr>
              <w:pStyle w:val="TableContents"/>
              <w:spacing w:before="0" w:after="283"/>
              <w:jc w:val="right"/>
              <w:rPr>
                <w:rFonts w:ascii="times" w:hAnsi="times"/>
                <w:sz w:val="20"/>
              </w:rPr>
            </w:pPr>
            <w:r>
              <w:rPr>
                <w:rFonts w:ascii="times" w:hAnsi="times"/>
                <w:sz w:val="20"/>
              </w:rPr>
              <w:t>11/13/2008</w:t>
            </w:r>
          </w:p>
        </w:tc>
        <w:tc>
          <w:tcPr>
            <w:tcW w:w="225" w:type="dxa"/>
            <w:tcBorders/>
            <w:shd w:fill="FFFFFF" w:val="clear"/>
          </w:tcPr>
          <w:p>
            <w:pPr>
              <w:pStyle w:val="TableContents"/>
              <w:spacing w:before="0" w:after="283"/>
              <w:rPr/>
            </w:pPr>
            <w:r>
              <w:rPr/>
              <w:t> </w:t>
            </w:r>
          </w:p>
        </w:tc>
        <w:tc>
          <w:tcPr>
            <w:tcW w:w="145" w:type="dxa"/>
            <w:tcBorders/>
            <w:shd w:fill="FFFFFF" w:val="clear"/>
          </w:tcPr>
          <w:p>
            <w:pPr>
              <w:pStyle w:val="TableContents"/>
              <w:spacing w:before="0" w:after="283"/>
              <w:rPr/>
            </w:pPr>
            <w:r>
              <w:rPr/>
              <w:t> </w:t>
            </w:r>
          </w:p>
        </w:tc>
        <w:tc>
          <w:tcPr>
            <w:tcW w:w="565" w:type="dxa"/>
            <w:tcBorders/>
            <w:shd w:fill="FFFFFF" w:val="clear"/>
          </w:tcPr>
          <w:p>
            <w:pPr>
              <w:pStyle w:val="TableContents"/>
              <w:spacing w:before="0" w:after="283"/>
              <w:jc w:val="right"/>
              <w:rPr>
                <w:rFonts w:ascii="times" w:hAnsi="times"/>
                <w:sz w:val="20"/>
              </w:rPr>
            </w:pPr>
            <w:r>
              <w:rPr>
                <w:rFonts w:ascii="times" w:hAnsi="times"/>
                <w:sz w:val="20"/>
              </w:rPr>
              <w:t>48</w:t>
            </w:r>
          </w:p>
        </w:tc>
        <w:tc>
          <w:tcPr>
            <w:tcW w:w="225" w:type="dxa"/>
            <w:tcBorders/>
            <w:shd w:fill="FFFFFF" w:val="clear"/>
          </w:tcPr>
          <w:p>
            <w:pPr>
              <w:pStyle w:val="TableContents"/>
              <w:spacing w:before="0" w:after="283"/>
              <w:rPr/>
            </w:pPr>
            <w:r>
              <w:rPr/>
              <w:t> </w:t>
            </w:r>
          </w:p>
        </w:tc>
        <w:tc>
          <w:tcPr>
            <w:tcW w:w="2640" w:type="dxa"/>
            <w:tcBorders/>
            <w:shd w:fill="FFFFFF" w:val="clear"/>
          </w:tcPr>
          <w:p>
            <w:pPr>
              <w:pStyle w:val="TableContents"/>
              <w:spacing w:before="0" w:after="283"/>
              <w:rPr>
                <w:rFonts w:ascii="times" w:hAnsi="times"/>
                <w:sz w:val="20"/>
              </w:rPr>
            </w:pPr>
            <w:r>
              <w:rPr>
                <w:rFonts w:ascii="times" w:hAnsi="times"/>
                <w:sz w:val="20"/>
              </w:rPr>
              <w:t>Facilities</w:t>
            </w:r>
          </w:p>
        </w:tc>
      </w:tr>
      <w:tr>
        <w:trPr/>
        <w:tc>
          <w:tcPr>
            <w:tcW w:w="25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rPr/>
            </w:pPr>
            <w:r>
              <w:rPr/>
              <w:t> </w:t>
            </w:r>
          </w:p>
        </w:tc>
        <w:tc>
          <w:tcPr>
            <w:tcW w:w="650"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7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2640" w:type="dxa"/>
            <w:tcBorders/>
            <w:shd w:fill="auto" w:val="clear"/>
          </w:tcPr>
          <w:p>
            <w:pPr>
              <w:pStyle w:val="TableContents"/>
              <w:spacing w:before="0" w:after="283"/>
              <w:rPr/>
            </w:pPr>
            <w:r>
              <w:rPr/>
              <w:t> </w:t>
            </w:r>
          </w:p>
        </w:tc>
      </w:tr>
      <w:tr>
        <w:trPr/>
        <w:tc>
          <w:tcPr>
            <w:tcW w:w="158" w:type="dxa"/>
            <w:tcBorders/>
            <w:shd w:fill="CCEEFF" w:val="clear"/>
          </w:tcPr>
          <w:p>
            <w:pPr>
              <w:pStyle w:val="TableContents"/>
              <w:spacing w:before="0" w:after="283"/>
              <w:rPr/>
            </w:pPr>
            <w:r>
              <w:rPr/>
              <w:t> </w:t>
            </w:r>
          </w:p>
        </w:tc>
        <w:tc>
          <w:tcPr>
            <w:tcW w:w="2411" w:type="dxa"/>
            <w:tcBorders/>
            <w:shd w:fill="CCEEFF" w:val="clear"/>
          </w:tcPr>
          <w:p>
            <w:pPr>
              <w:pStyle w:val="TableContents"/>
              <w:spacing w:before="0" w:after="283"/>
              <w:ind w:left="200" w:right="0" w:hanging="200"/>
              <w:rPr>
                <w:rFonts w:ascii="times" w:hAnsi="times"/>
                <w:sz w:val="20"/>
              </w:rPr>
            </w:pPr>
            <w:r>
              <w:rPr>
                <w:rFonts w:ascii="times" w:hAnsi="times"/>
                <w:sz w:val="20"/>
              </w:rPr>
              <w:t>2008 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650" w:type="dxa"/>
            <w:tcBorders/>
            <w:shd w:fill="CCEEFF" w:val="clear"/>
          </w:tcPr>
          <w:p>
            <w:pPr>
              <w:pStyle w:val="TableContents"/>
              <w:spacing w:before="0" w:after="283"/>
              <w:jc w:val="right"/>
              <w:rPr/>
            </w:pPr>
            <w:r>
              <w:rPr/>
              <w:t> </w:t>
            </w:r>
          </w:p>
        </w:tc>
        <w:tc>
          <w:tcPr>
            <w:tcW w:w="225" w:type="dxa"/>
            <w:tcBorders/>
            <w:shd w:fill="CCEEFF" w:val="clear"/>
          </w:tcPr>
          <w:p>
            <w:pPr>
              <w:pStyle w:val="TableContents"/>
              <w:spacing w:before="0" w:after="283"/>
              <w:rPr/>
            </w:pPr>
            <w:r>
              <w:rPr/>
              <w:t> </w:t>
            </w:r>
          </w:p>
        </w:tc>
        <w:tc>
          <w:tcPr>
            <w:tcW w:w="145" w:type="dxa"/>
            <w:tcBorders/>
            <w:shd w:fill="CCEEFF" w:val="clear"/>
          </w:tcPr>
          <w:p>
            <w:pPr>
              <w:pStyle w:val="TableContents"/>
              <w:spacing w:before="0" w:after="283"/>
              <w:jc w:val="right"/>
              <w:rPr>
                <w:rFonts w:ascii="times" w:hAnsi="times"/>
                <w:sz w:val="20"/>
              </w:rPr>
            </w:pPr>
            <w:r>
              <w:rPr>
                <w:rFonts w:ascii="times" w:hAnsi="times"/>
                <w:sz w:val="20"/>
              </w:rPr>
              <w:t>$</w:t>
            </w:r>
          </w:p>
        </w:tc>
        <w:tc>
          <w:tcPr>
            <w:tcW w:w="565" w:type="dxa"/>
            <w:tcBorders/>
            <w:shd w:fill="CCEEFF" w:val="clear"/>
          </w:tcPr>
          <w:p>
            <w:pPr>
              <w:pStyle w:val="TableContents"/>
              <w:spacing w:before="0" w:after="283"/>
              <w:jc w:val="right"/>
              <w:rPr>
                <w:rFonts w:ascii="times" w:hAnsi="times"/>
                <w:sz w:val="20"/>
              </w:rPr>
            </w:pPr>
            <w:r>
              <w:rPr>
                <w:rFonts w:ascii="times" w:hAnsi="times"/>
                <w:sz w:val="20"/>
              </w:rPr>
              <w:t>735</w:t>
            </w:r>
          </w:p>
        </w:tc>
        <w:tc>
          <w:tcPr>
            <w:tcW w:w="225" w:type="dxa"/>
            <w:tcBorders/>
            <w:shd w:fill="CCEEFF" w:val="clear"/>
          </w:tcPr>
          <w:p>
            <w:pPr>
              <w:pStyle w:val="TableContents"/>
              <w:spacing w:before="0" w:after="283"/>
              <w:rPr/>
            </w:pPr>
            <w:r>
              <w:rPr/>
              <w:t> </w:t>
            </w:r>
          </w:p>
        </w:tc>
        <w:tc>
          <w:tcPr>
            <w:tcW w:w="2640" w:type="dxa"/>
            <w:tcBorders/>
            <w:shd w:fill="CCEEFF" w:val="clear"/>
          </w:tcPr>
          <w:p>
            <w:pPr>
              <w:pStyle w:val="TableContents"/>
              <w:spacing w:before="0" w:after="283"/>
              <w:rPr/>
            </w:pPr>
            <w:r>
              <w:rPr/>
              <w:t> </w:t>
            </w:r>
          </w:p>
        </w:tc>
      </w:tr>
      <w:tr>
        <w:trPr/>
        <w:tc>
          <w:tcPr>
            <w:tcW w:w="25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rPr/>
            </w:pPr>
            <w:r>
              <w:rPr/>
              <w:t> </w:t>
            </w:r>
          </w:p>
        </w:tc>
        <w:tc>
          <w:tcPr>
            <w:tcW w:w="650"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7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2640" w:type="dxa"/>
            <w:tcBorders/>
            <w:shd w:fill="auto" w:val="clear"/>
          </w:tcPr>
          <w:p>
            <w:pPr>
              <w:pStyle w:val="TableContents"/>
              <w:spacing w:before="0" w:after="283"/>
              <w:rPr/>
            </w:pPr>
            <w:r>
              <w:rPr/>
              <w:t> </w:t>
            </w:r>
          </w:p>
        </w:tc>
      </w:tr>
      <w:tr>
        <w:trPr/>
        <w:tc>
          <w:tcPr>
            <w:tcW w:w="256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Bumstead LPG Storage Facility</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650" w:type="dxa"/>
            <w:tcBorders/>
            <w:shd w:fill="FFFFFF" w:val="clear"/>
          </w:tcPr>
          <w:p>
            <w:pPr>
              <w:pStyle w:val="TableContents"/>
              <w:spacing w:before="0" w:after="283"/>
              <w:jc w:val="right"/>
              <w:rPr>
                <w:rFonts w:ascii="times" w:hAnsi="times"/>
                <w:sz w:val="20"/>
              </w:rPr>
            </w:pPr>
            <w:r>
              <w:rPr>
                <w:rFonts w:ascii="times" w:hAnsi="times"/>
                <w:sz w:val="20"/>
              </w:rPr>
              <w:t>07/24/2007</w:t>
            </w:r>
          </w:p>
        </w:tc>
        <w:tc>
          <w:tcPr>
            <w:tcW w:w="225" w:type="dxa"/>
            <w:tcBorders/>
            <w:shd w:fill="FFFFFF" w:val="clear"/>
          </w:tcPr>
          <w:p>
            <w:pPr>
              <w:pStyle w:val="TableContents"/>
              <w:spacing w:before="0" w:after="283"/>
              <w:rPr/>
            </w:pPr>
            <w:r>
              <w:rPr/>
              <w:t> </w:t>
            </w:r>
          </w:p>
        </w:tc>
        <w:tc>
          <w:tcPr>
            <w:tcW w:w="145" w:type="dxa"/>
            <w:tcBorders/>
            <w:shd w:fill="FFFFFF" w:val="clear"/>
          </w:tcPr>
          <w:p>
            <w:pPr>
              <w:pStyle w:val="TableContents"/>
              <w:spacing w:before="0" w:after="283"/>
              <w:jc w:val="right"/>
              <w:rPr>
                <w:rFonts w:ascii="times" w:hAnsi="times"/>
                <w:sz w:val="20"/>
              </w:rPr>
            </w:pPr>
            <w:r>
              <w:rPr>
                <w:rFonts w:ascii="times" w:hAnsi="times"/>
                <w:sz w:val="20"/>
              </w:rPr>
              <w:t>$</w:t>
            </w:r>
          </w:p>
        </w:tc>
        <w:tc>
          <w:tcPr>
            <w:tcW w:w="565" w:type="dxa"/>
            <w:tcBorders/>
            <w:shd w:fill="FFFFFF" w:val="clear"/>
          </w:tcPr>
          <w:p>
            <w:pPr>
              <w:pStyle w:val="TableContents"/>
              <w:spacing w:before="0" w:after="283"/>
              <w:jc w:val="right"/>
              <w:rPr>
                <w:rFonts w:ascii="times" w:hAnsi="times"/>
                <w:sz w:val="20"/>
              </w:rPr>
            </w:pPr>
            <w:r>
              <w:rPr>
                <w:rFonts w:ascii="times" w:hAnsi="times"/>
                <w:sz w:val="20"/>
              </w:rPr>
              <w:t>52</w:t>
            </w:r>
          </w:p>
        </w:tc>
        <w:tc>
          <w:tcPr>
            <w:tcW w:w="225" w:type="dxa"/>
            <w:tcBorders/>
            <w:shd w:fill="FFFFFF" w:val="clear"/>
          </w:tcPr>
          <w:p>
            <w:pPr>
              <w:pStyle w:val="TableContents"/>
              <w:spacing w:before="0" w:after="283"/>
              <w:rPr/>
            </w:pPr>
            <w:r>
              <w:rPr/>
              <w:t> </w:t>
            </w:r>
          </w:p>
        </w:tc>
        <w:tc>
          <w:tcPr>
            <w:tcW w:w="2640" w:type="dxa"/>
            <w:tcBorders/>
            <w:shd w:fill="FFFFFF" w:val="clear"/>
          </w:tcPr>
          <w:p>
            <w:pPr>
              <w:pStyle w:val="TableContents"/>
              <w:spacing w:before="0" w:after="283"/>
              <w:rPr>
                <w:rFonts w:ascii="times" w:hAnsi="times"/>
                <w:sz w:val="20"/>
              </w:rPr>
            </w:pPr>
            <w:r>
              <w:rPr>
                <w:rFonts w:ascii="times" w:hAnsi="times"/>
                <w:sz w:val="20"/>
              </w:rPr>
              <w:t>Facilities</w:t>
            </w:r>
          </w:p>
        </w:tc>
      </w:tr>
      <w:tr>
        <w:trPr/>
        <w:tc>
          <w:tcPr>
            <w:tcW w:w="256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Tirzah LPG Storage Facility</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650" w:type="dxa"/>
            <w:tcBorders/>
            <w:shd w:fill="CCEEFF" w:val="clear"/>
          </w:tcPr>
          <w:p>
            <w:pPr>
              <w:pStyle w:val="TableContents"/>
              <w:spacing w:before="0" w:after="283"/>
              <w:jc w:val="right"/>
              <w:rPr>
                <w:rFonts w:ascii="times" w:hAnsi="times"/>
                <w:sz w:val="20"/>
              </w:rPr>
            </w:pPr>
            <w:r>
              <w:rPr>
                <w:rFonts w:ascii="times" w:hAnsi="times"/>
                <w:sz w:val="20"/>
              </w:rPr>
              <w:t>10/02/2007</w:t>
            </w:r>
          </w:p>
        </w:tc>
        <w:tc>
          <w:tcPr>
            <w:tcW w:w="225" w:type="dxa"/>
            <w:tcBorders/>
            <w:shd w:fill="CCEEFF" w:val="clear"/>
          </w:tcPr>
          <w:p>
            <w:pPr>
              <w:pStyle w:val="TableContents"/>
              <w:spacing w:before="0" w:after="283"/>
              <w:rPr/>
            </w:pPr>
            <w:r>
              <w:rPr/>
              <w:t> </w:t>
            </w:r>
          </w:p>
        </w:tc>
        <w:tc>
          <w:tcPr>
            <w:tcW w:w="145" w:type="dxa"/>
            <w:tcBorders/>
            <w:shd w:fill="CCEEFF" w:val="clear"/>
          </w:tcPr>
          <w:p>
            <w:pPr>
              <w:pStyle w:val="TableContents"/>
              <w:spacing w:before="0" w:after="283"/>
              <w:rPr/>
            </w:pPr>
            <w:r>
              <w:rPr/>
              <w:t> </w:t>
            </w:r>
          </w:p>
        </w:tc>
        <w:tc>
          <w:tcPr>
            <w:tcW w:w="565" w:type="dxa"/>
            <w:tcBorders/>
            <w:shd w:fill="CCEEFF" w:val="clear"/>
          </w:tcPr>
          <w:p>
            <w:pPr>
              <w:pStyle w:val="TableContents"/>
              <w:spacing w:before="0" w:after="283"/>
              <w:jc w:val="right"/>
              <w:rPr>
                <w:rFonts w:ascii="times" w:hAnsi="times"/>
                <w:sz w:val="20"/>
              </w:rPr>
            </w:pPr>
            <w:r>
              <w:rPr>
                <w:rFonts w:ascii="times" w:hAnsi="times"/>
                <w:sz w:val="20"/>
              </w:rPr>
              <w:t>54</w:t>
            </w:r>
          </w:p>
        </w:tc>
        <w:tc>
          <w:tcPr>
            <w:tcW w:w="225" w:type="dxa"/>
            <w:tcBorders/>
            <w:shd w:fill="CCEEFF" w:val="clear"/>
          </w:tcPr>
          <w:p>
            <w:pPr>
              <w:pStyle w:val="TableContents"/>
              <w:spacing w:before="0" w:after="283"/>
              <w:rPr/>
            </w:pPr>
            <w:r>
              <w:rPr/>
              <w:t> </w:t>
            </w:r>
          </w:p>
        </w:tc>
        <w:tc>
          <w:tcPr>
            <w:tcW w:w="2640" w:type="dxa"/>
            <w:tcBorders/>
            <w:shd w:fill="CCEEFF" w:val="clear"/>
          </w:tcPr>
          <w:p>
            <w:pPr>
              <w:pStyle w:val="TableContents"/>
              <w:spacing w:before="0" w:after="283"/>
              <w:rPr>
                <w:rFonts w:ascii="times" w:hAnsi="times"/>
                <w:sz w:val="20"/>
              </w:rPr>
            </w:pPr>
            <w:r>
              <w:rPr>
                <w:rFonts w:ascii="times" w:hAnsi="times"/>
                <w:sz w:val="20"/>
              </w:rPr>
              <w:t>Facilities</w:t>
            </w:r>
          </w:p>
        </w:tc>
      </w:tr>
      <w:tr>
        <w:trPr/>
        <w:tc>
          <w:tcPr>
            <w:tcW w:w="256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650" w:type="dxa"/>
            <w:tcBorders/>
            <w:shd w:fill="FFFFFF" w:val="clear"/>
          </w:tcPr>
          <w:p>
            <w:pPr>
              <w:pStyle w:val="TableContents"/>
              <w:spacing w:before="0" w:after="283"/>
              <w:jc w:val="right"/>
              <w:rPr>
                <w:rFonts w:ascii="times" w:hAnsi="times"/>
                <w:sz w:val="20"/>
              </w:rPr>
            </w:pPr>
            <w:r>
              <w:rPr>
                <w:rFonts w:ascii="times" w:hAnsi="times"/>
                <w:sz w:val="20"/>
              </w:rPr>
              <w:t>Various</w:t>
            </w:r>
          </w:p>
        </w:tc>
        <w:tc>
          <w:tcPr>
            <w:tcW w:w="225" w:type="dxa"/>
            <w:tcBorders/>
            <w:shd w:fill="FFFFFF" w:val="clear"/>
          </w:tcPr>
          <w:p>
            <w:pPr>
              <w:pStyle w:val="TableContents"/>
              <w:spacing w:before="0" w:after="283"/>
              <w:rPr/>
            </w:pPr>
            <w:r>
              <w:rPr/>
              <w:t> </w:t>
            </w:r>
          </w:p>
        </w:tc>
        <w:tc>
          <w:tcPr>
            <w:tcW w:w="145" w:type="dxa"/>
            <w:tcBorders/>
            <w:shd w:fill="FFFFFF" w:val="clear"/>
          </w:tcPr>
          <w:p>
            <w:pPr>
              <w:pStyle w:val="TableContents"/>
              <w:spacing w:before="0" w:after="283"/>
              <w:rPr/>
            </w:pPr>
            <w:r>
              <w:rPr/>
              <w:t> </w:t>
            </w:r>
          </w:p>
        </w:tc>
        <w:tc>
          <w:tcPr>
            <w:tcW w:w="565" w:type="dxa"/>
            <w:tcBorders/>
            <w:shd w:fill="FFFFFF" w:val="clear"/>
          </w:tcPr>
          <w:p>
            <w:pPr>
              <w:pStyle w:val="TableContents"/>
              <w:spacing w:before="0" w:after="283"/>
              <w:jc w:val="right"/>
              <w:rPr>
                <w:rFonts w:ascii="times" w:hAnsi="times"/>
                <w:sz w:val="20"/>
              </w:rPr>
            </w:pPr>
            <w:r>
              <w:rPr>
                <w:rFonts w:ascii="times" w:hAnsi="times"/>
                <w:sz w:val="20"/>
              </w:rPr>
              <w:t>19</w:t>
            </w:r>
          </w:p>
        </w:tc>
        <w:tc>
          <w:tcPr>
            <w:tcW w:w="225" w:type="dxa"/>
            <w:tcBorders/>
            <w:shd w:fill="FFFFFF" w:val="clear"/>
          </w:tcPr>
          <w:p>
            <w:pPr>
              <w:pStyle w:val="TableContents"/>
              <w:spacing w:before="0" w:after="283"/>
              <w:rPr/>
            </w:pPr>
            <w:r>
              <w:rPr/>
              <w:t> </w:t>
            </w:r>
          </w:p>
        </w:tc>
        <w:tc>
          <w:tcPr>
            <w:tcW w:w="2640" w:type="dxa"/>
            <w:tcBorders/>
            <w:shd w:fill="FFFFFF" w:val="clear"/>
          </w:tcPr>
          <w:p>
            <w:pPr>
              <w:pStyle w:val="TableContents"/>
              <w:spacing w:before="0" w:after="283"/>
              <w:rPr>
                <w:rFonts w:ascii="times" w:hAnsi="times"/>
                <w:sz w:val="20"/>
              </w:rPr>
            </w:pPr>
            <w:r>
              <w:rPr>
                <w:rFonts w:ascii="times" w:hAnsi="times"/>
                <w:sz w:val="20"/>
              </w:rPr>
              <w:t>Transportation and Marketing</w:t>
            </w:r>
          </w:p>
        </w:tc>
      </w:tr>
      <w:tr>
        <w:trPr/>
        <w:tc>
          <w:tcPr>
            <w:tcW w:w="25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rPr/>
            </w:pPr>
            <w:r>
              <w:rPr/>
              <w:t> </w:t>
            </w:r>
          </w:p>
        </w:tc>
        <w:tc>
          <w:tcPr>
            <w:tcW w:w="650"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7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2640" w:type="dxa"/>
            <w:tcBorders/>
            <w:shd w:fill="auto" w:val="clear"/>
          </w:tcPr>
          <w:p>
            <w:pPr>
              <w:pStyle w:val="TableContents"/>
              <w:spacing w:before="0" w:after="283"/>
              <w:rPr/>
            </w:pPr>
            <w:r>
              <w:rPr/>
              <w:t> </w:t>
            </w:r>
          </w:p>
        </w:tc>
      </w:tr>
      <w:tr>
        <w:trPr/>
        <w:tc>
          <w:tcPr>
            <w:tcW w:w="158" w:type="dxa"/>
            <w:tcBorders/>
            <w:shd w:fill="CCEEFF" w:val="clear"/>
          </w:tcPr>
          <w:p>
            <w:pPr>
              <w:pStyle w:val="TableContents"/>
              <w:spacing w:before="0" w:after="283"/>
              <w:rPr/>
            </w:pPr>
            <w:r>
              <w:rPr/>
              <w:t> </w:t>
            </w:r>
          </w:p>
        </w:tc>
        <w:tc>
          <w:tcPr>
            <w:tcW w:w="2411" w:type="dxa"/>
            <w:tcBorders/>
            <w:shd w:fill="CCEEFF" w:val="clear"/>
          </w:tcPr>
          <w:p>
            <w:pPr>
              <w:pStyle w:val="TableContents"/>
              <w:spacing w:before="0" w:after="283"/>
              <w:ind w:left="200" w:right="0" w:hanging="200"/>
              <w:rPr>
                <w:rFonts w:ascii="times" w:hAnsi="times"/>
                <w:sz w:val="20"/>
              </w:rPr>
            </w:pPr>
            <w:r>
              <w:rPr>
                <w:rFonts w:ascii="times" w:hAnsi="times"/>
                <w:sz w:val="20"/>
              </w:rPr>
              <w:t>2007 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650" w:type="dxa"/>
            <w:tcBorders/>
            <w:shd w:fill="CCEEFF" w:val="clear"/>
          </w:tcPr>
          <w:p>
            <w:pPr>
              <w:pStyle w:val="TableContents"/>
              <w:spacing w:before="0" w:after="283"/>
              <w:jc w:val="right"/>
              <w:rPr/>
            </w:pPr>
            <w:r>
              <w:rPr/>
              <w:t> </w:t>
            </w:r>
          </w:p>
        </w:tc>
        <w:tc>
          <w:tcPr>
            <w:tcW w:w="225" w:type="dxa"/>
            <w:tcBorders/>
            <w:shd w:fill="CCEEFF" w:val="clear"/>
          </w:tcPr>
          <w:p>
            <w:pPr>
              <w:pStyle w:val="TableContents"/>
              <w:spacing w:before="0" w:after="283"/>
              <w:rPr/>
            </w:pPr>
            <w:r>
              <w:rPr/>
              <w:t> </w:t>
            </w:r>
          </w:p>
        </w:tc>
        <w:tc>
          <w:tcPr>
            <w:tcW w:w="145" w:type="dxa"/>
            <w:tcBorders/>
            <w:shd w:fill="CCEEFF" w:val="clear"/>
          </w:tcPr>
          <w:p>
            <w:pPr>
              <w:pStyle w:val="TableContents"/>
              <w:spacing w:before="0" w:after="283"/>
              <w:jc w:val="right"/>
              <w:rPr>
                <w:rFonts w:ascii="times" w:hAnsi="times"/>
                <w:sz w:val="20"/>
              </w:rPr>
            </w:pPr>
            <w:r>
              <w:rPr>
                <w:rFonts w:ascii="times" w:hAnsi="times"/>
                <w:sz w:val="20"/>
              </w:rPr>
              <w:t>$</w:t>
            </w:r>
          </w:p>
        </w:tc>
        <w:tc>
          <w:tcPr>
            <w:tcW w:w="565" w:type="dxa"/>
            <w:tcBorders/>
            <w:shd w:fill="CCEEFF" w:val="clear"/>
          </w:tcPr>
          <w:p>
            <w:pPr>
              <w:pStyle w:val="TableContents"/>
              <w:spacing w:before="0" w:after="283"/>
              <w:jc w:val="right"/>
              <w:rPr>
                <w:rFonts w:ascii="times" w:hAnsi="times"/>
                <w:sz w:val="20"/>
              </w:rPr>
            </w:pPr>
            <w:r>
              <w:rPr>
                <w:rFonts w:ascii="times" w:hAnsi="times"/>
                <w:sz w:val="20"/>
              </w:rPr>
              <w:t>125</w:t>
            </w:r>
          </w:p>
        </w:tc>
        <w:tc>
          <w:tcPr>
            <w:tcW w:w="225" w:type="dxa"/>
            <w:tcBorders/>
            <w:shd w:fill="CCEEFF" w:val="clear"/>
          </w:tcPr>
          <w:p>
            <w:pPr>
              <w:pStyle w:val="TableContents"/>
              <w:spacing w:before="0" w:after="283"/>
              <w:rPr/>
            </w:pPr>
            <w:r>
              <w:rPr/>
              <w:t> </w:t>
            </w:r>
          </w:p>
        </w:tc>
        <w:tc>
          <w:tcPr>
            <w:tcW w:w="2640" w:type="dxa"/>
            <w:tcBorders/>
            <w:shd w:fill="CCEEFF" w:val="clear"/>
          </w:tcPr>
          <w:p>
            <w:pPr>
              <w:pStyle w:val="TableContents"/>
              <w:spacing w:before="0" w:after="283"/>
              <w:rPr/>
            </w:pPr>
            <w:r>
              <w:rPr/>
              <w:t> </w:t>
            </w:r>
          </w:p>
        </w:tc>
      </w:tr>
      <w:tr>
        <w:trPr/>
        <w:tc>
          <w:tcPr>
            <w:tcW w:w="25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rPr/>
            </w:pPr>
            <w:r>
              <w:rPr/>
              <w:t> </w:t>
            </w:r>
          </w:p>
        </w:tc>
        <w:tc>
          <w:tcPr>
            <w:tcW w:w="650"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7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2640" w:type="dxa"/>
            <w:tcBorders/>
            <w:shd w:fill="auto" w:val="clear"/>
          </w:tcPr>
          <w:p>
            <w:pPr>
              <w:pStyle w:val="TableContents"/>
              <w:spacing w:before="0" w:after="283"/>
              <w:rPr/>
            </w:pPr>
            <w:r>
              <w:rPr/>
              <w:t> </w:t>
            </w:r>
          </w:p>
        </w:tc>
      </w:tr>
      <w:tr>
        <w:trPr/>
        <w:tc>
          <w:tcPr>
            <w:tcW w:w="256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Pacific</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650" w:type="dxa"/>
            <w:tcBorders/>
            <w:shd w:fill="FFFFFF" w:val="clear"/>
          </w:tcPr>
          <w:p>
            <w:pPr>
              <w:pStyle w:val="TableContents"/>
              <w:spacing w:before="0" w:after="283"/>
              <w:jc w:val="right"/>
              <w:rPr>
                <w:rFonts w:ascii="times" w:hAnsi="times"/>
                <w:sz w:val="20"/>
              </w:rPr>
            </w:pPr>
            <w:r>
              <w:rPr>
                <w:rFonts w:ascii="times" w:hAnsi="times"/>
                <w:sz w:val="20"/>
              </w:rPr>
              <w:t>11/15/2006</w:t>
            </w:r>
          </w:p>
        </w:tc>
        <w:tc>
          <w:tcPr>
            <w:tcW w:w="225" w:type="dxa"/>
            <w:tcBorders/>
            <w:shd w:fill="FFFFFF" w:val="clear"/>
          </w:tcPr>
          <w:p>
            <w:pPr>
              <w:pStyle w:val="TableContents"/>
              <w:spacing w:before="0" w:after="283"/>
              <w:rPr/>
            </w:pPr>
            <w:r>
              <w:rPr/>
              <w:t> </w:t>
            </w:r>
          </w:p>
        </w:tc>
        <w:tc>
          <w:tcPr>
            <w:tcW w:w="145" w:type="dxa"/>
            <w:tcBorders/>
            <w:shd w:fill="FFFFFF" w:val="clear"/>
          </w:tcPr>
          <w:p>
            <w:pPr>
              <w:pStyle w:val="TableContents"/>
              <w:spacing w:before="0" w:after="283"/>
              <w:jc w:val="right"/>
              <w:rPr>
                <w:rFonts w:ascii="times" w:hAnsi="times"/>
                <w:sz w:val="20"/>
              </w:rPr>
            </w:pPr>
            <w:r>
              <w:rPr>
                <w:rFonts w:ascii="times" w:hAnsi="times"/>
                <w:sz w:val="20"/>
              </w:rPr>
              <w:t>$</w:t>
            </w:r>
          </w:p>
        </w:tc>
        <w:tc>
          <w:tcPr>
            <w:tcW w:w="565" w:type="dxa"/>
            <w:tcBorders/>
            <w:shd w:fill="FFFFFF" w:val="clear"/>
          </w:tcPr>
          <w:p>
            <w:pPr>
              <w:pStyle w:val="TableContents"/>
              <w:spacing w:before="0" w:after="283"/>
              <w:jc w:val="right"/>
              <w:rPr>
                <w:rFonts w:ascii="times" w:hAnsi="times"/>
                <w:sz w:val="20"/>
              </w:rPr>
            </w:pPr>
            <w:r>
              <w:rPr>
                <w:rFonts w:ascii="times" w:hAnsi="times"/>
                <w:sz w:val="20"/>
              </w:rPr>
              <w:t>2,456</w:t>
            </w:r>
          </w:p>
        </w:tc>
        <w:tc>
          <w:tcPr>
            <w:tcW w:w="225" w:type="dxa"/>
            <w:tcBorders/>
            <w:shd w:fill="FFFFFF" w:val="clear"/>
          </w:tcPr>
          <w:p>
            <w:pPr>
              <w:pStyle w:val="TableContents"/>
              <w:spacing w:before="0" w:after="283"/>
              <w:rPr/>
            </w:pPr>
            <w:r>
              <w:rPr/>
              <w:t> </w:t>
            </w:r>
          </w:p>
        </w:tc>
        <w:tc>
          <w:tcPr>
            <w:tcW w:w="2640" w:type="dxa"/>
            <w:tcBorders/>
            <w:shd w:fill="FFFFFF" w:val="clear"/>
          </w:tcPr>
          <w:p>
            <w:pPr>
              <w:pStyle w:val="TableContents"/>
              <w:spacing w:before="0" w:after="283"/>
              <w:rPr>
                <w:rFonts w:ascii="times" w:hAnsi="times"/>
                <w:sz w:val="20"/>
              </w:rPr>
            </w:pPr>
            <w:r>
              <w:rPr>
                <w:rFonts w:ascii="times" w:hAnsi="times"/>
                <w:sz w:val="20"/>
              </w:rPr>
              <w:t>Transportation, Facilities and Marketing</w:t>
            </w:r>
          </w:p>
        </w:tc>
      </w:tr>
      <w:tr>
        <w:trPr/>
        <w:tc>
          <w:tcPr>
            <w:tcW w:w="256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Andrews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650" w:type="dxa"/>
            <w:tcBorders/>
            <w:shd w:fill="CCEEFF" w:val="clear"/>
          </w:tcPr>
          <w:p>
            <w:pPr>
              <w:pStyle w:val="TableContents"/>
              <w:spacing w:before="0" w:after="283"/>
              <w:jc w:val="right"/>
              <w:rPr>
                <w:rFonts w:ascii="times" w:hAnsi="times"/>
                <w:sz w:val="20"/>
              </w:rPr>
            </w:pPr>
            <w:r>
              <w:rPr>
                <w:rFonts w:ascii="times" w:hAnsi="times"/>
                <w:sz w:val="20"/>
              </w:rPr>
              <w:t>04/18/2006</w:t>
            </w:r>
          </w:p>
        </w:tc>
        <w:tc>
          <w:tcPr>
            <w:tcW w:w="225" w:type="dxa"/>
            <w:tcBorders/>
            <w:shd w:fill="CCEEFF" w:val="clear"/>
          </w:tcPr>
          <w:p>
            <w:pPr>
              <w:pStyle w:val="TableContents"/>
              <w:spacing w:before="0" w:after="283"/>
              <w:rPr/>
            </w:pPr>
            <w:r>
              <w:rPr/>
              <w:t> </w:t>
            </w:r>
          </w:p>
        </w:tc>
        <w:tc>
          <w:tcPr>
            <w:tcW w:w="145" w:type="dxa"/>
            <w:tcBorders/>
            <w:shd w:fill="CCEEFF" w:val="clear"/>
          </w:tcPr>
          <w:p>
            <w:pPr>
              <w:pStyle w:val="TableContents"/>
              <w:spacing w:before="0" w:after="283"/>
              <w:rPr/>
            </w:pPr>
            <w:r>
              <w:rPr/>
              <w:t> </w:t>
            </w:r>
          </w:p>
        </w:tc>
        <w:tc>
          <w:tcPr>
            <w:tcW w:w="565" w:type="dxa"/>
            <w:tcBorders/>
            <w:shd w:fill="CCEEFF" w:val="clear"/>
          </w:tcPr>
          <w:p>
            <w:pPr>
              <w:pStyle w:val="TableContents"/>
              <w:spacing w:before="0" w:after="283"/>
              <w:jc w:val="right"/>
              <w:rPr>
                <w:rFonts w:ascii="times" w:hAnsi="times"/>
                <w:sz w:val="20"/>
              </w:rPr>
            </w:pPr>
            <w:r>
              <w:rPr>
                <w:rFonts w:ascii="times" w:hAnsi="times"/>
                <w:sz w:val="20"/>
              </w:rPr>
              <w:t>220</w:t>
            </w:r>
          </w:p>
        </w:tc>
        <w:tc>
          <w:tcPr>
            <w:tcW w:w="225" w:type="dxa"/>
            <w:tcBorders/>
            <w:shd w:fill="CCEEFF" w:val="clear"/>
          </w:tcPr>
          <w:p>
            <w:pPr>
              <w:pStyle w:val="TableContents"/>
              <w:spacing w:before="0" w:after="283"/>
              <w:rPr/>
            </w:pPr>
            <w:r>
              <w:rPr/>
              <w:t> </w:t>
            </w:r>
          </w:p>
        </w:tc>
        <w:tc>
          <w:tcPr>
            <w:tcW w:w="2640" w:type="dxa"/>
            <w:tcBorders/>
            <w:shd w:fill="CCEEFF" w:val="clear"/>
          </w:tcPr>
          <w:p>
            <w:pPr>
              <w:pStyle w:val="TableContents"/>
              <w:spacing w:before="0" w:after="283"/>
              <w:rPr>
                <w:rFonts w:ascii="times" w:hAnsi="times"/>
                <w:sz w:val="20"/>
              </w:rPr>
            </w:pPr>
            <w:r>
              <w:rPr>
                <w:rFonts w:ascii="times" w:hAnsi="times"/>
                <w:sz w:val="20"/>
              </w:rPr>
              <w:t>Transportation, Facilities and Marketing</w:t>
            </w:r>
          </w:p>
        </w:tc>
      </w:tr>
      <w:tr>
        <w:trPr/>
        <w:tc>
          <w:tcPr>
            <w:tcW w:w="256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SemCrude</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650" w:type="dxa"/>
            <w:tcBorders/>
            <w:shd w:fill="FFFFFF" w:val="clear"/>
          </w:tcPr>
          <w:p>
            <w:pPr>
              <w:pStyle w:val="TableContents"/>
              <w:spacing w:before="0" w:after="283"/>
              <w:jc w:val="right"/>
              <w:rPr>
                <w:rFonts w:ascii="times" w:hAnsi="times"/>
                <w:sz w:val="20"/>
              </w:rPr>
            </w:pPr>
            <w:r>
              <w:rPr>
                <w:rFonts w:ascii="times" w:hAnsi="times"/>
                <w:sz w:val="20"/>
              </w:rPr>
              <w:t>05/01/2006</w:t>
            </w:r>
          </w:p>
        </w:tc>
        <w:tc>
          <w:tcPr>
            <w:tcW w:w="225" w:type="dxa"/>
            <w:tcBorders/>
            <w:shd w:fill="FFFFFF" w:val="clear"/>
          </w:tcPr>
          <w:p>
            <w:pPr>
              <w:pStyle w:val="TableContents"/>
              <w:spacing w:before="0" w:after="283"/>
              <w:rPr/>
            </w:pPr>
            <w:r>
              <w:rPr/>
              <w:t> </w:t>
            </w:r>
          </w:p>
        </w:tc>
        <w:tc>
          <w:tcPr>
            <w:tcW w:w="145" w:type="dxa"/>
            <w:tcBorders/>
            <w:shd w:fill="FFFFFF" w:val="clear"/>
          </w:tcPr>
          <w:p>
            <w:pPr>
              <w:pStyle w:val="TableContents"/>
              <w:spacing w:before="0" w:after="283"/>
              <w:rPr/>
            </w:pPr>
            <w:r>
              <w:rPr/>
              <w:t> </w:t>
            </w:r>
          </w:p>
        </w:tc>
        <w:tc>
          <w:tcPr>
            <w:tcW w:w="565" w:type="dxa"/>
            <w:tcBorders/>
            <w:shd w:fill="FFFFFF" w:val="clear"/>
          </w:tcPr>
          <w:p>
            <w:pPr>
              <w:pStyle w:val="TableContents"/>
              <w:spacing w:before="0" w:after="283"/>
              <w:jc w:val="right"/>
              <w:rPr>
                <w:rFonts w:ascii="times" w:hAnsi="times"/>
                <w:sz w:val="20"/>
              </w:rPr>
            </w:pPr>
            <w:r>
              <w:rPr>
                <w:rFonts w:ascii="times" w:hAnsi="times"/>
                <w:sz w:val="20"/>
              </w:rPr>
              <w:t>129</w:t>
            </w:r>
          </w:p>
        </w:tc>
        <w:tc>
          <w:tcPr>
            <w:tcW w:w="225" w:type="dxa"/>
            <w:tcBorders/>
            <w:shd w:fill="FFFFFF" w:val="clear"/>
          </w:tcPr>
          <w:p>
            <w:pPr>
              <w:pStyle w:val="TableContents"/>
              <w:spacing w:before="0" w:after="283"/>
              <w:rPr/>
            </w:pPr>
            <w:r>
              <w:rPr/>
              <w:t> </w:t>
            </w:r>
          </w:p>
        </w:tc>
        <w:tc>
          <w:tcPr>
            <w:tcW w:w="2640" w:type="dxa"/>
            <w:tcBorders/>
            <w:shd w:fill="FFFFFF" w:val="clear"/>
          </w:tcPr>
          <w:p>
            <w:pPr>
              <w:pStyle w:val="TableContents"/>
              <w:spacing w:before="0" w:after="283"/>
              <w:rPr>
                <w:rFonts w:ascii="times" w:hAnsi="times"/>
                <w:sz w:val="20"/>
              </w:rPr>
            </w:pPr>
            <w:r>
              <w:rPr>
                <w:rFonts w:ascii="times" w:hAnsi="times"/>
                <w:sz w:val="20"/>
              </w:rPr>
              <w:t>Marketing</w:t>
            </w:r>
          </w:p>
        </w:tc>
      </w:tr>
      <w:tr>
        <w:trPr/>
        <w:tc>
          <w:tcPr>
            <w:tcW w:w="256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BOA/CAM/HIPS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650" w:type="dxa"/>
            <w:tcBorders/>
            <w:shd w:fill="CCEEFF" w:val="clear"/>
          </w:tcPr>
          <w:p>
            <w:pPr>
              <w:pStyle w:val="TableContents"/>
              <w:spacing w:before="0" w:after="283"/>
              <w:jc w:val="right"/>
              <w:rPr>
                <w:rFonts w:ascii="times" w:hAnsi="times"/>
                <w:sz w:val="20"/>
              </w:rPr>
            </w:pPr>
            <w:r>
              <w:rPr>
                <w:rFonts w:ascii="times" w:hAnsi="times"/>
                <w:sz w:val="20"/>
              </w:rPr>
              <w:t>07/31/2006</w:t>
            </w:r>
          </w:p>
        </w:tc>
        <w:tc>
          <w:tcPr>
            <w:tcW w:w="225" w:type="dxa"/>
            <w:tcBorders/>
            <w:shd w:fill="CCEEFF" w:val="clear"/>
          </w:tcPr>
          <w:p>
            <w:pPr>
              <w:pStyle w:val="TableContents"/>
              <w:spacing w:before="0" w:after="283"/>
              <w:rPr/>
            </w:pPr>
            <w:r>
              <w:rPr/>
              <w:t> </w:t>
            </w:r>
          </w:p>
        </w:tc>
        <w:tc>
          <w:tcPr>
            <w:tcW w:w="145" w:type="dxa"/>
            <w:tcBorders/>
            <w:shd w:fill="CCEEFF" w:val="clear"/>
          </w:tcPr>
          <w:p>
            <w:pPr>
              <w:pStyle w:val="TableContents"/>
              <w:spacing w:before="0" w:after="283"/>
              <w:rPr/>
            </w:pPr>
            <w:r>
              <w:rPr/>
              <w:t> </w:t>
            </w:r>
          </w:p>
        </w:tc>
        <w:tc>
          <w:tcPr>
            <w:tcW w:w="565" w:type="dxa"/>
            <w:tcBorders/>
            <w:shd w:fill="CCEEFF" w:val="clear"/>
          </w:tcPr>
          <w:p>
            <w:pPr>
              <w:pStyle w:val="TableContents"/>
              <w:spacing w:before="0" w:after="283"/>
              <w:jc w:val="right"/>
              <w:rPr>
                <w:rFonts w:ascii="times" w:hAnsi="times"/>
                <w:sz w:val="20"/>
              </w:rPr>
            </w:pPr>
            <w:r>
              <w:rPr>
                <w:rFonts w:ascii="times" w:hAnsi="times"/>
                <w:sz w:val="20"/>
              </w:rPr>
              <w:t>130</w:t>
            </w:r>
          </w:p>
        </w:tc>
        <w:tc>
          <w:tcPr>
            <w:tcW w:w="225" w:type="dxa"/>
            <w:tcBorders/>
            <w:shd w:fill="CCEEFF" w:val="clear"/>
          </w:tcPr>
          <w:p>
            <w:pPr>
              <w:pStyle w:val="TableContents"/>
              <w:spacing w:before="0" w:after="283"/>
              <w:rPr/>
            </w:pPr>
            <w:r>
              <w:rPr/>
              <w:t> </w:t>
            </w:r>
          </w:p>
        </w:tc>
        <w:tc>
          <w:tcPr>
            <w:tcW w:w="2640" w:type="dxa"/>
            <w:tcBorders/>
            <w:shd w:fill="CCEEFF" w:val="clear"/>
          </w:tcPr>
          <w:p>
            <w:pPr>
              <w:pStyle w:val="TableContents"/>
              <w:spacing w:before="0" w:after="283"/>
              <w:rPr>
                <w:rFonts w:ascii="times" w:hAnsi="times"/>
                <w:sz w:val="20"/>
              </w:rPr>
            </w:pPr>
            <w:r>
              <w:rPr>
                <w:rFonts w:ascii="times" w:hAnsi="times"/>
                <w:sz w:val="20"/>
              </w:rPr>
              <w:t>Transportation</w:t>
            </w:r>
          </w:p>
        </w:tc>
      </w:tr>
      <w:tr>
        <w:trPr/>
        <w:tc>
          <w:tcPr>
            <w:tcW w:w="256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Products Pipeline</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650" w:type="dxa"/>
            <w:tcBorders/>
            <w:shd w:fill="FFFFFF" w:val="clear"/>
          </w:tcPr>
          <w:p>
            <w:pPr>
              <w:pStyle w:val="TableContents"/>
              <w:spacing w:before="0" w:after="283"/>
              <w:jc w:val="right"/>
              <w:rPr>
                <w:rFonts w:ascii="times" w:hAnsi="times"/>
                <w:sz w:val="20"/>
              </w:rPr>
            </w:pPr>
            <w:r>
              <w:rPr>
                <w:rFonts w:ascii="times" w:hAnsi="times"/>
                <w:sz w:val="20"/>
              </w:rPr>
              <w:t>09/01/2006</w:t>
            </w:r>
          </w:p>
        </w:tc>
        <w:tc>
          <w:tcPr>
            <w:tcW w:w="225" w:type="dxa"/>
            <w:tcBorders/>
            <w:shd w:fill="FFFFFF" w:val="clear"/>
          </w:tcPr>
          <w:p>
            <w:pPr>
              <w:pStyle w:val="TableContents"/>
              <w:spacing w:before="0" w:after="283"/>
              <w:rPr/>
            </w:pPr>
            <w:r>
              <w:rPr/>
              <w:t> </w:t>
            </w:r>
          </w:p>
        </w:tc>
        <w:tc>
          <w:tcPr>
            <w:tcW w:w="145" w:type="dxa"/>
            <w:tcBorders/>
            <w:shd w:fill="FFFFFF" w:val="clear"/>
          </w:tcPr>
          <w:p>
            <w:pPr>
              <w:pStyle w:val="TableContents"/>
              <w:spacing w:before="0" w:after="283"/>
              <w:rPr/>
            </w:pPr>
            <w:r>
              <w:rPr/>
              <w:t> </w:t>
            </w:r>
          </w:p>
        </w:tc>
        <w:tc>
          <w:tcPr>
            <w:tcW w:w="565" w:type="dxa"/>
            <w:tcBorders/>
            <w:shd w:fill="FFFFFF" w:val="clear"/>
          </w:tcPr>
          <w:p>
            <w:pPr>
              <w:pStyle w:val="TableContents"/>
              <w:spacing w:before="0" w:after="283"/>
              <w:jc w:val="right"/>
              <w:rPr>
                <w:rFonts w:ascii="times" w:hAnsi="times"/>
                <w:sz w:val="20"/>
              </w:rPr>
            </w:pPr>
            <w:r>
              <w:rPr>
                <w:rFonts w:ascii="times" w:hAnsi="times"/>
                <w:sz w:val="20"/>
              </w:rPr>
              <w:t>66</w:t>
            </w:r>
          </w:p>
        </w:tc>
        <w:tc>
          <w:tcPr>
            <w:tcW w:w="225" w:type="dxa"/>
            <w:tcBorders/>
            <w:shd w:fill="FFFFFF" w:val="clear"/>
          </w:tcPr>
          <w:p>
            <w:pPr>
              <w:pStyle w:val="TableContents"/>
              <w:spacing w:before="0" w:after="283"/>
              <w:rPr/>
            </w:pPr>
            <w:r>
              <w:rPr/>
              <w:t> </w:t>
            </w:r>
          </w:p>
        </w:tc>
        <w:tc>
          <w:tcPr>
            <w:tcW w:w="2640" w:type="dxa"/>
            <w:tcBorders/>
            <w:shd w:fill="FFFFFF" w:val="clear"/>
          </w:tcPr>
          <w:p>
            <w:pPr>
              <w:pStyle w:val="TableContents"/>
              <w:spacing w:before="0" w:after="283"/>
              <w:rPr>
                <w:rFonts w:ascii="times" w:hAnsi="times"/>
                <w:sz w:val="20"/>
              </w:rPr>
            </w:pPr>
            <w:r>
              <w:rPr>
                <w:rFonts w:ascii="times" w:hAnsi="times"/>
                <w:sz w:val="20"/>
              </w:rPr>
              <w:t>Transportation</w:t>
            </w:r>
          </w:p>
        </w:tc>
      </w:tr>
      <w:tr>
        <w:trPr/>
        <w:tc>
          <w:tcPr>
            <w:tcW w:w="256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650" w:type="dxa"/>
            <w:tcBorders/>
            <w:shd w:fill="CCEEFF" w:val="clear"/>
          </w:tcPr>
          <w:p>
            <w:pPr>
              <w:pStyle w:val="TableContents"/>
              <w:spacing w:before="0" w:after="283"/>
              <w:jc w:val="right"/>
              <w:rPr>
                <w:rFonts w:ascii="times" w:hAnsi="times"/>
                <w:sz w:val="20"/>
              </w:rPr>
            </w:pPr>
            <w:r>
              <w:rPr>
                <w:rFonts w:ascii="times" w:hAnsi="times"/>
                <w:sz w:val="20"/>
              </w:rPr>
              <w:t>Various</w:t>
            </w:r>
          </w:p>
        </w:tc>
        <w:tc>
          <w:tcPr>
            <w:tcW w:w="225" w:type="dxa"/>
            <w:tcBorders/>
            <w:shd w:fill="CCEEFF" w:val="clear"/>
          </w:tcPr>
          <w:p>
            <w:pPr>
              <w:pStyle w:val="TableContents"/>
              <w:spacing w:before="0" w:after="283"/>
              <w:rPr/>
            </w:pPr>
            <w:r>
              <w:rPr/>
              <w:t> </w:t>
            </w:r>
          </w:p>
        </w:tc>
        <w:tc>
          <w:tcPr>
            <w:tcW w:w="145" w:type="dxa"/>
            <w:tcBorders/>
            <w:shd w:fill="CCEEFF" w:val="clear"/>
          </w:tcPr>
          <w:p>
            <w:pPr>
              <w:pStyle w:val="TableContents"/>
              <w:spacing w:before="0" w:after="283"/>
              <w:rPr/>
            </w:pPr>
            <w:r>
              <w:rPr/>
              <w:t> </w:t>
            </w:r>
          </w:p>
        </w:tc>
        <w:tc>
          <w:tcPr>
            <w:tcW w:w="565" w:type="dxa"/>
            <w:tcBorders/>
            <w:shd w:fill="CCEEFF" w:val="clear"/>
          </w:tcPr>
          <w:p>
            <w:pPr>
              <w:pStyle w:val="TableContents"/>
              <w:spacing w:before="0" w:after="283"/>
              <w:jc w:val="right"/>
              <w:rPr>
                <w:rFonts w:ascii="times" w:hAnsi="times"/>
                <w:sz w:val="20"/>
              </w:rPr>
            </w:pPr>
            <w:r>
              <w:rPr>
                <w:rFonts w:ascii="times" w:hAnsi="times"/>
                <w:sz w:val="20"/>
              </w:rPr>
              <w:t>20</w:t>
            </w:r>
          </w:p>
        </w:tc>
        <w:tc>
          <w:tcPr>
            <w:tcW w:w="225" w:type="dxa"/>
            <w:tcBorders/>
            <w:shd w:fill="CCEEFF" w:val="clear"/>
          </w:tcPr>
          <w:p>
            <w:pPr>
              <w:pStyle w:val="TableContents"/>
              <w:spacing w:before="0" w:after="283"/>
              <w:rPr/>
            </w:pPr>
            <w:r>
              <w:rPr/>
              <w:t> </w:t>
            </w:r>
          </w:p>
        </w:tc>
        <w:tc>
          <w:tcPr>
            <w:tcW w:w="2640" w:type="dxa"/>
            <w:tcBorders/>
            <w:shd w:fill="CCEEFF" w:val="clear"/>
          </w:tcPr>
          <w:p>
            <w:pPr>
              <w:pStyle w:val="TableContents"/>
              <w:spacing w:before="0" w:after="283"/>
              <w:rPr>
                <w:rFonts w:ascii="times" w:hAnsi="times"/>
                <w:sz w:val="20"/>
              </w:rPr>
            </w:pPr>
            <w:r>
              <w:rPr>
                <w:rFonts w:ascii="times" w:hAnsi="times"/>
                <w:sz w:val="20"/>
              </w:rPr>
              <w:t>Transportation, Facilities and Marketing</w:t>
            </w:r>
          </w:p>
        </w:tc>
      </w:tr>
      <w:tr>
        <w:trPr/>
        <w:tc>
          <w:tcPr>
            <w:tcW w:w="25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rPr/>
            </w:pPr>
            <w:r>
              <w:rPr/>
              <w:t> </w:t>
            </w:r>
          </w:p>
        </w:tc>
        <w:tc>
          <w:tcPr>
            <w:tcW w:w="650"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7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2640" w:type="dxa"/>
            <w:tcBorders/>
            <w:shd w:fill="auto" w:val="clear"/>
          </w:tcPr>
          <w:p>
            <w:pPr>
              <w:pStyle w:val="TableContents"/>
              <w:spacing w:before="0" w:after="283"/>
              <w:rPr/>
            </w:pPr>
            <w:r>
              <w:rPr/>
              <w:t> </w:t>
            </w:r>
          </w:p>
        </w:tc>
      </w:tr>
      <w:tr>
        <w:trPr/>
        <w:tc>
          <w:tcPr>
            <w:tcW w:w="158" w:type="dxa"/>
            <w:tcBorders/>
            <w:shd w:fill="FFFFFF" w:val="clear"/>
          </w:tcPr>
          <w:p>
            <w:pPr>
              <w:pStyle w:val="TableContents"/>
              <w:spacing w:before="0" w:after="283"/>
              <w:rPr/>
            </w:pPr>
            <w:r>
              <w:rPr/>
              <w:t> </w:t>
            </w:r>
          </w:p>
        </w:tc>
        <w:tc>
          <w:tcPr>
            <w:tcW w:w="2411" w:type="dxa"/>
            <w:tcBorders/>
            <w:shd w:fill="FFFFFF" w:val="clear"/>
          </w:tcPr>
          <w:p>
            <w:pPr>
              <w:pStyle w:val="TableContents"/>
              <w:spacing w:before="0" w:after="283"/>
              <w:ind w:left="200" w:right="0" w:hanging="200"/>
              <w:rPr>
                <w:rFonts w:ascii="times" w:hAnsi="times"/>
                <w:sz w:val="20"/>
              </w:rPr>
            </w:pPr>
            <w:r>
              <w:rPr>
                <w:rFonts w:ascii="times" w:hAnsi="times"/>
                <w:sz w:val="20"/>
              </w:rPr>
              <w:t>2006 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650" w:type="dxa"/>
            <w:tcBorders/>
            <w:shd w:fill="FFFFFF" w:val="clear"/>
          </w:tcPr>
          <w:p>
            <w:pPr>
              <w:pStyle w:val="TableContents"/>
              <w:spacing w:before="0" w:after="283"/>
              <w:jc w:val="right"/>
              <w:rPr/>
            </w:pPr>
            <w:r>
              <w:rPr/>
              <w:t> </w:t>
            </w:r>
          </w:p>
        </w:tc>
        <w:tc>
          <w:tcPr>
            <w:tcW w:w="225" w:type="dxa"/>
            <w:tcBorders/>
            <w:shd w:fill="FFFFFF" w:val="clear"/>
          </w:tcPr>
          <w:p>
            <w:pPr>
              <w:pStyle w:val="TableContents"/>
              <w:spacing w:before="0" w:after="283"/>
              <w:rPr/>
            </w:pPr>
            <w:r>
              <w:rPr/>
              <w:t> </w:t>
            </w:r>
          </w:p>
        </w:tc>
        <w:tc>
          <w:tcPr>
            <w:tcW w:w="145" w:type="dxa"/>
            <w:tcBorders/>
            <w:shd w:fill="FFFFFF" w:val="clear"/>
          </w:tcPr>
          <w:p>
            <w:pPr>
              <w:pStyle w:val="TableContents"/>
              <w:spacing w:before="0" w:after="283"/>
              <w:jc w:val="right"/>
              <w:rPr>
                <w:rFonts w:ascii="times" w:hAnsi="times"/>
                <w:sz w:val="20"/>
              </w:rPr>
            </w:pPr>
            <w:r>
              <w:rPr>
                <w:rFonts w:ascii="times" w:hAnsi="times"/>
                <w:sz w:val="20"/>
              </w:rPr>
              <w:t>$</w:t>
            </w:r>
          </w:p>
        </w:tc>
        <w:tc>
          <w:tcPr>
            <w:tcW w:w="565" w:type="dxa"/>
            <w:tcBorders/>
            <w:shd w:fill="FFFFFF" w:val="clear"/>
          </w:tcPr>
          <w:p>
            <w:pPr>
              <w:pStyle w:val="TableContents"/>
              <w:spacing w:before="0" w:after="283"/>
              <w:jc w:val="right"/>
              <w:rPr>
                <w:rFonts w:ascii="times" w:hAnsi="times"/>
                <w:sz w:val="20"/>
              </w:rPr>
            </w:pPr>
            <w:r>
              <w:rPr>
                <w:rFonts w:ascii="times" w:hAnsi="times"/>
                <w:sz w:val="20"/>
              </w:rPr>
              <w:t>3,021</w:t>
            </w:r>
          </w:p>
        </w:tc>
        <w:tc>
          <w:tcPr>
            <w:tcW w:w="225" w:type="dxa"/>
            <w:tcBorders/>
            <w:shd w:fill="FFFFFF" w:val="clear"/>
          </w:tcPr>
          <w:p>
            <w:pPr>
              <w:pStyle w:val="TableContents"/>
              <w:spacing w:before="0" w:after="283"/>
              <w:rPr/>
            </w:pPr>
            <w:r>
              <w:rPr/>
              <w:t> </w:t>
            </w:r>
          </w:p>
        </w:tc>
        <w:tc>
          <w:tcPr>
            <w:tcW w:w="2640" w:type="dxa"/>
            <w:tcBorders/>
            <w:shd w:fill="FFFFFF" w:val="clear"/>
          </w:tcPr>
          <w:p>
            <w:pPr>
              <w:pStyle w:val="TableContents"/>
              <w:spacing w:before="0" w:after="283"/>
              <w:rPr/>
            </w:pPr>
            <w:r>
              <w:rPr/>
              <w:t> </w:t>
            </w:r>
          </w:p>
        </w:tc>
      </w:tr>
      <w:tr>
        <w:trPr/>
        <w:tc>
          <w:tcPr>
            <w:tcW w:w="256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rPr/>
            </w:pPr>
            <w:r>
              <w:rPr/>
              <w:t> </w:t>
            </w:r>
          </w:p>
        </w:tc>
        <w:tc>
          <w:tcPr>
            <w:tcW w:w="650" w:type="dxa"/>
            <w:tcBorders/>
            <w:shd w:fill="auto" w:val="clear"/>
          </w:tcPr>
          <w:p>
            <w:pPr>
              <w:pStyle w:val="TableContents"/>
              <w:spacing w:before="0" w:after="283"/>
              <w:rPr/>
            </w:pPr>
            <w:r>
              <w:rPr/>
              <w:t> </w:t>
            </w:r>
          </w:p>
        </w:tc>
        <w:tc>
          <w:tcPr>
            <w:tcW w:w="225" w:type="dxa"/>
            <w:tcBorders/>
            <w:shd w:fill="auto" w:val="clear"/>
          </w:tcPr>
          <w:p>
            <w:pPr>
              <w:pStyle w:val="TableContents"/>
              <w:spacing w:before="0" w:after="283"/>
              <w:rPr/>
            </w:pPr>
            <w:r>
              <w:rPr/>
              <w:t> </w:t>
            </w:r>
          </w:p>
        </w:tc>
        <w:tc>
          <w:tcPr>
            <w:tcW w:w="7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2640" w:type="dxa"/>
            <w:tcBorders/>
            <w:shd w:fill="auto" w:val="clear"/>
          </w:tcPr>
          <w:p>
            <w:pPr>
              <w:pStyle w:val="TableContents"/>
              <w:spacing w:before="0" w:after="283"/>
              <w:rPr/>
            </w:pPr>
            <w:r>
              <w:rPr/>
              <w:t> </w:t>
            </w:r>
          </w:p>
        </w:tc>
      </w:tr>
    </w:tbl>
    <w:p>
      <w:pPr>
        <w:pStyle w:val="TextBody"/>
        <w:rPr/>
      </w:pPr>
      <w:r>
        <w:rPr/>
        <w:t>        </w:t>
      </w:r>
      <w:r>
        <w:rPr>
          <w:rFonts w:ascii="times" w:hAnsi="times"/>
          <w:i/>
          <w:sz w:val="20"/>
        </w:rPr>
        <w:t>Pacific.</w:t>
      </w:r>
      <w:r>
        <w:rPr>
          <w:rFonts w:ascii="times" w:hAnsi="times"/>
        </w:rPr>
        <w:t>    </w:t>
      </w:r>
      <w:r>
        <w:rPr>
          <w:rFonts w:ascii="times" w:hAnsi="times"/>
          <w:sz w:val="20"/>
        </w:rPr>
        <w:t xml:space="preserve">On November 15, 2006 we completed our merger with Pacific pursuant to an Agreement and Plan of Merger dated June 11, 2006. The merger-related transactions included (i) the acquisition from LB Pacific of the general partner interest and incentive distribution rights of Pacific as well as approximately 5 million Pacific common units and approximately 5 million Pacific subordinated units for a total of $700 million and (ii) the acquisition of the balance of Pacific's equity through a unit-for-unit exchange, resulting in the issuance of approximately 22 million Partnership units. The total value of the transaction was approximately $2.5 billion, including the assumption of debt and estimated transaction costs. Upon completion of the merger-related transactions, the general partner and limited partner ownership interests in Pacific were extinguished and Pacific was merged with and into the Partnership. See Note 3 to our Consolidated Financial Statements for discussion of the purchase price and related allocation, and discussion of the sources of funding. </w:t>
      </w:r>
    </w:p>
    <w:p>
      <w:pPr>
        <w:pStyle w:val="TextBody"/>
        <w:rPr>
          <w:rFonts w:ascii="times" w:hAnsi="times"/>
          <w:b/>
          <w:sz w:val="20"/>
        </w:rPr>
      </w:pPr>
      <w:r>
        <w:rPr>
          <w:rFonts w:ascii="times" w:hAnsi="times"/>
          <w:b/>
          <w:sz w:val="20"/>
        </w:rPr>
        <w:t xml:space="preserve">Critical Accounting Policies and Estimates </w:t>
      </w:r>
    </w:p>
    <w:p>
      <w:pPr>
        <w:pStyle w:val="TextBody"/>
        <w:rPr>
          <w:rFonts w:ascii="times" w:hAnsi="times"/>
          <w:b/>
          <w:i/>
          <w:sz w:val="20"/>
        </w:rPr>
      </w:pPr>
      <w:r>
        <w:rPr>
          <w:rFonts w:ascii="times" w:hAnsi="times"/>
          <w:b/>
          <w:i/>
          <w:sz w:val="20"/>
        </w:rPr>
        <w:t xml:space="preserve">Critical Accounting Policies </w:t>
      </w:r>
    </w:p>
    <w:p>
      <w:pPr>
        <w:pStyle w:val="TextBody"/>
        <w:rPr/>
      </w:pPr>
      <w:r>
        <w:rPr/>
        <w:t>        </w:t>
      </w:r>
      <w:r>
        <w:rPr>
          <w:rFonts w:ascii="times" w:hAnsi="times"/>
          <w:sz w:val="20"/>
        </w:rPr>
        <w:t xml:space="preserve">We have adopted various accounting policies to prepare our consolidated financial statements in accordance with generally accepted accounting principles in the United States. These critical accounting policies are discussed in Note 2 to our Consolidated Financial Statements. </w:t>
      </w:r>
    </w:p>
    <w:p>
      <w:pPr>
        <w:pStyle w:val="TextBody"/>
        <w:rPr>
          <w:rFonts w:ascii="times" w:hAnsi="times"/>
          <w:b/>
          <w:i/>
          <w:sz w:val="20"/>
        </w:rPr>
      </w:pPr>
      <w:r>
        <w:rPr>
          <w:rFonts w:ascii="times" w:hAnsi="times"/>
          <w:b/>
          <w:i/>
          <w:sz w:val="20"/>
        </w:rPr>
        <w:t xml:space="preserve">Critical Accounting Estimates </w:t>
      </w:r>
    </w:p>
    <w:p>
      <w:pPr>
        <w:pStyle w:val="TextBody"/>
        <w:rPr/>
      </w:pPr>
      <w:r>
        <w:rPr/>
        <w:t>        </w:t>
      </w:r>
      <w:r>
        <w:rPr>
          <w:rFonts w:ascii="times" w:hAnsi="times"/>
          <w:sz w:val="20"/>
        </w:rPr>
        <w:t xml:space="preserve">The preparation of financial statements in conformity with accounting principles generally accepted in the United States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The critical accounting estimates that we have identified are discussed below. </w:t>
      </w:r>
    </w:p>
    <w:p>
      <w:pPr>
        <w:pStyle w:val="TextBody"/>
        <w:jc w:val="center"/>
        <w:rPr>
          <w:rFonts w:ascii="times" w:hAnsi="times"/>
          <w:sz w:val="20"/>
        </w:rPr>
      </w:pPr>
      <w:r>
        <w:rPr>
          <w:rFonts w:ascii="times" w:hAnsi="times"/>
          <w:sz w:val="20"/>
        </w:rPr>
        <w:t>75</w:t>
      </w:r>
    </w:p>
    <w:p>
      <w:pPr>
        <w:pStyle w:val="HorizontalLine"/>
        <w:pBdr>
          <w:bottom w:val="single" w:sz="20" w:space="0" w:color="808080"/>
        </w:pBdr>
        <w:rPr/>
      </w:pPr>
      <w:r>
        <w:rPr/>
      </w:r>
      <w:r>
        <w:br w:type="page"/>
      </w:r>
    </w:p>
    <w:p>
      <w:pPr>
        <w:pStyle w:val="TextBody"/>
        <w:rPr/>
      </w:pPr>
      <w:hyperlink w:anchor="bg12101a_main_toc">
        <w:bookmarkStart w:id="106" w:name="page_dw12101_1_76"/>
        <w:bookmarkEnd w:id="106"/>
        <w:r>
          <w:rPr>
            <w:rStyle w:val="InternetLink"/>
            <w:rFonts w:ascii="times" w:hAnsi="times"/>
            <w:sz w:val="20"/>
          </w:rPr>
          <w:t>Table of Contents</w:t>
        </w:r>
      </w:hyperlink>
    </w:p>
    <w:p>
      <w:pPr>
        <w:pStyle w:val="TextBody"/>
        <w:rPr/>
      </w:pPr>
      <w:r>
        <w:rPr/>
        <w:t>        </w:t>
      </w:r>
      <w:r>
        <w:rPr>
          <w:rFonts w:ascii="times" w:hAnsi="times"/>
          <w:i/>
          <w:sz w:val="20"/>
        </w:rPr>
        <w:t>Purchase and Sales Accruals.</w:t>
      </w:r>
      <w:r>
        <w:rPr>
          <w:rFonts w:ascii="times" w:hAnsi="times"/>
        </w:rPr>
        <w:t>    </w:t>
      </w:r>
      <w:r>
        <w:rPr>
          <w:rFonts w:ascii="times" w:hAnsi="times"/>
          <w:sz w:val="20"/>
        </w:rPr>
        <w:t xml:space="preserve">We routinely make accruals based on estimates for certain components of our revenues and cost of sales due to the timing of compiling billing information, receiving third 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2008, we estimate that approximately 1%, 1%, 6% and 8% of annual revenues, cost of sales, operating income and net income, respectively, were recorded using purchase and sales estimates. Accordingly, a 10% variance from this estimate would impact the respective line items by less than 1%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 </w:t>
      </w:r>
    </w:p>
    <w:p>
      <w:pPr>
        <w:pStyle w:val="TextBody"/>
        <w:rPr/>
      </w:pPr>
      <w:r>
        <w:rPr/>
        <w:t>        </w:t>
      </w:r>
      <w:r>
        <w:rPr>
          <w:rFonts w:ascii="times" w:hAnsi="times"/>
          <w:i/>
          <w:sz w:val="20"/>
        </w:rPr>
        <w:t>Mark-to-Market Accrual.</w:t>
      </w:r>
      <w:r>
        <w:rPr>
          <w:rFonts w:ascii="times" w:hAnsi="times"/>
        </w:rPr>
        <w:t>    </w:t>
      </w:r>
      <w:r>
        <w:rPr>
          <w:rFonts w:ascii="times" w:hAnsi="times"/>
          <w:sz w:val="20"/>
        </w:rPr>
        <w:t xml:space="preserve">In situations where we are required to mark-to-market derivatives pursuant to Statement of Financial Accounting Standards No. 133 "Accounting for Derivative Instruments and Hedging Activities." as amended ("SFAS 133"), the estimates of gains or losses at a particular period end do not reflect the end results of particular transactions, and will most likely not reflect the actual gain or loss at the conclusion of a transaction. We reflect estimates for these items based on our internal records and information from third parties.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Approximately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w:t>
      </w:r>
    </w:p>
    <w:p>
      <w:pPr>
        <w:pStyle w:val="TextBody"/>
        <w:rPr/>
      </w:pPr>
      <w:r>
        <w:rPr/>
        <w:t>        </w:t>
      </w:r>
      <w:r>
        <w:rPr>
          <w:rFonts w:ascii="times" w:hAnsi="times"/>
          <w:i/>
          <w:sz w:val="20"/>
        </w:rPr>
        <w:t>Accruals and Contingent Liabilities.</w:t>
      </w:r>
      <w:r>
        <w:rPr>
          <w:rFonts w:ascii="times" w:hAnsi="times"/>
        </w:rPr>
        <w:t>    </w:t>
      </w:r>
      <w:r>
        <w:rPr>
          <w:rFonts w:ascii="times" w:hAnsi="times"/>
          <w:sz w:val="20"/>
        </w:rPr>
        <w:t xml:space="preserve">We record accruals or liabilities including, but not limited to, environmental remediation and governmental penalties, insurance claims, asset retirement obligations, taxes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costs of medical care associated with worker's compensation and employee health insurance claims, and the possibility of existing legal claims giving rise to additional claims. Our estimates for contingent liability accruals are increased or decreased as additional information is obtained or resolution is achieved. A variance of 5% in our aggregate estimate for the accruals and contingent liabilities discussed above would have an impact on earnings of up to approximately $8 million. Although the resolution of these uncertainties has not historically had a material impact on our results of operations or financial condition, we cannot provide assurance that actual amounts will not vary significantly from estimated amounts. </w:t>
      </w:r>
    </w:p>
    <w:p>
      <w:pPr>
        <w:pStyle w:val="TextBody"/>
        <w:rPr/>
      </w:pPr>
      <w:r>
        <w:rPr/>
        <w:t>        </w:t>
      </w:r>
      <w:r>
        <w:rPr>
          <w:rFonts w:ascii="times" w:hAnsi="times"/>
          <w:i/>
          <w:sz w:val="20"/>
        </w:rPr>
        <w:t>Fair Value of Assets and Liabilities Acquired and Identification of Associated Goodwill and Intangible Assets.</w:t>
      </w:r>
      <w:r>
        <w:rPr>
          <w:rFonts w:ascii="times" w:hAnsi="times"/>
        </w:rPr>
        <w:t>    </w:t>
      </w:r>
      <w:r>
        <w:rPr>
          <w:rFonts w:ascii="times" w:hAnsi="times"/>
          <w:sz w:val="20"/>
        </w:rPr>
        <w:t xml:space="preserve">In accordance with SFAS No. 141 "Business Combination," with each acquisition, we allocate the cost of the acquired entity to the assets and liabilities assumed based on their estimated fair values </w:t>
      </w:r>
    </w:p>
    <w:p>
      <w:pPr>
        <w:pStyle w:val="TextBody"/>
        <w:jc w:val="center"/>
        <w:rPr>
          <w:rFonts w:ascii="times" w:hAnsi="times"/>
          <w:sz w:val="20"/>
        </w:rPr>
      </w:pPr>
      <w:r>
        <w:rPr>
          <w:rFonts w:ascii="times" w:hAnsi="times"/>
          <w:sz w:val="20"/>
        </w:rPr>
        <w:t>76</w:t>
      </w:r>
    </w:p>
    <w:p>
      <w:pPr>
        <w:pStyle w:val="HorizontalLine"/>
        <w:pBdr>
          <w:bottom w:val="single" w:sz="20" w:space="0" w:color="808080"/>
        </w:pBdr>
        <w:rPr/>
      </w:pPr>
      <w:r>
        <w:rPr/>
      </w:r>
      <w:r>
        <w:br w:type="page"/>
      </w:r>
    </w:p>
    <w:p>
      <w:pPr>
        <w:pStyle w:val="TextBody"/>
        <w:rPr/>
      </w:pPr>
      <w:hyperlink w:anchor="bg12101a_main_toc">
        <w:bookmarkStart w:id="107" w:name="page_dw12101_1_77"/>
        <w:bookmarkEnd w:id="107"/>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at the date of acquisition. We also estimate the amount of transaction costs that will be incurred in connection with each acquisition. As additional information becomes available, we may adjust the original estimates within a short time period subsequent to the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 </w:t>
      </w:r>
    </w:p>
    <w:p>
      <w:pPr>
        <w:pStyle w:val="TextBody"/>
        <w:rPr/>
      </w:pPr>
      <w:r>
        <w:rPr/>
        <w:t>        </w:t>
      </w:r>
      <w:r>
        <w:rPr>
          <w:rFonts w:ascii="times" w:hAnsi="times"/>
          <w:sz w:val="20"/>
        </w:rPr>
        <w:t xml:space="preserve">Impairment testing entails estimating future net cash flows relating to the asset, based on management's estimate of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 </w:t>
      </w:r>
    </w:p>
    <w:p>
      <w:pPr>
        <w:pStyle w:val="TextBody"/>
        <w:rPr/>
      </w:pPr>
      <w:r>
        <w:rPr/>
        <w:t>        </w:t>
      </w:r>
      <w:r>
        <w:rPr>
          <w:rFonts w:ascii="times" w:hAnsi="times"/>
          <w:sz w:val="20"/>
        </w:rPr>
        <w:t xml:space="preserve">At December 31, 2008, we compared our market capitalization to our book equity, to determine if there was an indicator of impairment. Although, our market capitalization exceeded the book value of our equity at December 31, 2008, we updated our goodwill impairment test due to the ongoing deterioration of the credit markets and the overall economic conditions. We determined that the fair value was greater than book value for all three reporting units, and therefore goodwill was not considered impaired. We will continue to monitor the market to determine if a triggering event occurs and will perform another goodwill impairment analysis if necessary. We did not have any goodwill impairments in 2008, 2007 or 2006. See Note 2 to our Consolidated Financial Statements for a discussion of goodwill. </w:t>
      </w:r>
    </w:p>
    <w:p>
      <w:pPr>
        <w:pStyle w:val="TextBody"/>
        <w:rPr/>
      </w:pPr>
      <w:r>
        <w:rPr/>
        <w:t>        </w:t>
      </w:r>
      <w:r>
        <w:rPr>
          <w:rFonts w:ascii="times" w:hAnsi="times"/>
          <w:i/>
          <w:sz w:val="20"/>
        </w:rPr>
        <w:t>Equity Compensation Plan Accruals.</w:t>
      </w:r>
      <w:r>
        <w:rPr>
          <w:rFonts w:ascii="times" w:hAnsi="times"/>
        </w:rPr>
        <w:t>    </w:t>
      </w:r>
      <w:r>
        <w:rPr>
          <w:rFonts w:ascii="times" w:hAnsi="times"/>
          <w:sz w:val="20"/>
        </w:rPr>
        <w:t xml:space="preserve">We accrue compensation expense for outstanding equity awards granted under our various Long Term Incentive Plans as well as outstanding Class B units of Plains AAP, L.P. (collectively, our "equity compensation plans"). Under generally accepted accounting principles, we are required to estimate the fair value of our outstanding equity awards and recognize that fair value as compensation expense over the service period. For equity awards that contain a performance condition, the fair value of the equity award is recognized as compensation expense only if the attainment of the performance condition is considered probable. </w:t>
      </w:r>
    </w:p>
    <w:p>
      <w:pPr>
        <w:pStyle w:val="TextBody"/>
        <w:rPr/>
      </w:pPr>
      <w:r>
        <w:rPr/>
        <w:t>        </w:t>
      </w:r>
      <w:r>
        <w:rPr>
          <w:rFonts w:ascii="times" w:hAnsi="times"/>
          <w:sz w:val="20"/>
        </w:rPr>
        <w:t xml:space="preserve">For equity awards granted under our various Long Term Incentive Plans, the total compensation expense recognized over the service period is determined by our unit price on the vesting date (or, in some cases, the average unit price for a range of dates preceding the vesting date) multiplied by the number of equity awards that are vesting, plus our share of associated employment taxes. Uncertainties involved in this estimate include the actual unit price at time of vesting, whether or not a performance condition will be attained and the continued employment of personnel with outstanding equity awards. </w:t>
      </w:r>
    </w:p>
    <w:p>
      <w:pPr>
        <w:pStyle w:val="TextBody"/>
        <w:rPr/>
      </w:pPr>
      <w:r>
        <w:rPr/>
        <w:t>        </w:t>
      </w:r>
      <w:r>
        <w:rPr>
          <w:rFonts w:ascii="times" w:hAnsi="times"/>
          <w:sz w:val="20"/>
        </w:rPr>
        <w:t xml:space="preserve">For the Class B units of Plains AAP, L.P., the total compensation expense recognized over the service period is equal to the grant date fair value of the Class B units that become earned. The Class B units become earned in 25% increments upon PAA achieving annualized distribution levels of $3.50, $3.75, $4.00 and $4.50 (or, in some cases, within six months thereof). When earned, the Class B units will be entitled to participate in distributions paid by Plains AAP, L.P. in excess of $11 million (as adjusted for debt service costs and excluding special distributions funded by debt) per quarter. Uncertainties involved in this estimate include the estimated date that PAA will achieve the annualized </w:t>
      </w:r>
    </w:p>
    <w:p>
      <w:pPr>
        <w:pStyle w:val="TextBody"/>
        <w:jc w:val="center"/>
        <w:rPr>
          <w:rFonts w:ascii="times" w:hAnsi="times"/>
          <w:sz w:val="20"/>
        </w:rPr>
      </w:pPr>
      <w:r>
        <w:rPr>
          <w:rFonts w:ascii="times" w:hAnsi="times"/>
          <w:sz w:val="20"/>
        </w:rPr>
        <w:t>77</w:t>
      </w:r>
    </w:p>
    <w:p>
      <w:pPr>
        <w:pStyle w:val="HorizontalLine"/>
        <w:pBdr>
          <w:bottom w:val="single" w:sz="20" w:space="0" w:color="808080"/>
        </w:pBdr>
        <w:rPr/>
      </w:pPr>
      <w:r>
        <w:rPr/>
      </w:r>
      <w:r>
        <w:br w:type="page"/>
      </w:r>
    </w:p>
    <w:p>
      <w:pPr>
        <w:pStyle w:val="TextBody"/>
        <w:rPr/>
      </w:pPr>
      <w:hyperlink w:anchor="bg12101a_main_toc">
        <w:bookmarkStart w:id="108" w:name="page_dw12101_1_78"/>
        <w:bookmarkEnd w:id="108"/>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distribution levels required and the continued employment of personnel who have been awarded Class B units. </w:t>
      </w:r>
    </w:p>
    <w:p>
      <w:pPr>
        <w:pStyle w:val="TextBody"/>
        <w:rPr/>
      </w:pPr>
      <w:r>
        <w:rPr/>
        <w:t>        </w:t>
      </w:r>
      <w:r>
        <w:rPr>
          <w:rFonts w:ascii="times" w:hAnsi="times"/>
          <w:sz w:val="20"/>
        </w:rPr>
        <w:t xml:space="preserve">We recognized total compensation expense of approximately $24 million, $49 million and $43 million in 2008, 2007 and 2006, respectively, related to equity awards granted under our various equity compensation plans. We cannot provide assurance that the actual fair value of our equity compensation awards will not vary significantly from estimated amounts. See Note 10 to our Consolidated Financial Statements. </w:t>
      </w:r>
    </w:p>
    <w:p>
      <w:pPr>
        <w:pStyle w:val="TextBody"/>
        <w:rPr/>
      </w:pPr>
      <w:r>
        <w:rPr/>
        <w:t>        </w:t>
      </w:r>
      <w:r>
        <w:rPr>
          <w:rFonts w:ascii="times" w:hAnsi="times"/>
          <w:i/>
          <w:sz w:val="20"/>
        </w:rPr>
        <w:t>Property, Plant and Equipment and Depreciation Expense.</w:t>
      </w:r>
      <w:r>
        <w:rPr>
          <w:rFonts w:ascii="times" w:hAnsi="times"/>
        </w:rPr>
        <w:t>    </w:t>
      </w:r>
      <w:r>
        <w:rPr>
          <w:rFonts w:ascii="times" w:hAnsi="times"/>
          <w:sz w:val="20"/>
        </w:rPr>
        <w:t xml:space="preserve">We compute depreciation using the straight-line method based on estimated useful lives. We periodically evaluate property, plant and equipment for impairment when events or circumstances indicate that the carrying value of these assets may not be recoverable. The evaluation is highly dependent on the underlying assumptions of related cash flows. We consider the fair value estimate used to calculate impairment of property, plant and equipment a critical accounting estimate. In determining the existence of an impairment in carrying value, we make a number of subjective assumptions as 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there is an indication of impairment;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grouping of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intention of "holding" versus "selling" an asset;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forecast of undiscounted expected future cash flow over the asset's estimated useful life;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an impairment exists, the fair value of the asset or asset group. </w:t>
      </w:r>
    </w:p>
    <w:p>
      <w:pPr>
        <w:pStyle w:val="TextBody"/>
        <w:rPr/>
      </w:pPr>
      <w:r>
        <w:rPr/>
        <w:t>        </w:t>
      </w:r>
      <w:r>
        <w:rPr>
          <w:rFonts w:ascii="times" w:hAnsi="times"/>
          <w:sz w:val="20"/>
        </w:rPr>
        <w:t xml:space="preserve">During 2008, an impairment of approximately $5 million was recognized for assets taken out of service. Impairments of approximately $1 million and less than $1 million were recognized during 2007 and 2006, respectively. </w:t>
      </w:r>
    </w:p>
    <w:p>
      <w:pPr>
        <w:pStyle w:val="TextBody"/>
        <w:rPr>
          <w:rFonts w:ascii="times" w:hAnsi="times"/>
          <w:b/>
          <w:sz w:val="20"/>
        </w:rPr>
      </w:pPr>
      <w:r>
        <w:rPr>
          <w:rFonts w:ascii="times" w:hAnsi="times"/>
          <w:b/>
          <w:sz w:val="20"/>
        </w:rPr>
        <w:t xml:space="preserve">Recent Accounting Pronouncements </w:t>
      </w:r>
    </w:p>
    <w:p>
      <w:pPr>
        <w:pStyle w:val="TextBody"/>
        <w:rPr>
          <w:rFonts w:ascii="times" w:hAnsi="times"/>
          <w:b/>
          <w:i/>
          <w:sz w:val="20"/>
        </w:rPr>
      </w:pPr>
      <w:r>
        <w:rPr>
          <w:rFonts w:ascii="times" w:hAnsi="times"/>
          <w:b/>
          <w:i/>
          <w:sz w:val="20"/>
        </w:rPr>
        <w:t xml:space="preserve">Recent Accounting Pronouncements </w:t>
      </w:r>
    </w:p>
    <w:p>
      <w:pPr>
        <w:pStyle w:val="TextBody"/>
        <w:rPr/>
      </w:pPr>
      <w:r>
        <w:rPr/>
        <w:t>        </w:t>
      </w:r>
      <w:r>
        <w:rPr>
          <w:rFonts w:ascii="times" w:hAnsi="times"/>
          <w:sz w:val="20"/>
        </w:rPr>
        <w:t xml:space="preserve">For a discussion of recent accounting pronouncements that will impact us, see Note 2 to our Consolidated Financial Statements. </w:t>
      </w:r>
    </w:p>
    <w:p>
      <w:pPr>
        <w:pStyle w:val="TextBody"/>
        <w:rPr>
          <w:rFonts w:ascii="times" w:hAnsi="times"/>
          <w:b/>
          <w:sz w:val="20"/>
        </w:rPr>
      </w:pPr>
      <w:r>
        <w:rPr>
          <w:rFonts w:ascii="times" w:hAnsi="times"/>
          <w:b/>
          <w:sz w:val="20"/>
        </w:rPr>
        <w:t xml:space="preserve">Results of Operations </w:t>
      </w:r>
    </w:p>
    <w:p>
      <w:pPr>
        <w:pStyle w:val="TextBody"/>
        <w:rPr>
          <w:rFonts w:ascii="times" w:hAnsi="times"/>
          <w:b/>
          <w:i/>
          <w:sz w:val="20"/>
        </w:rPr>
      </w:pPr>
      <w:r>
        <w:rPr>
          <w:rFonts w:ascii="times" w:hAnsi="times"/>
          <w:b/>
          <w:i/>
          <w:sz w:val="20"/>
        </w:rPr>
        <w:t xml:space="preserve">Analysis of Operating Segments </w:t>
      </w:r>
    </w:p>
    <w:p>
      <w:pPr>
        <w:pStyle w:val="TextBody"/>
        <w:rPr/>
      </w:pPr>
      <w:r>
        <w:rPr/>
        <w:t>        </w:t>
      </w:r>
      <w:r>
        <w:rPr>
          <w:rFonts w:ascii="times" w:hAnsi="times"/>
          <w:sz w:val="20"/>
        </w:rPr>
        <w:t xml:space="preserve">We manage our operations through three operating segments: (i) Transportation, (ii) Facilities and (iii) Marketing. </w:t>
      </w:r>
    </w:p>
    <w:p>
      <w:pPr>
        <w:pStyle w:val="TextBody"/>
        <w:rPr/>
      </w:pPr>
      <w:r>
        <w:rPr/>
        <w:t>        </w:t>
      </w:r>
      <w:r>
        <w:rPr>
          <w:rFonts w:ascii="times" w:hAnsi="times"/>
          <w:sz w:val="20"/>
        </w:rPr>
        <w:t xml:space="preserve">Our Chief Operating Decision Maker (our Chief Executive Officer) evaluates segment performance based on a variety of measures including segment profit, segment volumes, segment profit per barrel and maintenance capital investment. See Note 15 to our Consolidated Financial Statements for a definition of segment profit (including an explanation of why this is a performance measure) and a reconciliation of segment profit to consolidated income before cumulative effect of change in accounting principle. </w:t>
      </w:r>
    </w:p>
    <w:p>
      <w:pPr>
        <w:pStyle w:val="TextBody"/>
        <w:rPr/>
      </w:pPr>
      <w:r>
        <w:rPr/>
        <w:t>        </w:t>
      </w:r>
      <w:r>
        <w:rPr>
          <w:rFonts w:ascii="times" w:hAnsi="times"/>
          <w:sz w:val="20"/>
        </w:rPr>
        <w:t xml:space="preserve">Our segment analysis involves an element of judgment relating to the allocations between segments. In connection with its operations, the marketing segment secures transportation and facilities services from the Partnership's other two segments as well as third-party service providers under month-to-month and multi-year arrangements. Intersegment transportation service rates are conducted at posted tariff rates, rates similar to those charged to third parties or rates that we believe approximate market rates. Facilities segment services are also obtained at rates generally consistent </w:t>
      </w:r>
    </w:p>
    <w:p>
      <w:pPr>
        <w:pStyle w:val="TextBody"/>
        <w:jc w:val="center"/>
        <w:rPr>
          <w:rFonts w:ascii="times" w:hAnsi="times"/>
          <w:sz w:val="20"/>
        </w:rPr>
      </w:pPr>
      <w:r>
        <w:rPr>
          <w:rFonts w:ascii="times" w:hAnsi="times"/>
          <w:sz w:val="20"/>
        </w:rPr>
        <w:t>78</w:t>
      </w:r>
    </w:p>
    <w:p>
      <w:pPr>
        <w:pStyle w:val="HorizontalLine"/>
        <w:pBdr>
          <w:bottom w:val="single" w:sz="20" w:space="0" w:color="808080"/>
        </w:pBdr>
        <w:rPr/>
      </w:pPr>
      <w:r>
        <w:rPr/>
      </w:r>
      <w:r>
        <w:br w:type="page"/>
      </w:r>
    </w:p>
    <w:p>
      <w:pPr>
        <w:pStyle w:val="TextBody"/>
        <w:rPr/>
      </w:pPr>
      <w:hyperlink w:anchor="bg12101a_main_toc">
        <w:bookmarkStart w:id="109" w:name="page_dw12101_1_79"/>
        <w:bookmarkEnd w:id="109"/>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with rates charged to third parties for similar services; however, certain terminalling and storage rates are discounted to our marketing segment to reflect the fact that these services may be canceled on short notice to enable the facilities segment to provide services to third parties. Intersegment rates are eliminated in consolidation and we believe that the estimates with respect to these rates are reasonable. Also, our segment operating and general and administrative expenses reflect direct costs attributable to each segment; however, we also allocate certain operating expense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 </w:t>
      </w:r>
    </w:p>
    <w:tbl>
      <w:tblPr>
        <w:tblW w:w="8084" w:type="dxa"/>
        <w:jc w:val="center"/>
        <w:tblInd w:w="0" w:type="dxa"/>
        <w:tblCellMar>
          <w:top w:w="0" w:type="dxa"/>
          <w:left w:w="0" w:type="dxa"/>
          <w:bottom w:w="0" w:type="dxa"/>
          <w:right w:w="0" w:type="dxa"/>
        </w:tblCellMar>
      </w:tblPr>
      <w:tblGrid>
        <w:gridCol w:w="124"/>
        <w:gridCol w:w="3690"/>
        <w:gridCol w:w="180"/>
        <w:gridCol w:w="95"/>
        <w:gridCol w:w="290"/>
        <w:gridCol w:w="210"/>
        <w:gridCol w:w="95"/>
        <w:gridCol w:w="290"/>
        <w:gridCol w:w="210"/>
        <w:gridCol w:w="95"/>
        <w:gridCol w:w="290"/>
        <w:gridCol w:w="195"/>
        <w:gridCol w:w="95"/>
        <w:gridCol w:w="275"/>
        <w:gridCol w:w="195"/>
        <w:gridCol w:w="60"/>
        <w:gridCol w:w="245"/>
        <w:gridCol w:w="245"/>
        <w:gridCol w:w="95"/>
        <w:gridCol w:w="320"/>
        <w:gridCol w:w="195"/>
        <w:gridCol w:w="60"/>
        <w:gridCol w:w="290"/>
        <w:gridCol w:w="245"/>
      </w:tblGrid>
      <w:tr>
        <w:trPr/>
        <w:tc>
          <w:tcPr>
            <w:tcW w:w="124" w:type="dxa"/>
            <w:tcBorders/>
            <w:shd w:fill="auto" w:val="clear"/>
            <w:vAlign w:val="center"/>
          </w:tcPr>
          <w:p>
            <w:pPr>
              <w:pStyle w:val="TableContents"/>
              <w:spacing w:before="0" w:after="283"/>
              <w:rPr>
                <w:sz w:val="4"/>
                <w:szCs w:val="4"/>
              </w:rPr>
            </w:pPr>
            <w:r>
              <w:rPr>
                <w:sz w:val="4"/>
                <w:szCs w:val="4"/>
              </w:rPr>
            </w:r>
          </w:p>
        </w:tc>
        <w:tc>
          <w:tcPr>
            <w:tcW w:w="36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81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85" w:type="dxa"/>
            <w:gridSpan w:val="2"/>
            <w:tcBorders/>
            <w:shd w:fill="auto" w:val="clear"/>
            <w:vAlign w:val="bottom"/>
          </w:tcPr>
          <w:p>
            <w:pPr>
              <w:pStyle w:val="TableHeading"/>
              <w:spacing w:before="0" w:after="283"/>
              <w:jc w:val="left"/>
              <w:rPr/>
            </w:pPr>
            <w:r>
              <w:rPr/>
              <w:t> </w:t>
            </w:r>
          </w:p>
        </w:tc>
        <w:tc>
          <w:tcPr>
            <w:tcW w:w="210" w:type="dxa"/>
            <w:tcBorders/>
            <w:shd w:fill="auto" w:val="clear"/>
            <w:vAlign w:val="bottom"/>
          </w:tcPr>
          <w:p>
            <w:pPr>
              <w:pStyle w:val="TableHeading"/>
              <w:suppressLineNumbers/>
              <w:spacing w:before="0" w:after="283"/>
              <w:jc w:val="center"/>
              <w:rPr/>
            </w:pPr>
            <w:r>
              <w:rPr/>
              <w:t> </w:t>
            </w:r>
          </w:p>
        </w:tc>
        <w:tc>
          <w:tcPr>
            <w:tcW w:w="385" w:type="dxa"/>
            <w:gridSpan w:val="2"/>
            <w:tcBorders/>
            <w:shd w:fill="auto" w:val="clear"/>
            <w:vAlign w:val="bottom"/>
          </w:tcPr>
          <w:p>
            <w:pPr>
              <w:pStyle w:val="TableHeading"/>
              <w:spacing w:before="0" w:after="283"/>
              <w:jc w:val="left"/>
              <w:rPr/>
            </w:pPr>
            <w:r>
              <w:rPr/>
              <w:t> </w:t>
            </w:r>
          </w:p>
        </w:tc>
        <w:tc>
          <w:tcPr>
            <w:tcW w:w="210" w:type="dxa"/>
            <w:tcBorders/>
            <w:shd w:fill="auto" w:val="clear"/>
            <w:vAlign w:val="bottom"/>
          </w:tcPr>
          <w:p>
            <w:pPr>
              <w:pStyle w:val="TableHeading"/>
              <w:suppressLineNumbers/>
              <w:spacing w:before="0" w:after="283"/>
              <w:jc w:val="center"/>
              <w:rPr/>
            </w:pPr>
            <w:r>
              <w:rPr/>
              <w:t> </w:t>
            </w:r>
          </w:p>
        </w:tc>
        <w:tc>
          <w:tcPr>
            <w:tcW w:w="385" w:type="dxa"/>
            <w:gridSpan w:val="2"/>
            <w:tcBorders/>
            <w:shd w:fill="auto" w:val="clear"/>
            <w:vAlign w:val="bottom"/>
          </w:tcPr>
          <w:p>
            <w:pPr>
              <w:pStyle w:val="TableHeading"/>
              <w:spacing w:before="0" w:after="283"/>
              <w:jc w:val="left"/>
              <w:rPr/>
            </w:pPr>
            <w:r>
              <w:rPr/>
              <w:t> </w:t>
            </w:r>
          </w:p>
        </w:tc>
        <w:tc>
          <w:tcPr>
            <w:tcW w:w="195" w:type="dxa"/>
            <w:vMerge w:val="restart"/>
            <w:tcBorders/>
            <w:shd w:fill="auto" w:val="clear"/>
            <w:vAlign w:val="bottom"/>
          </w:tcPr>
          <w:p>
            <w:pPr>
              <w:pStyle w:val="TableHeading"/>
              <w:suppressLineNumbers/>
              <w:spacing w:before="0" w:after="283"/>
              <w:jc w:val="center"/>
              <w:rPr/>
            </w:pPr>
            <w:r>
              <w:rPr/>
              <w:t> </w:t>
            </w:r>
          </w:p>
        </w:tc>
        <w:tc>
          <w:tcPr>
            <w:tcW w:w="2075"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 (Unfavorable) </w:t>
            </w:r>
          </w:p>
        </w:tc>
        <w:tc>
          <w:tcPr>
            <w:tcW w:w="245" w:type="dxa"/>
            <w:tcBorders/>
            <w:shd w:fill="auto" w:val="clear"/>
            <w:vAlign w:val="bottom"/>
          </w:tcPr>
          <w:p>
            <w:pPr>
              <w:pStyle w:val="TableHeading"/>
              <w:suppressLineNumbers/>
              <w:spacing w:before="0" w:after="283"/>
              <w:jc w:val="center"/>
              <w:rPr/>
            </w:pPr>
            <w:r>
              <w:rPr/>
              <w:t> </w:t>
            </w:r>
          </w:p>
        </w:tc>
      </w:tr>
      <w:tr>
        <w:trPr/>
        <w:tc>
          <w:tcPr>
            <w:tcW w:w="3814" w:type="dxa"/>
            <w:gridSpan w:val="2"/>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575"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Twelve Months</w:t>
              <w:br/>
              <w:t xml:space="preserve">Ended December 31, </w:t>
            </w:r>
          </w:p>
        </w:tc>
        <w:tc>
          <w:tcPr>
            <w:tcW w:w="195" w:type="dxa"/>
            <w:vMerge w:val="continue"/>
            <w:tcBorders/>
            <w:shd w:fill="auto" w:val="clear"/>
            <w:vAlign w:val="bottom"/>
          </w:tcPr>
          <w:p>
            <w:pPr>
              <w:pStyle w:val="Normal"/>
              <w:rPr/>
            </w:pPr>
            <w:r>
              <w:rPr/>
            </w:r>
          </w:p>
        </w:tc>
        <w:tc>
          <w:tcPr>
            <w:tcW w:w="2075" w:type="dxa"/>
            <w:gridSpan w:val="11"/>
            <w:vMerge w:val="continue"/>
            <w:tcBorders>
              <w:bottom w:val="single" w:sz="8" w:space="0" w:color="000000"/>
            </w:tcBorders>
            <w:shd w:fill="auto" w:val="clear"/>
            <w:tcMar>
              <w:bottom w:w="28" w:type="dxa"/>
            </w:tcMar>
            <w:vAlign w:val="bottom"/>
          </w:tcPr>
          <w:p>
            <w:pPr>
              <w:pStyle w:val="Normal"/>
              <w:rPr/>
            </w:pPr>
            <w:r>
              <w:rPr/>
            </w:r>
          </w:p>
        </w:tc>
        <w:tc>
          <w:tcPr>
            <w:tcW w:w="245" w:type="dxa"/>
            <w:tcBorders/>
            <w:shd w:fill="auto" w:val="clear"/>
            <w:vAlign w:val="bottom"/>
          </w:tcPr>
          <w:p>
            <w:pPr>
              <w:pStyle w:val="TableHeading"/>
              <w:suppressLineNumbers/>
              <w:spacing w:before="0" w:after="283"/>
              <w:jc w:val="center"/>
              <w:rPr/>
            </w:pPr>
            <w:r>
              <w:rPr/>
              <w:t> </w:t>
            </w:r>
          </w:p>
        </w:tc>
      </w:tr>
      <w:tr>
        <w:trPr/>
        <w:tc>
          <w:tcPr>
            <w:tcW w:w="3814" w:type="dxa"/>
            <w:gridSpan w:val="2"/>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575" w:type="dxa"/>
            <w:gridSpan w:val="8"/>
            <w:vMerge w:val="continue"/>
            <w:tcBorders>
              <w:bottom w:val="single" w:sz="8" w:space="0" w:color="000000"/>
            </w:tcBorders>
            <w:shd w:fill="auto" w:val="clear"/>
            <w:tcMar>
              <w:bottom w:w="28" w:type="dxa"/>
            </w:tcMar>
            <w:vAlign w:val="bottom"/>
          </w:tcPr>
          <w:p>
            <w:pPr>
              <w:pStyle w:val="Normal"/>
              <w:rPr/>
            </w:pPr>
            <w:r>
              <w:rPr/>
            </w:r>
          </w:p>
        </w:tc>
        <w:tc>
          <w:tcPr>
            <w:tcW w:w="195" w:type="dxa"/>
            <w:tcBorders/>
            <w:shd w:fill="auto" w:val="clear"/>
            <w:vAlign w:val="bottom"/>
          </w:tcPr>
          <w:p>
            <w:pPr>
              <w:pStyle w:val="TableHeading"/>
              <w:suppressLineNumbers/>
              <w:spacing w:before="0" w:after="283"/>
              <w:jc w:val="center"/>
              <w:rPr/>
            </w:pPr>
            <w:r>
              <w:rPr/>
              <w:t> </w:t>
            </w:r>
          </w:p>
        </w:tc>
        <w:tc>
          <w:tcPr>
            <w:tcW w:w="87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2008-2007 </w:t>
            </w:r>
          </w:p>
        </w:tc>
        <w:tc>
          <w:tcPr>
            <w:tcW w:w="245" w:type="dxa"/>
            <w:tcBorders/>
            <w:shd w:fill="auto" w:val="clear"/>
            <w:vAlign w:val="bottom"/>
          </w:tcPr>
          <w:p>
            <w:pPr>
              <w:pStyle w:val="TableHeading"/>
              <w:suppressLineNumbers/>
              <w:spacing w:before="0" w:after="283"/>
              <w:jc w:val="center"/>
              <w:rPr/>
            </w:pPr>
            <w:r>
              <w:rPr/>
              <w:t> </w:t>
            </w:r>
          </w:p>
        </w:tc>
        <w:tc>
          <w:tcPr>
            <w:tcW w:w="96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2007-2006 </w:t>
            </w:r>
          </w:p>
        </w:tc>
        <w:tc>
          <w:tcPr>
            <w:tcW w:w="245" w:type="dxa"/>
            <w:tcBorders/>
            <w:shd w:fill="auto" w:val="clear"/>
            <w:vAlign w:val="bottom"/>
          </w:tcPr>
          <w:p>
            <w:pPr>
              <w:pStyle w:val="TableHeading"/>
              <w:suppressLineNumbers/>
              <w:spacing w:before="0" w:after="283"/>
              <w:jc w:val="center"/>
              <w:rPr/>
            </w:pPr>
            <w:r>
              <w:rPr/>
              <w:t> </w:t>
            </w:r>
          </w:p>
        </w:tc>
      </w:tr>
      <w:tr>
        <w:trPr/>
        <w:tc>
          <w:tcPr>
            <w:tcW w:w="381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10"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10"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3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3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c>
          <w:tcPr>
            <w:tcW w:w="4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3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r>
      <w:tr>
        <w:trPr/>
        <w:tc>
          <w:tcPr>
            <w:tcW w:w="381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845" w:type="dxa"/>
            <w:gridSpan w:val="20"/>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unit data)</w:t>
            </w:r>
          </w:p>
        </w:tc>
        <w:tc>
          <w:tcPr>
            <w:tcW w:w="245" w:type="dxa"/>
            <w:tcBorders/>
            <w:shd w:fill="auto" w:val="clear"/>
            <w:vAlign w:val="bottom"/>
          </w:tcPr>
          <w:p>
            <w:pPr>
              <w:pStyle w:val="TableHeading"/>
              <w:suppressLineNumbers/>
              <w:spacing w:before="0" w:after="283"/>
              <w:jc w:val="center"/>
              <w:rPr/>
            </w:pPr>
            <w:r>
              <w:rPr/>
              <w:t> </w:t>
            </w:r>
          </w:p>
        </w:tc>
      </w:tr>
      <w:tr>
        <w:trPr/>
        <w:tc>
          <w:tcPr>
            <w:tcW w:w="3814"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Transportation segment profit</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445</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334</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200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111</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33</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134</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67</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Facilities segment profit</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153</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110</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35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43</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39</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20" w:type="dxa"/>
            <w:tcBorders/>
            <w:shd w:fill="FFFFFF" w:val="clear"/>
            <w:vAlign w:val="bottom"/>
          </w:tcPr>
          <w:p>
            <w:pPr>
              <w:pStyle w:val="TableContents"/>
              <w:spacing w:before="0" w:after="283"/>
              <w:jc w:val="right"/>
              <w:rPr>
                <w:rFonts w:ascii="times" w:hAnsi="times"/>
                <w:sz w:val="14"/>
              </w:rPr>
            </w:pPr>
            <w:r>
              <w:rPr>
                <w:rFonts w:ascii="times" w:hAnsi="times"/>
                <w:sz w:val="14"/>
              </w:rPr>
              <w:t>75</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214</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Marketing segment profit</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221</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269</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228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(48</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41</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124" w:type="dxa"/>
            <w:tcBorders/>
            <w:shd w:fill="FFFFFF" w:val="clear"/>
            <w:vAlign w:val="bottom"/>
          </w:tcPr>
          <w:p>
            <w:pPr>
              <w:pStyle w:val="TableContents"/>
              <w:spacing w:before="0" w:after="283"/>
              <w:rPr/>
            </w:pPr>
            <w:r>
              <w:rPr/>
              <w:t> </w:t>
            </w:r>
          </w:p>
        </w:tc>
        <w:tc>
          <w:tcPr>
            <w:tcW w:w="369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Total segment profit</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819</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713</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463</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106</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15</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20" w:type="dxa"/>
            <w:tcBorders/>
            <w:shd w:fill="FFFFFF" w:val="clear"/>
            <w:vAlign w:val="bottom"/>
          </w:tcPr>
          <w:p>
            <w:pPr>
              <w:pStyle w:val="TableContents"/>
              <w:spacing w:before="0" w:after="283"/>
              <w:jc w:val="right"/>
              <w:rPr>
                <w:rFonts w:ascii="times" w:hAnsi="times"/>
                <w:sz w:val="14"/>
              </w:rPr>
            </w:pPr>
            <w:r>
              <w:rPr>
                <w:rFonts w:ascii="times" w:hAnsi="times"/>
                <w:sz w:val="14"/>
              </w:rPr>
              <w:t>250</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54</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Depreciation and amortization</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(211</w:t>
            </w:r>
          </w:p>
        </w:tc>
        <w:tc>
          <w:tcPr>
            <w:tcW w:w="210"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(180</w:t>
            </w:r>
          </w:p>
        </w:tc>
        <w:tc>
          <w:tcPr>
            <w:tcW w:w="210"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(100</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(31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(80</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(80</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814"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Interest expense</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(196</w:t>
            </w:r>
          </w:p>
        </w:tc>
        <w:tc>
          <w:tcPr>
            <w:tcW w:w="210"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(162</w:t>
            </w:r>
          </w:p>
        </w:tc>
        <w:tc>
          <w:tcPr>
            <w:tcW w:w="210"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(34</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20" w:type="dxa"/>
            <w:tcBorders/>
            <w:shd w:fill="FFFFFF" w:val="clear"/>
            <w:vAlign w:val="bottom"/>
          </w:tcPr>
          <w:p>
            <w:pPr>
              <w:pStyle w:val="TableContents"/>
              <w:spacing w:before="0" w:after="283"/>
              <w:jc w:val="right"/>
              <w:rPr>
                <w:rFonts w:ascii="times" w:hAnsi="times"/>
                <w:sz w:val="14"/>
              </w:rPr>
            </w:pPr>
            <w:r>
              <w:rPr>
                <w:rFonts w:ascii="times" w:hAnsi="times"/>
                <w:sz w:val="14"/>
              </w:rPr>
              <w:t>(76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(88</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814"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Interest income and other income (expense), net</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33</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230</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8</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400</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Income tax expense</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210"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210"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50</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20"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245" w:type="dxa"/>
            <w:tcBorders/>
            <w:shd w:fill="FFFFFF" w:val="clear"/>
            <w:vAlign w:val="bottom"/>
          </w:tcPr>
          <w:p>
            <w:pPr>
              <w:pStyle w:val="TableContents"/>
              <w:spacing w:before="0" w:after="283"/>
              <w:rPr/>
            </w:pPr>
            <w:r>
              <w:rPr/>
              <w:t> </w:t>
            </w:r>
          </w:p>
        </w:tc>
      </w:tr>
      <w:tr>
        <w:trPr/>
        <w:tc>
          <w:tcPr>
            <w:tcW w:w="381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814"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Income before cumulative effect of change in accounting principle</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437</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365</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279</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72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86</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31</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Cumulative effect of change in accounting principle</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4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20"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(100</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81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124" w:type="dxa"/>
            <w:tcBorders/>
            <w:shd w:fill="CCEEFF" w:val="clear"/>
            <w:vAlign w:val="bottom"/>
          </w:tcPr>
          <w:p>
            <w:pPr>
              <w:pStyle w:val="TableContents"/>
              <w:spacing w:before="0" w:after="283"/>
              <w:rPr/>
            </w:pPr>
            <w:r>
              <w:rPr/>
              <w:t> </w:t>
            </w:r>
          </w:p>
        </w:tc>
        <w:tc>
          <w:tcPr>
            <w:tcW w:w="369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income</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437</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365</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285</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72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80</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28</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814"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Earnings per basic limited partner unit</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2.70</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2.54</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2.91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0.16</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20" w:type="dxa"/>
            <w:tcBorders/>
            <w:shd w:fill="FFFFFF" w:val="clear"/>
            <w:vAlign w:val="bottom"/>
          </w:tcPr>
          <w:p>
            <w:pPr>
              <w:pStyle w:val="TableContents"/>
              <w:spacing w:before="0" w:after="283"/>
              <w:jc w:val="right"/>
              <w:rPr>
                <w:rFonts w:ascii="times" w:hAnsi="times"/>
                <w:sz w:val="14"/>
              </w:rPr>
            </w:pPr>
            <w:r>
              <w:rPr>
                <w:rFonts w:ascii="times" w:hAnsi="times"/>
                <w:sz w:val="14"/>
              </w:rPr>
              <w:t>(0.37</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814"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Earnings per diluted limited partner unit</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2.67</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2.52</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2.88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0.15</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(0.36</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814"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Basic weighted average units outstanding</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120</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113</w:t>
            </w:r>
          </w:p>
        </w:tc>
        <w:tc>
          <w:tcPr>
            <w:tcW w:w="21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7</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20" w:type="dxa"/>
            <w:tcBorders/>
            <w:shd w:fill="FFFFFF" w:val="clear"/>
            <w:vAlign w:val="bottom"/>
          </w:tcPr>
          <w:p>
            <w:pPr>
              <w:pStyle w:val="TableContents"/>
              <w:spacing w:before="0" w:after="283"/>
              <w:jc w:val="right"/>
              <w:rPr>
                <w:rFonts w:ascii="times" w:hAnsi="times"/>
                <w:sz w:val="14"/>
              </w:rPr>
            </w:pPr>
            <w:r>
              <w:rPr>
                <w:rFonts w:ascii="times" w:hAnsi="times"/>
                <w:sz w:val="14"/>
              </w:rPr>
              <w:t>32</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40</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814"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Diluted weighted average units outstanding</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121</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114</w:t>
            </w:r>
          </w:p>
        </w:tc>
        <w:tc>
          <w:tcPr>
            <w:tcW w:w="21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82</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right"/>
              <w:rPr>
                <w:rFonts w:ascii="times" w:hAnsi="times"/>
                <w:sz w:val="14"/>
              </w:rPr>
            </w:pPr>
            <w:r>
              <w:rPr>
                <w:rFonts w:ascii="times" w:hAnsi="times"/>
                <w:sz w:val="14"/>
              </w:rPr>
              <w:t>32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39</w:t>
            </w:r>
          </w:p>
        </w:tc>
        <w:tc>
          <w:tcPr>
            <w:tcW w:w="245" w:type="dxa"/>
            <w:tcBorders/>
            <w:shd w:fill="CCEEFF" w:val="clear"/>
            <w:vAlign w:val="bottom"/>
          </w:tcPr>
          <w:p>
            <w:pPr>
              <w:pStyle w:val="TableContents"/>
              <w:spacing w:before="0" w:after="283"/>
              <w:rPr/>
            </w:pPr>
            <w:r>
              <w:rPr/>
              <w:t>  </w:t>
            </w:r>
            <w:r>
              <w:rPr>
                <w:rFonts w:ascii="times" w:hAnsi="times"/>
                <w:sz w:val="14"/>
              </w:rPr>
              <w:t>%</w:t>
            </w:r>
          </w:p>
        </w:tc>
      </w:tr>
    </w:tbl>
    <w:p>
      <w:pPr>
        <w:pStyle w:val="TextBody"/>
        <w:numPr>
          <w:ilvl w:val="0"/>
          <w:numId w:val="0"/>
        </w:numPr>
        <w:ind w:left="707" w:hanging="0"/>
        <w:rPr>
          <w:rFonts w:ascii="times" w:hAnsi="times"/>
          <w:b/>
          <w:sz w:val="20"/>
        </w:rPr>
      </w:pPr>
      <w:r>
        <w:rPr>
          <w:rFonts w:ascii="times" w:hAnsi="times"/>
          <w:b/>
          <w:sz w:val="20"/>
        </w:rPr>
        <w:t xml:space="preserve">Transportation Segment </w:t>
      </w:r>
    </w:p>
    <w:p>
      <w:pPr>
        <w:pStyle w:val="TextBody"/>
        <w:rPr/>
      </w:pPr>
      <w:r>
        <w:rPr/>
        <w:t>        </w:t>
      </w:r>
      <w:r>
        <w:rPr>
          <w:rFonts w:ascii="times" w:hAnsi="times"/>
          <w:sz w:val="20"/>
        </w:rPr>
        <w:t xml:space="preserve">Our transportation segment operations generally consist of fee-based activities associated with transporting crude oil and refined products on pipelines, gathering systems, trucks and barges. The transportation segment generates revenue through a combination of tariffs, third-party leases of pipeline capacity and transportation fees. </w:t>
      </w:r>
    </w:p>
    <w:p>
      <w:pPr>
        <w:pStyle w:val="TextBody"/>
        <w:jc w:val="center"/>
        <w:rPr>
          <w:rFonts w:ascii="times" w:hAnsi="times"/>
          <w:sz w:val="20"/>
        </w:rPr>
      </w:pPr>
      <w:r>
        <w:rPr>
          <w:rFonts w:ascii="times" w:hAnsi="times"/>
          <w:sz w:val="20"/>
        </w:rPr>
        <w:t>79</w:t>
      </w:r>
    </w:p>
    <w:p>
      <w:pPr>
        <w:pStyle w:val="HorizontalLine"/>
        <w:pBdr>
          <w:bottom w:val="single" w:sz="20" w:space="0" w:color="808080"/>
        </w:pBdr>
        <w:rPr/>
      </w:pPr>
      <w:r>
        <w:rPr/>
      </w:r>
      <w:r>
        <w:br w:type="page"/>
      </w:r>
    </w:p>
    <w:p>
      <w:pPr>
        <w:pStyle w:val="TextBody"/>
        <w:rPr/>
      </w:pPr>
      <w:hyperlink w:anchor="bg12101a_main_toc">
        <w:bookmarkStart w:id="110" w:name="page_dw12101_1_80"/>
        <w:bookmarkEnd w:id="110"/>
        <w:r>
          <w:rPr>
            <w:rStyle w:val="InternetLink"/>
            <w:rFonts w:ascii="times" w:hAnsi="times"/>
            <w:sz w:val="20"/>
          </w:rPr>
          <w:t>Table of Contents</w:t>
        </w:r>
      </w:hyperlink>
    </w:p>
    <w:p>
      <w:pPr>
        <w:pStyle w:val="TextBody"/>
        <w:rPr/>
      </w:pPr>
      <w:r>
        <w:rPr/>
        <w:t>        </w:t>
      </w:r>
      <w:r>
        <w:rPr>
          <w:rFonts w:ascii="times" w:hAnsi="times"/>
          <w:sz w:val="20"/>
        </w:rPr>
        <w:t xml:space="preserve">The following table sets forth our operating results from our transportation segment for the periods indicated: </w:t>
      </w:r>
    </w:p>
    <w:tbl>
      <w:tblPr>
        <w:tblW w:w="7815" w:type="dxa"/>
        <w:jc w:val="center"/>
        <w:tblInd w:w="0" w:type="dxa"/>
        <w:tblCellMar>
          <w:top w:w="0" w:type="dxa"/>
          <w:left w:w="0" w:type="dxa"/>
          <w:bottom w:w="0" w:type="dxa"/>
          <w:right w:w="0" w:type="dxa"/>
        </w:tblCellMar>
      </w:tblPr>
      <w:tblGrid>
        <w:gridCol w:w="120"/>
        <w:gridCol w:w="3345"/>
        <w:gridCol w:w="180"/>
        <w:gridCol w:w="95"/>
        <w:gridCol w:w="290"/>
        <w:gridCol w:w="195"/>
        <w:gridCol w:w="95"/>
        <w:gridCol w:w="290"/>
        <w:gridCol w:w="195"/>
        <w:gridCol w:w="95"/>
        <w:gridCol w:w="290"/>
        <w:gridCol w:w="195"/>
        <w:gridCol w:w="95"/>
        <w:gridCol w:w="390"/>
        <w:gridCol w:w="195"/>
        <w:gridCol w:w="60"/>
        <w:gridCol w:w="215"/>
        <w:gridCol w:w="245"/>
        <w:gridCol w:w="95"/>
        <w:gridCol w:w="390"/>
        <w:gridCol w:w="195"/>
        <w:gridCol w:w="60"/>
        <w:gridCol w:w="245"/>
        <w:gridCol w:w="245"/>
      </w:tblGrid>
      <w:tr>
        <w:trPr/>
        <w:tc>
          <w:tcPr>
            <w:tcW w:w="120" w:type="dxa"/>
            <w:tcBorders/>
            <w:shd w:fill="auto" w:val="clear"/>
            <w:vAlign w:val="center"/>
          </w:tcPr>
          <w:p>
            <w:pPr>
              <w:pStyle w:val="TableContents"/>
              <w:spacing w:before="0" w:after="283"/>
              <w:rPr>
                <w:sz w:val="4"/>
                <w:szCs w:val="4"/>
              </w:rPr>
            </w:pPr>
            <w:r>
              <w:rPr>
                <w:sz w:val="4"/>
                <w:szCs w:val="4"/>
              </w:rPr>
            </w:r>
          </w:p>
        </w:tc>
        <w:tc>
          <w:tcPr>
            <w:tcW w:w="33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4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85"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385"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385" w:type="dxa"/>
            <w:gridSpan w:val="2"/>
            <w:tcBorders/>
            <w:shd w:fill="auto" w:val="clear"/>
            <w:vAlign w:val="bottom"/>
          </w:tcPr>
          <w:p>
            <w:pPr>
              <w:pStyle w:val="TableHeading"/>
              <w:spacing w:before="0" w:after="283"/>
              <w:jc w:val="left"/>
              <w:rPr/>
            </w:pPr>
            <w:r>
              <w:rPr/>
              <w:t> </w:t>
            </w:r>
          </w:p>
        </w:tc>
        <w:tc>
          <w:tcPr>
            <w:tcW w:w="195" w:type="dxa"/>
            <w:vMerge w:val="restart"/>
            <w:tcBorders/>
            <w:shd w:fill="auto" w:val="clear"/>
            <w:vAlign w:val="bottom"/>
          </w:tcPr>
          <w:p>
            <w:pPr>
              <w:pStyle w:val="TableHeading"/>
              <w:suppressLineNumbers/>
              <w:spacing w:before="0" w:after="283"/>
              <w:jc w:val="center"/>
              <w:rPr/>
            </w:pPr>
            <w:r>
              <w:rPr/>
              <w:t> </w:t>
            </w:r>
          </w:p>
        </w:tc>
        <w:tc>
          <w:tcPr>
            <w:tcW w:w="2185"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 (Unfavorable) </w:t>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545"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195" w:type="dxa"/>
            <w:vMerge w:val="continue"/>
            <w:tcBorders/>
            <w:shd w:fill="auto" w:val="clear"/>
            <w:vAlign w:val="bottom"/>
          </w:tcPr>
          <w:p>
            <w:pPr>
              <w:pStyle w:val="Normal"/>
              <w:rPr/>
            </w:pPr>
            <w:r>
              <w:rPr/>
            </w:r>
          </w:p>
        </w:tc>
        <w:tc>
          <w:tcPr>
            <w:tcW w:w="2185" w:type="dxa"/>
            <w:gridSpan w:val="11"/>
            <w:vMerge w:val="continue"/>
            <w:tcBorders>
              <w:bottom w:val="single" w:sz="8" w:space="0" w:color="000000"/>
            </w:tcBorders>
            <w:shd w:fill="auto" w:val="clear"/>
            <w:tcMar>
              <w:bottom w:w="28" w:type="dxa"/>
            </w:tcMar>
            <w:vAlign w:val="bottom"/>
          </w:tcPr>
          <w:p>
            <w:pPr>
              <w:pStyle w:val="Normal"/>
              <w:rPr/>
            </w:pPr>
            <w:r>
              <w:rPr/>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545" w:type="dxa"/>
            <w:gridSpan w:val="8"/>
            <w:vMerge w:val="continue"/>
            <w:tcBorders>
              <w:bottom w:val="single" w:sz="8" w:space="0" w:color="000000"/>
            </w:tcBorders>
            <w:shd w:fill="auto" w:val="clear"/>
            <w:tcMar>
              <w:bottom w:w="28" w:type="dxa"/>
            </w:tcMar>
            <w:vAlign w:val="bottom"/>
          </w:tcPr>
          <w:p>
            <w:pPr>
              <w:pStyle w:val="Normal"/>
              <w:rPr/>
            </w:pPr>
            <w:r>
              <w:rPr/>
            </w:r>
          </w:p>
        </w:tc>
        <w:tc>
          <w:tcPr>
            <w:tcW w:w="195" w:type="dxa"/>
            <w:tcBorders/>
            <w:shd w:fill="auto" w:val="clear"/>
            <w:vAlign w:val="bottom"/>
          </w:tcPr>
          <w:p>
            <w:pPr>
              <w:pStyle w:val="TableHeading"/>
              <w:suppressLineNumbers/>
              <w:spacing w:before="0" w:after="283"/>
              <w:jc w:val="center"/>
              <w:rPr/>
            </w:pPr>
            <w:r>
              <w:rPr/>
              <w:t> </w:t>
            </w:r>
          </w:p>
        </w:tc>
        <w:tc>
          <w:tcPr>
            <w:tcW w:w="95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2008-2007 </w:t>
            </w:r>
          </w:p>
        </w:tc>
        <w:tc>
          <w:tcPr>
            <w:tcW w:w="245" w:type="dxa"/>
            <w:tcBorders/>
            <w:shd w:fill="auto" w:val="clear"/>
            <w:vAlign w:val="bottom"/>
          </w:tcPr>
          <w:p>
            <w:pPr>
              <w:pStyle w:val="TableHeading"/>
              <w:suppressLineNumbers/>
              <w:spacing w:before="0" w:after="283"/>
              <w:jc w:val="center"/>
              <w:rPr/>
            </w:pPr>
            <w:r>
              <w:rPr/>
              <w:t> </w:t>
            </w:r>
          </w:p>
        </w:tc>
        <w:tc>
          <w:tcPr>
            <w:tcW w:w="9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2007-2006 </w:t>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Operating Results</w:t>
            </w:r>
            <w:r>
              <w:rPr>
                <w:rFonts w:ascii="times" w:hAnsi="times"/>
                <w:b/>
                <w:position w:val="5"/>
                <w:sz w:val="11"/>
                <w:sz w:val="14"/>
                <w:bdr w:val="single" w:sz="8" w:space="1" w:color="000000"/>
              </w:rPr>
              <w:t>(1)</w:t>
            </w:r>
            <w:r>
              <w:rPr>
                <w:rFonts w:ascii="times" w:hAnsi="times"/>
                <w:b/>
                <w:sz w:val="14"/>
                <w:bdr w:val="single" w:sz="8" w:space="1" w:color="000000"/>
              </w:rPr>
              <w:br/>
              <w:t xml:space="preserve">(in millions, except per barrel amounts) </w:t>
            </w:r>
          </w:p>
        </w:tc>
        <w:tc>
          <w:tcPr>
            <w:tcW w:w="180"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4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2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c>
          <w:tcPr>
            <w:tcW w:w="4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3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Revenues</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r>
      <w:tr>
        <w:trPr/>
        <w:tc>
          <w:tcPr>
            <w:tcW w:w="120" w:type="dxa"/>
            <w:tcBorders/>
            <w:shd w:fill="FFFFFF" w:val="clear"/>
            <w:vAlign w:val="bottom"/>
          </w:tcPr>
          <w:p>
            <w:pPr>
              <w:pStyle w:val="TableContents"/>
              <w:spacing w:before="0" w:after="283"/>
              <w:rPr/>
            </w:pPr>
            <w:r>
              <w:rPr/>
              <w:t> </w:t>
            </w:r>
          </w:p>
        </w:tc>
        <w:tc>
          <w:tcPr>
            <w:tcW w:w="334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Tariff activities</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800</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654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438</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146</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22</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216</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49</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120" w:type="dxa"/>
            <w:tcBorders/>
            <w:shd w:fill="CCEEFF" w:val="clear"/>
            <w:vAlign w:val="bottom"/>
          </w:tcPr>
          <w:p>
            <w:pPr>
              <w:pStyle w:val="TableContents"/>
              <w:spacing w:before="0" w:after="283"/>
              <w:rPr/>
            </w:pPr>
            <w:r>
              <w:rPr/>
              <w:t> </w:t>
            </w:r>
          </w:p>
        </w:tc>
        <w:tc>
          <w:tcPr>
            <w:tcW w:w="334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Trucking</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127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117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96</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465"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Total transportation revenues</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927</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771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534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156</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20</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237</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44</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465"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Cost and Expenses</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r>
      <w:tr>
        <w:trPr/>
        <w:tc>
          <w:tcPr>
            <w:tcW w:w="120" w:type="dxa"/>
            <w:tcBorders/>
            <w:shd w:fill="FFFFFF" w:val="clear"/>
            <w:vAlign w:val="bottom"/>
          </w:tcPr>
          <w:p>
            <w:pPr>
              <w:pStyle w:val="TableContents"/>
              <w:spacing w:before="0" w:after="283"/>
              <w:rPr/>
            </w:pPr>
            <w:r>
              <w:rPr/>
              <w:t> </w:t>
            </w:r>
          </w:p>
        </w:tc>
        <w:tc>
          <w:tcPr>
            <w:tcW w:w="334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Trucking costs</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(88</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(80</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(71</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(10</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120" w:type="dxa"/>
            <w:tcBorders/>
            <w:shd w:fill="CCEEFF" w:val="clear"/>
            <w:vAlign w:val="bottom"/>
          </w:tcPr>
          <w:p>
            <w:pPr>
              <w:pStyle w:val="TableContents"/>
              <w:spacing w:before="0" w:after="283"/>
              <w:rPr/>
            </w:pPr>
            <w:r>
              <w:rPr/>
              <w:t> </w:t>
            </w:r>
          </w:p>
        </w:tc>
        <w:tc>
          <w:tcPr>
            <w:tcW w:w="334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Field operating costs (excluding equity compensation expense)</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(331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(288</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(201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(43</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(87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(43</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120" w:type="dxa"/>
            <w:tcBorders/>
            <w:shd w:fill="FFFFFF" w:val="clear"/>
            <w:vAlign w:val="bottom"/>
          </w:tcPr>
          <w:p>
            <w:pPr>
              <w:pStyle w:val="TableContents"/>
              <w:spacing w:before="0" w:after="283"/>
              <w:rPr/>
            </w:pPr>
            <w:r>
              <w:rPr/>
              <w:t> </w:t>
            </w:r>
          </w:p>
        </w:tc>
        <w:tc>
          <w:tcPr>
            <w:tcW w:w="334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 compensation income (expense)operations</w:t>
            </w:r>
            <w:r>
              <w:rPr>
                <w:rFonts w:ascii="times" w:hAnsi="times"/>
                <w:position w:val="5"/>
                <w:sz w:val="11"/>
                <w:sz w:val="14"/>
              </w:rPr>
              <w:t>(2)</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80</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45" w:type="dxa"/>
            <w:tcBorders/>
            <w:shd w:fill="FFFFFF" w:val="clear"/>
            <w:vAlign w:val="bottom"/>
          </w:tcPr>
          <w:p>
            <w:pPr>
              <w:pStyle w:val="TableContents"/>
              <w:spacing w:before="0" w:after="283"/>
              <w:rPr/>
            </w:pPr>
            <w:r>
              <w:rPr/>
              <w:t> </w:t>
            </w:r>
          </w:p>
        </w:tc>
      </w:tr>
      <w:tr>
        <w:trPr/>
        <w:tc>
          <w:tcPr>
            <w:tcW w:w="120" w:type="dxa"/>
            <w:tcBorders/>
            <w:shd w:fill="CCEEFF" w:val="clear"/>
            <w:vAlign w:val="bottom"/>
          </w:tcPr>
          <w:p>
            <w:pPr>
              <w:pStyle w:val="TableContents"/>
              <w:spacing w:before="0" w:after="283"/>
              <w:rPr/>
            </w:pPr>
            <w:r>
              <w:rPr/>
              <w:t> </w:t>
            </w:r>
          </w:p>
        </w:tc>
        <w:tc>
          <w:tcPr>
            <w:tcW w:w="334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Segment G&amp;A expenses (excluding equity compensation expense)</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(56</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(50</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(43</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(12</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120" w:type="dxa"/>
            <w:tcBorders/>
            <w:shd w:fill="FFFFFF" w:val="clear"/>
            <w:vAlign w:val="bottom"/>
          </w:tcPr>
          <w:p>
            <w:pPr>
              <w:pStyle w:val="TableContents"/>
              <w:spacing w:before="0" w:after="283"/>
              <w:rPr/>
            </w:pPr>
            <w:r>
              <w:rPr/>
              <w:t> </w:t>
            </w:r>
          </w:p>
        </w:tc>
        <w:tc>
          <w:tcPr>
            <w:tcW w:w="334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 compensation expensegeneral and administrative</w:t>
            </w:r>
            <w:r>
              <w:rPr>
                <w:rFonts w:ascii="times" w:hAnsi="times"/>
                <w:position w:val="5"/>
                <w:sz w:val="11"/>
                <w:sz w:val="14"/>
              </w:rPr>
              <w:t>(2)</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(19</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42</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(19</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465"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earnings in unconsolidated entities</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4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150</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465"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445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334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200</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111</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134</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67</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465"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54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34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59</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70</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465"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 per barrel</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0.41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0.34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0.26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0.07</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0.08</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31</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bl>
    <w:p>
      <w:pPr>
        <w:pStyle w:val="TextBody"/>
        <w:rPr/>
      </w:pPr>
      <w:r>
        <w:rPr/>
        <w:t> </w:t>
      </w:r>
    </w:p>
    <w:tbl>
      <w:tblPr>
        <w:tblW w:w="8038" w:type="dxa"/>
        <w:jc w:val="center"/>
        <w:tblInd w:w="0" w:type="dxa"/>
        <w:tblCellMar>
          <w:top w:w="0" w:type="dxa"/>
          <w:left w:w="0" w:type="dxa"/>
          <w:bottom w:w="0" w:type="dxa"/>
          <w:right w:w="0" w:type="dxa"/>
        </w:tblCellMar>
      </w:tblPr>
      <w:tblGrid>
        <w:gridCol w:w="120"/>
        <w:gridCol w:w="3345"/>
        <w:gridCol w:w="180"/>
        <w:gridCol w:w="60"/>
        <w:gridCol w:w="350"/>
        <w:gridCol w:w="195"/>
        <w:gridCol w:w="60"/>
        <w:gridCol w:w="350"/>
        <w:gridCol w:w="195"/>
        <w:gridCol w:w="60"/>
        <w:gridCol w:w="350"/>
        <w:gridCol w:w="195"/>
        <w:gridCol w:w="109"/>
        <w:gridCol w:w="450"/>
        <w:gridCol w:w="195"/>
        <w:gridCol w:w="60"/>
        <w:gridCol w:w="215"/>
        <w:gridCol w:w="245"/>
        <w:gridCol w:w="109"/>
        <w:gridCol w:w="450"/>
        <w:gridCol w:w="195"/>
        <w:gridCol w:w="60"/>
        <w:gridCol w:w="245"/>
        <w:gridCol w:w="245"/>
      </w:tblGrid>
      <w:tr>
        <w:trPr/>
        <w:tc>
          <w:tcPr>
            <w:tcW w:w="120" w:type="dxa"/>
            <w:tcBorders/>
            <w:shd w:fill="auto" w:val="clear"/>
            <w:vAlign w:val="center"/>
          </w:tcPr>
          <w:p>
            <w:pPr>
              <w:pStyle w:val="TableContents"/>
              <w:spacing w:before="0" w:after="283"/>
              <w:rPr>
                <w:sz w:val="4"/>
                <w:szCs w:val="4"/>
              </w:rPr>
            </w:pPr>
            <w:r>
              <w:rPr>
                <w:sz w:val="4"/>
                <w:szCs w:val="4"/>
              </w:rPr>
            </w:r>
          </w:p>
        </w:tc>
        <w:tc>
          <w:tcPr>
            <w:tcW w:w="33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4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10"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shd w:fill="auto" w:val="clear"/>
            <w:vAlign w:val="bottom"/>
          </w:tcPr>
          <w:p>
            <w:pPr>
              <w:pStyle w:val="TableHeading"/>
              <w:spacing w:before="0" w:after="283"/>
              <w:jc w:val="left"/>
              <w:rPr/>
            </w:pPr>
            <w:r>
              <w:rPr/>
              <w:t> </w:t>
            </w:r>
          </w:p>
        </w:tc>
        <w:tc>
          <w:tcPr>
            <w:tcW w:w="195" w:type="dxa"/>
            <w:vMerge w:val="restart"/>
            <w:tcBorders/>
            <w:shd w:fill="auto" w:val="clear"/>
            <w:vAlign w:val="bottom"/>
          </w:tcPr>
          <w:p>
            <w:pPr>
              <w:pStyle w:val="TableHeading"/>
              <w:suppressLineNumbers/>
              <w:spacing w:before="0" w:after="283"/>
              <w:jc w:val="center"/>
              <w:rPr/>
            </w:pPr>
            <w:r>
              <w:rPr/>
              <w:t> </w:t>
            </w:r>
          </w:p>
        </w:tc>
        <w:tc>
          <w:tcPr>
            <w:tcW w:w="2333"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 (Unfavorable) </w:t>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620"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195" w:type="dxa"/>
            <w:vMerge w:val="continue"/>
            <w:tcBorders/>
            <w:shd w:fill="auto" w:val="clear"/>
            <w:vAlign w:val="bottom"/>
          </w:tcPr>
          <w:p>
            <w:pPr>
              <w:pStyle w:val="Normal"/>
              <w:rPr/>
            </w:pPr>
            <w:r>
              <w:rPr/>
            </w:r>
          </w:p>
        </w:tc>
        <w:tc>
          <w:tcPr>
            <w:tcW w:w="2333" w:type="dxa"/>
            <w:gridSpan w:val="11"/>
            <w:vMerge w:val="continue"/>
            <w:tcBorders>
              <w:bottom w:val="single" w:sz="8" w:space="0" w:color="000000"/>
            </w:tcBorders>
            <w:shd w:fill="auto" w:val="clear"/>
            <w:tcMar>
              <w:bottom w:w="28" w:type="dxa"/>
            </w:tcMar>
            <w:vAlign w:val="bottom"/>
          </w:tcPr>
          <w:p>
            <w:pPr>
              <w:pStyle w:val="Normal"/>
              <w:rPr/>
            </w:pPr>
            <w:r>
              <w:rPr/>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620" w:type="dxa"/>
            <w:gridSpan w:val="8"/>
            <w:vMerge w:val="continue"/>
            <w:tcBorders>
              <w:bottom w:val="single" w:sz="8" w:space="0" w:color="000000"/>
            </w:tcBorders>
            <w:shd w:fill="auto" w:val="clear"/>
            <w:tcMar>
              <w:bottom w:w="28" w:type="dxa"/>
            </w:tcMar>
            <w:vAlign w:val="bottom"/>
          </w:tcPr>
          <w:p>
            <w:pPr>
              <w:pStyle w:val="Normal"/>
              <w:rPr/>
            </w:pPr>
            <w:r>
              <w:rPr/>
            </w:r>
          </w:p>
        </w:tc>
        <w:tc>
          <w:tcPr>
            <w:tcW w:w="195" w:type="dxa"/>
            <w:tcBorders/>
            <w:shd w:fill="auto" w:val="clear"/>
            <w:vAlign w:val="bottom"/>
          </w:tcPr>
          <w:p>
            <w:pPr>
              <w:pStyle w:val="TableHeading"/>
              <w:suppressLineNumbers/>
              <w:spacing w:before="0" w:after="283"/>
              <w:jc w:val="center"/>
              <w:rPr/>
            </w:pPr>
            <w:r>
              <w:rPr/>
              <w:t> </w:t>
            </w:r>
          </w:p>
        </w:tc>
        <w:tc>
          <w:tcPr>
            <w:tcW w:w="102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2008-2007 </w:t>
            </w:r>
          </w:p>
        </w:tc>
        <w:tc>
          <w:tcPr>
            <w:tcW w:w="245" w:type="dxa"/>
            <w:tcBorders/>
            <w:shd w:fill="auto" w:val="clear"/>
            <w:vAlign w:val="bottom"/>
          </w:tcPr>
          <w:p>
            <w:pPr>
              <w:pStyle w:val="TableHeading"/>
              <w:suppressLineNumbers/>
              <w:spacing w:before="0" w:after="283"/>
              <w:jc w:val="center"/>
              <w:rPr/>
            </w:pPr>
            <w:r>
              <w:rPr/>
              <w:t> </w:t>
            </w:r>
          </w:p>
        </w:tc>
        <w:tc>
          <w:tcPr>
            <w:tcW w:w="105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2007-2006 </w:t>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Average Daily volumes</w:t>
              <w:br/>
              <w:t>(in thousands of barrels per day)</w:t>
            </w:r>
            <w:r>
              <w:rPr>
                <w:rFonts w:ascii="times" w:hAnsi="times"/>
                <w:b/>
                <w:position w:val="5"/>
                <w:sz w:val="11"/>
                <w:sz w:val="14"/>
                <w:bdr w:val="single" w:sz="8" w:space="1" w:color="000000"/>
              </w:rPr>
              <w:t>(3)</w:t>
            </w:r>
            <w:r>
              <w:rPr>
                <w:rFonts w:ascii="times" w:hAnsi="times"/>
                <w:b/>
                <w:sz w:val="14"/>
                <w:bdr w:val="single" w:sz="8" w:space="1" w:color="000000"/>
              </w:rPr>
              <w:t xml:space="preserve"> </w:t>
            </w:r>
          </w:p>
        </w:tc>
        <w:tc>
          <w:tcPr>
            <w:tcW w:w="180"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5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5" w:type="dxa"/>
            <w:tcBorders/>
            <w:shd w:fill="auto" w:val="clear"/>
            <w:vAlign w:val="bottom"/>
          </w:tcPr>
          <w:p>
            <w:pPr>
              <w:pStyle w:val="TableHeading"/>
              <w:suppressLineNumbers/>
              <w:spacing w:before="0" w:after="283"/>
              <w:jc w:val="center"/>
              <w:rPr/>
            </w:pPr>
            <w:r>
              <w:rPr/>
              <w:t> </w:t>
            </w:r>
          </w:p>
        </w:tc>
        <w:tc>
          <w:tcPr>
            <w:tcW w:w="2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c>
          <w:tcPr>
            <w:tcW w:w="5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5" w:type="dxa"/>
            <w:tcBorders/>
            <w:shd w:fill="auto" w:val="clear"/>
            <w:vAlign w:val="bottom"/>
          </w:tcPr>
          <w:p>
            <w:pPr>
              <w:pStyle w:val="TableHeading"/>
              <w:suppressLineNumbers/>
              <w:spacing w:before="0" w:after="283"/>
              <w:jc w:val="center"/>
              <w:rPr/>
            </w:pPr>
            <w:r>
              <w:rPr/>
              <w:t> </w:t>
            </w:r>
          </w:p>
        </w:tc>
        <w:tc>
          <w:tcPr>
            <w:tcW w:w="3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r>
      <w:tr>
        <w:trPr/>
        <w:tc>
          <w:tcPr>
            <w:tcW w:w="346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Tariff activities</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rPr/>
            </w:pPr>
            <w:r>
              <w:rPr/>
              <w:t> </w:t>
            </w:r>
          </w:p>
        </w:tc>
      </w:tr>
      <w:tr>
        <w:trPr/>
        <w:tc>
          <w:tcPr>
            <w:tcW w:w="120" w:type="dxa"/>
            <w:tcBorders/>
            <w:shd w:fill="FFFFFF" w:val="clear"/>
          </w:tcPr>
          <w:p>
            <w:pPr>
              <w:pStyle w:val="TableContents"/>
              <w:spacing w:before="0" w:after="283"/>
              <w:rPr/>
            </w:pPr>
            <w:r>
              <w:rPr/>
              <w:t> </w:t>
            </w:r>
          </w:p>
        </w:tc>
        <w:tc>
          <w:tcPr>
            <w:tcW w:w="3345" w:type="dxa"/>
            <w:tcBorders/>
            <w:shd w:fill="FFFFFF" w:val="clear"/>
          </w:tcPr>
          <w:p>
            <w:pPr>
              <w:pStyle w:val="TableContents"/>
              <w:spacing w:before="0" w:after="283"/>
              <w:ind w:left="160" w:right="0" w:hanging="160"/>
              <w:rPr>
                <w:rFonts w:ascii="times" w:hAnsi="times"/>
                <w:sz w:val="14"/>
              </w:rPr>
            </w:pPr>
            <w:r>
              <w:rPr>
                <w:rFonts w:ascii="times" w:hAnsi="times"/>
                <w:sz w:val="14"/>
              </w:rPr>
              <w:t>All American</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45</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47</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49</w:t>
            </w:r>
          </w:p>
        </w:tc>
        <w:tc>
          <w:tcPr>
            <w:tcW w:w="195" w:type="dxa"/>
            <w:tcBorders/>
            <w:shd w:fill="FFFFFF" w:val="clear"/>
          </w:tcPr>
          <w:p>
            <w:pPr>
              <w:pStyle w:val="TableContents"/>
              <w:spacing w:before="0" w:after="283"/>
              <w:rPr/>
            </w:pPr>
            <w:r>
              <w:rPr/>
              <w:t> </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(2</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60" w:type="dxa"/>
            <w:tcBorders/>
            <w:shd w:fill="FFFFFF" w:val="clear"/>
          </w:tcPr>
          <w:p>
            <w:pPr>
              <w:pStyle w:val="TableContents"/>
              <w:spacing w:before="0" w:after="283"/>
              <w:rPr/>
            </w:pPr>
            <w:r>
              <w:rPr/>
              <w:t> </w:t>
            </w:r>
          </w:p>
        </w:tc>
        <w:tc>
          <w:tcPr>
            <w:tcW w:w="215" w:type="dxa"/>
            <w:tcBorders/>
            <w:shd w:fill="FFFFFF" w:val="clear"/>
          </w:tcPr>
          <w:p>
            <w:pPr>
              <w:pStyle w:val="TableContents"/>
              <w:spacing w:before="0" w:after="283"/>
              <w:jc w:val="right"/>
              <w:rPr>
                <w:rFonts w:ascii="times" w:hAnsi="times"/>
                <w:sz w:val="14"/>
              </w:rPr>
            </w:pPr>
            <w:r>
              <w:rPr>
                <w:rFonts w:ascii="times" w:hAnsi="times"/>
                <w:sz w:val="14"/>
              </w:rPr>
              <w:t>(4</w:t>
            </w:r>
          </w:p>
        </w:tc>
        <w:tc>
          <w:tcPr>
            <w:tcW w:w="245" w:type="dxa"/>
            <w:tcBorders/>
            <w:shd w:fill="FFFFFF" w:val="clear"/>
          </w:tcPr>
          <w:p>
            <w:pPr>
              <w:pStyle w:val="TableContents"/>
              <w:spacing w:before="0" w:after="283"/>
              <w:rPr>
                <w:rFonts w:ascii="times" w:hAnsi="times"/>
                <w:sz w:val="14"/>
              </w:rPr>
            </w:pPr>
            <w:r>
              <w:rPr>
                <w:rFonts w:ascii="times" w:hAnsi="times"/>
                <w:sz w:val="14"/>
              </w:rPr>
              <w:t>)%</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(2</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(4</w:t>
            </w:r>
          </w:p>
        </w:tc>
        <w:tc>
          <w:tcPr>
            <w:tcW w:w="245" w:type="dxa"/>
            <w:tcBorders/>
            <w:shd w:fill="FFFFFF" w:val="clear"/>
          </w:tcPr>
          <w:p>
            <w:pPr>
              <w:pStyle w:val="TableContents"/>
              <w:spacing w:before="0" w:after="283"/>
              <w:rPr>
                <w:rFonts w:ascii="times" w:hAnsi="times"/>
                <w:sz w:val="14"/>
              </w:rPr>
            </w:pPr>
            <w:r>
              <w:rPr>
                <w:rFonts w:ascii="times" w:hAnsi="times"/>
                <w:sz w:val="14"/>
              </w:rPr>
              <w:t>)%</w:t>
            </w:r>
          </w:p>
        </w:tc>
      </w:tr>
      <w:tr>
        <w:trPr/>
        <w:tc>
          <w:tcPr>
            <w:tcW w:w="120" w:type="dxa"/>
            <w:tcBorders/>
            <w:shd w:fill="CCEEFF" w:val="clear"/>
          </w:tcPr>
          <w:p>
            <w:pPr>
              <w:pStyle w:val="TableContents"/>
              <w:spacing w:before="0" w:after="283"/>
              <w:rPr/>
            </w:pPr>
            <w:r>
              <w:rPr/>
              <w:t> </w:t>
            </w:r>
          </w:p>
        </w:tc>
        <w:tc>
          <w:tcPr>
            <w:tcW w:w="3345" w:type="dxa"/>
            <w:tcBorders/>
            <w:shd w:fill="CCEEFF" w:val="clear"/>
          </w:tcPr>
          <w:p>
            <w:pPr>
              <w:pStyle w:val="TableContents"/>
              <w:spacing w:before="0" w:after="283"/>
              <w:ind w:left="160" w:right="0" w:hanging="160"/>
              <w:rPr>
                <w:rFonts w:ascii="times" w:hAnsi="times"/>
                <w:sz w:val="14"/>
              </w:rPr>
            </w:pPr>
            <w:r>
              <w:rPr>
                <w:rFonts w:ascii="times" w:hAnsi="times"/>
                <w:sz w:val="14"/>
              </w:rPr>
              <w:t>Basin</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377</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378</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332</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(1</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jc w:val="right"/>
              <w:rPr>
                <w:rFonts w:ascii="times" w:hAnsi="times"/>
                <w:sz w:val="14"/>
              </w:rPr>
            </w:pPr>
            <w:r>
              <w:rPr>
                <w:rFonts w:ascii="times" w:hAnsi="times"/>
                <w:sz w:val="14"/>
              </w:rPr>
              <w:t></w:t>
            </w:r>
          </w:p>
        </w:tc>
        <w:tc>
          <w:tcPr>
            <w:tcW w:w="24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46</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14</w:t>
            </w:r>
          </w:p>
        </w:tc>
        <w:tc>
          <w:tcPr>
            <w:tcW w:w="245" w:type="dxa"/>
            <w:tcBorders/>
            <w:shd w:fill="CCEEFF" w:val="clear"/>
          </w:tcPr>
          <w:p>
            <w:pPr>
              <w:pStyle w:val="TableContents"/>
              <w:spacing w:before="0" w:after="283"/>
              <w:rPr/>
            </w:pPr>
            <w:r>
              <w:rPr/>
              <w:t>  </w:t>
            </w:r>
            <w:r>
              <w:rPr>
                <w:rFonts w:ascii="times" w:hAnsi="times"/>
                <w:sz w:val="14"/>
              </w:rPr>
              <w:t>%</w:t>
            </w:r>
          </w:p>
        </w:tc>
      </w:tr>
      <w:tr>
        <w:trPr/>
        <w:tc>
          <w:tcPr>
            <w:tcW w:w="120" w:type="dxa"/>
            <w:tcBorders/>
            <w:shd w:fill="FFFFFF" w:val="clear"/>
          </w:tcPr>
          <w:p>
            <w:pPr>
              <w:pStyle w:val="TableContents"/>
              <w:spacing w:before="0" w:after="283"/>
              <w:rPr/>
            </w:pPr>
            <w:r>
              <w:rPr/>
              <w:t> </w:t>
            </w:r>
          </w:p>
        </w:tc>
        <w:tc>
          <w:tcPr>
            <w:tcW w:w="3345" w:type="dxa"/>
            <w:tcBorders/>
            <w:shd w:fill="FFFFFF" w:val="clear"/>
          </w:tcPr>
          <w:p>
            <w:pPr>
              <w:pStyle w:val="TableContents"/>
              <w:spacing w:before="0" w:after="283"/>
              <w:ind w:left="160" w:right="0" w:hanging="160"/>
              <w:rPr>
                <w:rFonts w:ascii="times" w:hAnsi="times"/>
                <w:sz w:val="14"/>
              </w:rPr>
            </w:pPr>
            <w:r>
              <w:rPr>
                <w:rFonts w:ascii="times" w:hAnsi="times"/>
                <w:sz w:val="14"/>
              </w:rPr>
              <w:t>Capline</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219</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235</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160</w:t>
            </w:r>
          </w:p>
        </w:tc>
        <w:tc>
          <w:tcPr>
            <w:tcW w:w="195" w:type="dxa"/>
            <w:tcBorders/>
            <w:shd w:fill="FFFFFF" w:val="clear"/>
          </w:tcPr>
          <w:p>
            <w:pPr>
              <w:pStyle w:val="TableContents"/>
              <w:spacing w:before="0" w:after="283"/>
              <w:rPr/>
            </w:pPr>
            <w:r>
              <w:rPr/>
              <w:t> </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(16</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60" w:type="dxa"/>
            <w:tcBorders/>
            <w:shd w:fill="FFFFFF" w:val="clear"/>
          </w:tcPr>
          <w:p>
            <w:pPr>
              <w:pStyle w:val="TableContents"/>
              <w:spacing w:before="0" w:after="283"/>
              <w:rPr/>
            </w:pPr>
            <w:r>
              <w:rPr/>
              <w:t> </w:t>
            </w:r>
          </w:p>
        </w:tc>
        <w:tc>
          <w:tcPr>
            <w:tcW w:w="215" w:type="dxa"/>
            <w:tcBorders/>
            <w:shd w:fill="FFFFFF" w:val="clear"/>
          </w:tcPr>
          <w:p>
            <w:pPr>
              <w:pStyle w:val="TableContents"/>
              <w:spacing w:before="0" w:after="283"/>
              <w:jc w:val="right"/>
              <w:rPr>
                <w:rFonts w:ascii="times" w:hAnsi="times"/>
                <w:sz w:val="14"/>
              </w:rPr>
            </w:pPr>
            <w:r>
              <w:rPr>
                <w:rFonts w:ascii="times" w:hAnsi="times"/>
                <w:sz w:val="14"/>
              </w:rPr>
              <w:t>(7</w:t>
            </w:r>
          </w:p>
        </w:tc>
        <w:tc>
          <w:tcPr>
            <w:tcW w:w="245" w:type="dxa"/>
            <w:tcBorders/>
            <w:shd w:fill="FFFFFF" w:val="clear"/>
          </w:tcPr>
          <w:p>
            <w:pPr>
              <w:pStyle w:val="TableContents"/>
              <w:spacing w:before="0" w:after="283"/>
              <w:rPr>
                <w:rFonts w:ascii="times" w:hAnsi="times"/>
                <w:sz w:val="14"/>
              </w:rPr>
            </w:pPr>
            <w:r>
              <w:rPr>
                <w:rFonts w:ascii="times" w:hAnsi="times"/>
                <w:sz w:val="14"/>
              </w:rPr>
              <w:t>)%</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75</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47</w:t>
            </w:r>
          </w:p>
        </w:tc>
        <w:tc>
          <w:tcPr>
            <w:tcW w:w="245" w:type="dxa"/>
            <w:tcBorders/>
            <w:shd w:fill="FFFFFF" w:val="clear"/>
          </w:tcPr>
          <w:p>
            <w:pPr>
              <w:pStyle w:val="TableContents"/>
              <w:spacing w:before="0" w:after="283"/>
              <w:rPr/>
            </w:pPr>
            <w:r>
              <w:rPr/>
              <w:t>  </w:t>
            </w:r>
            <w:r>
              <w:rPr>
                <w:rFonts w:ascii="times" w:hAnsi="times"/>
                <w:sz w:val="14"/>
              </w:rPr>
              <w:t>%</w:t>
            </w:r>
          </w:p>
        </w:tc>
      </w:tr>
      <w:tr>
        <w:trPr/>
        <w:tc>
          <w:tcPr>
            <w:tcW w:w="120" w:type="dxa"/>
            <w:tcBorders/>
            <w:shd w:fill="CCEEFF" w:val="clear"/>
          </w:tcPr>
          <w:p>
            <w:pPr>
              <w:pStyle w:val="TableContents"/>
              <w:spacing w:before="0" w:after="283"/>
              <w:rPr/>
            </w:pPr>
            <w:r>
              <w:rPr/>
              <w:t> </w:t>
            </w:r>
          </w:p>
        </w:tc>
        <w:tc>
          <w:tcPr>
            <w:tcW w:w="3345" w:type="dxa"/>
            <w:tcBorders/>
            <w:shd w:fill="CCEEFF" w:val="clear"/>
          </w:tcPr>
          <w:p>
            <w:pPr>
              <w:pStyle w:val="TableContents"/>
              <w:spacing w:before="0" w:after="283"/>
              <w:ind w:left="160" w:right="0" w:hanging="160"/>
              <w:rPr>
                <w:rFonts w:ascii="times" w:hAnsi="times"/>
                <w:sz w:val="14"/>
              </w:rPr>
            </w:pPr>
            <w:r>
              <w:rPr>
                <w:rFonts w:ascii="times" w:hAnsi="times"/>
                <w:sz w:val="14"/>
              </w:rPr>
              <w:t>Line 63/Line 2000</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147</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175</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20</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(28</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jc w:val="right"/>
              <w:rPr>
                <w:rFonts w:ascii="times" w:hAnsi="times"/>
                <w:sz w:val="14"/>
              </w:rPr>
            </w:pPr>
            <w:r>
              <w:rPr>
                <w:rFonts w:ascii="times" w:hAnsi="times"/>
                <w:sz w:val="14"/>
              </w:rPr>
              <w:t>(16</w:t>
            </w:r>
          </w:p>
        </w:tc>
        <w:tc>
          <w:tcPr>
            <w:tcW w:w="245" w:type="dxa"/>
            <w:tcBorders/>
            <w:shd w:fill="CCEEFF" w:val="clear"/>
          </w:tcPr>
          <w:p>
            <w:pPr>
              <w:pStyle w:val="TableContents"/>
              <w:spacing w:before="0" w:after="283"/>
              <w:rPr>
                <w:rFonts w:ascii="times" w:hAnsi="times"/>
                <w:sz w:val="14"/>
              </w:rPr>
            </w:pPr>
            <w:r>
              <w:rPr>
                <w:rFonts w:ascii="times" w:hAnsi="times"/>
                <w:sz w:val="14"/>
              </w:rPr>
              <w:t>)%</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155</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775</w:t>
            </w:r>
          </w:p>
        </w:tc>
        <w:tc>
          <w:tcPr>
            <w:tcW w:w="245" w:type="dxa"/>
            <w:tcBorders/>
            <w:shd w:fill="CCEEFF" w:val="clear"/>
          </w:tcPr>
          <w:p>
            <w:pPr>
              <w:pStyle w:val="TableContents"/>
              <w:spacing w:before="0" w:after="283"/>
              <w:rPr/>
            </w:pPr>
            <w:r>
              <w:rPr/>
              <w:t>  </w:t>
            </w:r>
            <w:r>
              <w:rPr>
                <w:rFonts w:ascii="times" w:hAnsi="times"/>
                <w:sz w:val="14"/>
              </w:rPr>
              <w:t>%</w:t>
            </w:r>
          </w:p>
        </w:tc>
      </w:tr>
      <w:tr>
        <w:trPr/>
        <w:tc>
          <w:tcPr>
            <w:tcW w:w="120" w:type="dxa"/>
            <w:tcBorders/>
            <w:shd w:fill="FFFFFF" w:val="clear"/>
          </w:tcPr>
          <w:p>
            <w:pPr>
              <w:pStyle w:val="TableContents"/>
              <w:spacing w:before="0" w:after="283"/>
              <w:rPr/>
            </w:pPr>
            <w:r>
              <w:rPr/>
              <w:t> </w:t>
            </w:r>
          </w:p>
        </w:tc>
        <w:tc>
          <w:tcPr>
            <w:tcW w:w="3345" w:type="dxa"/>
            <w:tcBorders/>
            <w:shd w:fill="FFFFFF" w:val="clear"/>
          </w:tcPr>
          <w:p>
            <w:pPr>
              <w:pStyle w:val="TableContents"/>
              <w:spacing w:before="0" w:after="283"/>
              <w:ind w:left="160" w:right="0" w:hanging="160"/>
              <w:rPr>
                <w:rFonts w:ascii="times" w:hAnsi="times"/>
                <w:sz w:val="14"/>
              </w:rPr>
            </w:pPr>
            <w:r>
              <w:rPr>
                <w:rFonts w:ascii="times" w:hAnsi="times"/>
                <w:sz w:val="14"/>
              </w:rPr>
              <w:t>Salt Lake City Area Systems</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93</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101</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14</w:t>
            </w:r>
          </w:p>
        </w:tc>
        <w:tc>
          <w:tcPr>
            <w:tcW w:w="195" w:type="dxa"/>
            <w:tcBorders/>
            <w:shd w:fill="FFFFFF" w:val="clear"/>
          </w:tcPr>
          <w:p>
            <w:pPr>
              <w:pStyle w:val="TableContents"/>
              <w:spacing w:before="0" w:after="283"/>
              <w:rPr/>
            </w:pPr>
            <w:r>
              <w:rPr/>
              <w:t> </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60" w:type="dxa"/>
            <w:tcBorders/>
            <w:shd w:fill="FFFFFF" w:val="clear"/>
          </w:tcPr>
          <w:p>
            <w:pPr>
              <w:pStyle w:val="TableContents"/>
              <w:spacing w:before="0" w:after="283"/>
              <w:rPr/>
            </w:pPr>
            <w:r>
              <w:rPr/>
              <w:t> </w:t>
            </w:r>
          </w:p>
        </w:tc>
        <w:tc>
          <w:tcPr>
            <w:tcW w:w="215" w:type="dxa"/>
            <w:tcBorders/>
            <w:shd w:fill="FFFFFF" w:val="clear"/>
          </w:tcPr>
          <w:p>
            <w:pPr>
              <w:pStyle w:val="TableContents"/>
              <w:spacing w:before="0" w:after="283"/>
              <w:jc w:val="right"/>
              <w:rPr>
                <w:rFonts w:ascii="times" w:hAnsi="times"/>
                <w:sz w:val="14"/>
              </w:rPr>
            </w:pPr>
            <w:r>
              <w:rPr>
                <w:rFonts w:ascii="times" w:hAnsi="times"/>
                <w:sz w:val="14"/>
              </w:rPr>
              <w:t>(8</w:t>
            </w:r>
          </w:p>
        </w:tc>
        <w:tc>
          <w:tcPr>
            <w:tcW w:w="245" w:type="dxa"/>
            <w:tcBorders/>
            <w:shd w:fill="FFFFFF" w:val="clear"/>
          </w:tcPr>
          <w:p>
            <w:pPr>
              <w:pStyle w:val="TableContents"/>
              <w:spacing w:before="0" w:after="283"/>
              <w:rPr>
                <w:rFonts w:ascii="times" w:hAnsi="times"/>
                <w:sz w:val="14"/>
              </w:rPr>
            </w:pPr>
            <w:r>
              <w:rPr>
                <w:rFonts w:ascii="times" w:hAnsi="times"/>
                <w:sz w:val="14"/>
              </w:rPr>
              <w:t>)%</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87</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621</w:t>
            </w:r>
          </w:p>
        </w:tc>
        <w:tc>
          <w:tcPr>
            <w:tcW w:w="245" w:type="dxa"/>
            <w:tcBorders/>
            <w:shd w:fill="FFFFFF" w:val="clear"/>
          </w:tcPr>
          <w:p>
            <w:pPr>
              <w:pStyle w:val="TableContents"/>
              <w:spacing w:before="0" w:after="283"/>
              <w:rPr/>
            </w:pPr>
            <w:r>
              <w:rPr/>
              <w:t>  </w:t>
            </w:r>
            <w:r>
              <w:rPr>
                <w:rFonts w:ascii="times" w:hAnsi="times"/>
                <w:sz w:val="14"/>
              </w:rPr>
              <w:t>%</w:t>
            </w:r>
          </w:p>
        </w:tc>
      </w:tr>
      <w:tr>
        <w:trPr/>
        <w:tc>
          <w:tcPr>
            <w:tcW w:w="120" w:type="dxa"/>
            <w:tcBorders/>
            <w:shd w:fill="CCEEFF" w:val="clear"/>
          </w:tcPr>
          <w:p>
            <w:pPr>
              <w:pStyle w:val="TableContents"/>
              <w:spacing w:before="0" w:after="283"/>
              <w:rPr/>
            </w:pPr>
            <w:r>
              <w:rPr/>
              <w:t> </w:t>
            </w:r>
          </w:p>
        </w:tc>
        <w:tc>
          <w:tcPr>
            <w:tcW w:w="3345" w:type="dxa"/>
            <w:tcBorders/>
            <w:shd w:fill="CCEEFF" w:val="clear"/>
          </w:tcPr>
          <w:p>
            <w:pPr>
              <w:pStyle w:val="TableContents"/>
              <w:spacing w:before="0" w:after="283"/>
              <w:ind w:left="160" w:right="0" w:hanging="160"/>
              <w:rPr>
                <w:rFonts w:ascii="times" w:hAnsi="times"/>
                <w:sz w:val="14"/>
              </w:rPr>
            </w:pPr>
            <w:r>
              <w:rPr>
                <w:rFonts w:ascii="times" w:hAnsi="times"/>
                <w:sz w:val="14"/>
              </w:rPr>
              <w:t>West Texas/New Mexico Area Systems</w:t>
            </w:r>
            <w:r>
              <w:rPr>
                <w:rFonts w:ascii="times" w:hAnsi="times"/>
                <w:position w:val="5"/>
                <w:sz w:val="11"/>
                <w:sz w:val="14"/>
              </w:rPr>
              <w:t>(4)</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372</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369</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403</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3</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jc w:val="right"/>
              <w:rPr>
                <w:rFonts w:ascii="times" w:hAnsi="times"/>
                <w:sz w:val="14"/>
              </w:rPr>
            </w:pPr>
            <w:r>
              <w:rPr>
                <w:rFonts w:ascii="times" w:hAnsi="times"/>
                <w:sz w:val="14"/>
              </w:rPr>
              <w:t>1</w:t>
            </w:r>
          </w:p>
        </w:tc>
        <w:tc>
          <w:tcPr>
            <w:tcW w:w="245" w:type="dxa"/>
            <w:tcBorders/>
            <w:shd w:fill="CCEEFF" w:val="clear"/>
          </w:tcPr>
          <w:p>
            <w:pPr>
              <w:pStyle w:val="TableContents"/>
              <w:spacing w:before="0" w:after="283"/>
              <w:rPr/>
            </w:pPr>
            <w:r>
              <w:rPr/>
              <w:t>  </w:t>
            </w:r>
            <w:r>
              <w:rPr>
                <w:rFonts w:ascii="times" w:hAnsi="times"/>
                <w:sz w:val="14"/>
              </w:rPr>
              <w:t>%</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(34</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(8</w:t>
            </w:r>
          </w:p>
        </w:tc>
        <w:tc>
          <w:tcPr>
            <w:tcW w:w="245" w:type="dxa"/>
            <w:tcBorders/>
            <w:shd w:fill="CCEEFF" w:val="clear"/>
          </w:tcPr>
          <w:p>
            <w:pPr>
              <w:pStyle w:val="TableContents"/>
              <w:spacing w:before="0" w:after="283"/>
              <w:rPr>
                <w:rFonts w:ascii="times" w:hAnsi="times"/>
                <w:sz w:val="14"/>
              </w:rPr>
            </w:pPr>
            <w:r>
              <w:rPr>
                <w:rFonts w:ascii="times" w:hAnsi="times"/>
                <w:sz w:val="14"/>
              </w:rPr>
              <w:t>)%</w:t>
            </w:r>
          </w:p>
        </w:tc>
      </w:tr>
      <w:tr>
        <w:trPr/>
        <w:tc>
          <w:tcPr>
            <w:tcW w:w="120" w:type="dxa"/>
            <w:tcBorders/>
            <w:shd w:fill="FFFFFF" w:val="clear"/>
          </w:tcPr>
          <w:p>
            <w:pPr>
              <w:pStyle w:val="TableContents"/>
              <w:spacing w:before="0" w:after="283"/>
              <w:rPr/>
            </w:pPr>
            <w:r>
              <w:rPr/>
              <w:t> </w:t>
            </w:r>
          </w:p>
        </w:tc>
        <w:tc>
          <w:tcPr>
            <w:tcW w:w="3345" w:type="dxa"/>
            <w:tcBorders/>
            <w:shd w:fill="FFFFFF" w:val="clear"/>
          </w:tcPr>
          <w:p>
            <w:pPr>
              <w:pStyle w:val="TableContents"/>
              <w:spacing w:before="0" w:after="283"/>
              <w:ind w:left="160" w:right="0" w:hanging="160"/>
              <w:rPr>
                <w:rFonts w:ascii="times" w:hAnsi="times"/>
                <w:sz w:val="14"/>
              </w:rPr>
            </w:pPr>
            <w:r>
              <w:rPr>
                <w:rFonts w:ascii="times" w:hAnsi="times"/>
                <w:sz w:val="14"/>
              </w:rPr>
              <w:t>Manito</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70</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73</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72</w:t>
            </w:r>
          </w:p>
        </w:tc>
        <w:tc>
          <w:tcPr>
            <w:tcW w:w="195" w:type="dxa"/>
            <w:tcBorders/>
            <w:shd w:fill="FFFFFF" w:val="clear"/>
          </w:tcPr>
          <w:p>
            <w:pPr>
              <w:pStyle w:val="TableContents"/>
              <w:spacing w:before="0" w:after="283"/>
              <w:rPr/>
            </w:pPr>
            <w:r>
              <w:rPr/>
              <w:t> </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(3</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60" w:type="dxa"/>
            <w:tcBorders/>
            <w:shd w:fill="FFFFFF" w:val="clear"/>
          </w:tcPr>
          <w:p>
            <w:pPr>
              <w:pStyle w:val="TableContents"/>
              <w:spacing w:before="0" w:after="283"/>
              <w:rPr/>
            </w:pPr>
            <w:r>
              <w:rPr/>
              <w:t> </w:t>
            </w:r>
          </w:p>
        </w:tc>
        <w:tc>
          <w:tcPr>
            <w:tcW w:w="215" w:type="dxa"/>
            <w:tcBorders/>
            <w:shd w:fill="FFFFFF" w:val="clear"/>
          </w:tcPr>
          <w:p>
            <w:pPr>
              <w:pStyle w:val="TableContents"/>
              <w:spacing w:before="0" w:after="283"/>
              <w:jc w:val="right"/>
              <w:rPr>
                <w:rFonts w:ascii="times" w:hAnsi="times"/>
                <w:sz w:val="14"/>
              </w:rPr>
            </w:pPr>
            <w:r>
              <w:rPr>
                <w:rFonts w:ascii="times" w:hAnsi="times"/>
                <w:sz w:val="14"/>
              </w:rPr>
              <w:t>(4</w:t>
            </w:r>
          </w:p>
        </w:tc>
        <w:tc>
          <w:tcPr>
            <w:tcW w:w="245" w:type="dxa"/>
            <w:tcBorders/>
            <w:shd w:fill="FFFFFF" w:val="clear"/>
          </w:tcPr>
          <w:p>
            <w:pPr>
              <w:pStyle w:val="TableContents"/>
              <w:spacing w:before="0" w:after="283"/>
              <w:rPr>
                <w:rFonts w:ascii="times" w:hAnsi="times"/>
                <w:sz w:val="14"/>
              </w:rPr>
            </w:pPr>
            <w:r>
              <w:rPr>
                <w:rFonts w:ascii="times" w:hAnsi="times"/>
                <w:sz w:val="14"/>
              </w:rPr>
              <w:t>)%</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1</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1</w:t>
            </w:r>
          </w:p>
        </w:tc>
        <w:tc>
          <w:tcPr>
            <w:tcW w:w="245" w:type="dxa"/>
            <w:tcBorders/>
            <w:shd w:fill="FFFFFF" w:val="clear"/>
          </w:tcPr>
          <w:p>
            <w:pPr>
              <w:pStyle w:val="TableContents"/>
              <w:spacing w:before="0" w:after="283"/>
              <w:rPr/>
            </w:pPr>
            <w:r>
              <w:rPr/>
              <w:t>  </w:t>
            </w:r>
            <w:r>
              <w:rPr>
                <w:rFonts w:ascii="times" w:hAnsi="times"/>
                <w:sz w:val="14"/>
              </w:rPr>
              <w:t>%</w:t>
            </w:r>
          </w:p>
        </w:tc>
      </w:tr>
      <w:tr>
        <w:trPr/>
        <w:tc>
          <w:tcPr>
            <w:tcW w:w="120" w:type="dxa"/>
            <w:tcBorders/>
            <w:shd w:fill="CCEEFF" w:val="clear"/>
          </w:tcPr>
          <w:p>
            <w:pPr>
              <w:pStyle w:val="TableContents"/>
              <w:spacing w:before="0" w:after="283"/>
              <w:rPr/>
            </w:pPr>
            <w:r>
              <w:rPr/>
              <w:t> </w:t>
            </w:r>
          </w:p>
        </w:tc>
        <w:tc>
          <w:tcPr>
            <w:tcW w:w="3345" w:type="dxa"/>
            <w:tcBorders/>
            <w:shd w:fill="CCEEFF" w:val="clear"/>
          </w:tcPr>
          <w:p>
            <w:pPr>
              <w:pStyle w:val="TableContents"/>
              <w:spacing w:before="0" w:after="283"/>
              <w:ind w:left="160" w:right="0" w:hanging="160"/>
              <w:rPr>
                <w:rFonts w:ascii="times" w:hAnsi="times"/>
                <w:sz w:val="14"/>
              </w:rPr>
            </w:pPr>
            <w:r>
              <w:rPr>
                <w:rFonts w:ascii="times" w:hAnsi="times"/>
                <w:sz w:val="14"/>
              </w:rPr>
              <w:t>Rainbow</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129</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129</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jc w:val="right"/>
              <w:rPr>
                <w:rFonts w:ascii="times" w:hAnsi="times"/>
                <w:sz w:val="14"/>
              </w:rPr>
            </w:pPr>
            <w:r>
              <w:rPr>
                <w:rFonts w:ascii="times" w:hAnsi="times"/>
                <w:sz w:val="14"/>
              </w:rPr>
              <w:t>N/A</w:t>
            </w:r>
          </w:p>
        </w:tc>
        <w:tc>
          <w:tcPr>
            <w:tcW w:w="24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N/A</w:t>
            </w:r>
          </w:p>
        </w:tc>
        <w:tc>
          <w:tcPr>
            <w:tcW w:w="245" w:type="dxa"/>
            <w:tcBorders/>
            <w:shd w:fill="CCEEFF" w:val="clear"/>
          </w:tcPr>
          <w:p>
            <w:pPr>
              <w:pStyle w:val="TableContents"/>
              <w:spacing w:before="0" w:after="283"/>
              <w:rPr/>
            </w:pPr>
            <w:r>
              <w:rPr/>
              <w:t> </w:t>
            </w:r>
          </w:p>
        </w:tc>
      </w:tr>
      <w:tr>
        <w:trPr/>
        <w:tc>
          <w:tcPr>
            <w:tcW w:w="120" w:type="dxa"/>
            <w:tcBorders/>
            <w:shd w:fill="FFFFFF" w:val="clear"/>
          </w:tcPr>
          <w:p>
            <w:pPr>
              <w:pStyle w:val="TableContents"/>
              <w:spacing w:before="0" w:after="283"/>
              <w:rPr/>
            </w:pPr>
            <w:r>
              <w:rPr/>
              <w:t> </w:t>
            </w:r>
          </w:p>
        </w:tc>
        <w:tc>
          <w:tcPr>
            <w:tcW w:w="3345" w:type="dxa"/>
            <w:tcBorders/>
            <w:shd w:fill="FFFFFF" w:val="clear"/>
          </w:tcPr>
          <w:p>
            <w:pPr>
              <w:pStyle w:val="TableContents"/>
              <w:spacing w:before="0" w:after="283"/>
              <w:ind w:left="160" w:right="0" w:hanging="160"/>
              <w:rPr>
                <w:rFonts w:ascii="times" w:hAnsi="times"/>
                <w:sz w:val="14"/>
              </w:rPr>
            </w:pPr>
            <w:r>
              <w:rPr>
                <w:rFonts w:ascii="times" w:hAnsi="times"/>
                <w:sz w:val="14"/>
              </w:rPr>
              <w:t>Rangeland</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58</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63</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24</w:t>
            </w:r>
          </w:p>
        </w:tc>
        <w:tc>
          <w:tcPr>
            <w:tcW w:w="195" w:type="dxa"/>
            <w:tcBorders/>
            <w:shd w:fill="FFFFFF" w:val="clear"/>
          </w:tcPr>
          <w:p>
            <w:pPr>
              <w:pStyle w:val="TableContents"/>
              <w:spacing w:before="0" w:after="283"/>
              <w:rPr/>
            </w:pPr>
            <w:r>
              <w:rPr/>
              <w:t> </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(5</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60" w:type="dxa"/>
            <w:tcBorders/>
            <w:shd w:fill="FFFFFF" w:val="clear"/>
          </w:tcPr>
          <w:p>
            <w:pPr>
              <w:pStyle w:val="TableContents"/>
              <w:spacing w:before="0" w:after="283"/>
              <w:rPr/>
            </w:pPr>
            <w:r>
              <w:rPr/>
              <w:t> </w:t>
            </w:r>
          </w:p>
        </w:tc>
        <w:tc>
          <w:tcPr>
            <w:tcW w:w="215" w:type="dxa"/>
            <w:tcBorders/>
            <w:shd w:fill="FFFFFF" w:val="clear"/>
          </w:tcPr>
          <w:p>
            <w:pPr>
              <w:pStyle w:val="TableContents"/>
              <w:spacing w:before="0" w:after="283"/>
              <w:jc w:val="right"/>
              <w:rPr>
                <w:rFonts w:ascii="times" w:hAnsi="times"/>
                <w:sz w:val="14"/>
              </w:rPr>
            </w:pPr>
            <w:r>
              <w:rPr>
                <w:rFonts w:ascii="times" w:hAnsi="times"/>
                <w:sz w:val="14"/>
              </w:rPr>
              <w:t>(8</w:t>
            </w:r>
          </w:p>
        </w:tc>
        <w:tc>
          <w:tcPr>
            <w:tcW w:w="245" w:type="dxa"/>
            <w:tcBorders/>
            <w:shd w:fill="FFFFFF" w:val="clear"/>
          </w:tcPr>
          <w:p>
            <w:pPr>
              <w:pStyle w:val="TableContents"/>
              <w:spacing w:before="0" w:after="283"/>
              <w:rPr>
                <w:rFonts w:ascii="times" w:hAnsi="times"/>
                <w:sz w:val="14"/>
              </w:rPr>
            </w:pPr>
            <w:r>
              <w:rPr>
                <w:rFonts w:ascii="times" w:hAnsi="times"/>
                <w:sz w:val="14"/>
              </w:rPr>
              <w:t>)%</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39</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163</w:t>
            </w:r>
          </w:p>
        </w:tc>
        <w:tc>
          <w:tcPr>
            <w:tcW w:w="245" w:type="dxa"/>
            <w:tcBorders/>
            <w:shd w:fill="FFFFFF" w:val="clear"/>
          </w:tcPr>
          <w:p>
            <w:pPr>
              <w:pStyle w:val="TableContents"/>
              <w:spacing w:before="0" w:after="283"/>
              <w:rPr/>
            </w:pPr>
            <w:r>
              <w:rPr/>
              <w:t>  </w:t>
            </w:r>
            <w:r>
              <w:rPr>
                <w:rFonts w:ascii="times" w:hAnsi="times"/>
                <w:sz w:val="14"/>
              </w:rPr>
              <w:t>%</w:t>
            </w:r>
          </w:p>
        </w:tc>
      </w:tr>
      <w:tr>
        <w:trPr/>
        <w:tc>
          <w:tcPr>
            <w:tcW w:w="120" w:type="dxa"/>
            <w:tcBorders/>
            <w:shd w:fill="CCEEFF" w:val="clear"/>
          </w:tcPr>
          <w:p>
            <w:pPr>
              <w:pStyle w:val="TableContents"/>
              <w:spacing w:before="0" w:after="283"/>
              <w:rPr/>
            </w:pPr>
            <w:r>
              <w:rPr/>
              <w:t> </w:t>
            </w:r>
          </w:p>
        </w:tc>
        <w:tc>
          <w:tcPr>
            <w:tcW w:w="3345" w:type="dxa"/>
            <w:tcBorders/>
            <w:shd w:fill="CCEEFF" w:val="clear"/>
          </w:tcPr>
          <w:p>
            <w:pPr>
              <w:pStyle w:val="TableContents"/>
              <w:spacing w:before="0" w:after="283"/>
              <w:ind w:left="160" w:right="0" w:hanging="160"/>
              <w:rPr>
                <w:rFonts w:ascii="times" w:hAnsi="times"/>
                <w:sz w:val="14"/>
              </w:rPr>
            </w:pPr>
            <w:r>
              <w:rPr>
                <w:rFonts w:ascii="times" w:hAnsi="times"/>
                <w:sz w:val="14"/>
              </w:rPr>
              <w:t>Refined products</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109</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109</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24</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jc w:val="right"/>
              <w:rPr>
                <w:rFonts w:ascii="times" w:hAnsi="times"/>
                <w:sz w:val="14"/>
              </w:rPr>
            </w:pPr>
            <w:r>
              <w:rPr>
                <w:rFonts w:ascii="times" w:hAnsi="times"/>
                <w:sz w:val="14"/>
              </w:rPr>
              <w:t></w:t>
            </w:r>
          </w:p>
        </w:tc>
        <w:tc>
          <w:tcPr>
            <w:tcW w:w="24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85</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354</w:t>
            </w:r>
          </w:p>
        </w:tc>
        <w:tc>
          <w:tcPr>
            <w:tcW w:w="245" w:type="dxa"/>
            <w:tcBorders/>
            <w:shd w:fill="CCEEFF" w:val="clear"/>
          </w:tcPr>
          <w:p>
            <w:pPr>
              <w:pStyle w:val="TableContents"/>
              <w:spacing w:before="0" w:after="283"/>
              <w:rPr/>
            </w:pPr>
            <w:r>
              <w:rPr/>
              <w:t>  </w:t>
            </w:r>
            <w:r>
              <w:rPr>
                <w:rFonts w:ascii="times" w:hAnsi="times"/>
                <w:sz w:val="14"/>
              </w:rPr>
              <w:t>%</w:t>
            </w:r>
          </w:p>
        </w:tc>
      </w:tr>
      <w:tr>
        <w:trPr/>
        <w:tc>
          <w:tcPr>
            <w:tcW w:w="120" w:type="dxa"/>
            <w:tcBorders/>
            <w:shd w:fill="FFFFFF" w:val="clear"/>
          </w:tcPr>
          <w:p>
            <w:pPr>
              <w:pStyle w:val="TableContents"/>
              <w:spacing w:before="0" w:after="283"/>
              <w:rPr/>
            </w:pPr>
            <w:r>
              <w:rPr/>
              <w:t> </w:t>
            </w:r>
          </w:p>
        </w:tc>
        <w:tc>
          <w:tcPr>
            <w:tcW w:w="3345" w:type="dxa"/>
            <w:tcBorders/>
            <w:shd w:fill="FFFFFF" w:val="clear"/>
          </w:tcPr>
          <w:p>
            <w:pPr>
              <w:pStyle w:val="TableContents"/>
              <w:spacing w:before="0" w:after="283"/>
              <w:ind w:left="160" w:right="0" w:hanging="160"/>
              <w:rPr>
                <w:rFonts w:ascii="times" w:hAnsi="times"/>
                <w:sz w:val="14"/>
              </w:rPr>
            </w:pPr>
            <w:r>
              <w:rPr>
                <w:rFonts w:ascii="times" w:hAnsi="times"/>
                <w:sz w:val="14"/>
              </w:rPr>
              <w:t>Other</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1,232</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1,162</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1,008</w:t>
            </w:r>
          </w:p>
        </w:tc>
        <w:tc>
          <w:tcPr>
            <w:tcW w:w="195" w:type="dxa"/>
            <w:tcBorders/>
            <w:shd w:fill="FFFFFF" w:val="clear"/>
          </w:tcPr>
          <w:p>
            <w:pPr>
              <w:pStyle w:val="TableContents"/>
              <w:spacing w:before="0" w:after="283"/>
              <w:rPr/>
            </w:pPr>
            <w:r>
              <w:rPr/>
              <w:t> </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70</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15" w:type="dxa"/>
            <w:tcBorders/>
            <w:shd w:fill="FFFFFF" w:val="clear"/>
          </w:tcPr>
          <w:p>
            <w:pPr>
              <w:pStyle w:val="TableContents"/>
              <w:spacing w:before="0" w:after="283"/>
              <w:jc w:val="right"/>
              <w:rPr>
                <w:rFonts w:ascii="times" w:hAnsi="times"/>
                <w:sz w:val="14"/>
              </w:rPr>
            </w:pPr>
            <w:r>
              <w:rPr>
                <w:rFonts w:ascii="times" w:hAnsi="times"/>
                <w:sz w:val="14"/>
              </w:rPr>
              <w:t>6</w:t>
            </w:r>
          </w:p>
        </w:tc>
        <w:tc>
          <w:tcPr>
            <w:tcW w:w="245" w:type="dxa"/>
            <w:tcBorders/>
            <w:shd w:fill="FFFFFF" w:val="clear"/>
          </w:tcPr>
          <w:p>
            <w:pPr>
              <w:pStyle w:val="TableContents"/>
              <w:spacing w:before="0" w:after="283"/>
              <w:rPr/>
            </w:pPr>
            <w:r>
              <w:rPr/>
              <w:t>  </w:t>
            </w:r>
            <w:r>
              <w:rPr>
                <w:rFonts w:ascii="times" w:hAnsi="times"/>
                <w:sz w:val="14"/>
              </w:rPr>
              <w:t>%</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154</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15</w:t>
            </w:r>
          </w:p>
        </w:tc>
        <w:tc>
          <w:tcPr>
            <w:tcW w:w="245" w:type="dxa"/>
            <w:tcBorders/>
            <w:shd w:fill="FFFFFF" w:val="clear"/>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46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Tariff activities total</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2,851</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2,712</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2,106</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139</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jc w:val="right"/>
              <w:rPr>
                <w:rFonts w:ascii="times" w:hAnsi="times"/>
                <w:sz w:val="14"/>
              </w:rPr>
            </w:pPr>
            <w:r>
              <w:rPr>
                <w:rFonts w:ascii="times" w:hAnsi="times"/>
                <w:sz w:val="14"/>
              </w:rPr>
              <w:t>5</w:t>
            </w:r>
          </w:p>
        </w:tc>
        <w:tc>
          <w:tcPr>
            <w:tcW w:w="245" w:type="dxa"/>
            <w:tcBorders/>
            <w:shd w:fill="CCEEFF" w:val="clear"/>
          </w:tcPr>
          <w:p>
            <w:pPr>
              <w:pStyle w:val="TableContents"/>
              <w:spacing w:before="0" w:after="283"/>
              <w:rPr/>
            </w:pPr>
            <w:r>
              <w:rPr/>
              <w:t>  </w:t>
            </w:r>
            <w:r>
              <w:rPr>
                <w:rFonts w:ascii="times" w:hAnsi="times"/>
                <w:sz w:val="14"/>
              </w:rPr>
              <w:t>%</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606</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29</w:t>
            </w:r>
          </w:p>
        </w:tc>
        <w:tc>
          <w:tcPr>
            <w:tcW w:w="245" w:type="dxa"/>
            <w:tcBorders/>
            <w:shd w:fill="CCEEFF" w:val="clear"/>
          </w:tcPr>
          <w:p>
            <w:pPr>
              <w:pStyle w:val="TableContents"/>
              <w:spacing w:before="0" w:after="283"/>
              <w:rPr/>
            </w:pPr>
            <w:r>
              <w:rPr/>
              <w:t>  </w:t>
            </w:r>
            <w:r>
              <w:rPr>
                <w:rFonts w:ascii="times" w:hAnsi="times"/>
                <w:sz w:val="14"/>
              </w:rPr>
              <w:t>%</w:t>
            </w:r>
          </w:p>
        </w:tc>
      </w:tr>
      <w:tr>
        <w:trPr/>
        <w:tc>
          <w:tcPr>
            <w:tcW w:w="346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Trucking</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97</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105</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101</w:t>
            </w:r>
          </w:p>
        </w:tc>
        <w:tc>
          <w:tcPr>
            <w:tcW w:w="195" w:type="dxa"/>
            <w:tcBorders/>
            <w:shd w:fill="FFFFFF" w:val="clear"/>
          </w:tcPr>
          <w:p>
            <w:pPr>
              <w:pStyle w:val="TableContents"/>
              <w:spacing w:before="0" w:after="283"/>
              <w:rPr/>
            </w:pPr>
            <w:r>
              <w:rPr/>
              <w:t> </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60" w:type="dxa"/>
            <w:tcBorders/>
            <w:shd w:fill="FFFFFF" w:val="clear"/>
          </w:tcPr>
          <w:p>
            <w:pPr>
              <w:pStyle w:val="TableContents"/>
              <w:spacing w:before="0" w:after="283"/>
              <w:rPr/>
            </w:pPr>
            <w:r>
              <w:rPr/>
              <w:t> </w:t>
            </w:r>
          </w:p>
        </w:tc>
        <w:tc>
          <w:tcPr>
            <w:tcW w:w="215" w:type="dxa"/>
            <w:tcBorders/>
            <w:shd w:fill="FFFFFF" w:val="clear"/>
          </w:tcPr>
          <w:p>
            <w:pPr>
              <w:pStyle w:val="TableContents"/>
              <w:spacing w:before="0" w:after="283"/>
              <w:jc w:val="right"/>
              <w:rPr>
                <w:rFonts w:ascii="times" w:hAnsi="times"/>
                <w:sz w:val="14"/>
              </w:rPr>
            </w:pPr>
            <w:r>
              <w:rPr>
                <w:rFonts w:ascii="times" w:hAnsi="times"/>
                <w:sz w:val="14"/>
              </w:rPr>
              <w:t>(8</w:t>
            </w:r>
          </w:p>
        </w:tc>
        <w:tc>
          <w:tcPr>
            <w:tcW w:w="245" w:type="dxa"/>
            <w:tcBorders/>
            <w:shd w:fill="FFFFFF" w:val="clear"/>
          </w:tcPr>
          <w:p>
            <w:pPr>
              <w:pStyle w:val="TableContents"/>
              <w:spacing w:before="0" w:after="283"/>
              <w:rPr>
                <w:rFonts w:ascii="times" w:hAnsi="times"/>
                <w:sz w:val="14"/>
              </w:rPr>
            </w:pPr>
            <w:r>
              <w:rPr>
                <w:rFonts w:ascii="times" w:hAnsi="times"/>
                <w:sz w:val="14"/>
              </w:rPr>
              <w:t>)%</w:t>
            </w:r>
          </w:p>
        </w:tc>
        <w:tc>
          <w:tcPr>
            <w:tcW w:w="109" w:type="dxa"/>
            <w:tcBorders/>
            <w:shd w:fill="FFFFFF" w:val="clear"/>
          </w:tcPr>
          <w:p>
            <w:pPr>
              <w:pStyle w:val="TableContents"/>
              <w:spacing w:before="0" w:after="283"/>
              <w:rPr/>
            </w:pPr>
            <w:r>
              <w:rPr/>
              <w:t> </w:t>
            </w:r>
          </w:p>
        </w:tc>
        <w:tc>
          <w:tcPr>
            <w:tcW w:w="450" w:type="dxa"/>
            <w:tcBorders/>
            <w:shd w:fill="FFFFFF" w:val="clear"/>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4</w:t>
            </w:r>
          </w:p>
        </w:tc>
        <w:tc>
          <w:tcPr>
            <w:tcW w:w="245" w:type="dxa"/>
            <w:tcBorders/>
            <w:shd w:fill="FFFFFF" w:val="clear"/>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46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Transportation segment total</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2,948</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2,817</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2,207</w:t>
            </w:r>
          </w:p>
        </w:tc>
        <w:tc>
          <w:tcPr>
            <w:tcW w:w="195" w:type="dxa"/>
            <w:tcBorders/>
            <w:shd w:fill="CCEEFF" w:val="clear"/>
          </w:tcPr>
          <w:p>
            <w:pPr>
              <w:pStyle w:val="TableContents"/>
              <w:spacing w:before="0" w:after="283"/>
              <w:rPr/>
            </w:pPr>
            <w:r>
              <w:rPr/>
              <w:t> </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131</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15" w:type="dxa"/>
            <w:tcBorders/>
            <w:shd w:fill="CCEEFF" w:val="clear"/>
          </w:tcPr>
          <w:p>
            <w:pPr>
              <w:pStyle w:val="TableContents"/>
              <w:spacing w:before="0" w:after="283"/>
              <w:jc w:val="right"/>
              <w:rPr>
                <w:rFonts w:ascii="times" w:hAnsi="times"/>
                <w:sz w:val="14"/>
              </w:rPr>
            </w:pPr>
            <w:r>
              <w:rPr>
                <w:rFonts w:ascii="times" w:hAnsi="times"/>
                <w:sz w:val="14"/>
              </w:rPr>
              <w:t>5</w:t>
            </w:r>
          </w:p>
        </w:tc>
        <w:tc>
          <w:tcPr>
            <w:tcW w:w="245" w:type="dxa"/>
            <w:tcBorders/>
            <w:shd w:fill="CCEEFF" w:val="clear"/>
          </w:tcPr>
          <w:p>
            <w:pPr>
              <w:pStyle w:val="TableContents"/>
              <w:spacing w:before="0" w:after="283"/>
              <w:rPr/>
            </w:pPr>
            <w:r>
              <w:rPr/>
              <w:t>  </w:t>
            </w:r>
            <w:r>
              <w:rPr>
                <w:rFonts w:ascii="times" w:hAnsi="times"/>
                <w:sz w:val="14"/>
              </w:rPr>
              <w:t>%</w:t>
            </w:r>
          </w:p>
        </w:tc>
        <w:tc>
          <w:tcPr>
            <w:tcW w:w="109" w:type="dxa"/>
            <w:tcBorders/>
            <w:shd w:fill="CCEEFF" w:val="clear"/>
          </w:tcPr>
          <w:p>
            <w:pPr>
              <w:pStyle w:val="TableContents"/>
              <w:spacing w:before="0" w:after="283"/>
              <w:rPr/>
            </w:pPr>
            <w:r>
              <w:rPr/>
              <w:t> </w:t>
            </w:r>
          </w:p>
        </w:tc>
        <w:tc>
          <w:tcPr>
            <w:tcW w:w="450" w:type="dxa"/>
            <w:tcBorders/>
            <w:shd w:fill="CCEEFF" w:val="clear"/>
          </w:tcPr>
          <w:p>
            <w:pPr>
              <w:pStyle w:val="TableContents"/>
              <w:spacing w:before="0" w:after="283"/>
              <w:jc w:val="right"/>
              <w:rPr>
                <w:rFonts w:ascii="times" w:hAnsi="times"/>
                <w:sz w:val="14"/>
              </w:rPr>
            </w:pPr>
            <w:r>
              <w:rPr>
                <w:rFonts w:ascii="times" w:hAnsi="times"/>
                <w:sz w:val="14"/>
              </w:rPr>
              <w:t>610</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28</w:t>
            </w:r>
          </w:p>
        </w:tc>
        <w:tc>
          <w:tcPr>
            <w:tcW w:w="245" w:type="dxa"/>
            <w:tcBorders/>
            <w:shd w:fill="CCEEFF" w:val="clear"/>
          </w:tcPr>
          <w:p>
            <w:pPr>
              <w:pStyle w:val="TableContents"/>
              <w:spacing w:before="0" w:after="283"/>
              <w:rPr/>
            </w:pPr>
            <w:r>
              <w:rPr/>
              <w:t>  </w:t>
            </w:r>
            <w:r>
              <w:rPr>
                <w:rFonts w:ascii="times" w:hAnsi="times"/>
                <w:sz w:val="14"/>
              </w:rPr>
              <w:t>%</w:t>
            </w:r>
          </w:p>
        </w:tc>
      </w:tr>
      <w:tr>
        <w:trPr/>
        <w:tc>
          <w:tcPr>
            <w:tcW w:w="34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5"/>
          <w:sz w:val="11"/>
          <w:sz w:val="14"/>
        </w:rPr>
      </w:pPr>
      <w:r>
        <w:rPr>
          <w:rFonts w:ascii="times" w:hAnsi="times"/>
          <w:position w:val="5"/>
          <w:sz w:val="11"/>
          <w:sz w:val="14"/>
        </w:rPr>
        <w:t>(1)</w:t>
      </w:r>
    </w:p>
    <w:p>
      <w:pPr>
        <w:pStyle w:val="ListContents"/>
        <w:spacing w:before="0" w:after="283"/>
        <w:rPr>
          <w:rFonts w:ascii="times" w:hAnsi="times"/>
          <w:sz w:val="14"/>
        </w:rPr>
      </w:pPr>
      <w:r>
        <w:rPr>
          <w:rFonts w:ascii="times" w:hAnsi="times"/>
          <w:sz w:val="14"/>
        </w:rPr>
        <w:t xml:space="preserve">Revenues and costs and expenses include intersegment amounts. </w:t>
      </w:r>
    </w:p>
    <w:p>
      <w:pPr>
        <w:pStyle w:val="ListHeading"/>
        <w:spacing w:before="0" w:after="0"/>
        <w:rPr>
          <w:rFonts w:ascii="times" w:hAnsi="times"/>
          <w:position w:val="5"/>
          <w:sz w:val="11"/>
          <w:sz w:val="14"/>
        </w:rPr>
      </w:pPr>
      <w:r>
        <w:rPr>
          <w:rFonts w:ascii="times" w:hAnsi="times"/>
          <w:position w:val="5"/>
          <w:sz w:val="11"/>
          <w:sz w:val="14"/>
        </w:rPr>
        <w:t>(2)</w:t>
      </w:r>
    </w:p>
    <w:p>
      <w:pPr>
        <w:pStyle w:val="ListContents"/>
        <w:spacing w:before="0" w:after="283"/>
        <w:rPr>
          <w:rFonts w:ascii="times" w:hAnsi="times"/>
          <w:sz w:val="14"/>
        </w:rPr>
      </w:pPr>
      <w:r>
        <w:rPr>
          <w:rFonts w:ascii="times" w:hAnsi="times"/>
          <w:sz w:val="14"/>
        </w:rPr>
        <w:t xml:space="preserve">Equity compensation expense related to our equity compensation plans. </w:t>
      </w:r>
    </w:p>
    <w:p>
      <w:pPr>
        <w:pStyle w:val="ListHeading"/>
        <w:spacing w:before="0" w:after="0"/>
        <w:rPr>
          <w:rFonts w:ascii="times" w:hAnsi="times"/>
          <w:position w:val="5"/>
          <w:sz w:val="11"/>
          <w:sz w:val="14"/>
        </w:rPr>
      </w:pPr>
      <w:r>
        <w:rPr>
          <w:rFonts w:ascii="times" w:hAnsi="times"/>
          <w:position w:val="5"/>
          <w:sz w:val="11"/>
          <w:sz w:val="14"/>
        </w:rPr>
        <w:t>(3)</w:t>
      </w:r>
    </w:p>
    <w:p>
      <w:pPr>
        <w:pStyle w:val="ListContents"/>
        <w:spacing w:before="0" w:after="283"/>
        <w:rPr>
          <w:rFonts w:ascii="times" w:hAnsi="times"/>
          <w:sz w:val="14"/>
        </w:rPr>
      </w:pPr>
      <w:r>
        <w:rPr>
          <w:rFonts w:ascii="times" w:hAnsi="times"/>
          <w:sz w:val="14"/>
        </w:rPr>
        <w:t xml:space="preserve">Volumes associated with acquisitions represent total volumes for the number of days we actually owned the assets divided by the number of days in the period. </w:t>
      </w:r>
    </w:p>
    <w:p>
      <w:pPr>
        <w:pStyle w:val="ListHeading"/>
        <w:spacing w:before="0" w:after="0"/>
        <w:rPr>
          <w:rFonts w:ascii="times" w:hAnsi="times"/>
          <w:position w:val="5"/>
          <w:sz w:val="11"/>
          <w:sz w:val="14"/>
        </w:rPr>
      </w:pPr>
      <w:r>
        <w:rPr>
          <w:rFonts w:ascii="times" w:hAnsi="times"/>
          <w:position w:val="5"/>
          <w:sz w:val="11"/>
          <w:sz w:val="14"/>
        </w:rPr>
        <w:t>(4)</w:t>
      </w:r>
    </w:p>
    <w:p>
      <w:pPr>
        <w:pStyle w:val="ListContents"/>
        <w:spacing w:before="0" w:after="283"/>
        <w:rPr>
          <w:rFonts w:ascii="times" w:hAnsi="times"/>
          <w:sz w:val="14"/>
        </w:rPr>
      </w:pPr>
      <w:r>
        <w:rPr>
          <w:rFonts w:ascii="times" w:hAnsi="times"/>
          <w:sz w:val="14"/>
        </w:rPr>
        <w:t xml:space="preserve">The volumes for the West Texas/New Mexico Area Systems previously included amounts for the Mesa system, which has been reclassified to "Other" for all periods presented. </w:t>
      </w:r>
    </w:p>
    <w:p>
      <w:pPr>
        <w:pStyle w:val="TextBody"/>
        <w:rPr/>
      </w:pPr>
      <w:r>
        <w:rPr/>
        <w:t>        </w:t>
      </w:r>
      <w:r>
        <w:rPr>
          <w:rFonts w:ascii="times" w:hAnsi="times"/>
          <w:sz w:val="20"/>
        </w:rPr>
        <w:t xml:space="preserve">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 </w:t>
      </w:r>
    </w:p>
    <w:p>
      <w:pPr>
        <w:pStyle w:val="TextBody"/>
        <w:jc w:val="center"/>
        <w:rPr>
          <w:rFonts w:ascii="times" w:hAnsi="times"/>
          <w:sz w:val="20"/>
        </w:rPr>
      </w:pPr>
      <w:r>
        <w:rPr>
          <w:rFonts w:ascii="times" w:hAnsi="times"/>
          <w:sz w:val="20"/>
        </w:rPr>
        <w:t>80</w:t>
      </w:r>
    </w:p>
    <w:p>
      <w:pPr>
        <w:pStyle w:val="HorizontalLine"/>
        <w:pBdr>
          <w:bottom w:val="single" w:sz="20" w:space="0" w:color="808080"/>
        </w:pBdr>
        <w:rPr/>
      </w:pPr>
      <w:r>
        <w:rPr/>
      </w:r>
      <w:r>
        <w:br w:type="page"/>
      </w:r>
    </w:p>
    <w:p>
      <w:pPr>
        <w:pStyle w:val="TextBody"/>
        <w:rPr/>
      </w:pPr>
      <w:hyperlink w:anchor="bg12101a_main_toc">
        <w:bookmarkStart w:id="111" w:name="page_dw12101_1_81"/>
        <w:bookmarkEnd w:id="111"/>
        <w:r>
          <w:rPr>
            <w:rStyle w:val="InternetLink"/>
            <w:rFonts w:ascii="times" w:hAnsi="times"/>
            <w:sz w:val="20"/>
          </w:rPr>
          <w:t>Table of Contents</w:t>
        </w:r>
      </w:hyperlink>
    </w:p>
    <w:p>
      <w:pPr>
        <w:pStyle w:val="TextBody"/>
        <w:rPr/>
      </w:pPr>
      <w:r>
        <w:rPr/>
        <w:t>        </w:t>
      </w:r>
      <w:r>
        <w:rPr>
          <w:rFonts w:ascii="times" w:hAnsi="times"/>
          <w:sz w:val="20"/>
        </w:rPr>
        <w:t xml:space="preserve">Transportation segment profit and segment profit per barrel were impacted by the following for the periods indicated: </w:t>
      </w:r>
    </w:p>
    <w:p>
      <w:pPr>
        <w:pStyle w:val="TextBody"/>
        <w:rPr/>
      </w:pPr>
      <w:r>
        <w:rPr/>
        <w:t>        </w:t>
      </w:r>
      <w:r>
        <w:rPr>
          <w:rFonts w:ascii="times" w:hAnsi="times"/>
          <w:i/>
          <w:sz w:val="20"/>
        </w:rPr>
        <w:t>Operating Revenues and Volumes.</w:t>
      </w:r>
      <w:r>
        <w:rPr>
          <w:rFonts w:ascii="times" w:hAnsi="times"/>
        </w:rPr>
        <w:t>    </w:t>
      </w:r>
      <w:r>
        <w:rPr>
          <w:rFonts w:ascii="times" w:hAnsi="times"/>
          <w:sz w:val="20"/>
        </w:rPr>
        <w:t xml:space="preserve">As noted in the table above, our transportation segment revenues and volumes increased for 2008 compared to 2007 and for 2007 compared to 2006. The significant variances in revenues and average daily volumes for 2008, 2007 and 2006 are discussed below: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Acquisitions and Expansion ProjectsRevenues and volumes for the year ended December 31, 2008 were impacted by the Rainbow acquisition, which occurred in May 2008. The Rainbow acquisition contributed approximately $50 million of additional tariff revenues and additional volumes of approximately 129,000 barrels per day for the year ended December 31, 2008. </w:t>
      </w:r>
    </w:p>
    <w:p>
      <w:pPr>
        <w:pStyle w:val="TextBody"/>
        <w:numPr>
          <w:ilvl w:val="0"/>
          <w:numId w:val="0"/>
        </w:numPr>
        <w:ind w:left="1414" w:hanging="0"/>
        <w:rPr>
          <w:rFonts w:ascii="times" w:hAnsi="times"/>
          <w:sz w:val="20"/>
        </w:rPr>
      </w:pPr>
      <w:r>
        <w:rPr>
          <w:rFonts w:ascii="times" w:hAnsi="times"/>
          <w:sz w:val="20"/>
        </w:rPr>
        <w:t xml:space="preserve">Revenues and volumes for the year ended December 31, 2007 were impacted by crude oil and refined products pipeline systems acquired or brought into service during 2007 and 2006 (primarily from the 2006 Pacific merger). Such acquisitions and systems brought into service contributed approximately $164 million of additional tariff revenues and additional volumes of approximately 541,000 barrels per day for the year ended December 31, 2007.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Loss Allowance RevenueAs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Although there was a significant decline in the average price of crude oil during the fourth quarter of 2008, the average realized price per barrel related to our loss allowance revenues was higher during most of 2008 than it was in 2007. Additionally, volumes increased slightly for 2008 compared to 2007. As a result, loss allowance revenues increased by approximately $31 million for the year ended December 31, 2008 compared to the year ended December 31, 2007. </w:t>
      </w:r>
    </w:p>
    <w:p>
      <w:pPr>
        <w:pStyle w:val="TextBody"/>
        <w:numPr>
          <w:ilvl w:val="0"/>
          <w:numId w:val="0"/>
        </w:numPr>
        <w:ind w:left="1414" w:hanging="0"/>
        <w:rPr>
          <w:rFonts w:ascii="times" w:hAnsi="times"/>
          <w:sz w:val="20"/>
        </w:rPr>
      </w:pPr>
      <w:r>
        <w:rPr>
          <w:rFonts w:ascii="times" w:hAnsi="times"/>
          <w:sz w:val="20"/>
        </w:rPr>
        <w:t xml:space="preserve">In contrast, the average realized price per barrel related to our loss allowance revenues during 2007 was relatively comparable to the realized price per barrel for 2006; however, the volumes for 2007 increased significantly compared to the volumes for 2006. Therefore, loss allowance revenues increased by approximately $24 million for the year ended December 31, 2007 compared to the year ended December 31, 2006.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Linefill HedgeRevenues for the year ended December 31, 2008 were impacted by a gain of approximately $17 million related to the unwind of a linefill hedge entered into in conjunction with the Rainbow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sz w:val="20"/>
        </w:rPr>
        <w:t>Rate IncreasesRates increase on the majority of our domestic pipeline systems on July 1</w:t>
      </w:r>
      <w:r>
        <w:rPr>
          <w:rFonts w:ascii="times" w:hAnsi="times"/>
          <w:position w:val="7"/>
          <w:sz w:val="16"/>
          <w:sz w:val="20"/>
        </w:rPr>
        <w:t>st</w:t>
      </w:r>
      <w:r>
        <w:rPr>
          <w:rFonts w:ascii="times" w:hAnsi="times"/>
          <w:sz w:val="20"/>
        </w:rPr>
        <w:t xml:space="preserve"> of each year resulting in increased revenues year-over-year. Rates on our pipeline systems are increased through indexing by the FERC, by state and Canadian regulatory agencies and through market-based escalation.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Hurricane ImpactSegment profit decreased by an estimated $3 million to $5 million due to impacts of Hurricanes Gustav and Ike, both of which came through the Gulf Coast area during the third quarter of 2008.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Foreign ExchangeRevenues from our Canadian pipeline systems (other than Rainbow, as noted above) increased in 2007 compared to 2006 primarily due to the appreciation of Canadian currency. The average exchange rates for the years ended December 31, 2008, 2007 and 2006 were $1.07:1, $1.07:1 and $1.13:1, respectively. </w:t>
      </w:r>
    </w:p>
    <w:p>
      <w:pPr>
        <w:pStyle w:val="TextBody"/>
        <w:jc w:val="center"/>
        <w:rPr>
          <w:rFonts w:ascii="times" w:hAnsi="times"/>
          <w:sz w:val="20"/>
        </w:rPr>
      </w:pPr>
      <w:r>
        <w:rPr>
          <w:rFonts w:ascii="times" w:hAnsi="times"/>
          <w:sz w:val="20"/>
        </w:rPr>
        <w:t>81</w:t>
      </w:r>
    </w:p>
    <w:p>
      <w:pPr>
        <w:pStyle w:val="HorizontalLine"/>
        <w:pBdr>
          <w:bottom w:val="single" w:sz="20" w:space="0" w:color="808080"/>
        </w:pBdr>
        <w:rPr/>
      </w:pPr>
      <w:r>
        <w:rPr/>
      </w:r>
      <w:r>
        <w:br w:type="page"/>
      </w:r>
    </w:p>
    <w:p>
      <w:pPr>
        <w:pStyle w:val="TextBody"/>
        <w:rPr/>
      </w:pPr>
      <w:hyperlink w:anchor="bg12101a_main_toc">
        <w:bookmarkStart w:id="112" w:name="page_dw12101_1_82"/>
        <w:bookmarkEnd w:id="11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TruckingRevenues for 2007 increased compared to 2006 due to trucking businesses that were acquired in both 2007 and 2006.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Basin and Capline Pipeline SystemsCapline revenues and volumes were negatively impacted for 2008 compared to 2007 by the hurricanes as discussed above. There was an increase in revenues and volumes for 2007 compared to 2006 of approximately $30 million and 122,000 barrels per day on the Basin and Capline pipeline systems. The increase on the Basin system was primarily a result of new connection points that were constructed and placed in service in 2007 as well as an increase in short-haul volumes. The increase in the Capline pipeline system revenues and volumes is primarily related to an existing shipper that increased its movements of crude oil in 2007. </w:t>
      </w:r>
    </w:p>
    <w:p>
      <w:pPr>
        <w:pStyle w:val="TextBody"/>
        <w:rPr/>
      </w:pPr>
      <w:r>
        <w:rPr/>
        <w:t>        </w:t>
      </w:r>
      <w:r>
        <w:rPr>
          <w:rFonts w:ascii="times" w:hAnsi="times"/>
          <w:i/>
          <w:sz w:val="20"/>
        </w:rPr>
        <w:t>Field Operating Costs.</w:t>
      </w:r>
      <w:r>
        <w:rPr>
          <w:rFonts w:ascii="times" w:hAnsi="times"/>
        </w:rPr>
        <w:t>    </w:t>
      </w:r>
      <w:r>
        <w:rPr>
          <w:rFonts w:ascii="times" w:hAnsi="times"/>
          <w:sz w:val="20"/>
        </w:rPr>
        <w:t xml:space="preserve">Field operating costs (excluding equity compensation charges as discussed below) have increased in most categories for 2008 and 2007 due to various reasons including our continued growth through acquisitions, primarily related to the Rainbow acquisition, and expansion projects. The 2008 increased costs primarily relate to (i) utilities costs, which increased due to higher market prices, (ii) payroll and benefits and (iii) compliance with API 653 and pipeline integrity testing and maintenance requirements. </w:t>
      </w:r>
    </w:p>
    <w:p>
      <w:pPr>
        <w:pStyle w:val="TextBody"/>
        <w:rPr/>
      </w:pPr>
      <w:r>
        <w:rPr/>
        <w:t>        </w:t>
      </w:r>
      <w:r>
        <w:rPr>
          <w:rFonts w:ascii="times" w:hAnsi="times"/>
          <w:sz w:val="20"/>
        </w:rPr>
        <w:t xml:space="preserve">The most significant cost increases in 2007 compared to 2006 primarily related to (i) payroll and benefits, (ii) maintenance, (iii) utilities, (iv) property taxes and (v) compliance with API 653 and pipeline integrity testing and maintenance requirements. </w:t>
      </w:r>
    </w:p>
    <w:p>
      <w:pPr>
        <w:pStyle w:val="TextBody"/>
        <w:rPr/>
      </w:pPr>
      <w:r>
        <w:rPr/>
        <w:t>        </w:t>
      </w:r>
      <w:r>
        <w:rPr>
          <w:rFonts w:ascii="times" w:hAnsi="times"/>
          <w:i/>
          <w:sz w:val="20"/>
        </w:rPr>
        <w:t>General and Administrative Expenses.</w:t>
      </w:r>
      <w:r>
        <w:rPr>
          <w:rFonts w:ascii="times" w:hAnsi="times"/>
        </w:rPr>
        <w:t>    </w:t>
      </w:r>
      <w:r>
        <w:rPr>
          <w:rFonts w:ascii="times" w:hAnsi="times"/>
          <w:sz w:val="20"/>
        </w:rPr>
        <w:t xml:space="preserve">General and administrative expenses have increased in 2008 compared to 2007 in most categories including (i) payroll, (ii) contract labor and consulting fees and (iii) taxes due to various reasons including our continued growth through acquisitions and expansion projects. Our G&amp;A expenses (excluding equity compensation charges as discussed below) were impacted in 2007 compared to 2006 primarily as a result of acquisitions and expansion projects. </w:t>
      </w:r>
    </w:p>
    <w:p>
      <w:pPr>
        <w:pStyle w:val="TextBody"/>
        <w:rPr/>
      </w:pPr>
      <w:r>
        <w:rPr/>
        <w:t>        </w:t>
      </w:r>
      <w:r>
        <w:rPr>
          <w:rFonts w:ascii="times" w:hAnsi="times"/>
          <w:i/>
          <w:sz w:val="20"/>
        </w:rPr>
        <w:t>Equity Compensation Charges.</w:t>
      </w:r>
      <w:r>
        <w:rPr>
          <w:rFonts w:ascii="times" w:hAnsi="times"/>
        </w:rPr>
        <w:t>    </w:t>
      </w:r>
      <w:r>
        <w:rPr>
          <w:rFonts w:ascii="times" w:hAnsi="times"/>
          <w:sz w:val="20"/>
        </w:rPr>
        <w:t xml:space="preserve">Equity compensation charges decreased approximately $12 million in 2008 compared to 2007 primarily as a result of the decrease in unit price for 2008 compared to the increase in unit price for 2007. The impact of the change in unit price was partially offset by additional LTIP grants that are considered probable of vesting and additional expense for Class B units. The Class B plan was not in existence for most of 2007. Equity compensation charges increased approximately $3 million in 2007 compared to 2006 primarily as a result of additional LTIP grants. See Note 10 to our Consolidated Financial Statements. </w:t>
      </w:r>
    </w:p>
    <w:p>
      <w:pPr>
        <w:pStyle w:val="TextBody"/>
        <w:rPr/>
      </w:pPr>
      <w:r>
        <w:rPr/>
        <w:t>        </w:t>
      </w:r>
      <w:r>
        <w:rPr>
          <w:rFonts w:ascii="times" w:hAnsi="times"/>
          <w:i/>
          <w:sz w:val="20"/>
        </w:rPr>
        <w:t>Equity Earnings.</w:t>
      </w:r>
      <w:r>
        <w:rPr>
          <w:rFonts w:ascii="times" w:hAnsi="times"/>
        </w:rPr>
        <w:t>    </w:t>
      </w:r>
      <w:r>
        <w:rPr>
          <w:rFonts w:ascii="times" w:hAnsi="times"/>
          <w:sz w:val="20"/>
        </w:rPr>
        <w:t xml:space="preserve">Our transportation segment includes our equity earnings from our investments in Settoon Towing, Butte and Frontier. Barge transportation services are provided by Settoon Towing, in which we own a 50% equity interest. Butte and Frontier are pipeline systems in which we own an approximate 22% share in each system. The increase in 2007 compared to 2006 is due to the acquisitions of Frontier (in connection with the Pacific acquisition) and Settoon Towing in the fourth quarter of 2006. </w:t>
      </w:r>
    </w:p>
    <w:p>
      <w:pPr>
        <w:pStyle w:val="TextBody"/>
        <w:rPr/>
      </w:pPr>
      <w:r>
        <w:rPr/>
        <w:t>        </w:t>
      </w:r>
      <w:r>
        <w:rPr>
          <w:rFonts w:ascii="times" w:hAnsi="times"/>
          <w:i/>
          <w:sz w:val="20"/>
        </w:rPr>
        <w:t>Maintenance Capital.</w:t>
      </w:r>
      <w:r>
        <w:rPr>
          <w:rFonts w:ascii="times" w:hAnsi="times"/>
        </w:rPr>
        <w:t>    </w:t>
      </w:r>
      <w:r>
        <w:rPr>
          <w:rFonts w:ascii="times" w:hAnsi="times"/>
          <w:sz w:val="20"/>
        </w:rPr>
        <w:t xml:space="preserve">Maintenance capital consists of capital investments for the replacement of partially or fully depreciated assets in order to maintain the service capability, level of production and/or functionality of our existing assets. The increase in 2008 compared to 2007 is primarily due to increased investment applicable to in-line inspections and API 653 repairs in an effort to meet our 2009 compliance deadline (particularly on assets acquired from Pacific). The increase in maintenance capital for 2007 compared to 2006 was due to our ownership of an increased number of assets and pipeline systems resulting from our continued growth through acquisitions and expansion projects and from general inflationary pressures that have adversely impacted the energy industry. </w:t>
      </w:r>
    </w:p>
    <w:p>
      <w:pPr>
        <w:pStyle w:val="TextBody"/>
        <w:jc w:val="center"/>
        <w:rPr>
          <w:rFonts w:ascii="times" w:hAnsi="times"/>
          <w:sz w:val="20"/>
        </w:rPr>
      </w:pPr>
      <w:r>
        <w:rPr>
          <w:rFonts w:ascii="times" w:hAnsi="times"/>
          <w:sz w:val="20"/>
        </w:rPr>
        <w:t>82</w:t>
      </w:r>
    </w:p>
    <w:p>
      <w:pPr>
        <w:pStyle w:val="HorizontalLine"/>
        <w:pBdr>
          <w:bottom w:val="single" w:sz="20" w:space="0" w:color="808080"/>
        </w:pBdr>
        <w:rPr/>
      </w:pPr>
      <w:r>
        <w:rPr/>
      </w:r>
      <w:r>
        <w:br w:type="page"/>
      </w:r>
    </w:p>
    <w:p>
      <w:pPr>
        <w:pStyle w:val="TextBody"/>
        <w:rPr/>
      </w:pPr>
      <w:hyperlink w:anchor="bg12101a_main_toc">
        <w:bookmarkStart w:id="113" w:name="page_dw12101_1_83"/>
        <w:bookmarkEnd w:id="113"/>
        <w:r>
          <w:rPr>
            <w:rStyle w:val="InternetLink"/>
            <w:rFonts w:ascii="times" w:hAnsi="times"/>
            <w:sz w:val="20"/>
          </w:rPr>
          <w:t>Table of Contents</w:t>
        </w:r>
      </w:hyperlink>
    </w:p>
    <w:p>
      <w:pPr>
        <w:pStyle w:val="TextBody"/>
        <w:numPr>
          <w:ilvl w:val="0"/>
          <w:numId w:val="0"/>
        </w:numPr>
        <w:ind w:left="707" w:hanging="0"/>
        <w:rPr>
          <w:rFonts w:ascii="times" w:hAnsi="times"/>
          <w:b/>
          <w:sz w:val="20"/>
        </w:rPr>
      </w:pPr>
      <w:r>
        <w:rPr>
          <w:rFonts w:ascii="times" w:hAnsi="times"/>
          <w:b/>
          <w:sz w:val="20"/>
        </w:rPr>
        <w:t xml:space="preserve">Facilities Segment </w:t>
      </w:r>
    </w:p>
    <w:p>
      <w:pPr>
        <w:pStyle w:val="TextBody"/>
        <w:rPr/>
      </w:pPr>
      <w:r>
        <w:rPr/>
        <w:t>        </w:t>
      </w:r>
      <w:r>
        <w:rPr>
          <w:rFonts w:ascii="times" w:hAnsi="times"/>
          <w:sz w:val="20"/>
        </w:rPr>
        <w:t xml:space="preserve">Our facilities segment operations generally consist of fee-based activities associated with providing storage, terminalling and throughput services for crude oil, refined products and LPG, as well as LPG fractionation and isomerization services. The facilities segment generates revenue through a combination of month-to-month and multi-year leases and processing arrangements. </w:t>
      </w:r>
    </w:p>
    <w:p>
      <w:pPr>
        <w:pStyle w:val="TextBody"/>
        <w:rPr/>
      </w:pPr>
      <w:r>
        <w:rPr/>
        <w:t>        </w:t>
      </w:r>
      <w:r>
        <w:rPr>
          <w:rFonts w:ascii="times" w:hAnsi="times"/>
          <w:sz w:val="20"/>
        </w:rPr>
        <w:t xml:space="preserve">The following table sets forth our operating results from our facilities segment for the periods indicated: </w:t>
      </w:r>
    </w:p>
    <w:tbl>
      <w:tblPr>
        <w:tblW w:w="7905" w:type="dxa"/>
        <w:jc w:val="center"/>
        <w:tblInd w:w="0" w:type="dxa"/>
        <w:tblCellMar>
          <w:top w:w="0" w:type="dxa"/>
          <w:left w:w="0" w:type="dxa"/>
          <w:bottom w:w="0" w:type="dxa"/>
          <w:right w:w="0" w:type="dxa"/>
        </w:tblCellMar>
      </w:tblPr>
      <w:tblGrid>
        <w:gridCol w:w="3510"/>
        <w:gridCol w:w="180"/>
        <w:gridCol w:w="95"/>
        <w:gridCol w:w="290"/>
        <w:gridCol w:w="195"/>
        <w:gridCol w:w="95"/>
        <w:gridCol w:w="275"/>
        <w:gridCol w:w="195"/>
        <w:gridCol w:w="95"/>
        <w:gridCol w:w="275"/>
        <w:gridCol w:w="195"/>
        <w:gridCol w:w="95"/>
        <w:gridCol w:w="390"/>
        <w:gridCol w:w="195"/>
        <w:gridCol w:w="60"/>
        <w:gridCol w:w="245"/>
        <w:gridCol w:w="245"/>
        <w:gridCol w:w="95"/>
        <w:gridCol w:w="390"/>
        <w:gridCol w:w="195"/>
        <w:gridCol w:w="60"/>
        <w:gridCol w:w="290"/>
        <w:gridCol w:w="245"/>
      </w:tblGrid>
      <w:tr>
        <w:trPr/>
        <w:tc>
          <w:tcPr>
            <w:tcW w:w="351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51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85"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370"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370" w:type="dxa"/>
            <w:gridSpan w:val="2"/>
            <w:tcBorders/>
            <w:shd w:fill="auto" w:val="clear"/>
            <w:vAlign w:val="bottom"/>
          </w:tcPr>
          <w:p>
            <w:pPr>
              <w:pStyle w:val="TableHeading"/>
              <w:spacing w:before="0" w:after="283"/>
              <w:jc w:val="left"/>
              <w:rPr/>
            </w:pPr>
            <w:r>
              <w:rPr/>
              <w:t> </w:t>
            </w:r>
          </w:p>
        </w:tc>
        <w:tc>
          <w:tcPr>
            <w:tcW w:w="195" w:type="dxa"/>
            <w:vMerge w:val="restart"/>
            <w:tcBorders/>
            <w:shd w:fill="auto" w:val="clear"/>
            <w:vAlign w:val="bottom"/>
          </w:tcPr>
          <w:p>
            <w:pPr>
              <w:pStyle w:val="TableHeading"/>
              <w:suppressLineNumbers/>
              <w:spacing w:before="0" w:after="283"/>
              <w:jc w:val="center"/>
              <w:rPr/>
            </w:pPr>
            <w:r>
              <w:rPr/>
              <w:t> </w:t>
            </w:r>
          </w:p>
        </w:tc>
        <w:tc>
          <w:tcPr>
            <w:tcW w:w="2260"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 (Unfavorable) </w:t>
            </w:r>
          </w:p>
        </w:tc>
        <w:tc>
          <w:tcPr>
            <w:tcW w:w="245" w:type="dxa"/>
            <w:tcBorders/>
            <w:shd w:fill="auto" w:val="clear"/>
            <w:vAlign w:val="bottom"/>
          </w:tcPr>
          <w:p>
            <w:pPr>
              <w:pStyle w:val="TableHeading"/>
              <w:suppressLineNumbers/>
              <w:spacing w:before="0" w:after="283"/>
              <w:jc w:val="center"/>
              <w:rPr/>
            </w:pPr>
            <w:r>
              <w:rPr/>
              <w:t> </w:t>
            </w:r>
          </w:p>
        </w:tc>
      </w:tr>
      <w:tr>
        <w:trPr/>
        <w:tc>
          <w:tcPr>
            <w:tcW w:w="3510" w:type="dxa"/>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515"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Year Ended</w:t>
              <w:br/>
              <w:t xml:space="preserve">December 31, </w:t>
            </w:r>
          </w:p>
        </w:tc>
        <w:tc>
          <w:tcPr>
            <w:tcW w:w="195" w:type="dxa"/>
            <w:vMerge w:val="continue"/>
            <w:tcBorders/>
            <w:shd w:fill="auto" w:val="clear"/>
            <w:vAlign w:val="bottom"/>
          </w:tcPr>
          <w:p>
            <w:pPr>
              <w:pStyle w:val="Normal"/>
              <w:rPr/>
            </w:pPr>
            <w:r>
              <w:rPr/>
            </w:r>
          </w:p>
        </w:tc>
        <w:tc>
          <w:tcPr>
            <w:tcW w:w="2260" w:type="dxa"/>
            <w:gridSpan w:val="11"/>
            <w:vMerge w:val="continue"/>
            <w:tcBorders>
              <w:bottom w:val="single" w:sz="8" w:space="0" w:color="000000"/>
            </w:tcBorders>
            <w:shd w:fill="auto" w:val="clear"/>
            <w:tcMar>
              <w:bottom w:w="28" w:type="dxa"/>
            </w:tcMar>
            <w:vAlign w:val="bottom"/>
          </w:tcPr>
          <w:p>
            <w:pPr>
              <w:pStyle w:val="Normal"/>
              <w:rPr/>
            </w:pPr>
            <w:r>
              <w:rPr/>
            </w:r>
          </w:p>
        </w:tc>
        <w:tc>
          <w:tcPr>
            <w:tcW w:w="245" w:type="dxa"/>
            <w:tcBorders/>
            <w:shd w:fill="auto" w:val="clear"/>
            <w:vAlign w:val="bottom"/>
          </w:tcPr>
          <w:p>
            <w:pPr>
              <w:pStyle w:val="TableHeading"/>
              <w:suppressLineNumbers/>
              <w:spacing w:before="0" w:after="283"/>
              <w:jc w:val="center"/>
              <w:rPr/>
            </w:pPr>
            <w:r>
              <w:rPr/>
              <w:t> </w:t>
            </w:r>
          </w:p>
        </w:tc>
      </w:tr>
      <w:tr>
        <w:trPr/>
        <w:tc>
          <w:tcPr>
            <w:tcW w:w="3510" w:type="dxa"/>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515" w:type="dxa"/>
            <w:gridSpan w:val="8"/>
            <w:vMerge w:val="continue"/>
            <w:tcBorders>
              <w:bottom w:val="single" w:sz="8" w:space="0" w:color="000000"/>
            </w:tcBorders>
            <w:shd w:fill="auto" w:val="clear"/>
            <w:tcMar>
              <w:bottom w:w="28" w:type="dxa"/>
            </w:tcMar>
            <w:vAlign w:val="bottom"/>
          </w:tcPr>
          <w:p>
            <w:pPr>
              <w:pStyle w:val="Normal"/>
              <w:rPr/>
            </w:pPr>
            <w:r>
              <w:rPr/>
            </w:r>
          </w:p>
        </w:tc>
        <w:tc>
          <w:tcPr>
            <w:tcW w:w="195" w:type="dxa"/>
            <w:tcBorders/>
            <w:shd w:fill="auto" w:val="clear"/>
            <w:vAlign w:val="bottom"/>
          </w:tcPr>
          <w:p>
            <w:pPr>
              <w:pStyle w:val="TableHeading"/>
              <w:suppressLineNumbers/>
              <w:spacing w:before="0" w:after="283"/>
              <w:jc w:val="center"/>
              <w:rPr/>
            </w:pPr>
            <w:r>
              <w:rPr/>
              <w:t> </w:t>
            </w:r>
          </w:p>
        </w:tc>
        <w:tc>
          <w:tcPr>
            <w:tcW w:w="98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2008-2007 </w:t>
            </w:r>
          </w:p>
        </w:tc>
        <w:tc>
          <w:tcPr>
            <w:tcW w:w="245" w:type="dxa"/>
            <w:tcBorders/>
            <w:shd w:fill="auto" w:val="clear"/>
            <w:vAlign w:val="bottom"/>
          </w:tcPr>
          <w:p>
            <w:pPr>
              <w:pStyle w:val="TableHeading"/>
              <w:suppressLineNumbers/>
              <w:spacing w:before="0" w:after="283"/>
              <w:jc w:val="center"/>
              <w:rPr/>
            </w:pPr>
            <w:r>
              <w:rPr/>
              <w:t> </w:t>
            </w:r>
          </w:p>
        </w:tc>
        <w:tc>
          <w:tcPr>
            <w:tcW w:w="103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2007-2006 </w:t>
            </w:r>
          </w:p>
        </w:tc>
        <w:tc>
          <w:tcPr>
            <w:tcW w:w="245" w:type="dxa"/>
            <w:tcBorders/>
            <w:shd w:fill="auto" w:val="clear"/>
            <w:vAlign w:val="bottom"/>
          </w:tcPr>
          <w:p>
            <w:pPr>
              <w:pStyle w:val="TableHeading"/>
              <w:suppressLineNumbers/>
              <w:spacing w:before="0" w:after="283"/>
              <w:jc w:val="center"/>
              <w:rPr/>
            </w:pPr>
            <w:r>
              <w:rPr/>
              <w:t> </w:t>
            </w:r>
          </w:p>
        </w:tc>
      </w:tr>
      <w:tr>
        <w:trPr/>
        <w:tc>
          <w:tcPr>
            <w:tcW w:w="351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Operating Results</w:t>
            </w:r>
            <w:r>
              <w:rPr>
                <w:rFonts w:ascii="times" w:hAnsi="times"/>
                <w:b/>
                <w:position w:val="5"/>
                <w:sz w:val="11"/>
                <w:sz w:val="14"/>
                <w:bdr w:val="single" w:sz="8" w:space="1" w:color="000000"/>
              </w:rPr>
              <w:t>(1)</w:t>
            </w:r>
            <w:r>
              <w:rPr>
                <w:rFonts w:ascii="times" w:hAnsi="times"/>
                <w:b/>
                <w:sz w:val="14"/>
                <w:bdr w:val="single" w:sz="8" w:space="1" w:color="000000"/>
              </w:rPr>
              <w:br/>
              <w:t xml:space="preserve">(in millions, except per barrel amounts) </w:t>
            </w:r>
          </w:p>
        </w:tc>
        <w:tc>
          <w:tcPr>
            <w:tcW w:w="180"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3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3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4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3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c>
          <w:tcPr>
            <w:tcW w:w="4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3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r>
      <w:tr>
        <w:trPr/>
        <w:tc>
          <w:tcPr>
            <w:tcW w:w="351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Storage and terminalling revenues</w:t>
            </w:r>
            <w:r>
              <w:rPr>
                <w:rFonts w:ascii="times" w:hAnsi="times"/>
                <w:position w:val="5"/>
                <w:sz w:val="11"/>
                <w:sz w:val="14"/>
              </w:rPr>
              <w:t>(1)</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270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210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88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60</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29</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122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139</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51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Field operating costs</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(104</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(84</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(39</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(20</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(24</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(45</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(115</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51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Segment G&amp;A expenses (excluding equity compensation expense)</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4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(29</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51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 compensation expensegeneral and administrative</w:t>
            </w:r>
            <w:r>
              <w:rPr>
                <w:rFonts w:ascii="times" w:hAnsi="times"/>
                <w:position w:val="5"/>
                <w:sz w:val="11"/>
                <w:sz w:val="14"/>
              </w:rPr>
              <w:t>(2)</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50</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51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earnings in unconsolidated entities</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67</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51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153</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110</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35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43</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39</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75</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214</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51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w:hAnsi="times"/>
                <w:sz w:val="14"/>
              </w:rPr>
            </w:pPr>
            <w:r>
              <w:rPr>
                <w:rFonts w:ascii="times" w:hAnsi="times"/>
                <w:sz w:val="14"/>
              </w:rPr>
              <w:t>130</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100</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51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 per barrel</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0.23</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0.19</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75" w:type="dxa"/>
            <w:tcBorders/>
            <w:shd w:fill="FFFFFF" w:val="clear"/>
            <w:vAlign w:val="bottom"/>
          </w:tcPr>
          <w:p>
            <w:pPr>
              <w:pStyle w:val="TableContents"/>
              <w:spacing w:before="0" w:after="283"/>
              <w:jc w:val="right"/>
              <w:rPr>
                <w:rFonts w:ascii="times" w:hAnsi="times"/>
                <w:sz w:val="14"/>
              </w:rPr>
            </w:pPr>
            <w:r>
              <w:rPr>
                <w:rFonts w:ascii="times" w:hAnsi="times"/>
                <w:sz w:val="14"/>
              </w:rPr>
              <w:t>0.11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0.04</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0" w:type="dxa"/>
            <w:tcBorders/>
            <w:shd w:fill="FFFFFF" w:val="clear"/>
            <w:vAlign w:val="bottom"/>
          </w:tcPr>
          <w:p>
            <w:pPr>
              <w:pStyle w:val="TableContents"/>
              <w:spacing w:before="0" w:after="283"/>
              <w:jc w:val="right"/>
              <w:rPr>
                <w:rFonts w:ascii="times" w:hAnsi="times"/>
                <w:sz w:val="14"/>
              </w:rPr>
            </w:pPr>
            <w:r>
              <w:rPr>
                <w:rFonts w:ascii="times" w:hAnsi="times"/>
                <w:sz w:val="14"/>
              </w:rPr>
              <w:t>0.08</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73</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bl>
    <w:p>
      <w:pPr>
        <w:pStyle w:val="TextBody"/>
        <w:rPr/>
      </w:pPr>
      <w:r>
        <w:rPr/>
        <w:t> </w:t>
      </w:r>
    </w:p>
    <w:tbl>
      <w:tblPr>
        <w:tblW w:w="7670" w:type="dxa"/>
        <w:jc w:val="center"/>
        <w:tblInd w:w="0" w:type="dxa"/>
        <w:tblCellMar>
          <w:top w:w="0" w:type="dxa"/>
          <w:left w:w="0" w:type="dxa"/>
          <w:bottom w:w="0" w:type="dxa"/>
          <w:right w:w="0" w:type="dxa"/>
        </w:tblCellMar>
      </w:tblPr>
      <w:tblGrid>
        <w:gridCol w:w="3510"/>
        <w:gridCol w:w="180"/>
        <w:gridCol w:w="90"/>
        <w:gridCol w:w="259"/>
        <w:gridCol w:w="195"/>
        <w:gridCol w:w="90"/>
        <w:gridCol w:w="259"/>
        <w:gridCol w:w="195"/>
        <w:gridCol w:w="90"/>
        <w:gridCol w:w="259"/>
        <w:gridCol w:w="195"/>
        <w:gridCol w:w="162"/>
        <w:gridCol w:w="397"/>
        <w:gridCol w:w="195"/>
        <w:gridCol w:w="60"/>
        <w:gridCol w:w="170"/>
        <w:gridCol w:w="245"/>
        <w:gridCol w:w="145"/>
        <w:gridCol w:w="414"/>
        <w:gridCol w:w="195"/>
        <w:gridCol w:w="60"/>
        <w:gridCol w:w="180"/>
        <w:gridCol w:w="125"/>
      </w:tblGrid>
      <w:tr>
        <w:trPr/>
        <w:tc>
          <w:tcPr>
            <w:tcW w:w="351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351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49"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349"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349" w:type="dxa"/>
            <w:gridSpan w:val="2"/>
            <w:tcBorders/>
            <w:shd w:fill="auto" w:val="clear"/>
            <w:vAlign w:val="bottom"/>
          </w:tcPr>
          <w:p>
            <w:pPr>
              <w:pStyle w:val="TableHeading"/>
              <w:spacing w:before="0" w:after="283"/>
              <w:jc w:val="left"/>
              <w:rPr/>
            </w:pPr>
            <w:r>
              <w:rPr/>
              <w:t> </w:t>
            </w:r>
          </w:p>
        </w:tc>
        <w:tc>
          <w:tcPr>
            <w:tcW w:w="195" w:type="dxa"/>
            <w:vMerge w:val="restart"/>
            <w:tcBorders/>
            <w:shd w:fill="auto" w:val="clear"/>
            <w:vAlign w:val="bottom"/>
          </w:tcPr>
          <w:p>
            <w:pPr>
              <w:pStyle w:val="TableHeading"/>
              <w:suppressLineNumbers/>
              <w:spacing w:before="0" w:after="283"/>
              <w:jc w:val="center"/>
              <w:rPr/>
            </w:pPr>
            <w:r>
              <w:rPr/>
              <w:t> </w:t>
            </w:r>
          </w:p>
        </w:tc>
        <w:tc>
          <w:tcPr>
            <w:tcW w:w="2223"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 (Unfavorable) </w:t>
            </w:r>
          </w:p>
        </w:tc>
        <w:tc>
          <w:tcPr>
            <w:tcW w:w="125" w:type="dxa"/>
            <w:tcBorders/>
            <w:shd w:fill="auto" w:val="clear"/>
            <w:vAlign w:val="bottom"/>
          </w:tcPr>
          <w:p>
            <w:pPr>
              <w:pStyle w:val="TableHeading"/>
              <w:suppressLineNumbers/>
              <w:spacing w:before="0" w:after="283"/>
              <w:jc w:val="center"/>
              <w:rPr/>
            </w:pPr>
            <w:r>
              <w:rPr/>
              <w:t> </w:t>
            </w:r>
          </w:p>
        </w:tc>
      </w:tr>
      <w:tr>
        <w:trPr/>
        <w:tc>
          <w:tcPr>
            <w:tcW w:w="3510" w:type="dxa"/>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437"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Year Ended</w:t>
              <w:br/>
              <w:t xml:space="preserve">December 31, </w:t>
            </w:r>
          </w:p>
        </w:tc>
        <w:tc>
          <w:tcPr>
            <w:tcW w:w="195" w:type="dxa"/>
            <w:vMerge w:val="continue"/>
            <w:tcBorders/>
            <w:shd w:fill="auto" w:val="clear"/>
            <w:vAlign w:val="bottom"/>
          </w:tcPr>
          <w:p>
            <w:pPr>
              <w:pStyle w:val="Normal"/>
              <w:rPr/>
            </w:pPr>
            <w:r>
              <w:rPr/>
            </w:r>
          </w:p>
        </w:tc>
        <w:tc>
          <w:tcPr>
            <w:tcW w:w="2223" w:type="dxa"/>
            <w:gridSpan w:val="11"/>
            <w:vMerge w:val="continue"/>
            <w:tcBorders>
              <w:bottom w:val="single" w:sz="8" w:space="0" w:color="000000"/>
            </w:tcBorders>
            <w:shd w:fill="auto" w:val="clear"/>
            <w:tcMar>
              <w:bottom w:w="28" w:type="dxa"/>
            </w:tcMar>
            <w:vAlign w:val="bottom"/>
          </w:tcPr>
          <w:p>
            <w:pPr>
              <w:pStyle w:val="Normal"/>
              <w:rPr/>
            </w:pPr>
            <w:r>
              <w:rPr/>
            </w:r>
          </w:p>
        </w:tc>
        <w:tc>
          <w:tcPr>
            <w:tcW w:w="125" w:type="dxa"/>
            <w:tcBorders/>
            <w:shd w:fill="auto" w:val="clear"/>
            <w:vAlign w:val="bottom"/>
          </w:tcPr>
          <w:p>
            <w:pPr>
              <w:pStyle w:val="TableHeading"/>
              <w:suppressLineNumbers/>
              <w:spacing w:before="0" w:after="283"/>
              <w:jc w:val="center"/>
              <w:rPr/>
            </w:pPr>
            <w:r>
              <w:rPr/>
              <w:t> </w:t>
            </w:r>
          </w:p>
        </w:tc>
      </w:tr>
      <w:tr>
        <w:trPr/>
        <w:tc>
          <w:tcPr>
            <w:tcW w:w="3510" w:type="dxa"/>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437" w:type="dxa"/>
            <w:gridSpan w:val="8"/>
            <w:vMerge w:val="continue"/>
            <w:tcBorders>
              <w:bottom w:val="single" w:sz="8" w:space="0" w:color="000000"/>
            </w:tcBorders>
            <w:shd w:fill="auto" w:val="clear"/>
            <w:tcMar>
              <w:bottom w:w="28" w:type="dxa"/>
            </w:tcMar>
            <w:vAlign w:val="bottom"/>
          </w:tcPr>
          <w:p>
            <w:pPr>
              <w:pStyle w:val="Normal"/>
              <w:rPr/>
            </w:pPr>
            <w:r>
              <w:rPr/>
            </w:r>
          </w:p>
        </w:tc>
        <w:tc>
          <w:tcPr>
            <w:tcW w:w="195" w:type="dxa"/>
            <w:tcBorders/>
            <w:shd w:fill="auto" w:val="clear"/>
            <w:vAlign w:val="bottom"/>
          </w:tcPr>
          <w:p>
            <w:pPr>
              <w:pStyle w:val="TableHeading"/>
              <w:suppressLineNumbers/>
              <w:spacing w:before="0" w:after="283"/>
              <w:jc w:val="center"/>
              <w:rPr/>
            </w:pPr>
            <w:r>
              <w:rPr/>
              <w:t> </w:t>
            </w:r>
          </w:p>
        </w:tc>
        <w:tc>
          <w:tcPr>
            <w:tcW w:w="98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2008-2007 </w:t>
            </w:r>
          </w:p>
        </w:tc>
        <w:tc>
          <w:tcPr>
            <w:tcW w:w="245" w:type="dxa"/>
            <w:tcBorders/>
            <w:shd w:fill="auto" w:val="clear"/>
            <w:vAlign w:val="bottom"/>
          </w:tcPr>
          <w:p>
            <w:pPr>
              <w:pStyle w:val="TableHeading"/>
              <w:suppressLineNumbers/>
              <w:spacing w:before="0" w:after="283"/>
              <w:jc w:val="center"/>
              <w:rPr/>
            </w:pPr>
            <w:r>
              <w:rPr/>
              <w:t> </w:t>
            </w:r>
          </w:p>
        </w:tc>
        <w:tc>
          <w:tcPr>
            <w:tcW w:w="99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2007-2006 </w:t>
            </w:r>
          </w:p>
        </w:tc>
        <w:tc>
          <w:tcPr>
            <w:tcW w:w="125" w:type="dxa"/>
            <w:tcBorders/>
            <w:shd w:fill="auto" w:val="clear"/>
            <w:vAlign w:val="bottom"/>
          </w:tcPr>
          <w:p>
            <w:pPr>
              <w:pStyle w:val="TableHeading"/>
              <w:suppressLineNumbers/>
              <w:spacing w:before="0" w:after="283"/>
              <w:jc w:val="center"/>
              <w:rPr/>
            </w:pPr>
            <w:r>
              <w:rPr/>
              <w:t> </w:t>
            </w:r>
          </w:p>
        </w:tc>
      </w:tr>
      <w:tr>
        <w:trPr/>
        <w:tc>
          <w:tcPr>
            <w:tcW w:w="351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Volumes</w:t>
            </w:r>
            <w:r>
              <w:rPr>
                <w:rFonts w:ascii="times" w:hAnsi="times"/>
                <w:b/>
                <w:position w:val="5"/>
                <w:sz w:val="11"/>
                <w:sz w:val="14"/>
                <w:bdr w:val="single" w:sz="8" w:space="1" w:color="000000"/>
              </w:rPr>
              <w:t>(3)(4)(5)</w:t>
            </w:r>
            <w:r>
              <w:rPr>
                <w:rFonts w:ascii="times" w:hAnsi="times"/>
                <w:b/>
                <w:sz w:val="14"/>
                <w:bdr w:val="single" w:sz="8" w:space="1" w:color="000000"/>
              </w:rPr>
              <w:t xml:space="preserve"> </w:t>
            </w:r>
          </w:p>
        </w:tc>
        <w:tc>
          <w:tcPr>
            <w:tcW w:w="180"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5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5" w:type="dxa"/>
            <w:tcBorders/>
            <w:shd w:fill="auto" w:val="clear"/>
            <w:vAlign w:val="bottom"/>
          </w:tcPr>
          <w:p>
            <w:pPr>
              <w:pStyle w:val="TableHeading"/>
              <w:suppressLineNumbers/>
              <w:spacing w:before="0" w:after="283"/>
              <w:jc w:val="center"/>
              <w:rPr/>
            </w:pPr>
            <w:r>
              <w:rPr/>
              <w:t> </w:t>
            </w:r>
          </w:p>
        </w:tc>
        <w:tc>
          <w:tcPr>
            <w:tcW w:w="2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c>
          <w:tcPr>
            <w:tcW w:w="5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5" w:type="dxa"/>
            <w:tcBorders/>
            <w:shd w:fill="auto" w:val="clear"/>
            <w:vAlign w:val="bottom"/>
          </w:tcPr>
          <w:p>
            <w:pPr>
              <w:pStyle w:val="TableHeading"/>
              <w:suppressLineNumbers/>
              <w:spacing w:before="0" w:after="283"/>
              <w:jc w:val="center"/>
              <w:rPr/>
            </w:pPr>
            <w:r>
              <w:rPr/>
              <w:t> </w:t>
            </w:r>
          </w:p>
        </w:tc>
        <w:tc>
          <w:tcPr>
            <w:tcW w:w="2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tcBorders/>
            <w:shd w:fill="auto" w:val="clear"/>
            <w:vAlign w:val="bottom"/>
          </w:tcPr>
          <w:p>
            <w:pPr>
              <w:pStyle w:val="TableHeading"/>
              <w:suppressLineNumbers/>
              <w:spacing w:before="0" w:after="283"/>
              <w:jc w:val="center"/>
              <w:rPr/>
            </w:pPr>
            <w:r>
              <w:rPr/>
              <w:t> </w:t>
            </w:r>
          </w:p>
        </w:tc>
      </w:tr>
      <w:tr>
        <w:trPr/>
        <w:tc>
          <w:tcPr>
            <w:tcW w:w="351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Crude oil, refined products and LPG storage (average monthly capacity in millions of barrels)</w:t>
            </w:r>
          </w:p>
        </w:tc>
        <w:tc>
          <w:tcPr>
            <w:tcW w:w="1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right"/>
              <w:rPr>
                <w:rFonts w:ascii="times" w:hAnsi="times"/>
                <w:sz w:val="14"/>
              </w:rPr>
            </w:pPr>
            <w:r>
              <w:rPr>
                <w:rFonts w:ascii="times" w:hAnsi="times"/>
                <w:sz w:val="14"/>
              </w:rPr>
              <w:t>53</w:t>
            </w:r>
          </w:p>
        </w:tc>
        <w:tc>
          <w:tcPr>
            <w:tcW w:w="19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19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right"/>
              <w:rPr>
                <w:rFonts w:ascii="times" w:hAnsi="times"/>
                <w:sz w:val="14"/>
              </w:rPr>
            </w:pPr>
            <w:r>
              <w:rPr>
                <w:rFonts w:ascii="times" w:hAnsi="times"/>
                <w:sz w:val="14"/>
              </w:rPr>
              <w:t>25</w:t>
            </w:r>
          </w:p>
        </w:tc>
        <w:tc>
          <w:tcPr>
            <w:tcW w:w="19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145"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w:hAnsi="times"/>
                <w:sz w:val="14"/>
              </w:rPr>
            </w:pPr>
            <w:r>
              <w:rPr>
                <w:rFonts w:ascii="times" w:hAnsi="times"/>
                <w:sz w:val="14"/>
              </w:rPr>
              <w:t>21</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right"/>
              <w:rPr>
                <w:rFonts w:ascii="times" w:hAnsi="times"/>
                <w:sz w:val="14"/>
              </w:rPr>
            </w:pPr>
            <w:r>
              <w:rPr>
                <w:rFonts w:ascii="times" w:hAnsi="times"/>
                <w:sz w:val="14"/>
              </w:rPr>
              <w:t>84</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3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4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25" w:type="dxa"/>
            <w:tcBorders/>
            <w:shd w:fill="auto" w:val="clear"/>
          </w:tcPr>
          <w:p>
            <w:pPr>
              <w:pStyle w:val="TableContents"/>
              <w:spacing w:before="0" w:after="283"/>
              <w:rPr/>
            </w:pPr>
            <w:r>
              <w:rPr/>
              <w:t> </w:t>
            </w:r>
          </w:p>
        </w:tc>
      </w:tr>
      <w:tr>
        <w:trPr/>
        <w:tc>
          <w:tcPr>
            <w:tcW w:w="351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Natural gas storage, net to our 50% interest (average monthly capacity in billions of cubic feet ("bcf"))</w:t>
            </w:r>
          </w:p>
        </w:tc>
        <w:tc>
          <w:tcPr>
            <w:tcW w:w="18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jc w:val="right"/>
              <w:rPr>
                <w:rFonts w:ascii="times" w:hAnsi="times"/>
                <w:sz w:val="14"/>
              </w:rPr>
            </w:pPr>
            <w:r>
              <w:rPr>
                <w:rFonts w:ascii="times" w:hAnsi="times"/>
                <w:sz w:val="14"/>
              </w:rPr>
              <w:t>14</w:t>
            </w:r>
          </w:p>
        </w:tc>
        <w:tc>
          <w:tcPr>
            <w:tcW w:w="19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19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195"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397"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145" w:type="dxa"/>
            <w:tcBorders/>
            <w:shd w:fill="FFFFFF" w:val="clear"/>
            <w:vAlign w:val="bottom"/>
          </w:tcPr>
          <w:p>
            <w:pPr>
              <w:pStyle w:val="TableContents"/>
              <w:spacing w:before="0" w:after="283"/>
              <w:rPr/>
            </w:pPr>
            <w:r>
              <w:rPr/>
              <w:t> </w:t>
            </w:r>
          </w:p>
        </w:tc>
        <w:tc>
          <w:tcPr>
            <w:tcW w:w="414"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25" w:type="dxa"/>
            <w:tcBorders/>
            <w:shd w:fill="FFFFFF" w:val="clear"/>
            <w:vAlign w:val="bottom"/>
          </w:tcPr>
          <w:p>
            <w:pPr>
              <w:pStyle w:val="TableContents"/>
              <w:spacing w:before="0" w:after="283"/>
              <w:rPr/>
            </w:pPr>
            <w:r>
              <w:rPr/>
              <w:t> </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3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4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25" w:type="dxa"/>
            <w:tcBorders/>
            <w:shd w:fill="auto" w:val="clear"/>
          </w:tcPr>
          <w:p>
            <w:pPr>
              <w:pStyle w:val="TableContents"/>
              <w:spacing w:before="0" w:after="283"/>
              <w:rPr/>
            </w:pPr>
            <w:r>
              <w:rPr/>
              <w:t> </w:t>
            </w:r>
          </w:p>
        </w:tc>
      </w:tr>
      <w:tr>
        <w:trPr/>
        <w:tc>
          <w:tcPr>
            <w:tcW w:w="351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LPG processing (average throughput in thousands of barrels per day)</w:t>
            </w:r>
          </w:p>
        </w:tc>
        <w:tc>
          <w:tcPr>
            <w:tcW w:w="1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19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right"/>
              <w:rPr>
                <w:rFonts w:ascii="times" w:hAnsi="times"/>
                <w:sz w:val="14"/>
              </w:rPr>
            </w:pPr>
            <w:r>
              <w:rPr>
                <w:rFonts w:ascii="times" w:hAnsi="times"/>
                <w:sz w:val="14"/>
              </w:rPr>
              <w:t>18</w:t>
            </w:r>
          </w:p>
        </w:tc>
        <w:tc>
          <w:tcPr>
            <w:tcW w:w="19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right"/>
              <w:rPr>
                <w:rFonts w:ascii="times" w:hAnsi="times"/>
                <w:sz w:val="14"/>
              </w:rPr>
            </w:pPr>
            <w:r>
              <w:rPr>
                <w:rFonts w:ascii="times" w:hAnsi="times"/>
                <w:sz w:val="14"/>
              </w:rPr>
              <w:t>12</w:t>
            </w:r>
          </w:p>
        </w:tc>
        <w:tc>
          <w:tcPr>
            <w:tcW w:w="19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45"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right"/>
              <w:rPr>
                <w:rFonts w:ascii="times" w:hAnsi="times"/>
                <w:sz w:val="14"/>
              </w:rPr>
            </w:pPr>
            <w:r>
              <w:rPr>
                <w:rFonts w:ascii="times" w:hAnsi="times"/>
                <w:sz w:val="14"/>
              </w:rPr>
              <w:t>50</w:t>
            </w:r>
          </w:p>
        </w:tc>
        <w:tc>
          <w:tcPr>
            <w:tcW w:w="12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3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4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25" w:type="dxa"/>
            <w:tcBorders/>
            <w:shd w:fill="auto" w:val="clear"/>
          </w:tcPr>
          <w:p>
            <w:pPr>
              <w:pStyle w:val="TableContents"/>
              <w:spacing w:before="0" w:after="283"/>
              <w:rPr/>
            </w:pPr>
            <w:r>
              <w:rPr/>
              <w:t> </w:t>
            </w:r>
          </w:p>
        </w:tc>
      </w:tr>
      <w:tr>
        <w:trPr/>
        <w:tc>
          <w:tcPr>
            <w:tcW w:w="351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Facilities segment total (average monthly capacity in millions of barrels)</w:t>
            </w:r>
          </w:p>
        </w:tc>
        <w:tc>
          <w:tcPr>
            <w:tcW w:w="18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jc w:val="right"/>
              <w:rPr>
                <w:rFonts w:ascii="times" w:hAnsi="times"/>
                <w:sz w:val="14"/>
              </w:rPr>
            </w:pPr>
            <w:r>
              <w:rPr>
                <w:rFonts w:ascii="times" w:hAnsi="times"/>
                <w:sz w:val="14"/>
              </w:rPr>
              <w:t>56</w:t>
            </w:r>
          </w:p>
        </w:tc>
        <w:tc>
          <w:tcPr>
            <w:tcW w:w="19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jc w:val="right"/>
              <w:rPr>
                <w:rFonts w:ascii="times" w:hAnsi="times"/>
                <w:sz w:val="14"/>
              </w:rPr>
            </w:pPr>
            <w:r>
              <w:rPr>
                <w:rFonts w:ascii="times" w:hAnsi="times"/>
                <w:sz w:val="14"/>
              </w:rPr>
              <w:t>48</w:t>
            </w:r>
          </w:p>
        </w:tc>
        <w:tc>
          <w:tcPr>
            <w:tcW w:w="195"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jc w:val="right"/>
              <w:rPr>
                <w:rFonts w:ascii="times" w:hAnsi="times"/>
                <w:sz w:val="14"/>
              </w:rPr>
            </w:pPr>
            <w:r>
              <w:rPr>
                <w:rFonts w:ascii="times" w:hAnsi="times"/>
                <w:sz w:val="14"/>
              </w:rPr>
              <w:t>27</w:t>
            </w:r>
          </w:p>
        </w:tc>
        <w:tc>
          <w:tcPr>
            <w:tcW w:w="195"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397"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245" w:type="dxa"/>
            <w:tcBorders/>
            <w:shd w:fill="FFFFFF" w:val="clear"/>
            <w:vAlign w:val="bottom"/>
          </w:tcPr>
          <w:p>
            <w:pPr>
              <w:pStyle w:val="TableContents"/>
              <w:spacing w:before="0" w:after="283"/>
              <w:rPr/>
            </w:pPr>
            <w:r>
              <w:rPr/>
              <w:t>  </w:t>
            </w:r>
            <w:r>
              <w:rPr>
                <w:rFonts w:ascii="times" w:hAnsi="times"/>
                <w:sz w:val="14"/>
              </w:rPr>
              <w:t>%</w:t>
            </w:r>
          </w:p>
        </w:tc>
        <w:tc>
          <w:tcPr>
            <w:tcW w:w="145" w:type="dxa"/>
            <w:tcBorders/>
            <w:shd w:fill="FFFFFF" w:val="clear"/>
            <w:vAlign w:val="bottom"/>
          </w:tcPr>
          <w:p>
            <w:pPr>
              <w:pStyle w:val="TableContents"/>
              <w:spacing w:before="0" w:after="283"/>
              <w:rPr/>
            </w:pPr>
            <w:r>
              <w:rPr/>
              <w:t> </w:t>
            </w:r>
          </w:p>
        </w:tc>
        <w:tc>
          <w:tcPr>
            <w:tcW w:w="414"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jc w:val="right"/>
              <w:rPr>
                <w:rFonts w:ascii="times" w:hAnsi="times"/>
                <w:sz w:val="14"/>
              </w:rPr>
            </w:pPr>
            <w:r>
              <w:rPr>
                <w:rFonts w:ascii="times" w:hAnsi="times"/>
                <w:sz w:val="14"/>
              </w:rPr>
              <w:t>78</w:t>
            </w:r>
          </w:p>
        </w:tc>
        <w:tc>
          <w:tcPr>
            <w:tcW w:w="12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51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3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4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25"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5"/>
          <w:sz w:val="11"/>
          <w:sz w:val="14"/>
        </w:rPr>
      </w:pPr>
      <w:r>
        <w:rPr>
          <w:rFonts w:ascii="times" w:hAnsi="times"/>
          <w:position w:val="5"/>
          <w:sz w:val="11"/>
          <w:sz w:val="14"/>
        </w:rPr>
        <w:t>(1)</w:t>
      </w:r>
    </w:p>
    <w:p>
      <w:pPr>
        <w:pStyle w:val="ListContents"/>
        <w:spacing w:before="0" w:after="283"/>
        <w:rPr>
          <w:rFonts w:ascii="times" w:hAnsi="times"/>
          <w:sz w:val="14"/>
        </w:rPr>
      </w:pPr>
      <w:r>
        <w:rPr>
          <w:rFonts w:ascii="times" w:hAnsi="times"/>
          <w:sz w:val="14"/>
        </w:rPr>
        <w:t xml:space="preserve">Revenues include intersegment amounts. </w:t>
      </w:r>
    </w:p>
    <w:p>
      <w:pPr>
        <w:pStyle w:val="ListHeading"/>
        <w:spacing w:before="0" w:after="0"/>
        <w:rPr>
          <w:rFonts w:ascii="times" w:hAnsi="times"/>
          <w:position w:val="5"/>
          <w:sz w:val="11"/>
          <w:sz w:val="14"/>
        </w:rPr>
      </w:pPr>
      <w:r>
        <w:rPr>
          <w:rFonts w:ascii="times" w:hAnsi="times"/>
          <w:position w:val="5"/>
          <w:sz w:val="11"/>
          <w:sz w:val="14"/>
        </w:rPr>
        <w:t>(2)</w:t>
      </w:r>
    </w:p>
    <w:p>
      <w:pPr>
        <w:pStyle w:val="ListContents"/>
        <w:spacing w:before="0" w:after="283"/>
        <w:rPr>
          <w:rFonts w:ascii="times" w:hAnsi="times"/>
          <w:sz w:val="14"/>
        </w:rPr>
      </w:pPr>
      <w:r>
        <w:rPr>
          <w:rFonts w:ascii="times" w:hAnsi="times"/>
          <w:sz w:val="14"/>
        </w:rPr>
        <w:t xml:space="preserve">Equity compensation expense related to our equity compensation plans. </w:t>
      </w:r>
    </w:p>
    <w:p>
      <w:pPr>
        <w:pStyle w:val="ListHeading"/>
        <w:spacing w:before="0" w:after="0"/>
        <w:rPr>
          <w:rFonts w:ascii="times" w:hAnsi="times"/>
          <w:position w:val="5"/>
          <w:sz w:val="11"/>
          <w:sz w:val="14"/>
        </w:rPr>
      </w:pPr>
      <w:r>
        <w:rPr>
          <w:rFonts w:ascii="times" w:hAnsi="times"/>
          <w:position w:val="5"/>
          <w:sz w:val="11"/>
          <w:sz w:val="14"/>
        </w:rPr>
        <w:t>(3)</w:t>
      </w:r>
    </w:p>
    <w:p>
      <w:pPr>
        <w:pStyle w:val="ListContents"/>
        <w:spacing w:before="0" w:after="283"/>
        <w:rPr>
          <w:rFonts w:ascii="times" w:hAnsi="times"/>
          <w:sz w:val="14"/>
        </w:rPr>
      </w:pPr>
      <w:r>
        <w:rPr>
          <w:rFonts w:ascii="times" w:hAnsi="times"/>
          <w:sz w:val="14"/>
        </w:rPr>
        <w:t xml:space="preserve">Volumes associated with acquisitions represent total volumes for the number of months we actually owned the assets divided by the number of months in the period. </w:t>
      </w:r>
    </w:p>
    <w:p>
      <w:pPr>
        <w:pStyle w:val="ListHeading"/>
        <w:spacing w:before="0" w:after="0"/>
        <w:rPr>
          <w:rFonts w:ascii="times" w:hAnsi="times"/>
          <w:position w:val="5"/>
          <w:sz w:val="11"/>
          <w:sz w:val="14"/>
        </w:rPr>
      </w:pPr>
      <w:r>
        <w:rPr>
          <w:rFonts w:ascii="times" w:hAnsi="times"/>
          <w:position w:val="5"/>
          <w:sz w:val="11"/>
          <w:sz w:val="14"/>
        </w:rPr>
        <w:t>(4)</w:t>
      </w:r>
    </w:p>
    <w:p>
      <w:pPr>
        <w:pStyle w:val="ListContents"/>
        <w:spacing w:before="0" w:after="283"/>
        <w:rPr>
          <w:rFonts w:ascii="times" w:hAnsi="times"/>
          <w:sz w:val="14"/>
        </w:rPr>
      </w:pPr>
      <w:r>
        <w:rPr>
          <w:rFonts w:ascii="times" w:hAnsi="times"/>
          <w:sz w:val="14"/>
        </w:rPr>
        <w:t xml:space="preserve">Effective with the second quarter of 2008, facilities segment volumes with respect to crude oil and refined products are reported based on total shell capacity to provide uniform comparisons with respect to our activities for these products. Previously, such volumes were reported based on a combination of shell capacity and working capacity depending on the terms of the third-party or intra-company lease agreements. Natural gas and LPG volumes, which consist primarily of underground storage facilities, reflect working capacity as that is the primary basis upon which such facilities are leased. Corresponding metrics for prior periods have been conformed to this uniform approach. </w:t>
      </w:r>
    </w:p>
    <w:p>
      <w:pPr>
        <w:pStyle w:val="ListHeading"/>
        <w:spacing w:before="0" w:after="0"/>
        <w:rPr>
          <w:rFonts w:ascii="times" w:hAnsi="times"/>
          <w:position w:val="5"/>
          <w:sz w:val="11"/>
          <w:sz w:val="14"/>
        </w:rPr>
      </w:pPr>
      <w:r>
        <w:rPr>
          <w:rFonts w:ascii="times" w:hAnsi="times"/>
          <w:position w:val="5"/>
          <w:sz w:val="11"/>
          <w:sz w:val="14"/>
        </w:rPr>
        <w:t>(5)</w:t>
      </w:r>
    </w:p>
    <w:p>
      <w:pPr>
        <w:pStyle w:val="ListContents"/>
        <w:spacing w:before="0" w:after="283"/>
        <w:rPr>
          <w:rFonts w:ascii="times" w:hAnsi="times"/>
          <w:sz w:val="14"/>
        </w:rPr>
      </w:pPr>
      <w:r>
        <w:rPr>
          <w:rFonts w:ascii="times" w:hAnsi="times"/>
          <w:sz w:val="14"/>
        </w:rPr>
        <w:t xml:space="preserve">Facilities total calculated as the sum of: (i) crude oil, refined products and LPG storage capacity; (ii) natural gas capacity divided by 6 to account for the 6:1 mcf of gas to crude oil barrel ratio; and (iii) LPG processing volumes multiplied by the number of days in the year and divided by the number of months in the year. </w:t>
      </w:r>
    </w:p>
    <w:p>
      <w:pPr>
        <w:pStyle w:val="TextBody"/>
        <w:jc w:val="center"/>
        <w:rPr>
          <w:rFonts w:ascii="times" w:hAnsi="times"/>
          <w:sz w:val="20"/>
        </w:rPr>
      </w:pPr>
      <w:r>
        <w:rPr>
          <w:rFonts w:ascii="times" w:hAnsi="times"/>
          <w:sz w:val="20"/>
        </w:rPr>
        <w:t>83</w:t>
      </w:r>
    </w:p>
    <w:p>
      <w:pPr>
        <w:pStyle w:val="HorizontalLine"/>
        <w:pBdr>
          <w:bottom w:val="single" w:sz="20" w:space="0" w:color="808080"/>
        </w:pBdr>
        <w:rPr/>
      </w:pPr>
      <w:r>
        <w:rPr/>
      </w:r>
      <w:r>
        <w:br w:type="page"/>
      </w:r>
    </w:p>
    <w:p>
      <w:pPr>
        <w:pStyle w:val="TextBody"/>
        <w:rPr/>
      </w:pPr>
      <w:hyperlink w:anchor="bg12101a_main_toc">
        <w:bookmarkStart w:id="114" w:name="page_dy12101_1_84"/>
        <w:bookmarkEnd w:id="114"/>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Facilities segment profit and segment profit per barrel were impacted by the following for the periods indicated: </w:t>
      </w:r>
    </w:p>
    <w:p>
      <w:pPr>
        <w:pStyle w:val="TextBody"/>
        <w:rPr/>
      </w:pPr>
      <w:r>
        <w:rPr/>
        <w:t>        </w:t>
      </w:r>
      <w:r>
        <w:rPr>
          <w:rFonts w:ascii="times" w:hAnsi="times"/>
          <w:i/>
          <w:sz w:val="20"/>
        </w:rPr>
        <w:t>Operating Revenues and Volumes.</w:t>
      </w:r>
      <w:r>
        <w:rPr>
          <w:rFonts w:ascii="times" w:hAnsi="times"/>
        </w:rPr>
        <w:t>    </w:t>
      </w:r>
      <w:r>
        <w:rPr>
          <w:rFonts w:ascii="times" w:hAnsi="times"/>
          <w:sz w:val="20"/>
        </w:rPr>
        <w:t xml:space="preserve">As noted in the table above, our facilities segment revenues and volumes increased for 2008 compared to 2007 and for 2007 compared to 2006. The table below presents the significant variances in volumes and revenues (in millions) between 2008, 2007 and 2006: </w:t>
      </w:r>
    </w:p>
    <w:tbl>
      <w:tblPr>
        <w:tblW w:w="7457" w:type="dxa"/>
        <w:jc w:val="center"/>
        <w:tblInd w:w="0" w:type="dxa"/>
        <w:tblCellMar>
          <w:top w:w="0" w:type="dxa"/>
          <w:left w:w="0" w:type="dxa"/>
          <w:bottom w:w="0" w:type="dxa"/>
          <w:right w:w="0" w:type="dxa"/>
        </w:tblCellMar>
      </w:tblPr>
      <w:tblGrid>
        <w:gridCol w:w="150"/>
        <w:gridCol w:w="150"/>
        <w:gridCol w:w="2985"/>
        <w:gridCol w:w="180"/>
        <w:gridCol w:w="81"/>
        <w:gridCol w:w="1033"/>
        <w:gridCol w:w="225"/>
        <w:gridCol w:w="83"/>
        <w:gridCol w:w="671"/>
        <w:gridCol w:w="225"/>
        <w:gridCol w:w="83"/>
        <w:gridCol w:w="731"/>
        <w:gridCol w:w="225"/>
        <w:gridCol w:w="575"/>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132"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225" w:type="dxa"/>
            <w:tcBorders/>
            <w:shd w:fill="auto" w:val="clear"/>
            <w:vAlign w:val="bottom"/>
          </w:tcPr>
          <w:p>
            <w:pPr>
              <w:pStyle w:val="TableHeading"/>
              <w:suppressLineNumbers/>
              <w:spacing w:before="0" w:after="283"/>
              <w:jc w:val="center"/>
              <w:rPr/>
            </w:pPr>
            <w:r>
              <w:rPr/>
              <w:t> </w:t>
            </w:r>
          </w:p>
        </w:tc>
        <w:tc>
          <w:tcPr>
            <w:tcW w:w="57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Revenues </w:t>
            </w:r>
          </w:p>
        </w:tc>
        <w:tc>
          <w:tcPr>
            <w:tcW w:w="60" w:type="dxa"/>
            <w:tcBorders/>
            <w:shd w:fill="auto" w:val="clear"/>
            <w:vAlign w:val="bottom"/>
          </w:tcPr>
          <w:p>
            <w:pPr>
              <w:pStyle w:val="TableHeading"/>
              <w:suppressLineNumbers/>
              <w:spacing w:before="0" w:after="283"/>
              <w:jc w:val="center"/>
              <w:rPr/>
            </w:pPr>
            <w:r>
              <w:rPr/>
              <w:t> </w:t>
            </w:r>
          </w:p>
        </w:tc>
      </w:tr>
      <w:tr>
        <w:trPr/>
        <w:tc>
          <w:tcPr>
            <w:tcW w:w="3285"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1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Crude Oil, Refined</w:t>
              <w:br/>
              <w:t>Products and LPG</w:t>
              <w:br/>
              <w:t>Storage</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Natural Gas</w:t>
              <w:br/>
              <w:t>Storage</w:t>
            </w:r>
            <w:r>
              <w:rPr>
                <w:rFonts w:ascii="times" w:hAnsi="times"/>
                <w:b/>
                <w:position w:val="5"/>
                <w:sz w:val="11"/>
                <w:sz w:val="14"/>
              </w:rPr>
              <w:t>(2)</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8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LPG</w:t>
              <w:br/>
              <w:t>Processing</w:t>
            </w:r>
            <w:r>
              <w:rPr>
                <w:rFonts w:ascii="times" w:hAnsi="times"/>
                <w:b/>
                <w:position w:val="5"/>
                <w:sz w:val="11"/>
                <w:sz w:val="14"/>
              </w:rPr>
              <w:t>(3)</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575" w:type="dxa"/>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r>
      <w:tr>
        <w:trPr/>
        <w:tc>
          <w:tcPr>
            <w:tcW w:w="3285" w:type="dxa"/>
            <w:gridSpan w:val="3"/>
            <w:tcBorders/>
            <w:shd w:fill="CCEEFF" w:val="clear"/>
          </w:tcPr>
          <w:p>
            <w:pPr>
              <w:pStyle w:val="TableContents"/>
              <w:spacing w:before="0" w:after="283"/>
              <w:ind w:left="200" w:right="0" w:hanging="200"/>
              <w:rPr>
                <w:rFonts w:ascii="times" w:hAnsi="times"/>
                <w:b/>
                <w:sz w:val="20"/>
              </w:rPr>
            </w:pPr>
            <w:r>
              <w:rPr>
                <w:rFonts w:ascii="times" w:hAnsi="times"/>
                <w:b/>
                <w:sz w:val="20"/>
              </w:rPr>
              <w:t>2008 compared to 2007</w:t>
            </w:r>
          </w:p>
        </w:tc>
        <w:tc>
          <w:tcPr>
            <w:tcW w:w="180" w:type="dxa"/>
            <w:tcBorders/>
            <w:shd w:fill="CCEEFF" w:val="clear"/>
          </w:tcPr>
          <w:p>
            <w:pPr>
              <w:pStyle w:val="TableContents"/>
              <w:spacing w:before="0" w:after="283"/>
              <w:rPr/>
            </w:pPr>
            <w:r>
              <w:rPr/>
              <w:t> </w:t>
            </w:r>
          </w:p>
        </w:tc>
        <w:tc>
          <w:tcPr>
            <w:tcW w:w="81" w:type="dxa"/>
            <w:tcBorders/>
            <w:shd w:fill="CCEEFF" w:val="clear"/>
          </w:tcPr>
          <w:p>
            <w:pPr>
              <w:pStyle w:val="TableContents"/>
              <w:spacing w:before="0" w:after="283"/>
              <w:rPr/>
            </w:pPr>
            <w:r>
              <w:rPr/>
              <w:t> </w:t>
            </w:r>
          </w:p>
        </w:tc>
        <w:tc>
          <w:tcPr>
            <w:tcW w:w="1033"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671"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731"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57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285" w:type="dxa"/>
            <w:gridSpan w:val="3"/>
            <w:tcBorders/>
            <w:shd w:fill="FFFFFF" w:val="clear"/>
          </w:tcPr>
          <w:p>
            <w:pPr>
              <w:pStyle w:val="TableContents"/>
              <w:spacing w:before="0" w:after="283"/>
              <w:ind w:left="200" w:right="0" w:hanging="200"/>
              <w:rPr>
                <w:rFonts w:ascii="times" w:hAnsi="times"/>
                <w:b/>
                <w:sz w:val="20"/>
              </w:rPr>
            </w:pPr>
            <w:r>
              <w:rPr>
                <w:rFonts w:ascii="times" w:hAnsi="times"/>
                <w:b/>
                <w:sz w:val="20"/>
              </w:rPr>
              <w:t>Increase due to:</w:t>
            </w:r>
          </w:p>
        </w:tc>
        <w:tc>
          <w:tcPr>
            <w:tcW w:w="180"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c>
          <w:tcPr>
            <w:tcW w:w="1033"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67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73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57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1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Acquisitions</w:t>
            </w:r>
            <w:r>
              <w:rPr>
                <w:rFonts w:ascii="times" w:hAnsi="times"/>
                <w:position w:val="7"/>
                <w:sz w:val="16"/>
                <w:sz w:val="20"/>
              </w:rPr>
              <w:t>(4)</w:t>
            </w:r>
          </w:p>
        </w:tc>
        <w:tc>
          <w:tcPr>
            <w:tcW w:w="180" w:type="dxa"/>
            <w:tcBorders/>
            <w:shd w:fill="CCEEFF" w:val="clear"/>
          </w:tcPr>
          <w:p>
            <w:pPr>
              <w:pStyle w:val="TableContents"/>
              <w:spacing w:before="0" w:after="283"/>
              <w:rPr/>
            </w:pPr>
            <w:r>
              <w:rPr/>
              <w:t> </w:t>
            </w:r>
          </w:p>
        </w:tc>
        <w:tc>
          <w:tcPr>
            <w:tcW w:w="81" w:type="dxa"/>
            <w:tcBorders/>
            <w:shd w:fill="CCEEFF" w:val="clear"/>
          </w:tcPr>
          <w:p>
            <w:pPr>
              <w:pStyle w:val="TableContents"/>
              <w:spacing w:before="0" w:after="283"/>
              <w:rPr/>
            </w:pPr>
            <w:r>
              <w:rPr/>
              <w:t> </w:t>
            </w:r>
          </w:p>
        </w:tc>
        <w:tc>
          <w:tcPr>
            <w:tcW w:w="1033" w:type="dxa"/>
            <w:tcBorders/>
            <w:shd w:fill="CCEEFF" w:val="clear"/>
          </w:tcPr>
          <w:p>
            <w:pPr>
              <w:pStyle w:val="TableContents"/>
              <w:spacing w:before="0" w:after="283"/>
              <w:jc w:val="right"/>
              <w:rPr>
                <w:rFonts w:ascii="times" w:hAnsi="times"/>
                <w:sz w:val="20"/>
              </w:rPr>
            </w:pPr>
            <w:r>
              <w:rPr>
                <w:rFonts w:ascii="times" w:hAnsi="times"/>
                <w:sz w:val="20"/>
              </w:rPr>
              <w:t>2</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671"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731"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575" w:type="dxa"/>
            <w:tcBorders/>
            <w:shd w:fill="CCEEFF" w:val="clear"/>
          </w:tcPr>
          <w:p>
            <w:pPr>
              <w:pStyle w:val="TableContents"/>
              <w:spacing w:before="0" w:after="283"/>
              <w:jc w:val="right"/>
              <w:rPr>
                <w:rFonts w:ascii="times" w:hAnsi="times"/>
                <w:sz w:val="20"/>
              </w:rPr>
            </w:pPr>
            <w:r>
              <w:rPr>
                <w:rFonts w:ascii="times" w:hAnsi="times"/>
                <w:sz w:val="20"/>
              </w:rPr>
              <w:t>$  13</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1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Expansions</w:t>
            </w:r>
            <w:r>
              <w:rPr>
                <w:rFonts w:ascii="times" w:hAnsi="times"/>
                <w:position w:val="7"/>
                <w:sz w:val="16"/>
                <w:sz w:val="20"/>
              </w:rPr>
              <w:t>(5)</w:t>
            </w:r>
          </w:p>
        </w:tc>
        <w:tc>
          <w:tcPr>
            <w:tcW w:w="180"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c>
          <w:tcPr>
            <w:tcW w:w="1033" w:type="dxa"/>
            <w:tcBorders/>
            <w:shd w:fill="FFFFFF" w:val="clear"/>
          </w:tcPr>
          <w:p>
            <w:pPr>
              <w:pStyle w:val="TableContents"/>
              <w:spacing w:before="0" w:after="283"/>
              <w:jc w:val="right"/>
              <w:rPr>
                <w:rFonts w:ascii="times" w:hAnsi="times"/>
                <w:sz w:val="20"/>
              </w:rPr>
            </w:pPr>
            <w:r>
              <w:rPr>
                <w:rFonts w:ascii="times" w:hAnsi="times"/>
                <w:sz w:val="20"/>
              </w:rPr>
              <w:t>6</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67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73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575" w:type="dxa"/>
            <w:tcBorders/>
            <w:shd w:fill="FFFFFF" w:val="clear"/>
          </w:tcPr>
          <w:p>
            <w:pPr>
              <w:pStyle w:val="TableContents"/>
              <w:spacing w:before="0" w:after="283"/>
              <w:jc w:val="right"/>
              <w:rPr>
                <w:rFonts w:ascii="times" w:hAnsi="times"/>
                <w:sz w:val="20"/>
              </w:rPr>
            </w:pPr>
            <w:r>
              <w:rPr>
                <w:rFonts w:ascii="times" w:hAnsi="times"/>
                <w:sz w:val="20"/>
              </w:rPr>
              <w:t>37</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1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CCEEFF" w:val="clear"/>
          </w:tcPr>
          <w:p>
            <w:pPr>
              <w:pStyle w:val="TableContents"/>
              <w:spacing w:before="0" w:after="283"/>
              <w:rPr/>
            </w:pPr>
            <w:r>
              <w:rPr/>
              <w:t> </w:t>
            </w:r>
          </w:p>
        </w:tc>
        <w:tc>
          <w:tcPr>
            <w:tcW w:w="81" w:type="dxa"/>
            <w:tcBorders/>
            <w:shd w:fill="CCEEFF" w:val="clear"/>
          </w:tcPr>
          <w:p>
            <w:pPr>
              <w:pStyle w:val="TableContents"/>
              <w:spacing w:before="0" w:after="283"/>
              <w:rPr/>
            </w:pPr>
            <w:r>
              <w:rPr/>
              <w:t> </w:t>
            </w:r>
          </w:p>
        </w:tc>
        <w:tc>
          <w:tcPr>
            <w:tcW w:w="1033" w:type="dxa"/>
            <w:tcBorders/>
            <w:shd w:fill="CCEEFF" w:val="clear"/>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83" w:type="dxa"/>
            <w:tcBorders/>
            <w:shd w:fill="CCEEFF" w:val="clear"/>
          </w:tcPr>
          <w:p>
            <w:pPr>
              <w:pStyle w:val="TableContents"/>
              <w:spacing w:before="0" w:after="283"/>
              <w:rPr/>
            </w:pPr>
            <w:r>
              <w:rPr/>
              <w:t> </w:t>
            </w:r>
          </w:p>
        </w:tc>
        <w:tc>
          <w:tcPr>
            <w:tcW w:w="671" w:type="dxa"/>
            <w:tcBorders/>
            <w:shd w:fill="CCEEFF" w:val="clear"/>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731" w:type="dxa"/>
            <w:tcBorders/>
            <w:shd w:fill="CCEEFF" w:val="clear"/>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575" w:type="dxa"/>
            <w:tcBorders/>
            <w:shd w:fill="CCEEFF" w:val="clear"/>
          </w:tcPr>
          <w:p>
            <w:pPr>
              <w:pStyle w:val="TableContents"/>
              <w:spacing w:before="0" w:after="283"/>
              <w:jc w:val="right"/>
              <w:rPr>
                <w:rFonts w:ascii="times" w:hAnsi="times"/>
                <w:sz w:val="20"/>
              </w:rPr>
            </w:pPr>
            <w:r>
              <w:rPr>
                <w:rFonts w:ascii="times" w:hAnsi="times"/>
                <w:sz w:val="20"/>
              </w:rPr>
              <w:t>10</w:t>
            </w:r>
          </w:p>
        </w:tc>
        <w:tc>
          <w:tcPr>
            <w:tcW w:w="60" w:type="dxa"/>
            <w:tcBorders/>
            <w:shd w:fill="CCEEFF" w:val="clear"/>
          </w:tcPr>
          <w:p>
            <w:pPr>
              <w:pStyle w:val="TableContents"/>
              <w:spacing w:before="0" w:after="283"/>
              <w:rPr/>
            </w:pPr>
            <w:r>
              <w:rPr/>
              <w:t> </w:t>
            </w:r>
          </w:p>
        </w:tc>
      </w:tr>
      <w:tr>
        <w:trPr/>
        <w:tc>
          <w:tcPr>
            <w:tcW w:w="32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11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5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1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75" w:type="dxa"/>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150" w:type="dxa"/>
            <w:tcBorders/>
            <w:shd w:fill="FFFFFF" w:val="clear"/>
          </w:tcPr>
          <w:p>
            <w:pPr>
              <w:pStyle w:val="TableContents"/>
              <w:spacing w:before="0" w:after="283"/>
              <w:rPr/>
            </w:pPr>
            <w:r>
              <w:rPr/>
              <w:t> </w:t>
            </w:r>
          </w:p>
        </w:tc>
        <w:tc>
          <w:tcPr>
            <w:tcW w:w="2985" w:type="dxa"/>
            <w:tcBorders/>
            <w:shd w:fill="FFFFFF" w:val="clear"/>
          </w:tcPr>
          <w:p>
            <w:pPr>
              <w:pStyle w:val="TableContents"/>
              <w:spacing w:before="0" w:after="283"/>
              <w:ind w:left="200" w:right="0" w:hanging="200"/>
              <w:rPr>
                <w:rFonts w:ascii="times" w:hAnsi="times"/>
                <w:sz w:val="20"/>
              </w:rPr>
            </w:pPr>
            <w:r>
              <w:rPr>
                <w:rFonts w:ascii="times" w:hAnsi="times"/>
                <w:sz w:val="20"/>
              </w:rPr>
              <w:t>Total variance</w:t>
            </w:r>
          </w:p>
        </w:tc>
        <w:tc>
          <w:tcPr>
            <w:tcW w:w="180"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c>
          <w:tcPr>
            <w:tcW w:w="1033" w:type="dxa"/>
            <w:tcBorders/>
            <w:shd w:fill="FFFFFF" w:val="clear"/>
          </w:tcPr>
          <w:p>
            <w:pPr>
              <w:pStyle w:val="TableContents"/>
              <w:spacing w:before="0" w:after="283"/>
              <w:jc w:val="right"/>
              <w:rPr>
                <w:rFonts w:ascii="times" w:hAnsi="times"/>
                <w:sz w:val="20"/>
              </w:rPr>
            </w:pPr>
            <w:r>
              <w:rPr>
                <w:rFonts w:ascii="times" w:hAnsi="times"/>
                <w:sz w:val="20"/>
              </w:rPr>
              <w:t>7</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671" w:type="dxa"/>
            <w:tcBorders/>
            <w:shd w:fill="FFFFFF" w:val="clear"/>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731" w:type="dxa"/>
            <w:tcBorders/>
            <w:shd w:fill="FFFFFF" w:val="clear"/>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575" w:type="dxa"/>
            <w:tcBorders/>
            <w:shd w:fill="FFFFFF" w:val="clear"/>
          </w:tcPr>
          <w:p>
            <w:pPr>
              <w:pStyle w:val="TableContents"/>
              <w:spacing w:before="0" w:after="283"/>
              <w:jc w:val="right"/>
              <w:rPr>
                <w:rFonts w:ascii="times" w:hAnsi="times"/>
                <w:sz w:val="20"/>
              </w:rPr>
            </w:pPr>
            <w:r>
              <w:rPr>
                <w:rFonts w:ascii="times" w:hAnsi="times"/>
                <w:sz w:val="20"/>
              </w:rPr>
              <w:t>$  60</w:t>
            </w:r>
          </w:p>
        </w:tc>
        <w:tc>
          <w:tcPr>
            <w:tcW w:w="60" w:type="dxa"/>
            <w:tcBorders/>
            <w:shd w:fill="FFFFFF" w:val="clear"/>
          </w:tcPr>
          <w:p>
            <w:pPr>
              <w:pStyle w:val="TableContents"/>
              <w:spacing w:before="0" w:after="283"/>
              <w:rPr/>
            </w:pPr>
            <w:r>
              <w:rPr/>
              <w:t> </w:t>
            </w:r>
          </w:p>
        </w:tc>
      </w:tr>
      <w:tr>
        <w:trPr/>
        <w:tc>
          <w:tcPr>
            <w:tcW w:w="32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11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5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1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75" w:type="dxa"/>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285" w:type="dxa"/>
            <w:gridSpan w:val="3"/>
            <w:tcBorders/>
            <w:shd w:fill="CCEEFF" w:val="clear"/>
          </w:tcPr>
          <w:p>
            <w:pPr>
              <w:pStyle w:val="TableContents"/>
              <w:spacing w:before="0" w:after="283"/>
              <w:ind w:left="200" w:right="0" w:hanging="200"/>
              <w:rPr>
                <w:rFonts w:ascii="times" w:hAnsi="times"/>
                <w:b/>
                <w:sz w:val="20"/>
              </w:rPr>
            </w:pPr>
            <w:r>
              <w:rPr>
                <w:rFonts w:ascii="times" w:hAnsi="times"/>
                <w:b/>
                <w:sz w:val="20"/>
              </w:rPr>
              <w:t>2007 compared to 2006</w:t>
            </w:r>
          </w:p>
        </w:tc>
        <w:tc>
          <w:tcPr>
            <w:tcW w:w="180" w:type="dxa"/>
            <w:tcBorders/>
            <w:shd w:fill="CCEEFF" w:val="clear"/>
          </w:tcPr>
          <w:p>
            <w:pPr>
              <w:pStyle w:val="TableContents"/>
              <w:spacing w:before="0" w:after="283"/>
              <w:rPr/>
            </w:pPr>
            <w:r>
              <w:rPr/>
              <w:t> </w:t>
            </w:r>
          </w:p>
        </w:tc>
        <w:tc>
          <w:tcPr>
            <w:tcW w:w="81" w:type="dxa"/>
            <w:tcBorders/>
            <w:shd w:fill="CCEEFF" w:val="clear"/>
          </w:tcPr>
          <w:p>
            <w:pPr>
              <w:pStyle w:val="TableContents"/>
              <w:spacing w:before="0" w:after="283"/>
              <w:rPr/>
            </w:pPr>
            <w:r>
              <w:rPr/>
              <w:t> </w:t>
            </w:r>
          </w:p>
        </w:tc>
        <w:tc>
          <w:tcPr>
            <w:tcW w:w="1033"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671"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731"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57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285" w:type="dxa"/>
            <w:gridSpan w:val="3"/>
            <w:tcBorders/>
            <w:shd w:fill="FFFFFF" w:val="clear"/>
          </w:tcPr>
          <w:p>
            <w:pPr>
              <w:pStyle w:val="TableContents"/>
              <w:spacing w:before="0" w:after="283"/>
              <w:ind w:left="200" w:right="0" w:hanging="200"/>
              <w:rPr>
                <w:rFonts w:ascii="times" w:hAnsi="times"/>
                <w:b/>
                <w:sz w:val="20"/>
              </w:rPr>
            </w:pPr>
            <w:r>
              <w:rPr>
                <w:rFonts w:ascii="times" w:hAnsi="times"/>
                <w:b/>
                <w:sz w:val="20"/>
              </w:rPr>
              <w:t>Increase due to:</w:t>
            </w:r>
          </w:p>
        </w:tc>
        <w:tc>
          <w:tcPr>
            <w:tcW w:w="180"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c>
          <w:tcPr>
            <w:tcW w:w="1033"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67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73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57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1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Acquisitions</w:t>
            </w:r>
            <w:r>
              <w:rPr>
                <w:rFonts w:ascii="times" w:hAnsi="times"/>
                <w:position w:val="7"/>
                <w:sz w:val="16"/>
                <w:sz w:val="20"/>
              </w:rPr>
              <w:t>(6)</w:t>
            </w:r>
          </w:p>
        </w:tc>
        <w:tc>
          <w:tcPr>
            <w:tcW w:w="180" w:type="dxa"/>
            <w:tcBorders/>
            <w:shd w:fill="CCEEFF" w:val="clear"/>
          </w:tcPr>
          <w:p>
            <w:pPr>
              <w:pStyle w:val="TableContents"/>
              <w:spacing w:before="0" w:after="283"/>
              <w:rPr/>
            </w:pPr>
            <w:r>
              <w:rPr/>
              <w:t> </w:t>
            </w:r>
          </w:p>
        </w:tc>
        <w:tc>
          <w:tcPr>
            <w:tcW w:w="81" w:type="dxa"/>
            <w:tcBorders/>
            <w:shd w:fill="CCEEFF" w:val="clear"/>
          </w:tcPr>
          <w:p>
            <w:pPr>
              <w:pStyle w:val="TableContents"/>
              <w:spacing w:before="0" w:after="283"/>
              <w:rPr/>
            </w:pPr>
            <w:r>
              <w:rPr/>
              <w:t> </w:t>
            </w:r>
          </w:p>
        </w:tc>
        <w:tc>
          <w:tcPr>
            <w:tcW w:w="1033" w:type="dxa"/>
            <w:tcBorders/>
            <w:shd w:fill="CCEEFF" w:val="clear"/>
          </w:tcPr>
          <w:p>
            <w:pPr>
              <w:pStyle w:val="TableContents"/>
              <w:spacing w:before="0" w:after="283"/>
              <w:jc w:val="right"/>
              <w:rPr>
                <w:rFonts w:ascii="times" w:hAnsi="times"/>
                <w:sz w:val="20"/>
              </w:rPr>
            </w:pPr>
            <w:r>
              <w:rPr>
                <w:rFonts w:ascii="times" w:hAnsi="times"/>
                <w:sz w:val="20"/>
              </w:rPr>
              <w:t>16</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671"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731" w:type="dxa"/>
            <w:tcBorders/>
            <w:shd w:fill="CCEEFF" w:val="clear"/>
          </w:tcPr>
          <w:p>
            <w:pPr>
              <w:pStyle w:val="TableContents"/>
              <w:spacing w:before="0" w:after="283"/>
              <w:jc w:val="right"/>
              <w:rPr>
                <w:rFonts w:ascii="times" w:hAnsi="times"/>
                <w:sz w:val="20"/>
              </w:rPr>
            </w:pPr>
            <w:r>
              <w:rPr>
                <w:rFonts w:ascii="times" w:hAnsi="times"/>
                <w:sz w:val="20"/>
              </w:rPr>
              <w:t>6</w:t>
            </w:r>
          </w:p>
        </w:tc>
        <w:tc>
          <w:tcPr>
            <w:tcW w:w="225" w:type="dxa"/>
            <w:tcBorders/>
            <w:shd w:fill="CCEEFF" w:val="clear"/>
          </w:tcPr>
          <w:p>
            <w:pPr>
              <w:pStyle w:val="TableContents"/>
              <w:spacing w:before="0" w:after="283"/>
              <w:rPr/>
            </w:pPr>
            <w:r>
              <w:rPr/>
              <w:t> </w:t>
            </w:r>
          </w:p>
        </w:tc>
        <w:tc>
          <w:tcPr>
            <w:tcW w:w="575" w:type="dxa"/>
            <w:tcBorders/>
            <w:shd w:fill="CCEEFF" w:val="clear"/>
          </w:tcPr>
          <w:p>
            <w:pPr>
              <w:pStyle w:val="TableContents"/>
              <w:spacing w:before="0" w:after="283"/>
              <w:jc w:val="right"/>
              <w:rPr>
                <w:rFonts w:ascii="times" w:hAnsi="times"/>
                <w:sz w:val="20"/>
              </w:rPr>
            </w:pPr>
            <w:r>
              <w:rPr>
                <w:rFonts w:ascii="times" w:hAnsi="times"/>
                <w:sz w:val="20"/>
              </w:rPr>
              <w:t>$  98</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13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Expansions</w:t>
            </w:r>
            <w:r>
              <w:rPr>
                <w:rFonts w:ascii="times" w:hAnsi="times"/>
                <w:position w:val="7"/>
                <w:sz w:val="16"/>
                <w:sz w:val="20"/>
              </w:rPr>
              <w:t>(7)</w:t>
            </w:r>
          </w:p>
        </w:tc>
        <w:tc>
          <w:tcPr>
            <w:tcW w:w="180"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c>
          <w:tcPr>
            <w:tcW w:w="1033" w:type="dxa"/>
            <w:tcBorders/>
            <w:shd w:fill="FFFFFF" w:val="clear"/>
          </w:tcPr>
          <w:p>
            <w:pPr>
              <w:pStyle w:val="TableContents"/>
              <w:spacing w:before="0" w:after="283"/>
              <w:jc w:val="right"/>
              <w:rPr>
                <w:rFonts w:ascii="times" w:hAnsi="times"/>
                <w:sz w:val="20"/>
              </w:rPr>
            </w:pPr>
            <w:r>
              <w:rPr>
                <w:rFonts w:ascii="times" w:hAnsi="times"/>
                <w:sz w:val="20"/>
              </w:rPr>
              <w:t>3</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67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73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575" w:type="dxa"/>
            <w:tcBorders/>
            <w:shd w:fill="FFFFFF" w:val="clear"/>
          </w:tcPr>
          <w:p>
            <w:pPr>
              <w:pStyle w:val="TableContents"/>
              <w:spacing w:before="0" w:after="283"/>
              <w:jc w:val="right"/>
              <w:rPr>
                <w:rFonts w:ascii="times" w:hAnsi="times"/>
                <w:sz w:val="20"/>
              </w:rPr>
            </w:pPr>
            <w:r>
              <w:rPr>
                <w:rFonts w:ascii="times" w:hAnsi="times"/>
                <w:sz w:val="20"/>
              </w:rPr>
              <w:t>12</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1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CCEEFF" w:val="clear"/>
          </w:tcPr>
          <w:p>
            <w:pPr>
              <w:pStyle w:val="TableContents"/>
              <w:spacing w:before="0" w:after="283"/>
              <w:rPr/>
            </w:pPr>
            <w:r>
              <w:rPr/>
              <w:t> </w:t>
            </w:r>
          </w:p>
        </w:tc>
        <w:tc>
          <w:tcPr>
            <w:tcW w:w="81" w:type="dxa"/>
            <w:tcBorders/>
            <w:shd w:fill="CCEEFF" w:val="clear"/>
          </w:tcPr>
          <w:p>
            <w:pPr>
              <w:pStyle w:val="TableContents"/>
              <w:spacing w:before="0" w:after="283"/>
              <w:rPr/>
            </w:pPr>
            <w:r>
              <w:rPr/>
              <w:t> </w:t>
            </w:r>
          </w:p>
        </w:tc>
        <w:tc>
          <w:tcPr>
            <w:tcW w:w="1033" w:type="dxa"/>
            <w:tcBorders/>
            <w:shd w:fill="CCEEFF" w:val="clear"/>
          </w:tcPr>
          <w:p>
            <w:pPr>
              <w:pStyle w:val="TableContents"/>
              <w:spacing w:before="0" w:after="283"/>
              <w:jc w:val="right"/>
              <w:rPr>
                <w:rFonts w:ascii="times" w:hAnsi="times"/>
                <w:sz w:val="20"/>
              </w:rPr>
            </w:pPr>
            <w:r>
              <w:rPr>
                <w:rFonts w:ascii="times" w:hAnsi="times"/>
                <w:sz w:val="20"/>
              </w:rPr>
              <w:t>2</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671"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83" w:type="dxa"/>
            <w:tcBorders/>
            <w:shd w:fill="CCEEFF" w:val="clear"/>
          </w:tcPr>
          <w:p>
            <w:pPr>
              <w:pStyle w:val="TableContents"/>
              <w:spacing w:before="0" w:after="283"/>
              <w:rPr/>
            </w:pPr>
            <w:r>
              <w:rPr/>
              <w:t> </w:t>
            </w:r>
          </w:p>
        </w:tc>
        <w:tc>
          <w:tcPr>
            <w:tcW w:w="731"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575" w:type="dxa"/>
            <w:tcBorders/>
            <w:shd w:fill="CCEEFF" w:val="clear"/>
          </w:tcPr>
          <w:p>
            <w:pPr>
              <w:pStyle w:val="TableContents"/>
              <w:spacing w:before="0" w:after="283"/>
              <w:jc w:val="right"/>
              <w:rPr>
                <w:rFonts w:ascii="times" w:hAnsi="times"/>
                <w:sz w:val="20"/>
              </w:rPr>
            </w:pPr>
            <w:r>
              <w:rPr>
                <w:rFonts w:ascii="times" w:hAnsi="times"/>
                <w:sz w:val="20"/>
              </w:rPr>
              <w:t>12</w:t>
            </w:r>
          </w:p>
        </w:tc>
        <w:tc>
          <w:tcPr>
            <w:tcW w:w="60" w:type="dxa"/>
            <w:tcBorders/>
            <w:shd w:fill="CCEEFF" w:val="clear"/>
          </w:tcPr>
          <w:p>
            <w:pPr>
              <w:pStyle w:val="TableContents"/>
              <w:spacing w:before="0" w:after="283"/>
              <w:rPr/>
            </w:pPr>
            <w:r>
              <w:rPr/>
              <w:t> </w:t>
            </w:r>
          </w:p>
        </w:tc>
      </w:tr>
      <w:tr>
        <w:trPr/>
        <w:tc>
          <w:tcPr>
            <w:tcW w:w="32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11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5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1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75" w:type="dxa"/>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150" w:type="dxa"/>
            <w:tcBorders/>
            <w:shd w:fill="FFFFFF" w:val="clear"/>
          </w:tcPr>
          <w:p>
            <w:pPr>
              <w:pStyle w:val="TableContents"/>
              <w:spacing w:before="0" w:after="283"/>
              <w:rPr/>
            </w:pPr>
            <w:r>
              <w:rPr/>
              <w:t> </w:t>
            </w:r>
          </w:p>
        </w:tc>
        <w:tc>
          <w:tcPr>
            <w:tcW w:w="2985" w:type="dxa"/>
            <w:tcBorders/>
            <w:shd w:fill="FFFFFF" w:val="clear"/>
          </w:tcPr>
          <w:p>
            <w:pPr>
              <w:pStyle w:val="TableContents"/>
              <w:spacing w:before="0" w:after="283"/>
              <w:ind w:left="200" w:right="0" w:hanging="200"/>
              <w:rPr>
                <w:rFonts w:ascii="times" w:hAnsi="times"/>
                <w:sz w:val="20"/>
              </w:rPr>
            </w:pPr>
            <w:r>
              <w:rPr>
                <w:rFonts w:ascii="times" w:hAnsi="times"/>
                <w:sz w:val="20"/>
              </w:rPr>
              <w:t>Total variance</w:t>
            </w:r>
          </w:p>
        </w:tc>
        <w:tc>
          <w:tcPr>
            <w:tcW w:w="180"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c>
          <w:tcPr>
            <w:tcW w:w="1033" w:type="dxa"/>
            <w:tcBorders/>
            <w:shd w:fill="FFFFFF" w:val="clear"/>
          </w:tcPr>
          <w:p>
            <w:pPr>
              <w:pStyle w:val="TableContents"/>
              <w:spacing w:before="0" w:after="283"/>
              <w:jc w:val="right"/>
              <w:rPr>
                <w:rFonts w:ascii="times" w:hAnsi="times"/>
                <w:sz w:val="20"/>
              </w:rPr>
            </w:pPr>
            <w:r>
              <w:rPr>
                <w:rFonts w:ascii="times" w:hAnsi="times"/>
                <w:sz w:val="20"/>
              </w:rPr>
              <w:t>21</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67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83" w:type="dxa"/>
            <w:tcBorders/>
            <w:shd w:fill="FFFFFF" w:val="clear"/>
          </w:tcPr>
          <w:p>
            <w:pPr>
              <w:pStyle w:val="TableContents"/>
              <w:spacing w:before="0" w:after="283"/>
              <w:rPr/>
            </w:pPr>
            <w:r>
              <w:rPr/>
              <w:t> </w:t>
            </w:r>
          </w:p>
        </w:tc>
        <w:tc>
          <w:tcPr>
            <w:tcW w:w="731" w:type="dxa"/>
            <w:tcBorders/>
            <w:shd w:fill="FFFFFF" w:val="clear"/>
          </w:tcPr>
          <w:p>
            <w:pPr>
              <w:pStyle w:val="TableContents"/>
              <w:spacing w:before="0" w:after="283"/>
              <w:jc w:val="right"/>
              <w:rPr>
                <w:rFonts w:ascii="times" w:hAnsi="times"/>
                <w:sz w:val="20"/>
              </w:rPr>
            </w:pPr>
            <w:r>
              <w:rPr>
                <w:rFonts w:ascii="times" w:hAnsi="times"/>
                <w:sz w:val="20"/>
              </w:rPr>
              <w:t>6</w:t>
            </w:r>
          </w:p>
        </w:tc>
        <w:tc>
          <w:tcPr>
            <w:tcW w:w="225" w:type="dxa"/>
            <w:tcBorders/>
            <w:shd w:fill="FFFFFF" w:val="clear"/>
          </w:tcPr>
          <w:p>
            <w:pPr>
              <w:pStyle w:val="TableContents"/>
              <w:spacing w:before="0" w:after="283"/>
              <w:rPr/>
            </w:pPr>
            <w:r>
              <w:rPr/>
              <w:t> </w:t>
            </w:r>
          </w:p>
        </w:tc>
        <w:tc>
          <w:tcPr>
            <w:tcW w:w="575" w:type="dxa"/>
            <w:tcBorders/>
            <w:shd w:fill="FFFFFF" w:val="clear"/>
          </w:tcPr>
          <w:p>
            <w:pPr>
              <w:pStyle w:val="TableContents"/>
              <w:spacing w:before="0" w:after="283"/>
              <w:jc w:val="right"/>
              <w:rPr>
                <w:rFonts w:ascii="times" w:hAnsi="times"/>
                <w:sz w:val="20"/>
              </w:rPr>
            </w:pPr>
            <w:r>
              <w:rPr>
                <w:rFonts w:ascii="times" w:hAnsi="times"/>
                <w:sz w:val="20"/>
              </w:rPr>
              <w:t>$122</w:t>
            </w:r>
          </w:p>
        </w:tc>
        <w:tc>
          <w:tcPr>
            <w:tcW w:w="60" w:type="dxa"/>
            <w:tcBorders/>
            <w:shd w:fill="FFFFFF" w:val="clear"/>
          </w:tcPr>
          <w:p>
            <w:pPr>
              <w:pStyle w:val="TableContents"/>
              <w:spacing w:before="0" w:after="283"/>
              <w:rPr/>
            </w:pPr>
            <w:r>
              <w:rPr/>
              <w:t> </w:t>
            </w:r>
          </w:p>
        </w:tc>
      </w:tr>
      <w:tr>
        <w:trPr/>
        <w:tc>
          <w:tcPr>
            <w:tcW w:w="3285"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11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5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1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75" w:type="dxa"/>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Average monthly capacity (in millions of barrels).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Average monthly capacity (in bcf).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Barrels per day (in thousands).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Revenues and volumes for 2008 compared to 2007 were impacted by the Bumstead and Tirzah acquisitions in 2007 in addition to the San Pedro acquisition that we closed during the fourth quarter of 2008. The Bumstead acquisition was completed in the third quarter of 2007 and the Tirzah acquisition was completed in the fourth quarter of 2007. </w:t>
      </w:r>
    </w:p>
    <w:p>
      <w:pPr>
        <w:pStyle w:val="ListHeading"/>
        <w:spacing w:before="0" w:after="0"/>
        <w:rPr>
          <w:rFonts w:ascii="times" w:hAnsi="times"/>
          <w:position w:val="7"/>
          <w:sz w:val="16"/>
          <w:sz w:val="20"/>
        </w:rPr>
      </w:pPr>
      <w:r>
        <w:rPr>
          <w:rFonts w:ascii="times" w:hAnsi="times"/>
          <w:position w:val="7"/>
          <w:sz w:val="16"/>
          <w:sz w:val="20"/>
        </w:rPr>
        <w:t>(5)</w:t>
      </w:r>
    </w:p>
    <w:p>
      <w:pPr>
        <w:pStyle w:val="ListContents"/>
        <w:spacing w:before="0" w:after="283"/>
        <w:rPr>
          <w:rFonts w:ascii="times" w:hAnsi="times"/>
          <w:sz w:val="20"/>
        </w:rPr>
      </w:pPr>
      <w:r>
        <w:rPr>
          <w:rFonts w:ascii="times" w:hAnsi="times"/>
          <w:sz w:val="20"/>
        </w:rPr>
        <w:t xml:space="preserve">Expansion projects also resulted in an increase in revenues and volumes in 2008 compared to 2007. The Cushing, Martinez and St. James facilities all had significant expansion projects that were completed during 2008. Revenues for these facilities increased by a combined $37 million. Aggregate volumes increased by approximately 6 million barrels for 2008 at these facilities. </w:t>
      </w:r>
    </w:p>
    <w:p>
      <w:pPr>
        <w:pStyle w:val="ListHeading"/>
        <w:spacing w:before="0" w:after="0"/>
        <w:rPr>
          <w:rFonts w:ascii="times" w:hAnsi="times"/>
          <w:position w:val="7"/>
          <w:sz w:val="16"/>
          <w:sz w:val="20"/>
        </w:rPr>
      </w:pPr>
      <w:r>
        <w:rPr>
          <w:rFonts w:ascii="times" w:hAnsi="times"/>
          <w:position w:val="7"/>
          <w:sz w:val="16"/>
          <w:sz w:val="20"/>
        </w:rPr>
        <w:t>(6)</w:t>
      </w:r>
    </w:p>
    <w:p>
      <w:pPr>
        <w:pStyle w:val="ListContents"/>
        <w:spacing w:before="0" w:after="283"/>
        <w:rPr>
          <w:rFonts w:ascii="times" w:hAnsi="times"/>
          <w:sz w:val="20"/>
        </w:rPr>
      </w:pPr>
      <w:r>
        <w:rPr>
          <w:rFonts w:ascii="times" w:hAnsi="times"/>
          <w:sz w:val="20"/>
        </w:rPr>
        <w:t xml:space="preserve">Revenues and volumes were primarily impacted in 2007 by acquisitions. The Pacific acquisition was completed in November 2006 and contributed additional revenues of approximately $75 million and additional volumes of approximately 15 million barrels for 2007 compared to 2006. The acquisition of the Shafter processing facility in April 2006 resulted in additional processing revenues of approximately $19 million and additional volumes of approximately 6,000 barrels per day for 2007 compared to 2006. The Bumstead and Tirzah acquisitions in July 2007 and October 2007, respectively, in the aggregate contributed additional revenues of approximately $4 million and additional volumes of approximately 1 million barrels for 2007. </w:t>
      </w:r>
    </w:p>
    <w:p>
      <w:pPr>
        <w:pStyle w:val="ListHeading"/>
        <w:spacing w:before="0" w:after="0"/>
        <w:rPr>
          <w:rFonts w:ascii="times" w:hAnsi="times"/>
          <w:position w:val="7"/>
          <w:sz w:val="16"/>
          <w:sz w:val="20"/>
        </w:rPr>
      </w:pPr>
      <w:r>
        <w:rPr>
          <w:rFonts w:ascii="times" w:hAnsi="times"/>
          <w:position w:val="7"/>
          <w:sz w:val="16"/>
          <w:sz w:val="20"/>
        </w:rPr>
        <w:t>(7)</w:t>
      </w:r>
    </w:p>
    <w:p>
      <w:pPr>
        <w:pStyle w:val="ListContents"/>
        <w:spacing w:before="0" w:after="283"/>
        <w:rPr>
          <w:rFonts w:ascii="times" w:hAnsi="times"/>
          <w:sz w:val="20"/>
        </w:rPr>
      </w:pPr>
      <w:r>
        <w:rPr>
          <w:rFonts w:ascii="times" w:hAnsi="times"/>
          <w:sz w:val="20"/>
        </w:rPr>
        <w:t xml:space="preserve">Expansion projects also resulted in an increase in revenues and volumes in 2007 compared to 2006. The St. James and Kerrobert expansion projects were completed during 2007. Aggregate revenues and volumes for these facilities increased by approximately $12 million and approximately 3 million barrels, respectively, for 2007. </w:t>
      </w:r>
    </w:p>
    <w:p>
      <w:pPr>
        <w:pStyle w:val="TextBody"/>
        <w:jc w:val="center"/>
        <w:rPr>
          <w:rFonts w:ascii="times" w:hAnsi="times"/>
          <w:sz w:val="20"/>
        </w:rPr>
      </w:pPr>
      <w:r>
        <w:rPr>
          <w:rFonts w:ascii="times" w:hAnsi="times"/>
          <w:sz w:val="20"/>
        </w:rPr>
        <w:t>84</w:t>
      </w:r>
    </w:p>
    <w:p>
      <w:pPr>
        <w:pStyle w:val="HorizontalLine"/>
        <w:pBdr>
          <w:bottom w:val="single" w:sz="20" w:space="0" w:color="808080"/>
        </w:pBdr>
        <w:rPr/>
      </w:pPr>
      <w:r>
        <w:rPr/>
      </w:r>
      <w:r>
        <w:br w:type="page"/>
      </w:r>
    </w:p>
    <w:p>
      <w:pPr>
        <w:pStyle w:val="TextBody"/>
        <w:rPr/>
      </w:pPr>
      <w:hyperlink w:anchor="bg12101a_main_toc">
        <w:bookmarkStart w:id="115" w:name="page_dy12101_1_85"/>
        <w:bookmarkEnd w:id="115"/>
        <w:r>
          <w:rPr>
            <w:rStyle w:val="InternetLink"/>
            <w:rFonts w:ascii="times" w:hAnsi="times"/>
            <w:sz w:val="20"/>
          </w:rPr>
          <w:t>Table of Contents</w:t>
        </w:r>
      </w:hyperlink>
    </w:p>
    <w:p>
      <w:pPr>
        <w:pStyle w:val="TextBody"/>
        <w:rPr/>
      </w:pPr>
      <w:r>
        <w:rPr/>
        <w:t>        </w:t>
      </w:r>
      <w:r>
        <w:rPr>
          <w:rFonts w:ascii="times" w:hAnsi="times"/>
          <w:i/>
          <w:sz w:val="20"/>
        </w:rPr>
        <w:t>Field Operating Costs.</w:t>
      </w:r>
      <w:r>
        <w:rPr>
          <w:rFonts w:ascii="times" w:hAnsi="times"/>
        </w:rPr>
        <w:t>    </w:t>
      </w:r>
      <w:r>
        <w:rPr>
          <w:rFonts w:ascii="times" w:hAnsi="times"/>
          <w:sz w:val="20"/>
        </w:rPr>
        <w:t xml:space="preserve">Field operating costs (excluding equity compensation charges as discussed below) have increased in most categories for 2008 and 2007 due to various reasons including our continued growth through acquisitions, primarily related to the Tirzah and Bumstead acquisitions completed during 2007 and the additional tankage added at Cushing, St. James and Martinez in 2008 and 2007. The 2008 increased costs primarily relate to (i) payroll and benefits, (ii) utilities costs, which increased primarily due to increased usage as well as higher market prices, (iii) unplanned maintenance projects at several facilities and (iv) additional regulatory accruals. </w:t>
      </w:r>
    </w:p>
    <w:p>
      <w:pPr>
        <w:pStyle w:val="TextBody"/>
        <w:rPr/>
      </w:pPr>
      <w:r>
        <w:rPr/>
        <w:t>        </w:t>
      </w:r>
      <w:r>
        <w:rPr>
          <w:rFonts w:ascii="times" w:hAnsi="times"/>
          <w:sz w:val="20"/>
        </w:rPr>
        <w:t xml:space="preserve">The increase for 2007 compared to 2006 relates to the operating costs associated with the Shafter processing facility that was acquired in April 2006, the Pacific acquisition that was completed in November 2006, and the Bumstead and Tirzah acquisitions that were completed in July 2007 and October 2007, respectively, as well as the St. James expansion project that was ongoing throughout 2007. </w:t>
      </w:r>
    </w:p>
    <w:p>
      <w:pPr>
        <w:pStyle w:val="TextBody"/>
        <w:rPr/>
      </w:pPr>
      <w:r>
        <w:rPr/>
        <w:t>        </w:t>
      </w:r>
      <w:r>
        <w:rPr>
          <w:rFonts w:ascii="times" w:hAnsi="times"/>
          <w:i/>
          <w:sz w:val="20"/>
        </w:rPr>
        <w:t>General and Administrative Expenses.</w:t>
      </w:r>
      <w:r>
        <w:rPr>
          <w:rFonts w:ascii="times" w:hAnsi="times"/>
        </w:rPr>
        <w:t>    </w:t>
      </w:r>
      <w:r>
        <w:rPr>
          <w:rFonts w:ascii="times" w:hAnsi="times"/>
          <w:sz w:val="20"/>
        </w:rPr>
        <w:t xml:space="preserve">Our G&amp;A expenses (excluding equity compensation charges as discussed below) were impacted in 2007 and 2006 primarily as a result of acquisitions and expansions. </w:t>
      </w:r>
    </w:p>
    <w:p>
      <w:pPr>
        <w:pStyle w:val="TextBody"/>
        <w:rPr/>
      </w:pPr>
      <w:r>
        <w:rPr/>
        <w:t>        </w:t>
      </w:r>
      <w:r>
        <w:rPr>
          <w:rFonts w:ascii="times" w:hAnsi="times"/>
          <w:i/>
          <w:sz w:val="20"/>
        </w:rPr>
        <w:t>Equity Compensation Charges.</w:t>
      </w:r>
      <w:r>
        <w:rPr>
          <w:rFonts w:ascii="times" w:hAnsi="times"/>
        </w:rPr>
        <w:t>    </w:t>
      </w:r>
      <w:r>
        <w:rPr>
          <w:rFonts w:ascii="times" w:hAnsi="times"/>
          <w:sz w:val="20"/>
        </w:rPr>
        <w:t xml:space="preserve">Equity compensation charges decreased by approximately $4 million in 2008 compared to 2007 primarily as a result of the decrease in unit price for 2008 compared to the increase in unit price for 2007. The impact of the change in unit price was partially offset by additional LTIP grants that are considered probable of vesting and additional expense for Class B units. The Class B plan was not in existence for most of 2007. Equity compensation charges increased approximately $2 million in 2007 compared to 2006 principally as a result of additional LTIP grants. See Note 10 to our Consolidated Financial Statements. </w:t>
      </w:r>
    </w:p>
    <w:p>
      <w:pPr>
        <w:pStyle w:val="TextBody"/>
        <w:rPr/>
      </w:pPr>
      <w:r>
        <w:rPr/>
        <w:t>        </w:t>
      </w:r>
      <w:r>
        <w:rPr>
          <w:rFonts w:ascii="times" w:hAnsi="times"/>
          <w:i/>
          <w:sz w:val="20"/>
        </w:rPr>
        <w:t>Equity Earnings.</w:t>
      </w:r>
      <w:r>
        <w:rPr>
          <w:rFonts w:ascii="times" w:hAnsi="times"/>
        </w:rPr>
        <w:t>    </w:t>
      </w:r>
      <w:r>
        <w:rPr>
          <w:rFonts w:ascii="times" w:hAnsi="times"/>
          <w:sz w:val="20"/>
        </w:rPr>
        <w:t xml:space="preserve">Our facilities segment also includes our equity earnings from our investment in PAA/Vulcan. Our investment in PAA/Vulcan contributed approximately $4 million in additional earnings for 2007 compared to 2006, reflecting increased value for leased storage. </w:t>
      </w:r>
    </w:p>
    <w:p>
      <w:pPr>
        <w:pStyle w:val="TextBody"/>
        <w:rPr/>
      </w:pPr>
      <w:r>
        <w:rPr/>
        <w:t>        </w:t>
      </w:r>
      <w:r>
        <w:rPr>
          <w:rFonts w:ascii="times" w:hAnsi="times"/>
          <w:i/>
          <w:sz w:val="20"/>
        </w:rPr>
        <w:t>Maintenance Capital.</w:t>
      </w:r>
      <w:r>
        <w:rPr>
          <w:rFonts w:ascii="times" w:hAnsi="times"/>
        </w:rPr>
        <w:t>    </w:t>
      </w:r>
      <w:r>
        <w:rPr>
          <w:rFonts w:ascii="times" w:hAnsi="times"/>
          <w:sz w:val="20"/>
        </w:rPr>
        <w:t xml:space="preserve">Maintenance capital consists of capital investments for the replacement of partially or fully depreciated assets in order to maintain the service capability, level of production and/or functionality of our existing assets. The increase in maintenance capital for 2008 is primarily due to maintenance at various terminals, including the Martinez, Richmond, LA Basin and Cushing terminals. The increase in 2007 was primarily due to additional maintenance expenditures arising from the Pacific acquisition. </w:t>
      </w:r>
    </w:p>
    <w:p>
      <w:pPr>
        <w:pStyle w:val="TextBody"/>
        <w:numPr>
          <w:ilvl w:val="0"/>
          <w:numId w:val="0"/>
        </w:numPr>
        <w:ind w:left="707" w:hanging="0"/>
        <w:rPr>
          <w:rFonts w:ascii="times" w:hAnsi="times"/>
          <w:b/>
          <w:sz w:val="20"/>
        </w:rPr>
      </w:pPr>
      <w:r>
        <w:rPr>
          <w:rFonts w:ascii="times" w:hAnsi="times"/>
          <w:b/>
          <w:sz w:val="20"/>
        </w:rPr>
        <w:t xml:space="preserve">Marketing Segment </w:t>
      </w:r>
    </w:p>
    <w:p>
      <w:pPr>
        <w:pStyle w:val="TextBody"/>
        <w:rPr/>
      </w:pPr>
      <w:r>
        <w:rPr/>
        <w:t>        </w:t>
      </w:r>
      <w:r>
        <w:rPr>
          <w:rFonts w:ascii="times" w:hAnsi="times"/>
          <w:sz w:val="20"/>
        </w:rPr>
        <w:t xml:space="preserve">Our revenues from marketing activities reflect the sale of gathered and bulk-purchased crude oil, refined products and LPG volumes. These revenues also include the sale of additional barrels exchanged through buy/sell arrangements entered into to supplement the margins of the gathered and bulk-purchased volumes. 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We do not anticipate that future changes in revenues will be a primary driver of segment profit. Generally, we expect our segment profit to increase or decrease directionally with increases or decreases in our marketing segment volumes (which consist of (i) lease gathered crude oil purchase volumes, (ii) refined products volumes, (iii) LPG sales volumes and (iv) waterborne foreign crude oil imported) as well as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w:t>
      </w:r>
    </w:p>
    <w:p>
      <w:pPr>
        <w:pStyle w:val="TextBody"/>
        <w:jc w:val="center"/>
        <w:rPr>
          <w:rFonts w:ascii="times" w:hAnsi="times"/>
          <w:sz w:val="20"/>
        </w:rPr>
      </w:pPr>
      <w:r>
        <w:rPr>
          <w:rFonts w:ascii="times" w:hAnsi="times"/>
          <w:sz w:val="20"/>
        </w:rPr>
        <w:t>85</w:t>
      </w:r>
    </w:p>
    <w:p>
      <w:pPr>
        <w:pStyle w:val="HorizontalLine"/>
        <w:pBdr>
          <w:bottom w:val="single" w:sz="20" w:space="0" w:color="808080"/>
        </w:pBdr>
        <w:rPr/>
      </w:pPr>
      <w:r>
        <w:rPr/>
      </w:r>
      <w:r>
        <w:br w:type="page"/>
      </w:r>
    </w:p>
    <w:p>
      <w:pPr>
        <w:pStyle w:val="TextBody"/>
        <w:rPr/>
      </w:pPr>
      <w:hyperlink w:anchor="bg12101a_main_toc">
        <w:bookmarkStart w:id="116" w:name="page_dy12101_1_86"/>
        <w:bookmarkEnd w:id="11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combination of our lease gathered business and our risk management activities provides a counter-cyclical balance that provides stability in our margins, these margins are not fixed and will vary from period to period. </w:t>
      </w:r>
    </w:p>
    <w:p>
      <w:pPr>
        <w:pStyle w:val="TextBody"/>
        <w:rPr/>
      </w:pPr>
      <w:r>
        <w:rPr/>
        <w:t>        </w:t>
      </w:r>
      <w:r>
        <w:rPr>
          <w:rFonts w:ascii="times" w:hAnsi="times"/>
          <w:sz w:val="20"/>
        </w:rPr>
        <w:t xml:space="preserve">The following table sets forth our operating results from our marketing segment for the periods indicated: </w:t>
      </w:r>
    </w:p>
    <w:tbl>
      <w:tblPr>
        <w:tblW w:w="8335" w:type="dxa"/>
        <w:jc w:val="center"/>
        <w:tblInd w:w="0" w:type="dxa"/>
        <w:tblCellMar>
          <w:top w:w="0" w:type="dxa"/>
          <w:left w:w="0" w:type="dxa"/>
          <w:bottom w:w="0" w:type="dxa"/>
          <w:right w:w="0" w:type="dxa"/>
        </w:tblCellMar>
      </w:tblPr>
      <w:tblGrid>
        <w:gridCol w:w="3390"/>
        <w:gridCol w:w="180"/>
        <w:gridCol w:w="95"/>
        <w:gridCol w:w="470"/>
        <w:gridCol w:w="195"/>
        <w:gridCol w:w="95"/>
        <w:gridCol w:w="470"/>
        <w:gridCol w:w="195"/>
        <w:gridCol w:w="95"/>
        <w:gridCol w:w="470"/>
        <w:gridCol w:w="195"/>
        <w:gridCol w:w="95"/>
        <w:gridCol w:w="395"/>
        <w:gridCol w:w="195"/>
        <w:gridCol w:w="60"/>
        <w:gridCol w:w="215"/>
        <w:gridCol w:w="245"/>
        <w:gridCol w:w="95"/>
        <w:gridCol w:w="395"/>
        <w:gridCol w:w="195"/>
        <w:gridCol w:w="60"/>
        <w:gridCol w:w="290"/>
        <w:gridCol w:w="245"/>
      </w:tblGrid>
      <w:tr>
        <w:trPr/>
        <w:tc>
          <w:tcPr>
            <w:tcW w:w="33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39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65"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565"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565" w:type="dxa"/>
            <w:gridSpan w:val="2"/>
            <w:tcBorders/>
            <w:shd w:fill="auto" w:val="clear"/>
            <w:vAlign w:val="bottom"/>
          </w:tcPr>
          <w:p>
            <w:pPr>
              <w:pStyle w:val="TableHeading"/>
              <w:spacing w:before="0" w:after="283"/>
              <w:jc w:val="left"/>
              <w:rPr/>
            </w:pPr>
            <w:r>
              <w:rPr/>
              <w:t> </w:t>
            </w:r>
          </w:p>
        </w:tc>
        <w:tc>
          <w:tcPr>
            <w:tcW w:w="195" w:type="dxa"/>
            <w:vMerge w:val="restart"/>
            <w:tcBorders/>
            <w:shd w:fill="auto" w:val="clear"/>
            <w:vAlign w:val="bottom"/>
          </w:tcPr>
          <w:p>
            <w:pPr>
              <w:pStyle w:val="TableHeading"/>
              <w:suppressLineNumbers/>
              <w:spacing w:before="0" w:after="283"/>
              <w:jc w:val="center"/>
              <w:rPr/>
            </w:pPr>
            <w:r>
              <w:rPr/>
              <w:t> </w:t>
            </w:r>
          </w:p>
        </w:tc>
        <w:tc>
          <w:tcPr>
            <w:tcW w:w="2240"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 (Unfavorable) </w:t>
            </w:r>
          </w:p>
        </w:tc>
        <w:tc>
          <w:tcPr>
            <w:tcW w:w="245" w:type="dxa"/>
            <w:tcBorders/>
            <w:shd w:fill="auto" w:val="clear"/>
            <w:vAlign w:val="bottom"/>
          </w:tcPr>
          <w:p>
            <w:pPr>
              <w:pStyle w:val="TableHeading"/>
              <w:suppressLineNumbers/>
              <w:spacing w:before="0" w:after="283"/>
              <w:jc w:val="center"/>
              <w:rPr/>
            </w:pPr>
            <w:r>
              <w:rPr/>
              <w:t> </w:t>
            </w:r>
          </w:p>
        </w:tc>
      </w:tr>
      <w:tr>
        <w:trPr/>
        <w:tc>
          <w:tcPr>
            <w:tcW w:w="3390" w:type="dxa"/>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2085"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Year Ended</w:t>
              <w:br/>
              <w:t xml:space="preserve">December 31, </w:t>
            </w:r>
          </w:p>
        </w:tc>
        <w:tc>
          <w:tcPr>
            <w:tcW w:w="195" w:type="dxa"/>
            <w:vMerge w:val="continue"/>
            <w:tcBorders/>
            <w:shd w:fill="auto" w:val="clear"/>
            <w:vAlign w:val="bottom"/>
          </w:tcPr>
          <w:p>
            <w:pPr>
              <w:pStyle w:val="Normal"/>
              <w:rPr/>
            </w:pPr>
            <w:r>
              <w:rPr/>
            </w:r>
          </w:p>
        </w:tc>
        <w:tc>
          <w:tcPr>
            <w:tcW w:w="2240" w:type="dxa"/>
            <w:gridSpan w:val="11"/>
            <w:vMerge w:val="continue"/>
            <w:tcBorders>
              <w:bottom w:val="single" w:sz="8" w:space="0" w:color="000000"/>
            </w:tcBorders>
            <w:shd w:fill="auto" w:val="clear"/>
            <w:tcMar>
              <w:bottom w:w="28" w:type="dxa"/>
            </w:tcMar>
            <w:vAlign w:val="bottom"/>
          </w:tcPr>
          <w:p>
            <w:pPr>
              <w:pStyle w:val="Normal"/>
              <w:rPr/>
            </w:pPr>
            <w:r>
              <w:rPr/>
            </w:r>
          </w:p>
        </w:tc>
        <w:tc>
          <w:tcPr>
            <w:tcW w:w="245" w:type="dxa"/>
            <w:tcBorders/>
            <w:shd w:fill="auto" w:val="clear"/>
            <w:vAlign w:val="bottom"/>
          </w:tcPr>
          <w:p>
            <w:pPr>
              <w:pStyle w:val="TableHeading"/>
              <w:suppressLineNumbers/>
              <w:spacing w:before="0" w:after="283"/>
              <w:jc w:val="center"/>
              <w:rPr/>
            </w:pPr>
            <w:r>
              <w:rPr/>
              <w:t> </w:t>
            </w:r>
          </w:p>
        </w:tc>
      </w:tr>
      <w:tr>
        <w:trPr/>
        <w:tc>
          <w:tcPr>
            <w:tcW w:w="3390" w:type="dxa"/>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2085" w:type="dxa"/>
            <w:gridSpan w:val="8"/>
            <w:vMerge w:val="continue"/>
            <w:tcBorders>
              <w:bottom w:val="single" w:sz="8" w:space="0" w:color="000000"/>
            </w:tcBorders>
            <w:shd w:fill="auto" w:val="clear"/>
            <w:tcMar>
              <w:bottom w:w="28" w:type="dxa"/>
            </w:tcMar>
            <w:vAlign w:val="bottom"/>
          </w:tcPr>
          <w:p>
            <w:pPr>
              <w:pStyle w:val="Normal"/>
              <w:rPr/>
            </w:pPr>
            <w:r>
              <w:rPr/>
            </w:r>
          </w:p>
        </w:tc>
        <w:tc>
          <w:tcPr>
            <w:tcW w:w="195" w:type="dxa"/>
            <w:tcBorders/>
            <w:shd w:fill="auto" w:val="clear"/>
            <w:vAlign w:val="bottom"/>
          </w:tcPr>
          <w:p>
            <w:pPr>
              <w:pStyle w:val="TableHeading"/>
              <w:suppressLineNumbers/>
              <w:spacing w:before="0" w:after="283"/>
              <w:jc w:val="center"/>
              <w:rPr/>
            </w:pPr>
            <w:r>
              <w:rPr/>
              <w:t> </w:t>
            </w:r>
          </w:p>
        </w:tc>
        <w:tc>
          <w:tcPr>
            <w:tcW w:w="96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2008-2007 </w:t>
            </w:r>
          </w:p>
        </w:tc>
        <w:tc>
          <w:tcPr>
            <w:tcW w:w="245" w:type="dxa"/>
            <w:tcBorders/>
            <w:shd w:fill="auto" w:val="clear"/>
            <w:vAlign w:val="bottom"/>
          </w:tcPr>
          <w:p>
            <w:pPr>
              <w:pStyle w:val="TableHeading"/>
              <w:suppressLineNumbers/>
              <w:spacing w:before="0" w:after="283"/>
              <w:jc w:val="center"/>
              <w:rPr/>
            </w:pPr>
            <w:r>
              <w:rPr/>
              <w:t> </w:t>
            </w:r>
          </w:p>
        </w:tc>
        <w:tc>
          <w:tcPr>
            <w:tcW w:w="103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2007-2006 </w:t>
            </w:r>
          </w:p>
        </w:tc>
        <w:tc>
          <w:tcPr>
            <w:tcW w:w="245" w:type="dxa"/>
            <w:tcBorders/>
            <w:shd w:fill="auto" w:val="clear"/>
            <w:vAlign w:val="bottom"/>
          </w:tcPr>
          <w:p>
            <w:pPr>
              <w:pStyle w:val="TableHeading"/>
              <w:suppressLineNumbers/>
              <w:spacing w:before="0" w:after="283"/>
              <w:jc w:val="center"/>
              <w:rPr/>
            </w:pPr>
            <w:r>
              <w:rPr/>
              <w:t> </w:t>
            </w:r>
          </w:p>
        </w:tc>
      </w:tr>
      <w:tr>
        <w:trPr/>
        <w:tc>
          <w:tcPr>
            <w:tcW w:w="339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Operating Results</w:t>
            </w:r>
            <w:r>
              <w:rPr>
                <w:rFonts w:ascii="times" w:hAnsi="times"/>
                <w:b/>
                <w:position w:val="5"/>
                <w:sz w:val="11"/>
                <w:sz w:val="14"/>
                <w:bdr w:val="single" w:sz="8" w:space="1" w:color="000000"/>
              </w:rPr>
              <w:t>(1)</w:t>
            </w:r>
            <w:r>
              <w:rPr>
                <w:rFonts w:ascii="times" w:hAnsi="times"/>
                <w:b/>
                <w:sz w:val="14"/>
                <w:bdr w:val="single" w:sz="8" w:space="1" w:color="000000"/>
              </w:rPr>
              <w:br/>
              <w:t xml:space="preserve">(in millions, except per barrel amounts) </w:t>
            </w:r>
          </w:p>
        </w:tc>
        <w:tc>
          <w:tcPr>
            <w:tcW w:w="180" w:type="dxa"/>
            <w:tcBorders/>
            <w:shd w:fill="auto" w:val="clear"/>
            <w:vAlign w:val="bottom"/>
          </w:tcPr>
          <w:p>
            <w:pPr>
              <w:pStyle w:val="TableHeading"/>
              <w:suppressLineNumbers/>
              <w:spacing w:before="0" w:after="283"/>
              <w:jc w:val="center"/>
              <w:rPr/>
            </w:pPr>
            <w:r>
              <w:rPr/>
              <w:t> </w:t>
            </w:r>
          </w:p>
        </w:tc>
        <w:tc>
          <w:tcPr>
            <w:tcW w:w="5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5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5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49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2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c>
          <w:tcPr>
            <w:tcW w:w="49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95" w:type="dxa"/>
            <w:tcBorders/>
            <w:shd w:fill="auto" w:val="clear"/>
            <w:vAlign w:val="bottom"/>
          </w:tcPr>
          <w:p>
            <w:pPr>
              <w:pStyle w:val="TableHeading"/>
              <w:suppressLineNumbers/>
              <w:spacing w:before="0" w:after="283"/>
              <w:jc w:val="center"/>
              <w:rPr/>
            </w:pPr>
            <w:r>
              <w:rPr/>
              <w:t> </w:t>
            </w:r>
          </w:p>
        </w:tc>
        <w:tc>
          <w:tcPr>
            <w:tcW w:w="3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r>
      <w:tr>
        <w:trPr/>
        <w:tc>
          <w:tcPr>
            <w:tcW w:w="339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Revenues</w:t>
            </w:r>
            <w:r>
              <w:rPr>
                <w:rFonts w:ascii="times" w:hAnsi="times"/>
                <w:position w:val="5"/>
                <w:sz w:val="11"/>
                <w:sz w:val="14"/>
              </w:rPr>
              <w:t>(2)(3)</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29,350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19,858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22,061</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9,492</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48</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(2,203</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39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Purchases and related costs</w:t>
            </w:r>
            <w:r>
              <w:rPr>
                <w:rFonts w:ascii="times" w:hAnsi="times"/>
                <w:position w:val="5"/>
                <w:sz w:val="11"/>
                <w:sz w:val="14"/>
              </w:rPr>
              <w:t>(4)(5)</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(28,873</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(19,366</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(21,641</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(9,507</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(49</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2,275</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39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Field operating costs</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(185</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(154</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(137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(31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(12</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39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G&amp;A expenses (excluding equity compensation charge)</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(63</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(52</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(39</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39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compensation chargegeneral and administrative</w:t>
            </w:r>
            <w:r>
              <w:rPr>
                <w:rFonts w:ascii="times" w:hAnsi="times"/>
                <w:position w:val="5"/>
                <w:sz w:val="11"/>
                <w:sz w:val="14"/>
              </w:rPr>
              <w:t>(6)</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(8</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53</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39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9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9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39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w:t>
            </w:r>
            <w:r>
              <w:rPr>
                <w:rFonts w:ascii="times" w:hAnsi="times"/>
                <w:position w:val="5"/>
                <w:sz w:val="11"/>
                <w:sz w:val="14"/>
              </w:rPr>
              <w:t>(3)</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221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269</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228</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(48</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(18</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41</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18</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39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39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gains/(losses) related to inventory valuation adjustments and derivative activities</w:t>
            </w:r>
            <w:r>
              <w:rPr>
                <w:rFonts w:ascii="times" w:hAnsi="times"/>
                <w:position w:val="5"/>
                <w:sz w:val="11"/>
                <w:sz w:val="14"/>
              </w:rPr>
              <w:t>(3)</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(27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85</w:t>
            </w:r>
          </w:p>
        </w:tc>
        <w:tc>
          <w:tcPr>
            <w:tcW w:w="245" w:type="dxa"/>
            <w:tcBorders/>
            <w:shd w:fill="CCEEFF" w:val="clear"/>
            <w:vAlign w:val="bottom"/>
          </w:tcPr>
          <w:p>
            <w:pPr>
              <w:pStyle w:val="TableContents"/>
              <w:spacing w:before="0" w:after="283"/>
              <w:rPr/>
            </w:pPr>
            <w:r>
              <w:rPr/>
              <w:t>  </w:t>
            </w: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(575)</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39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390"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1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rFonts w:ascii="times" w:hAnsi="times"/>
                <w:sz w:val="14"/>
              </w:rPr>
            </w:pPr>
            <w:r>
              <w:rPr>
                <w:rFonts w:ascii="times" w:hAnsi="times"/>
                <w:sz w:val="14"/>
              </w:rPr>
              <w:t>(33</w:t>
            </w:r>
          </w:p>
        </w:tc>
        <w:tc>
          <w:tcPr>
            <w:tcW w:w="24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1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jc w:val="right"/>
              <w:rPr>
                <w:rFonts w:ascii="times" w:hAnsi="times"/>
                <w:sz w:val="14"/>
              </w:rPr>
            </w:pPr>
            <w:r>
              <w:rPr>
                <w:rFonts w:ascii="times" w:hAnsi="times"/>
                <w:sz w:val="14"/>
              </w:rPr>
              <w:t>100</w:t>
            </w:r>
          </w:p>
        </w:tc>
        <w:tc>
          <w:tcPr>
            <w:tcW w:w="245" w:type="dxa"/>
            <w:tcBorders/>
            <w:shd w:fill="FFFFFF" w:val="clear"/>
            <w:vAlign w:val="bottom"/>
          </w:tcPr>
          <w:p>
            <w:pPr>
              <w:pStyle w:val="TableContents"/>
              <w:spacing w:before="0" w:after="283"/>
              <w:rPr/>
            </w:pPr>
            <w:r>
              <w:rPr/>
              <w:t>  </w:t>
            </w:r>
            <w:r>
              <w:rPr>
                <w:rFonts w:ascii="times" w:hAnsi="times"/>
                <w:sz w:val="14"/>
              </w:rPr>
              <w:t>%</w:t>
            </w:r>
          </w:p>
        </w:tc>
      </w:tr>
      <w:tr>
        <w:trPr/>
        <w:tc>
          <w:tcPr>
            <w:tcW w:w="339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r>
        <w:trPr/>
        <w:tc>
          <w:tcPr>
            <w:tcW w:w="3390"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Segment profit per barrel</w:t>
            </w:r>
            <w:r>
              <w:rPr>
                <w:rFonts w:ascii="times" w:hAnsi="times"/>
                <w:position w:val="5"/>
                <w:sz w:val="11"/>
                <w:sz w:val="14"/>
              </w:rPr>
              <w:t>(7)</w:t>
            </w:r>
          </w:p>
        </w:tc>
        <w:tc>
          <w:tcPr>
            <w:tcW w:w="1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0.70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0.86</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0" w:type="dxa"/>
            <w:tcBorders/>
            <w:shd w:fill="CCEEFF" w:val="clear"/>
            <w:vAlign w:val="bottom"/>
          </w:tcPr>
          <w:p>
            <w:pPr>
              <w:pStyle w:val="TableContents"/>
              <w:spacing w:before="0" w:after="283"/>
              <w:jc w:val="right"/>
              <w:rPr>
                <w:rFonts w:ascii="times" w:hAnsi="times"/>
                <w:sz w:val="14"/>
              </w:rPr>
            </w:pPr>
            <w:r>
              <w:rPr>
                <w:rFonts w:ascii="times" w:hAnsi="times"/>
                <w:sz w:val="14"/>
              </w:rPr>
              <w:t>0.80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(0.16</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rFonts w:ascii="times" w:hAnsi="times"/>
                <w:sz w:val="14"/>
              </w:rPr>
            </w:pPr>
            <w:r>
              <w:rPr>
                <w:rFonts w:ascii="times" w:hAnsi="times"/>
                <w:sz w:val="14"/>
              </w:rPr>
              <w:t>(19</w:t>
            </w:r>
          </w:p>
        </w:tc>
        <w:tc>
          <w:tcPr>
            <w:tcW w:w="24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95" w:type="dxa"/>
            <w:tcBorders/>
            <w:shd w:fill="CCEEFF" w:val="clear"/>
            <w:vAlign w:val="bottom"/>
          </w:tcPr>
          <w:p>
            <w:pPr>
              <w:pStyle w:val="TableContents"/>
              <w:spacing w:before="0" w:after="283"/>
              <w:jc w:val="right"/>
              <w:rPr>
                <w:rFonts w:ascii="times" w:hAnsi="times"/>
                <w:sz w:val="14"/>
              </w:rPr>
            </w:pPr>
            <w:r>
              <w:rPr>
                <w:rFonts w:ascii="times" w:hAnsi="times"/>
                <w:sz w:val="14"/>
              </w:rPr>
              <w:t>0.06</w:t>
            </w:r>
          </w:p>
        </w:tc>
        <w:tc>
          <w:tcPr>
            <w:tcW w:w="1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245" w:type="dxa"/>
            <w:tcBorders/>
            <w:shd w:fill="CCEEFF" w:val="clear"/>
            <w:vAlign w:val="bottom"/>
          </w:tcPr>
          <w:p>
            <w:pPr>
              <w:pStyle w:val="TableContents"/>
              <w:spacing w:before="0" w:after="283"/>
              <w:rPr/>
            </w:pPr>
            <w:r>
              <w:rPr/>
              <w:t>  </w:t>
            </w:r>
            <w:r>
              <w:rPr>
                <w:rFonts w:ascii="times" w:hAnsi="times"/>
                <w:sz w:val="14"/>
              </w:rPr>
              <w:t>%</w:t>
            </w:r>
          </w:p>
        </w:tc>
      </w:tr>
      <w:tr>
        <w:trPr/>
        <w:tc>
          <w:tcPr>
            <w:tcW w:w="339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7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49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r>
    </w:tbl>
    <w:p>
      <w:pPr>
        <w:pStyle w:val="TextBody"/>
        <w:rPr/>
      </w:pPr>
      <w:r>
        <w:rPr/>
        <w:t> </w:t>
      </w:r>
    </w:p>
    <w:tbl>
      <w:tblPr>
        <w:tblW w:w="7973" w:type="dxa"/>
        <w:jc w:val="center"/>
        <w:tblInd w:w="0" w:type="dxa"/>
        <w:tblCellMar>
          <w:top w:w="0" w:type="dxa"/>
          <w:left w:w="0" w:type="dxa"/>
          <w:bottom w:w="0" w:type="dxa"/>
          <w:right w:w="0" w:type="dxa"/>
        </w:tblCellMar>
      </w:tblPr>
      <w:tblGrid>
        <w:gridCol w:w="120"/>
        <w:gridCol w:w="3315"/>
        <w:gridCol w:w="180"/>
        <w:gridCol w:w="60"/>
        <w:gridCol w:w="390"/>
        <w:gridCol w:w="195"/>
        <w:gridCol w:w="60"/>
        <w:gridCol w:w="390"/>
        <w:gridCol w:w="195"/>
        <w:gridCol w:w="60"/>
        <w:gridCol w:w="390"/>
        <w:gridCol w:w="195"/>
        <w:gridCol w:w="121"/>
        <w:gridCol w:w="438"/>
        <w:gridCol w:w="195"/>
        <w:gridCol w:w="60"/>
        <w:gridCol w:w="245"/>
        <w:gridCol w:w="245"/>
        <w:gridCol w:w="145"/>
        <w:gridCol w:w="414"/>
        <w:gridCol w:w="195"/>
        <w:gridCol w:w="60"/>
        <w:gridCol w:w="180"/>
        <w:gridCol w:w="125"/>
      </w:tblGrid>
      <w:tr>
        <w:trPr/>
        <w:tc>
          <w:tcPr>
            <w:tcW w:w="120" w:type="dxa"/>
            <w:tcBorders/>
            <w:shd w:fill="auto" w:val="clear"/>
            <w:vAlign w:val="center"/>
          </w:tcPr>
          <w:p>
            <w:pPr>
              <w:pStyle w:val="TableContents"/>
              <w:spacing w:before="0" w:after="283"/>
              <w:rPr>
                <w:sz w:val="4"/>
                <w:szCs w:val="4"/>
              </w:rPr>
            </w:pPr>
            <w:r>
              <w:rPr>
                <w:sz w:val="4"/>
                <w:szCs w:val="4"/>
              </w:rPr>
            </w:r>
          </w:p>
        </w:tc>
        <w:tc>
          <w:tcPr>
            <w:tcW w:w="33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343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50"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450" w:type="dxa"/>
            <w:gridSpan w:val="2"/>
            <w:tcBorders/>
            <w:shd w:fill="auto" w:val="clear"/>
            <w:vAlign w:val="bottom"/>
          </w:tcPr>
          <w:p>
            <w:pPr>
              <w:pStyle w:val="TableHeading"/>
              <w:spacing w:before="0" w:after="283"/>
              <w:jc w:val="left"/>
              <w:rPr/>
            </w:pPr>
            <w:r>
              <w:rPr/>
              <w:t> </w:t>
            </w:r>
          </w:p>
        </w:tc>
        <w:tc>
          <w:tcPr>
            <w:tcW w:w="195" w:type="dxa"/>
            <w:tcBorders/>
            <w:shd w:fill="auto" w:val="clear"/>
            <w:vAlign w:val="bottom"/>
          </w:tcPr>
          <w:p>
            <w:pPr>
              <w:pStyle w:val="TableHeading"/>
              <w:suppressLineNumbers/>
              <w:spacing w:before="0" w:after="283"/>
              <w:jc w:val="center"/>
              <w:rPr/>
            </w:pPr>
            <w:r>
              <w:rPr/>
              <w:t> </w:t>
            </w:r>
          </w:p>
        </w:tc>
        <w:tc>
          <w:tcPr>
            <w:tcW w:w="450" w:type="dxa"/>
            <w:gridSpan w:val="2"/>
            <w:tcBorders/>
            <w:shd w:fill="auto" w:val="clear"/>
            <w:vAlign w:val="bottom"/>
          </w:tcPr>
          <w:p>
            <w:pPr>
              <w:pStyle w:val="TableHeading"/>
              <w:spacing w:before="0" w:after="283"/>
              <w:jc w:val="left"/>
              <w:rPr/>
            </w:pPr>
            <w:r>
              <w:rPr/>
              <w:t> </w:t>
            </w:r>
          </w:p>
        </w:tc>
        <w:tc>
          <w:tcPr>
            <w:tcW w:w="195" w:type="dxa"/>
            <w:vMerge w:val="restart"/>
            <w:tcBorders/>
            <w:shd w:fill="auto" w:val="clear"/>
            <w:vAlign w:val="bottom"/>
          </w:tcPr>
          <w:p>
            <w:pPr>
              <w:pStyle w:val="TableHeading"/>
              <w:suppressLineNumbers/>
              <w:spacing w:before="0" w:after="283"/>
              <w:jc w:val="center"/>
              <w:rPr/>
            </w:pPr>
            <w:r>
              <w:rPr/>
              <w:t> </w:t>
            </w:r>
          </w:p>
        </w:tc>
        <w:tc>
          <w:tcPr>
            <w:tcW w:w="2298"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Favorable (Unfavorable) </w:t>
            </w:r>
          </w:p>
        </w:tc>
        <w:tc>
          <w:tcPr>
            <w:tcW w:w="125" w:type="dxa"/>
            <w:tcBorders/>
            <w:shd w:fill="auto" w:val="clear"/>
            <w:vAlign w:val="bottom"/>
          </w:tcPr>
          <w:p>
            <w:pPr>
              <w:pStyle w:val="TableHeading"/>
              <w:suppressLineNumbers/>
              <w:spacing w:before="0" w:after="283"/>
              <w:jc w:val="center"/>
              <w:rPr/>
            </w:pPr>
            <w:r>
              <w:rPr/>
              <w:t> </w:t>
            </w:r>
          </w:p>
        </w:tc>
      </w:tr>
      <w:tr>
        <w:trPr/>
        <w:tc>
          <w:tcPr>
            <w:tcW w:w="3435" w:type="dxa"/>
            <w:gridSpan w:val="2"/>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740"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For the Year Ended</w:t>
              <w:br/>
              <w:t xml:space="preserve">December 31, </w:t>
            </w:r>
          </w:p>
        </w:tc>
        <w:tc>
          <w:tcPr>
            <w:tcW w:w="195" w:type="dxa"/>
            <w:vMerge w:val="continue"/>
            <w:tcBorders/>
            <w:shd w:fill="auto" w:val="clear"/>
            <w:vAlign w:val="bottom"/>
          </w:tcPr>
          <w:p>
            <w:pPr>
              <w:pStyle w:val="Normal"/>
              <w:rPr/>
            </w:pPr>
            <w:r>
              <w:rPr/>
            </w:r>
          </w:p>
        </w:tc>
        <w:tc>
          <w:tcPr>
            <w:tcW w:w="2298" w:type="dxa"/>
            <w:gridSpan w:val="11"/>
            <w:vMerge w:val="continue"/>
            <w:tcBorders>
              <w:bottom w:val="single" w:sz="8" w:space="0" w:color="000000"/>
            </w:tcBorders>
            <w:shd w:fill="auto" w:val="clear"/>
            <w:tcMar>
              <w:bottom w:w="28" w:type="dxa"/>
            </w:tcMar>
            <w:vAlign w:val="bottom"/>
          </w:tcPr>
          <w:p>
            <w:pPr>
              <w:pStyle w:val="Normal"/>
              <w:rPr/>
            </w:pPr>
            <w:r>
              <w:rPr/>
            </w:r>
          </w:p>
        </w:tc>
        <w:tc>
          <w:tcPr>
            <w:tcW w:w="125" w:type="dxa"/>
            <w:tcBorders/>
            <w:shd w:fill="auto" w:val="clear"/>
            <w:vAlign w:val="bottom"/>
          </w:tcPr>
          <w:p>
            <w:pPr>
              <w:pStyle w:val="TableHeading"/>
              <w:suppressLineNumbers/>
              <w:spacing w:before="0" w:after="283"/>
              <w:jc w:val="center"/>
              <w:rPr/>
            </w:pPr>
            <w:r>
              <w:rPr/>
              <w:t> </w:t>
            </w:r>
          </w:p>
        </w:tc>
      </w:tr>
      <w:tr>
        <w:trPr/>
        <w:tc>
          <w:tcPr>
            <w:tcW w:w="3435" w:type="dxa"/>
            <w:gridSpan w:val="2"/>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740" w:type="dxa"/>
            <w:gridSpan w:val="8"/>
            <w:vMerge w:val="continue"/>
            <w:tcBorders>
              <w:bottom w:val="single" w:sz="8" w:space="0" w:color="000000"/>
            </w:tcBorders>
            <w:shd w:fill="auto" w:val="clear"/>
            <w:tcMar>
              <w:bottom w:w="28" w:type="dxa"/>
            </w:tcMar>
            <w:vAlign w:val="bottom"/>
          </w:tcPr>
          <w:p>
            <w:pPr>
              <w:pStyle w:val="Normal"/>
              <w:rPr/>
            </w:pPr>
            <w:r>
              <w:rPr/>
            </w:r>
          </w:p>
        </w:tc>
        <w:tc>
          <w:tcPr>
            <w:tcW w:w="195" w:type="dxa"/>
            <w:tcBorders/>
            <w:shd w:fill="auto" w:val="clear"/>
            <w:vAlign w:val="bottom"/>
          </w:tcPr>
          <w:p>
            <w:pPr>
              <w:pStyle w:val="TableHeading"/>
              <w:suppressLineNumbers/>
              <w:spacing w:before="0" w:after="283"/>
              <w:jc w:val="center"/>
              <w:rPr/>
            </w:pPr>
            <w:r>
              <w:rPr/>
              <w:t> </w:t>
            </w:r>
          </w:p>
        </w:tc>
        <w:tc>
          <w:tcPr>
            <w:tcW w:w="105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2008-2007 </w:t>
            </w:r>
          </w:p>
        </w:tc>
        <w:tc>
          <w:tcPr>
            <w:tcW w:w="245" w:type="dxa"/>
            <w:tcBorders/>
            <w:shd w:fill="auto" w:val="clear"/>
            <w:vAlign w:val="bottom"/>
          </w:tcPr>
          <w:p>
            <w:pPr>
              <w:pStyle w:val="TableHeading"/>
              <w:suppressLineNumbers/>
              <w:spacing w:before="0" w:after="283"/>
              <w:jc w:val="center"/>
              <w:rPr/>
            </w:pPr>
            <w:r>
              <w:rPr/>
              <w:t> </w:t>
            </w:r>
          </w:p>
        </w:tc>
        <w:tc>
          <w:tcPr>
            <w:tcW w:w="99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2007-2006 </w:t>
            </w:r>
          </w:p>
        </w:tc>
        <w:tc>
          <w:tcPr>
            <w:tcW w:w="125" w:type="dxa"/>
            <w:tcBorders/>
            <w:shd w:fill="auto" w:val="clear"/>
            <w:vAlign w:val="bottom"/>
          </w:tcPr>
          <w:p>
            <w:pPr>
              <w:pStyle w:val="TableHeading"/>
              <w:suppressLineNumbers/>
              <w:spacing w:before="0" w:after="283"/>
              <w:jc w:val="center"/>
              <w:rPr/>
            </w:pPr>
            <w:r>
              <w:rPr/>
              <w:t> </w:t>
            </w:r>
          </w:p>
        </w:tc>
      </w:tr>
      <w:tr>
        <w:trPr/>
        <w:tc>
          <w:tcPr>
            <w:tcW w:w="343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Average Daily Volumes</w:t>
            </w:r>
            <w:r>
              <w:rPr>
                <w:rFonts w:ascii="times" w:hAnsi="times"/>
                <w:b/>
                <w:position w:val="5"/>
                <w:sz w:val="11"/>
                <w:sz w:val="14"/>
                <w:bdr w:val="single" w:sz="8" w:space="1" w:color="000000"/>
              </w:rPr>
              <w:t>(8)</w:t>
            </w:r>
            <w:r>
              <w:rPr>
                <w:rFonts w:ascii="times" w:hAnsi="times"/>
                <w:b/>
                <w:sz w:val="14"/>
                <w:bdr w:val="single" w:sz="8" w:space="1" w:color="000000"/>
              </w:rPr>
              <w:br/>
              <w:t xml:space="preserve">(in thousands of barrels per day) </w:t>
            </w:r>
          </w:p>
        </w:tc>
        <w:tc>
          <w:tcPr>
            <w:tcW w:w="180" w:type="dxa"/>
            <w:tcBorders/>
            <w:shd w:fill="auto" w:val="clear"/>
            <w:vAlign w:val="bottom"/>
          </w:tcPr>
          <w:p>
            <w:pPr>
              <w:pStyle w:val="TableHeading"/>
              <w:suppressLineNumbers/>
              <w:spacing w:before="0" w:after="283"/>
              <w:jc w:val="center"/>
              <w:rPr/>
            </w:pPr>
            <w:r>
              <w:rPr/>
              <w:t> </w:t>
            </w:r>
          </w:p>
        </w:tc>
        <w:tc>
          <w:tcPr>
            <w:tcW w:w="4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4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4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95" w:type="dxa"/>
            <w:tcBorders/>
            <w:shd w:fill="auto" w:val="clear"/>
            <w:vAlign w:val="bottom"/>
          </w:tcPr>
          <w:p>
            <w:pPr>
              <w:pStyle w:val="TableHeading"/>
              <w:suppressLineNumbers/>
              <w:spacing w:before="0" w:after="283"/>
              <w:jc w:val="center"/>
              <w:rPr/>
            </w:pPr>
            <w:r>
              <w:rPr/>
              <w:t> </w:t>
            </w:r>
          </w:p>
        </w:tc>
        <w:tc>
          <w:tcPr>
            <w:tcW w:w="5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5" w:type="dxa"/>
            <w:tcBorders/>
            <w:shd w:fill="auto" w:val="clear"/>
            <w:vAlign w:val="bottom"/>
          </w:tcPr>
          <w:p>
            <w:pPr>
              <w:pStyle w:val="TableHeading"/>
              <w:suppressLineNumbers/>
              <w:spacing w:before="0" w:after="283"/>
              <w:jc w:val="center"/>
              <w:rPr/>
            </w:pPr>
            <w:r>
              <w:rPr/>
              <w:t> </w:t>
            </w:r>
          </w:p>
        </w:tc>
        <w:tc>
          <w:tcPr>
            <w:tcW w:w="3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45" w:type="dxa"/>
            <w:tcBorders/>
            <w:shd w:fill="auto" w:val="clear"/>
            <w:vAlign w:val="bottom"/>
          </w:tcPr>
          <w:p>
            <w:pPr>
              <w:pStyle w:val="TableHeading"/>
              <w:suppressLineNumbers/>
              <w:spacing w:before="0" w:after="283"/>
              <w:jc w:val="center"/>
              <w:rPr/>
            </w:pPr>
            <w:r>
              <w:rPr/>
              <w:t> </w:t>
            </w:r>
          </w:p>
        </w:tc>
        <w:tc>
          <w:tcPr>
            <w:tcW w:w="5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Volumes </w:t>
            </w:r>
          </w:p>
        </w:tc>
        <w:tc>
          <w:tcPr>
            <w:tcW w:w="195" w:type="dxa"/>
            <w:tcBorders/>
            <w:shd w:fill="auto" w:val="clear"/>
            <w:vAlign w:val="bottom"/>
          </w:tcPr>
          <w:p>
            <w:pPr>
              <w:pStyle w:val="TableHeading"/>
              <w:suppressLineNumbers/>
              <w:spacing w:before="0" w:after="283"/>
              <w:jc w:val="center"/>
              <w:rPr/>
            </w:pPr>
            <w:r>
              <w:rPr/>
              <w:t> </w:t>
            </w:r>
          </w:p>
        </w:tc>
        <w:tc>
          <w:tcPr>
            <w:tcW w:w="2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125" w:type="dxa"/>
            <w:tcBorders/>
            <w:shd w:fill="auto" w:val="clear"/>
            <w:vAlign w:val="bottom"/>
          </w:tcPr>
          <w:p>
            <w:pPr>
              <w:pStyle w:val="TableHeading"/>
              <w:suppressLineNumbers/>
              <w:spacing w:before="0" w:after="283"/>
              <w:jc w:val="center"/>
              <w:rPr/>
            </w:pPr>
            <w:r>
              <w:rPr/>
              <w:t> </w:t>
            </w:r>
          </w:p>
        </w:tc>
      </w:tr>
      <w:tr>
        <w:trPr/>
        <w:tc>
          <w:tcPr>
            <w:tcW w:w="343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Crude oil lease gathering purchases</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658</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685</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650</w:t>
            </w:r>
          </w:p>
        </w:tc>
        <w:tc>
          <w:tcPr>
            <w:tcW w:w="195" w:type="dxa"/>
            <w:tcBorders/>
            <w:shd w:fill="CCEEFF" w:val="clear"/>
          </w:tcPr>
          <w:p>
            <w:pPr>
              <w:pStyle w:val="TableContents"/>
              <w:spacing w:before="0" w:after="283"/>
              <w:rPr/>
            </w:pPr>
            <w:r>
              <w:rPr/>
              <w:t> </w:t>
            </w:r>
          </w:p>
        </w:tc>
        <w:tc>
          <w:tcPr>
            <w:tcW w:w="121" w:type="dxa"/>
            <w:tcBorders/>
            <w:shd w:fill="CCEEFF" w:val="clear"/>
          </w:tcPr>
          <w:p>
            <w:pPr>
              <w:pStyle w:val="TableContents"/>
              <w:spacing w:before="0" w:after="283"/>
              <w:rPr/>
            </w:pPr>
            <w:r>
              <w:rPr/>
              <w:t> </w:t>
            </w:r>
          </w:p>
        </w:tc>
        <w:tc>
          <w:tcPr>
            <w:tcW w:w="438" w:type="dxa"/>
            <w:tcBorders/>
            <w:shd w:fill="CCEEFF" w:val="clear"/>
          </w:tcPr>
          <w:p>
            <w:pPr>
              <w:pStyle w:val="TableContents"/>
              <w:spacing w:before="0" w:after="283"/>
              <w:jc w:val="right"/>
              <w:rPr>
                <w:rFonts w:ascii="times" w:hAnsi="times"/>
                <w:sz w:val="14"/>
              </w:rPr>
            </w:pPr>
            <w:r>
              <w:rPr>
                <w:rFonts w:ascii="times" w:hAnsi="times"/>
                <w:sz w:val="14"/>
              </w:rPr>
              <w:t>(27</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(4</w:t>
            </w:r>
          </w:p>
        </w:tc>
        <w:tc>
          <w:tcPr>
            <w:tcW w:w="245" w:type="dxa"/>
            <w:tcBorders/>
            <w:shd w:fill="CCEEFF" w:val="clear"/>
          </w:tcPr>
          <w:p>
            <w:pPr>
              <w:pStyle w:val="TableContents"/>
              <w:spacing w:before="0" w:after="283"/>
              <w:rPr>
                <w:rFonts w:ascii="times" w:hAnsi="times"/>
                <w:sz w:val="14"/>
              </w:rPr>
            </w:pPr>
            <w:r>
              <w:rPr>
                <w:rFonts w:ascii="times" w:hAnsi="times"/>
                <w:sz w:val="14"/>
              </w:rPr>
              <w:t>)%</w:t>
            </w:r>
          </w:p>
        </w:tc>
        <w:tc>
          <w:tcPr>
            <w:tcW w:w="145" w:type="dxa"/>
            <w:tcBorders/>
            <w:shd w:fill="CCEEFF" w:val="clear"/>
          </w:tcPr>
          <w:p>
            <w:pPr>
              <w:pStyle w:val="TableContents"/>
              <w:spacing w:before="0" w:after="283"/>
              <w:rPr/>
            </w:pPr>
            <w:r>
              <w:rPr/>
              <w:t> </w:t>
            </w:r>
          </w:p>
        </w:tc>
        <w:tc>
          <w:tcPr>
            <w:tcW w:w="414" w:type="dxa"/>
            <w:tcBorders/>
            <w:shd w:fill="CCEEFF" w:val="clear"/>
          </w:tcPr>
          <w:p>
            <w:pPr>
              <w:pStyle w:val="TableContents"/>
              <w:spacing w:before="0" w:after="283"/>
              <w:jc w:val="right"/>
              <w:rPr>
                <w:rFonts w:ascii="times" w:hAnsi="times"/>
                <w:sz w:val="14"/>
              </w:rPr>
            </w:pPr>
            <w:r>
              <w:rPr>
                <w:rFonts w:ascii="times" w:hAnsi="times"/>
                <w:sz w:val="14"/>
              </w:rPr>
              <w:t>35</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jc w:val="right"/>
              <w:rPr>
                <w:rFonts w:ascii="times" w:hAnsi="times"/>
                <w:sz w:val="14"/>
              </w:rPr>
            </w:pPr>
            <w:r>
              <w:rPr>
                <w:rFonts w:ascii="times" w:hAnsi="times"/>
                <w:sz w:val="14"/>
              </w:rPr>
              <w:t>5</w:t>
            </w:r>
          </w:p>
        </w:tc>
        <w:tc>
          <w:tcPr>
            <w:tcW w:w="125" w:type="dxa"/>
            <w:tcBorders/>
            <w:shd w:fill="CCEEFF" w:val="clear"/>
          </w:tcPr>
          <w:p>
            <w:pPr>
              <w:pStyle w:val="TableContents"/>
              <w:spacing w:before="0" w:after="283"/>
              <w:rPr>
                <w:rFonts w:ascii="times" w:hAnsi="times"/>
                <w:sz w:val="14"/>
              </w:rPr>
            </w:pPr>
            <w:r>
              <w:rPr>
                <w:rFonts w:ascii="times" w:hAnsi="times"/>
                <w:sz w:val="14"/>
              </w:rPr>
              <w:t>%</w:t>
            </w:r>
          </w:p>
        </w:tc>
      </w:tr>
      <w:tr>
        <w:trPr/>
        <w:tc>
          <w:tcPr>
            <w:tcW w:w="343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Refined products sales</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90" w:type="dxa"/>
            <w:tcBorders/>
            <w:shd w:fill="FFFFFF" w:val="clear"/>
          </w:tcPr>
          <w:p>
            <w:pPr>
              <w:pStyle w:val="TableContents"/>
              <w:spacing w:before="0" w:after="283"/>
              <w:jc w:val="right"/>
              <w:rPr>
                <w:rFonts w:ascii="times" w:hAnsi="times"/>
                <w:sz w:val="14"/>
              </w:rPr>
            </w:pPr>
            <w:r>
              <w:rPr>
                <w:rFonts w:ascii="times" w:hAnsi="times"/>
                <w:sz w:val="14"/>
              </w:rPr>
              <w:t>26</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90" w:type="dxa"/>
            <w:tcBorders/>
            <w:shd w:fill="FFFFFF" w:val="clear"/>
          </w:tcPr>
          <w:p>
            <w:pPr>
              <w:pStyle w:val="TableContents"/>
              <w:spacing w:before="0" w:after="283"/>
              <w:jc w:val="right"/>
              <w:rPr>
                <w:rFonts w:ascii="times" w:hAnsi="times"/>
                <w:sz w:val="14"/>
              </w:rPr>
            </w:pPr>
            <w:r>
              <w:rPr>
                <w:rFonts w:ascii="times" w:hAnsi="times"/>
                <w:sz w:val="14"/>
              </w:rPr>
              <w:t>11</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90" w:type="dxa"/>
            <w:tcBorders/>
            <w:shd w:fill="FFFFFF" w:val="clear"/>
          </w:tcPr>
          <w:p>
            <w:pPr>
              <w:pStyle w:val="TableContents"/>
              <w:spacing w:before="0" w:after="283"/>
              <w:jc w:val="right"/>
              <w:rPr>
                <w:rFonts w:ascii="times" w:hAnsi="times"/>
                <w:sz w:val="14"/>
              </w:rPr>
            </w:pPr>
            <w:r>
              <w:rPr>
                <w:rFonts w:ascii="times" w:hAnsi="times"/>
                <w:sz w:val="14"/>
              </w:rPr>
              <w:t>N/A</w:t>
            </w:r>
          </w:p>
        </w:tc>
        <w:tc>
          <w:tcPr>
            <w:tcW w:w="195" w:type="dxa"/>
            <w:tcBorders/>
            <w:shd w:fill="FFFFFF" w:val="clear"/>
          </w:tcPr>
          <w:p>
            <w:pPr>
              <w:pStyle w:val="TableContents"/>
              <w:spacing w:before="0" w:after="283"/>
              <w:rPr/>
            </w:pPr>
            <w:r>
              <w:rPr/>
              <w:t> </w:t>
            </w:r>
          </w:p>
        </w:tc>
        <w:tc>
          <w:tcPr>
            <w:tcW w:w="121" w:type="dxa"/>
            <w:tcBorders/>
            <w:shd w:fill="FFFFFF" w:val="clear"/>
          </w:tcPr>
          <w:p>
            <w:pPr>
              <w:pStyle w:val="TableContents"/>
              <w:spacing w:before="0" w:after="283"/>
              <w:rPr/>
            </w:pPr>
            <w:r>
              <w:rPr/>
              <w:t> </w:t>
            </w:r>
          </w:p>
        </w:tc>
        <w:tc>
          <w:tcPr>
            <w:tcW w:w="438" w:type="dxa"/>
            <w:tcBorders/>
            <w:shd w:fill="FFFFFF" w:val="clear"/>
          </w:tcPr>
          <w:p>
            <w:pPr>
              <w:pStyle w:val="TableContents"/>
              <w:spacing w:before="0" w:after="283"/>
              <w:jc w:val="right"/>
              <w:rPr>
                <w:rFonts w:ascii="times" w:hAnsi="times"/>
                <w:sz w:val="14"/>
              </w:rPr>
            </w:pPr>
            <w:r>
              <w:rPr>
                <w:rFonts w:ascii="times" w:hAnsi="times"/>
                <w:sz w:val="14"/>
              </w:rPr>
              <w:t>15</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136</w:t>
            </w:r>
          </w:p>
        </w:tc>
        <w:tc>
          <w:tcPr>
            <w:tcW w:w="245" w:type="dxa"/>
            <w:tcBorders/>
            <w:shd w:fill="FFFFFF" w:val="clear"/>
          </w:tcPr>
          <w:p>
            <w:pPr>
              <w:pStyle w:val="TableContents"/>
              <w:spacing w:before="0" w:after="283"/>
              <w:rPr/>
            </w:pPr>
            <w:r>
              <w:rPr/>
              <w:t>  </w:t>
            </w:r>
            <w:r>
              <w:rPr>
                <w:rFonts w:ascii="times" w:hAnsi="times"/>
                <w:sz w:val="14"/>
              </w:rPr>
              <w:t>%</w:t>
            </w:r>
          </w:p>
        </w:tc>
        <w:tc>
          <w:tcPr>
            <w:tcW w:w="145" w:type="dxa"/>
            <w:tcBorders/>
            <w:shd w:fill="FFFFFF" w:val="clear"/>
          </w:tcPr>
          <w:p>
            <w:pPr>
              <w:pStyle w:val="TableContents"/>
              <w:spacing w:before="0" w:after="283"/>
              <w:rPr/>
            </w:pPr>
            <w:r>
              <w:rPr/>
              <w:t> </w:t>
            </w:r>
          </w:p>
        </w:tc>
        <w:tc>
          <w:tcPr>
            <w:tcW w:w="414" w:type="dxa"/>
            <w:tcBorders/>
            <w:shd w:fill="FFFFFF" w:val="clear"/>
          </w:tcPr>
          <w:p>
            <w:pPr>
              <w:pStyle w:val="TableContents"/>
              <w:spacing w:before="0" w:after="283"/>
              <w:jc w:val="right"/>
              <w:rPr>
                <w:rFonts w:ascii="times" w:hAnsi="times"/>
                <w:sz w:val="14"/>
              </w:rPr>
            </w:pPr>
            <w:r>
              <w:rPr>
                <w:rFonts w:ascii="times" w:hAnsi="times"/>
                <w:sz w:val="14"/>
              </w:rPr>
              <w:t>11</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180" w:type="dxa"/>
            <w:tcBorders/>
            <w:shd w:fill="FFFFFF" w:val="clear"/>
          </w:tcPr>
          <w:p>
            <w:pPr>
              <w:pStyle w:val="TableContents"/>
              <w:spacing w:before="0" w:after="283"/>
              <w:jc w:val="right"/>
              <w:rPr>
                <w:rFonts w:ascii="times" w:hAnsi="times"/>
                <w:sz w:val="14"/>
              </w:rPr>
            </w:pPr>
            <w:r>
              <w:rPr>
                <w:rFonts w:ascii="times" w:hAnsi="times"/>
                <w:sz w:val="14"/>
              </w:rPr>
              <w:t>N/A</w:t>
            </w:r>
          </w:p>
        </w:tc>
        <w:tc>
          <w:tcPr>
            <w:tcW w:w="125" w:type="dxa"/>
            <w:tcBorders/>
            <w:shd w:fill="FFFFFF" w:val="clear"/>
          </w:tcPr>
          <w:p>
            <w:pPr>
              <w:pStyle w:val="TableContents"/>
              <w:spacing w:before="0" w:after="283"/>
              <w:rPr/>
            </w:pPr>
            <w:r>
              <w:rPr/>
              <w:t> </w:t>
            </w:r>
          </w:p>
        </w:tc>
      </w:tr>
      <w:tr>
        <w:trPr/>
        <w:tc>
          <w:tcPr>
            <w:tcW w:w="343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LPG sales</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103</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90</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70</w:t>
            </w:r>
          </w:p>
        </w:tc>
        <w:tc>
          <w:tcPr>
            <w:tcW w:w="195" w:type="dxa"/>
            <w:tcBorders/>
            <w:shd w:fill="CCEEFF" w:val="clear"/>
          </w:tcPr>
          <w:p>
            <w:pPr>
              <w:pStyle w:val="TableContents"/>
              <w:spacing w:before="0" w:after="283"/>
              <w:rPr/>
            </w:pPr>
            <w:r>
              <w:rPr/>
              <w:t> </w:t>
            </w:r>
          </w:p>
        </w:tc>
        <w:tc>
          <w:tcPr>
            <w:tcW w:w="121" w:type="dxa"/>
            <w:tcBorders/>
            <w:shd w:fill="CCEEFF" w:val="clear"/>
          </w:tcPr>
          <w:p>
            <w:pPr>
              <w:pStyle w:val="TableContents"/>
              <w:spacing w:before="0" w:after="283"/>
              <w:rPr/>
            </w:pPr>
            <w:r>
              <w:rPr/>
              <w:t> </w:t>
            </w:r>
          </w:p>
        </w:tc>
        <w:tc>
          <w:tcPr>
            <w:tcW w:w="438" w:type="dxa"/>
            <w:tcBorders/>
            <w:shd w:fill="CCEEFF" w:val="clear"/>
          </w:tcPr>
          <w:p>
            <w:pPr>
              <w:pStyle w:val="TableContents"/>
              <w:spacing w:before="0" w:after="283"/>
              <w:jc w:val="right"/>
              <w:rPr>
                <w:rFonts w:ascii="times" w:hAnsi="times"/>
                <w:sz w:val="14"/>
              </w:rPr>
            </w:pPr>
            <w:r>
              <w:rPr>
                <w:rFonts w:ascii="times" w:hAnsi="times"/>
                <w:sz w:val="14"/>
              </w:rPr>
              <w:t>13</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14</w:t>
            </w:r>
          </w:p>
        </w:tc>
        <w:tc>
          <w:tcPr>
            <w:tcW w:w="245" w:type="dxa"/>
            <w:tcBorders/>
            <w:shd w:fill="CCEEFF" w:val="clear"/>
          </w:tcPr>
          <w:p>
            <w:pPr>
              <w:pStyle w:val="TableContents"/>
              <w:spacing w:before="0" w:after="283"/>
              <w:rPr/>
            </w:pPr>
            <w:r>
              <w:rPr/>
              <w:t>  </w:t>
            </w:r>
            <w:r>
              <w:rPr>
                <w:rFonts w:ascii="times" w:hAnsi="times"/>
                <w:sz w:val="14"/>
              </w:rPr>
              <w:t>%</w:t>
            </w:r>
          </w:p>
        </w:tc>
        <w:tc>
          <w:tcPr>
            <w:tcW w:w="145" w:type="dxa"/>
            <w:tcBorders/>
            <w:shd w:fill="CCEEFF" w:val="clear"/>
          </w:tcPr>
          <w:p>
            <w:pPr>
              <w:pStyle w:val="TableContents"/>
              <w:spacing w:before="0" w:after="283"/>
              <w:rPr/>
            </w:pPr>
            <w:r>
              <w:rPr/>
              <w:t> </w:t>
            </w:r>
          </w:p>
        </w:tc>
        <w:tc>
          <w:tcPr>
            <w:tcW w:w="414" w:type="dxa"/>
            <w:tcBorders/>
            <w:shd w:fill="CCEEFF" w:val="clear"/>
          </w:tcPr>
          <w:p>
            <w:pPr>
              <w:pStyle w:val="TableContents"/>
              <w:spacing w:before="0" w:after="283"/>
              <w:jc w:val="right"/>
              <w:rPr>
                <w:rFonts w:ascii="times" w:hAnsi="times"/>
                <w:sz w:val="14"/>
              </w:rPr>
            </w:pPr>
            <w:r>
              <w:rPr>
                <w:rFonts w:ascii="times" w:hAnsi="times"/>
                <w:sz w:val="14"/>
              </w:rPr>
              <w:t>20</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jc w:val="right"/>
              <w:rPr>
                <w:rFonts w:ascii="times" w:hAnsi="times"/>
                <w:sz w:val="14"/>
              </w:rPr>
            </w:pPr>
            <w:r>
              <w:rPr>
                <w:rFonts w:ascii="times" w:hAnsi="times"/>
                <w:sz w:val="14"/>
              </w:rPr>
              <w:t>29</w:t>
            </w:r>
          </w:p>
        </w:tc>
        <w:tc>
          <w:tcPr>
            <w:tcW w:w="125" w:type="dxa"/>
            <w:tcBorders/>
            <w:shd w:fill="CCEEFF" w:val="clear"/>
          </w:tcPr>
          <w:p>
            <w:pPr>
              <w:pStyle w:val="TableContents"/>
              <w:spacing w:before="0" w:after="283"/>
              <w:rPr>
                <w:rFonts w:ascii="times" w:hAnsi="times"/>
                <w:sz w:val="14"/>
              </w:rPr>
            </w:pPr>
            <w:r>
              <w:rPr>
                <w:rFonts w:ascii="times" w:hAnsi="times"/>
                <w:sz w:val="14"/>
              </w:rPr>
              <w:t>%</w:t>
            </w:r>
          </w:p>
        </w:tc>
      </w:tr>
      <w:tr>
        <w:trPr/>
        <w:tc>
          <w:tcPr>
            <w:tcW w:w="343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Waterborne foreign crude oil imported</w:t>
            </w:r>
          </w:p>
        </w:tc>
        <w:tc>
          <w:tcPr>
            <w:tcW w:w="18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90" w:type="dxa"/>
            <w:tcBorders/>
            <w:shd w:fill="FFFFFF" w:val="clear"/>
          </w:tcPr>
          <w:p>
            <w:pPr>
              <w:pStyle w:val="TableContents"/>
              <w:spacing w:before="0" w:after="283"/>
              <w:jc w:val="right"/>
              <w:rPr>
                <w:rFonts w:ascii="times" w:hAnsi="times"/>
                <w:sz w:val="14"/>
              </w:rPr>
            </w:pPr>
            <w:r>
              <w:rPr>
                <w:rFonts w:ascii="times" w:hAnsi="times"/>
                <w:sz w:val="14"/>
              </w:rPr>
              <w:t>80</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90" w:type="dxa"/>
            <w:tcBorders/>
            <w:shd w:fill="FFFFFF" w:val="clear"/>
          </w:tcPr>
          <w:p>
            <w:pPr>
              <w:pStyle w:val="TableContents"/>
              <w:spacing w:before="0" w:after="283"/>
              <w:jc w:val="right"/>
              <w:rPr>
                <w:rFonts w:ascii="times" w:hAnsi="times"/>
                <w:sz w:val="14"/>
              </w:rPr>
            </w:pPr>
            <w:r>
              <w:rPr>
                <w:rFonts w:ascii="times" w:hAnsi="times"/>
                <w:sz w:val="14"/>
              </w:rPr>
              <w:t>71</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390" w:type="dxa"/>
            <w:tcBorders/>
            <w:shd w:fill="FFFFFF" w:val="clear"/>
          </w:tcPr>
          <w:p>
            <w:pPr>
              <w:pStyle w:val="TableContents"/>
              <w:spacing w:before="0" w:after="283"/>
              <w:jc w:val="right"/>
              <w:rPr>
                <w:rFonts w:ascii="times" w:hAnsi="times"/>
                <w:sz w:val="14"/>
              </w:rPr>
            </w:pPr>
            <w:r>
              <w:rPr>
                <w:rFonts w:ascii="times" w:hAnsi="times"/>
                <w:sz w:val="14"/>
              </w:rPr>
              <w:t>63</w:t>
            </w:r>
          </w:p>
        </w:tc>
        <w:tc>
          <w:tcPr>
            <w:tcW w:w="195" w:type="dxa"/>
            <w:tcBorders/>
            <w:shd w:fill="FFFFFF" w:val="clear"/>
          </w:tcPr>
          <w:p>
            <w:pPr>
              <w:pStyle w:val="TableContents"/>
              <w:spacing w:before="0" w:after="283"/>
              <w:rPr/>
            </w:pPr>
            <w:r>
              <w:rPr/>
              <w:t> </w:t>
            </w:r>
          </w:p>
        </w:tc>
        <w:tc>
          <w:tcPr>
            <w:tcW w:w="121" w:type="dxa"/>
            <w:tcBorders/>
            <w:shd w:fill="FFFFFF" w:val="clear"/>
          </w:tcPr>
          <w:p>
            <w:pPr>
              <w:pStyle w:val="TableContents"/>
              <w:spacing w:before="0" w:after="283"/>
              <w:rPr/>
            </w:pPr>
            <w:r>
              <w:rPr/>
              <w:t> </w:t>
            </w:r>
          </w:p>
        </w:tc>
        <w:tc>
          <w:tcPr>
            <w:tcW w:w="438" w:type="dxa"/>
            <w:tcBorders/>
            <w:shd w:fill="FFFFFF" w:val="clear"/>
          </w:tcPr>
          <w:p>
            <w:pPr>
              <w:pStyle w:val="TableContents"/>
              <w:spacing w:before="0" w:after="283"/>
              <w:jc w:val="right"/>
              <w:rPr>
                <w:rFonts w:ascii="times" w:hAnsi="times"/>
                <w:sz w:val="14"/>
              </w:rPr>
            </w:pPr>
            <w:r>
              <w:rPr>
                <w:rFonts w:ascii="times" w:hAnsi="times"/>
                <w:sz w:val="14"/>
              </w:rPr>
              <w:t>9</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245" w:type="dxa"/>
            <w:tcBorders/>
            <w:shd w:fill="FFFFFF" w:val="clear"/>
          </w:tcPr>
          <w:p>
            <w:pPr>
              <w:pStyle w:val="TableContents"/>
              <w:spacing w:before="0" w:after="283"/>
              <w:jc w:val="right"/>
              <w:rPr>
                <w:rFonts w:ascii="times" w:hAnsi="times"/>
                <w:sz w:val="14"/>
              </w:rPr>
            </w:pPr>
            <w:r>
              <w:rPr>
                <w:rFonts w:ascii="times" w:hAnsi="times"/>
                <w:sz w:val="14"/>
              </w:rPr>
              <w:t>13</w:t>
            </w:r>
          </w:p>
        </w:tc>
        <w:tc>
          <w:tcPr>
            <w:tcW w:w="245" w:type="dxa"/>
            <w:tcBorders/>
            <w:shd w:fill="FFFFFF" w:val="clear"/>
          </w:tcPr>
          <w:p>
            <w:pPr>
              <w:pStyle w:val="TableContents"/>
              <w:spacing w:before="0" w:after="283"/>
              <w:rPr/>
            </w:pPr>
            <w:r>
              <w:rPr/>
              <w:t>  </w:t>
            </w:r>
            <w:r>
              <w:rPr>
                <w:rFonts w:ascii="times" w:hAnsi="times"/>
                <w:sz w:val="14"/>
              </w:rPr>
              <w:t>%</w:t>
            </w:r>
          </w:p>
        </w:tc>
        <w:tc>
          <w:tcPr>
            <w:tcW w:w="145" w:type="dxa"/>
            <w:tcBorders/>
            <w:shd w:fill="FFFFFF" w:val="clear"/>
          </w:tcPr>
          <w:p>
            <w:pPr>
              <w:pStyle w:val="TableContents"/>
              <w:spacing w:before="0" w:after="283"/>
              <w:rPr/>
            </w:pPr>
            <w:r>
              <w:rPr/>
              <w:t> </w:t>
            </w:r>
          </w:p>
        </w:tc>
        <w:tc>
          <w:tcPr>
            <w:tcW w:w="414" w:type="dxa"/>
            <w:tcBorders/>
            <w:shd w:fill="FFFFFF" w:val="clear"/>
          </w:tcPr>
          <w:p>
            <w:pPr>
              <w:pStyle w:val="TableContents"/>
              <w:spacing w:before="0" w:after="283"/>
              <w:jc w:val="right"/>
              <w:rPr>
                <w:rFonts w:ascii="times" w:hAnsi="times"/>
                <w:sz w:val="14"/>
              </w:rPr>
            </w:pPr>
            <w:r>
              <w:rPr>
                <w:rFonts w:ascii="times" w:hAnsi="times"/>
                <w:sz w:val="14"/>
              </w:rPr>
              <w:t>8</w:t>
            </w:r>
          </w:p>
        </w:tc>
        <w:tc>
          <w:tcPr>
            <w:tcW w:w="195"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180" w:type="dxa"/>
            <w:tcBorders/>
            <w:shd w:fill="FFFFFF" w:val="clear"/>
          </w:tcPr>
          <w:p>
            <w:pPr>
              <w:pStyle w:val="TableContents"/>
              <w:spacing w:before="0" w:after="283"/>
              <w:jc w:val="right"/>
              <w:rPr>
                <w:rFonts w:ascii="times" w:hAnsi="times"/>
                <w:sz w:val="14"/>
              </w:rPr>
            </w:pPr>
            <w:r>
              <w:rPr>
                <w:rFonts w:ascii="times" w:hAnsi="times"/>
                <w:sz w:val="14"/>
              </w:rPr>
              <w:t>13</w:t>
            </w:r>
          </w:p>
        </w:tc>
        <w:tc>
          <w:tcPr>
            <w:tcW w:w="125" w:type="dxa"/>
            <w:tcBorders/>
            <w:shd w:fill="FFFFFF" w:val="clear"/>
          </w:tcPr>
          <w:p>
            <w:pPr>
              <w:pStyle w:val="TableContents"/>
              <w:spacing w:before="0" w:after="283"/>
              <w:rPr>
                <w:rFonts w:ascii="times" w:hAnsi="times"/>
                <w:sz w:val="14"/>
              </w:rPr>
            </w:pPr>
            <w:r>
              <w:rPr>
                <w:rFonts w:ascii="times" w:hAnsi="times"/>
                <w:sz w:val="14"/>
              </w:rPr>
              <w:t>%</w:t>
            </w:r>
          </w:p>
        </w:tc>
      </w:tr>
      <w:tr>
        <w:trPr/>
        <w:tc>
          <w:tcPr>
            <w:tcW w:w="343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4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25" w:type="dxa"/>
            <w:tcBorders/>
            <w:shd w:fill="auto" w:val="clear"/>
          </w:tcPr>
          <w:p>
            <w:pPr>
              <w:pStyle w:val="TableContents"/>
              <w:spacing w:before="0" w:after="283"/>
              <w:rPr/>
            </w:pPr>
            <w:r>
              <w:rPr/>
              <w:t> </w:t>
            </w:r>
          </w:p>
        </w:tc>
      </w:tr>
      <w:tr>
        <w:trPr/>
        <w:tc>
          <w:tcPr>
            <w:tcW w:w="120" w:type="dxa"/>
            <w:tcBorders/>
            <w:shd w:fill="CCEEFF" w:val="clear"/>
          </w:tcPr>
          <w:p>
            <w:pPr>
              <w:pStyle w:val="TableContents"/>
              <w:spacing w:before="0" w:after="283"/>
              <w:rPr/>
            </w:pPr>
            <w:r>
              <w:rPr/>
              <w:t> </w:t>
            </w:r>
          </w:p>
        </w:tc>
        <w:tc>
          <w:tcPr>
            <w:tcW w:w="3315" w:type="dxa"/>
            <w:tcBorders/>
            <w:shd w:fill="CCEEFF" w:val="clear"/>
          </w:tcPr>
          <w:p>
            <w:pPr>
              <w:pStyle w:val="TableContents"/>
              <w:spacing w:before="0" w:after="283"/>
              <w:ind w:left="160" w:right="0" w:hanging="160"/>
              <w:rPr>
                <w:rFonts w:ascii="times" w:hAnsi="times"/>
                <w:sz w:val="14"/>
              </w:rPr>
            </w:pPr>
            <w:r>
              <w:rPr>
                <w:rFonts w:ascii="times" w:hAnsi="times"/>
                <w:sz w:val="14"/>
              </w:rPr>
              <w:t>Marketing segment total</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867</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857</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390" w:type="dxa"/>
            <w:tcBorders/>
            <w:shd w:fill="CCEEFF" w:val="clear"/>
          </w:tcPr>
          <w:p>
            <w:pPr>
              <w:pStyle w:val="TableContents"/>
              <w:spacing w:before="0" w:after="283"/>
              <w:jc w:val="right"/>
              <w:rPr>
                <w:rFonts w:ascii="times" w:hAnsi="times"/>
                <w:sz w:val="14"/>
              </w:rPr>
            </w:pPr>
            <w:r>
              <w:rPr>
                <w:rFonts w:ascii="times" w:hAnsi="times"/>
                <w:sz w:val="14"/>
              </w:rPr>
              <w:t>783</w:t>
            </w:r>
          </w:p>
        </w:tc>
        <w:tc>
          <w:tcPr>
            <w:tcW w:w="195" w:type="dxa"/>
            <w:tcBorders/>
            <w:shd w:fill="CCEEFF" w:val="clear"/>
          </w:tcPr>
          <w:p>
            <w:pPr>
              <w:pStyle w:val="TableContents"/>
              <w:spacing w:before="0" w:after="283"/>
              <w:rPr/>
            </w:pPr>
            <w:r>
              <w:rPr/>
              <w:t> </w:t>
            </w:r>
          </w:p>
        </w:tc>
        <w:tc>
          <w:tcPr>
            <w:tcW w:w="121" w:type="dxa"/>
            <w:tcBorders/>
            <w:shd w:fill="CCEEFF" w:val="clear"/>
          </w:tcPr>
          <w:p>
            <w:pPr>
              <w:pStyle w:val="TableContents"/>
              <w:spacing w:before="0" w:after="283"/>
              <w:rPr/>
            </w:pPr>
            <w:r>
              <w:rPr/>
              <w:t> </w:t>
            </w:r>
          </w:p>
        </w:tc>
        <w:tc>
          <w:tcPr>
            <w:tcW w:w="438" w:type="dxa"/>
            <w:tcBorders/>
            <w:shd w:fill="CCEEFF" w:val="clear"/>
          </w:tcPr>
          <w:p>
            <w:pPr>
              <w:pStyle w:val="TableContents"/>
              <w:spacing w:before="0" w:after="283"/>
              <w:jc w:val="right"/>
              <w:rPr>
                <w:rFonts w:ascii="times" w:hAnsi="times"/>
                <w:sz w:val="14"/>
              </w:rPr>
            </w:pPr>
            <w:r>
              <w:rPr>
                <w:rFonts w:ascii="times" w:hAnsi="times"/>
                <w:sz w:val="14"/>
              </w:rPr>
              <w:t>10</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rFonts w:ascii="times" w:hAnsi="times"/>
                <w:sz w:val="14"/>
              </w:rPr>
            </w:pPr>
            <w:r>
              <w:rPr>
                <w:rFonts w:ascii="times" w:hAnsi="times"/>
                <w:sz w:val="14"/>
              </w:rPr>
              <w:t>1</w:t>
            </w:r>
          </w:p>
        </w:tc>
        <w:tc>
          <w:tcPr>
            <w:tcW w:w="245" w:type="dxa"/>
            <w:tcBorders/>
            <w:shd w:fill="CCEEFF" w:val="clear"/>
          </w:tcPr>
          <w:p>
            <w:pPr>
              <w:pStyle w:val="TableContents"/>
              <w:spacing w:before="0" w:after="283"/>
              <w:rPr/>
            </w:pPr>
            <w:r>
              <w:rPr/>
              <w:t>  </w:t>
            </w:r>
            <w:r>
              <w:rPr>
                <w:rFonts w:ascii="times" w:hAnsi="times"/>
                <w:sz w:val="14"/>
              </w:rPr>
              <w:t>%</w:t>
            </w:r>
          </w:p>
        </w:tc>
        <w:tc>
          <w:tcPr>
            <w:tcW w:w="145" w:type="dxa"/>
            <w:tcBorders/>
            <w:shd w:fill="CCEEFF" w:val="clear"/>
          </w:tcPr>
          <w:p>
            <w:pPr>
              <w:pStyle w:val="TableContents"/>
              <w:spacing w:before="0" w:after="283"/>
              <w:rPr/>
            </w:pPr>
            <w:r>
              <w:rPr/>
              <w:t> </w:t>
            </w:r>
          </w:p>
        </w:tc>
        <w:tc>
          <w:tcPr>
            <w:tcW w:w="414" w:type="dxa"/>
            <w:tcBorders/>
            <w:shd w:fill="CCEEFF" w:val="clear"/>
          </w:tcPr>
          <w:p>
            <w:pPr>
              <w:pStyle w:val="TableContents"/>
              <w:spacing w:before="0" w:after="283"/>
              <w:jc w:val="right"/>
              <w:rPr>
                <w:rFonts w:ascii="times" w:hAnsi="times"/>
                <w:sz w:val="14"/>
              </w:rPr>
            </w:pPr>
            <w:r>
              <w:rPr>
                <w:rFonts w:ascii="times" w:hAnsi="times"/>
                <w:sz w:val="14"/>
              </w:rPr>
              <w:t>74</w:t>
            </w:r>
          </w:p>
        </w:tc>
        <w:tc>
          <w:tcPr>
            <w:tcW w:w="19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jc w:val="right"/>
              <w:rPr>
                <w:rFonts w:ascii="times" w:hAnsi="times"/>
                <w:sz w:val="14"/>
              </w:rPr>
            </w:pPr>
            <w:r>
              <w:rPr>
                <w:rFonts w:ascii="times" w:hAnsi="times"/>
                <w:sz w:val="14"/>
              </w:rPr>
              <w:t>9</w:t>
            </w:r>
          </w:p>
        </w:tc>
        <w:tc>
          <w:tcPr>
            <w:tcW w:w="125" w:type="dxa"/>
            <w:tcBorders/>
            <w:shd w:fill="CCEEFF" w:val="clear"/>
          </w:tcPr>
          <w:p>
            <w:pPr>
              <w:pStyle w:val="TableContents"/>
              <w:spacing w:before="0" w:after="283"/>
              <w:rPr>
                <w:rFonts w:ascii="times" w:hAnsi="times"/>
                <w:sz w:val="14"/>
              </w:rPr>
            </w:pPr>
            <w:r>
              <w:rPr>
                <w:rFonts w:ascii="times" w:hAnsi="times"/>
                <w:sz w:val="14"/>
              </w:rPr>
              <w:t>%</w:t>
            </w:r>
          </w:p>
        </w:tc>
      </w:tr>
      <w:tr>
        <w:trPr/>
        <w:tc>
          <w:tcPr>
            <w:tcW w:w="343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4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45" w:type="dxa"/>
            <w:tcBorders/>
            <w:shd w:fill="auto" w:val="clear"/>
          </w:tcPr>
          <w:p>
            <w:pPr>
              <w:pStyle w:val="TableContents"/>
              <w:spacing w:before="0" w:after="283"/>
              <w:rPr/>
            </w:pPr>
            <w:r>
              <w:rPr/>
              <w:t> </w:t>
            </w:r>
          </w:p>
        </w:tc>
        <w:tc>
          <w:tcPr>
            <w:tcW w:w="55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24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25"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5"/>
          <w:sz w:val="11"/>
          <w:sz w:val="14"/>
        </w:rPr>
      </w:pPr>
      <w:r>
        <w:rPr>
          <w:rFonts w:ascii="times" w:hAnsi="times"/>
          <w:position w:val="5"/>
          <w:sz w:val="11"/>
          <w:sz w:val="14"/>
        </w:rPr>
        <w:t>(1)</w:t>
      </w:r>
    </w:p>
    <w:p>
      <w:pPr>
        <w:pStyle w:val="ListContents"/>
        <w:spacing w:before="0" w:after="283"/>
        <w:rPr>
          <w:rFonts w:ascii="times" w:hAnsi="times"/>
          <w:sz w:val="14"/>
        </w:rPr>
      </w:pPr>
      <w:r>
        <w:rPr>
          <w:rFonts w:ascii="times" w:hAnsi="times"/>
          <w:sz w:val="14"/>
        </w:rPr>
        <w:t xml:space="preserve">Revenues and costs include intersegment amounts. </w:t>
      </w:r>
    </w:p>
    <w:p>
      <w:pPr>
        <w:pStyle w:val="ListHeading"/>
        <w:spacing w:before="0" w:after="0"/>
        <w:rPr>
          <w:rFonts w:ascii="times" w:hAnsi="times"/>
          <w:position w:val="5"/>
          <w:sz w:val="11"/>
          <w:sz w:val="14"/>
        </w:rPr>
      </w:pPr>
      <w:r>
        <w:rPr>
          <w:rFonts w:ascii="times" w:hAnsi="times"/>
          <w:position w:val="5"/>
          <w:sz w:val="11"/>
          <w:sz w:val="14"/>
        </w:rPr>
        <w:t>(2)</w:t>
      </w:r>
    </w:p>
    <w:p>
      <w:pPr>
        <w:pStyle w:val="ListContents"/>
        <w:spacing w:before="0" w:after="283"/>
        <w:rPr>
          <w:rFonts w:ascii="times" w:hAnsi="times"/>
          <w:sz w:val="14"/>
        </w:rPr>
      </w:pPr>
      <w:r>
        <w:rPr>
          <w:rFonts w:ascii="times" w:hAnsi="times"/>
          <w:sz w:val="14"/>
        </w:rPr>
        <w:t xml:space="preserve">Includes revenues associated with buy/sell arrangements of $4,762 million for the year ended December 31, 2006. This amount includes certain estimates based on management's judgment; such estimates are not expected to have a material impact on the balances. See Note 2 to our Consolidated Financial Statements. </w:t>
      </w:r>
    </w:p>
    <w:p>
      <w:pPr>
        <w:pStyle w:val="ListHeading"/>
        <w:spacing w:before="0" w:after="0"/>
        <w:rPr>
          <w:rFonts w:ascii="times" w:hAnsi="times"/>
          <w:position w:val="5"/>
          <w:sz w:val="11"/>
          <w:sz w:val="14"/>
        </w:rPr>
      </w:pPr>
      <w:r>
        <w:rPr>
          <w:rFonts w:ascii="times" w:hAnsi="times"/>
          <w:position w:val="5"/>
          <w:sz w:val="11"/>
          <w:sz w:val="14"/>
        </w:rPr>
        <w:t>(3)</w:t>
      </w:r>
    </w:p>
    <w:p>
      <w:pPr>
        <w:pStyle w:val="ListContents"/>
        <w:spacing w:before="0" w:after="283"/>
        <w:rPr>
          <w:rFonts w:ascii="times" w:hAnsi="times"/>
          <w:sz w:val="14"/>
        </w:rPr>
      </w:pPr>
      <w:r>
        <w:rPr>
          <w:rFonts w:ascii="times" w:hAnsi="times"/>
          <w:sz w:val="14"/>
        </w:rPr>
        <w:t xml:space="preserve">Gains/(losses) from derivative activities net of inventory valuation adjustments. </w:t>
      </w:r>
    </w:p>
    <w:p>
      <w:pPr>
        <w:pStyle w:val="ListHeading"/>
        <w:spacing w:before="0" w:after="0"/>
        <w:rPr>
          <w:rFonts w:ascii="times" w:hAnsi="times"/>
          <w:position w:val="5"/>
          <w:sz w:val="11"/>
          <w:sz w:val="14"/>
        </w:rPr>
      </w:pPr>
      <w:r>
        <w:rPr>
          <w:rFonts w:ascii="times" w:hAnsi="times"/>
          <w:position w:val="5"/>
          <w:sz w:val="11"/>
          <w:sz w:val="14"/>
        </w:rPr>
        <w:t>(4)</w:t>
      </w:r>
    </w:p>
    <w:p>
      <w:pPr>
        <w:pStyle w:val="ListContents"/>
        <w:spacing w:before="0" w:after="283"/>
        <w:rPr>
          <w:rFonts w:ascii="times" w:hAnsi="times"/>
          <w:sz w:val="14"/>
        </w:rPr>
      </w:pPr>
      <w:r>
        <w:rPr>
          <w:rFonts w:ascii="times" w:hAnsi="times"/>
          <w:sz w:val="14"/>
        </w:rPr>
        <w:t xml:space="preserve">Includes purchases associated with buy/sell arrangements of $4,795 million for the year ended December 31, 2006. This amount includes certain estimates based on management's judgment; such estimates are not expected to have a material impact on the balances. See Note 2 to our Consolidated Financial Statements. </w:t>
      </w:r>
    </w:p>
    <w:p>
      <w:pPr>
        <w:pStyle w:val="ListHeading"/>
        <w:spacing w:before="0" w:after="0"/>
        <w:rPr>
          <w:rFonts w:ascii="times" w:hAnsi="times"/>
          <w:position w:val="5"/>
          <w:sz w:val="11"/>
          <w:sz w:val="14"/>
        </w:rPr>
      </w:pPr>
      <w:r>
        <w:rPr>
          <w:rFonts w:ascii="times" w:hAnsi="times"/>
          <w:position w:val="5"/>
          <w:sz w:val="11"/>
          <w:sz w:val="14"/>
        </w:rPr>
        <w:t>(5)</w:t>
      </w:r>
    </w:p>
    <w:p>
      <w:pPr>
        <w:pStyle w:val="ListContents"/>
        <w:spacing w:before="0" w:after="283"/>
        <w:rPr>
          <w:rFonts w:ascii="times" w:hAnsi="times"/>
          <w:sz w:val="14"/>
        </w:rPr>
      </w:pPr>
      <w:r>
        <w:rPr>
          <w:rFonts w:ascii="times" w:hAnsi="times"/>
          <w:sz w:val="14"/>
        </w:rPr>
        <w:t xml:space="preserve">Purchases and related costs include interest expense on hedged inventory purchases of approximately $21 million, $44 million and $49 million for the years ended December 31, 2008, 2007 and 2006, respectively. </w:t>
      </w:r>
    </w:p>
    <w:p>
      <w:pPr>
        <w:pStyle w:val="ListHeading"/>
        <w:spacing w:before="0" w:after="0"/>
        <w:rPr>
          <w:rFonts w:ascii="times" w:hAnsi="times"/>
          <w:position w:val="5"/>
          <w:sz w:val="11"/>
          <w:sz w:val="14"/>
        </w:rPr>
      </w:pPr>
      <w:r>
        <w:rPr>
          <w:rFonts w:ascii="times" w:hAnsi="times"/>
          <w:position w:val="5"/>
          <w:sz w:val="11"/>
          <w:sz w:val="14"/>
        </w:rPr>
        <w:t>(6)</w:t>
      </w:r>
    </w:p>
    <w:p>
      <w:pPr>
        <w:pStyle w:val="ListContents"/>
        <w:spacing w:before="0" w:after="283"/>
        <w:rPr>
          <w:rFonts w:ascii="times" w:hAnsi="times"/>
          <w:sz w:val="14"/>
        </w:rPr>
      </w:pPr>
      <w:r>
        <w:rPr>
          <w:rFonts w:ascii="times" w:hAnsi="times"/>
          <w:sz w:val="14"/>
        </w:rPr>
        <w:t xml:space="preserve">Equity compensation expense related to our equity compensation plans. </w:t>
      </w:r>
    </w:p>
    <w:p>
      <w:pPr>
        <w:pStyle w:val="ListHeading"/>
        <w:spacing w:before="0" w:after="0"/>
        <w:rPr>
          <w:rFonts w:ascii="times" w:hAnsi="times"/>
          <w:position w:val="5"/>
          <w:sz w:val="11"/>
          <w:sz w:val="14"/>
        </w:rPr>
      </w:pPr>
      <w:r>
        <w:rPr>
          <w:rFonts w:ascii="times" w:hAnsi="times"/>
          <w:position w:val="5"/>
          <w:sz w:val="11"/>
          <w:sz w:val="14"/>
        </w:rPr>
        <w:t>(7)</w:t>
      </w:r>
    </w:p>
    <w:p>
      <w:pPr>
        <w:pStyle w:val="ListContents"/>
        <w:spacing w:before="0" w:after="283"/>
        <w:rPr>
          <w:rFonts w:ascii="times" w:hAnsi="times"/>
          <w:sz w:val="14"/>
        </w:rPr>
      </w:pPr>
      <w:r>
        <w:rPr>
          <w:rFonts w:ascii="times" w:hAnsi="times"/>
          <w:sz w:val="14"/>
        </w:rPr>
        <w:t xml:space="preserve">Calculated based on crude oil lease gathered volumes, refined products volumes, LPG sales volumes and waterborne foreign crude volumes. </w:t>
      </w:r>
    </w:p>
    <w:p>
      <w:pPr>
        <w:pStyle w:val="ListHeading"/>
        <w:spacing w:before="0" w:after="0"/>
        <w:rPr>
          <w:rFonts w:ascii="times" w:hAnsi="times"/>
          <w:position w:val="5"/>
          <w:sz w:val="11"/>
          <w:sz w:val="14"/>
        </w:rPr>
      </w:pPr>
      <w:r>
        <w:rPr>
          <w:rFonts w:ascii="times" w:hAnsi="times"/>
          <w:position w:val="5"/>
          <w:sz w:val="11"/>
          <w:sz w:val="14"/>
        </w:rPr>
        <w:t>(8)</w:t>
      </w:r>
    </w:p>
    <w:p>
      <w:pPr>
        <w:pStyle w:val="ListContents"/>
        <w:spacing w:before="0" w:after="283"/>
        <w:rPr>
          <w:rFonts w:ascii="times" w:hAnsi="times"/>
          <w:sz w:val="14"/>
        </w:rPr>
      </w:pPr>
      <w:r>
        <w:rPr>
          <w:rFonts w:ascii="times" w:hAnsi="times"/>
          <w:sz w:val="14"/>
        </w:rPr>
        <w:t xml:space="preserve">Volumes associated with acquisitions represent total volumes for the number of days we actually owned the assets divided by the number of days in the period. </w:t>
      </w:r>
    </w:p>
    <w:p>
      <w:pPr>
        <w:pStyle w:val="TextBody"/>
        <w:rPr/>
      </w:pPr>
      <w:r>
        <w:rPr/>
        <w:t>        </w:t>
      </w:r>
      <w:r>
        <w:rPr>
          <w:rFonts w:ascii="times" w:hAnsi="times"/>
          <w:sz w:val="20"/>
        </w:rPr>
        <w:t xml:space="preserve">Marketing segment profit and segment profit per barrel were impacted by the following for the periods indicated: </w:t>
      </w:r>
    </w:p>
    <w:p>
      <w:pPr>
        <w:pStyle w:val="TextBody"/>
        <w:rPr/>
      </w:pPr>
      <w:r>
        <w:rPr/>
        <w:t>        </w:t>
      </w:r>
      <w:r>
        <w:rPr>
          <w:rFonts w:ascii="times" w:hAnsi="times"/>
          <w:i/>
          <w:sz w:val="20"/>
        </w:rPr>
        <w:t>Revenues and purchases and related costs.</w:t>
      </w:r>
      <w:r>
        <w:rPr>
          <w:rFonts w:ascii="times" w:hAnsi="times"/>
        </w:rPr>
        <w:t>    </w:t>
      </w:r>
      <w:r>
        <w:rPr>
          <w:rFonts w:ascii="times" w:hAnsi="times"/>
          <w:sz w:val="20"/>
        </w:rPr>
        <w:t xml:space="preserve">The variances between our revenues and purchases and related costs for 2008, 2007 and 2006 are discussed below.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Generally we consider the market to be favorable and are able to optimize and enhance the margins of our gathering and marketing activities when there is a high level of volatility in the </w:t>
      </w:r>
    </w:p>
    <w:p>
      <w:pPr>
        <w:pStyle w:val="TextBody"/>
        <w:jc w:val="center"/>
        <w:rPr>
          <w:rFonts w:ascii="times" w:hAnsi="times"/>
          <w:sz w:val="20"/>
        </w:rPr>
      </w:pPr>
      <w:r>
        <w:rPr>
          <w:rFonts w:ascii="times" w:hAnsi="times"/>
          <w:sz w:val="20"/>
        </w:rPr>
        <w:t>86</w:t>
      </w:r>
    </w:p>
    <w:p>
      <w:pPr>
        <w:pStyle w:val="HorizontalLine"/>
        <w:pBdr>
          <w:bottom w:val="single" w:sz="20" w:space="0" w:color="808080"/>
        </w:pBdr>
        <w:rPr/>
      </w:pPr>
      <w:r>
        <w:rPr/>
      </w:r>
      <w:r>
        <w:br w:type="page"/>
      </w:r>
    </w:p>
    <w:p>
      <w:pPr>
        <w:pStyle w:val="TextBody"/>
        <w:rPr/>
      </w:pPr>
      <w:hyperlink w:anchor="bg12101a_main_toc">
        <w:bookmarkStart w:id="117" w:name="page_dy12101_1_87"/>
        <w:bookmarkEnd w:id="117"/>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market combined with favorable basis differentials and a steep contango or backwardated market structure. There was volatility in the outright price of crude oil during the last three years. The NYMEX benchmark price of crude oil ranged from approximately $32 to $147 per barrel, $50 to $99 per barrel and $55 to $78 per barrel for 2008, 2007 and 2006, respectively. In addition, there was volatility in the market structure in each of the last three years; 2008 and 2007 fluctuated between a contango market and a backwardated market but 2006 was in contango for the whole year. The monthly timespread of prices averaged approximately $0.21 (contango) for 2008, versus $0.32 (contango) for 2007 and an average contango spread of $1.22 for 2006. A contango market is favorable to our commercial strategies that are associated with storage tankage as it allows us to simultaneously purchase production at current prices for storage and sell at higher prices for future delivery. A backwardated market has a positive impact on our lease gathering margins because crude oil gatherers can capture a premium for prompt deliveries. However, in this environment, there is little incentive to store crude oil as current prices are above future delivery prices. In the fluctuating market structure for 2008 and 2007, we were able to optimize the margins of our gathering and marketing activities. Lease gathering margins were stronger in 2008 than 2007. However, the 2007 results benefited from a contango crude oil market structure (which existed during the first half of the year), favorable crude oil differentials and favorable LPG margins.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Results from our LPG operations were lower in 2008 as compared to the respective period of 2007. Our LPG operations operate on an April to March storage season and the timing of recognizing earnings over that season may vary from year to year based on the sales price of contracts presented for delivery and the average costing of inventory. Results for 2007 benefited from a strong first quarter that included profits from the end of the 2006 - 2007 storage season. Our LPG operations were also impacted by a foreign exchange unrealized loss, which we expect to recover through higher margins in future periods.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Results for 2008 include a net loss of $11 million resulting from inventory valuation adjustments partially offset by related net gains from derivative activities. This net loss includes a loss of $145 million resulting from a write-down of inventory to its net realizable value, which is partially offset by gains of $134 million on related derivatives. The inventory adjustment and the derivative gains were primarily the result of the significant decrease in crude oil and LPG prices that occurred during the second half of 2008. Revenues for 2008 also include a net gain of $7 million related to other derivative activities. Revenues for 2007 include losses related to derivative activities of approximately $27 million. Revenues for 2006 include losses related to derivative activities of approximately $4 million. Purchases and related costs for 2006 include an inventory valuation adjustment, which resulted in a loss of approximately $6 million. See Note 6 to our Consolidated Financial Statements for a discussion of our derivative related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Segment profit for the year ended December 31, 2008 was also negatively impacted by an estimated $10 million to $15 million due to reduced volumes and other impacts of Hurricanes Gustav and Ike.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revenues and purchases and related costs decreased for 2007 compared to 2006 due to the adoption in the second quarter of 2006 of Emerging Issues Task Force Issue No. 04-13 ("EITF 04-13"), "Accounting for Purchases and Sales of Inventory with the Same Counterparty." The adoption of EITF 04-13 in the second quarter of 2006 resulted in inventory purchases and sales under buy/sell transactions, which historically would have been recorded gross as purchases and sales, to be treated as inventory exchanges in our consolidated statements of operations. The treatment of buy/sell transactions under EITF 04-13 reduces both revenues and purchases and related costs on our income statement but does not impact our financial position, net income or liquidity. </w:t>
      </w:r>
    </w:p>
    <w:p>
      <w:pPr>
        <w:pStyle w:val="TextBody"/>
        <w:jc w:val="center"/>
        <w:rPr>
          <w:rFonts w:ascii="times" w:hAnsi="times"/>
          <w:sz w:val="20"/>
        </w:rPr>
      </w:pPr>
      <w:r>
        <w:rPr>
          <w:rFonts w:ascii="times" w:hAnsi="times"/>
          <w:sz w:val="20"/>
        </w:rPr>
        <w:t>87</w:t>
      </w:r>
    </w:p>
    <w:p>
      <w:pPr>
        <w:pStyle w:val="HorizontalLine"/>
        <w:pBdr>
          <w:bottom w:val="single" w:sz="20" w:space="0" w:color="808080"/>
        </w:pBdr>
        <w:rPr/>
      </w:pPr>
      <w:r>
        <w:rPr/>
      </w:r>
      <w:r>
        <w:br w:type="page"/>
      </w:r>
    </w:p>
    <w:p>
      <w:pPr>
        <w:pStyle w:val="TextBody"/>
        <w:rPr/>
      </w:pPr>
      <w:hyperlink w:anchor="bg12101a_main_toc">
        <w:bookmarkStart w:id="118" w:name="page_dy12101_1_88"/>
        <w:bookmarkEnd w:id="11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During 2007 and 2006, we purchased certain crude oil gathering assets and related contracts in South Louisiana, completed the acquisitions of Pacific and Andrews, and purchased a refined products supply and marketing business. These transactions primarily affected our transportation and facilities segment, but also included some marketing activities and opportunities. The integration into our business of these marketing activities precludes specific quantification of relative contribution, but we believe these acquisitions increased segment profit and revenues for our marketing segment. </w:t>
      </w:r>
    </w:p>
    <w:p>
      <w:pPr>
        <w:pStyle w:val="TextBody"/>
        <w:rPr/>
      </w:pPr>
      <w:r>
        <w:rPr/>
        <w:t>        </w:t>
      </w:r>
      <w:r>
        <w:rPr>
          <w:rFonts w:ascii="times" w:hAnsi="times"/>
          <w:i/>
          <w:sz w:val="20"/>
        </w:rPr>
        <w:t>Field Operating Costs.</w:t>
      </w:r>
      <w:r>
        <w:rPr>
          <w:rFonts w:ascii="times" w:hAnsi="times"/>
        </w:rPr>
        <w:t>    </w:t>
      </w:r>
      <w:r>
        <w:rPr>
          <w:rFonts w:ascii="times" w:hAnsi="times"/>
          <w:sz w:val="20"/>
        </w:rPr>
        <w:t xml:space="preserve">Field operating costs increased in 2008 compared to 2007, primarily due to increases in (i) transportation-related costs, including fuel, third-party trucking fees and drivers' salaries and (ii) the number of trucks and trailers under operating leases versus capital leases. Field operating costs increased in 2007 compared to 2006, primarily as a result of increases in (i) third-party trucking fees as a result of 2006 acquisitions, (ii) fuel costs resulting from higher market prices and (iii) maintenance costs as a result of 2006 acquisitions. </w:t>
      </w:r>
    </w:p>
    <w:p>
      <w:pPr>
        <w:pStyle w:val="TextBody"/>
        <w:rPr/>
      </w:pPr>
      <w:r>
        <w:rPr/>
        <w:t>        </w:t>
      </w:r>
      <w:r>
        <w:rPr>
          <w:rFonts w:ascii="times" w:hAnsi="times"/>
          <w:i/>
          <w:sz w:val="20"/>
        </w:rPr>
        <w:t>General and Administrative Expenses.</w:t>
      </w:r>
      <w:r>
        <w:rPr>
          <w:rFonts w:ascii="times" w:hAnsi="times"/>
        </w:rPr>
        <w:t>    </w:t>
      </w:r>
      <w:r>
        <w:rPr>
          <w:rFonts w:ascii="times" w:hAnsi="times"/>
          <w:sz w:val="20"/>
        </w:rPr>
        <w:t xml:space="preserve">General and administrative expenses increased for 2008 compared to 2007 primarily as a result of increases in payroll costs and consulting fees. General and administrative expenses increased for 2007 compared to 2006 primarily as a result of increased payroll and benefits (partly due to the retirement of an executive), as well as acquisitions and internal growth. </w:t>
      </w:r>
    </w:p>
    <w:p>
      <w:pPr>
        <w:pStyle w:val="TextBody"/>
        <w:rPr/>
      </w:pPr>
      <w:r>
        <w:rPr/>
        <w:t>        </w:t>
      </w:r>
      <w:r>
        <w:rPr>
          <w:rFonts w:ascii="times" w:hAnsi="times"/>
          <w:i/>
          <w:sz w:val="20"/>
        </w:rPr>
        <w:t>Equity Compensation Charges.</w:t>
      </w:r>
      <w:r>
        <w:rPr>
          <w:rFonts w:ascii="times" w:hAnsi="times"/>
        </w:rPr>
        <w:t>    </w:t>
      </w:r>
      <w:r>
        <w:rPr>
          <w:rFonts w:ascii="times" w:hAnsi="times"/>
          <w:sz w:val="20"/>
        </w:rPr>
        <w:t xml:space="preserve">Equity compensation charges decreased by approximately $9 million in 2008 compared to 2007 primarily as a result of the decrease in unit price during 2008 compared to the increase in unit price for 2007. The impact of the change in unit price was partially offset by additional LTIP grants that are considered probable of vesting and additional expense for Class B units. The Class B plan was not in existence for most of 2007. Equity compensation charges increased approximately $1 million in 2007 compared to 2006 principally as a result of additional LTIP grants. See Note 10 to our Consolidated Financial Statements. </w:t>
      </w:r>
    </w:p>
    <w:p>
      <w:pPr>
        <w:pStyle w:val="TextBody"/>
        <w:rPr>
          <w:rFonts w:ascii="times" w:hAnsi="times"/>
          <w:b/>
          <w:sz w:val="20"/>
        </w:rPr>
      </w:pPr>
      <w:r>
        <w:rPr>
          <w:rFonts w:ascii="times" w:hAnsi="times"/>
          <w:b/>
          <w:sz w:val="20"/>
        </w:rPr>
        <w:t xml:space="preserve">Other Income and Expenses </w:t>
      </w:r>
    </w:p>
    <w:p>
      <w:pPr>
        <w:pStyle w:val="TextBody"/>
        <w:rPr>
          <w:rFonts w:ascii="times" w:hAnsi="times"/>
          <w:b/>
          <w:i/>
          <w:sz w:val="20"/>
        </w:rPr>
      </w:pPr>
      <w:r>
        <w:rPr>
          <w:rFonts w:ascii="times" w:hAnsi="times"/>
          <w:b/>
          <w:i/>
          <w:sz w:val="20"/>
        </w:rPr>
        <w:t xml:space="preserve">Depreciation and Amortization </w:t>
      </w:r>
    </w:p>
    <w:p>
      <w:pPr>
        <w:pStyle w:val="TextBody"/>
        <w:rPr/>
      </w:pPr>
      <w:r>
        <w:rPr/>
        <w:t>        </w:t>
      </w:r>
      <w:r>
        <w:rPr>
          <w:rFonts w:ascii="times" w:hAnsi="times"/>
          <w:sz w:val="20"/>
        </w:rPr>
        <w:t xml:space="preserve">Depreciation and amortization expense was $211 million for the year ended December 31, 2008 compared to $180 million and $100 million for the years ended December 31, 2007 and 2006, respectively. The increases in 2008 and 2007 related primarily to an increased amount of depreciable assets stemming from our acquisition activities and internal growth projects. Amortization of debt issue costs was $4 million, $3 million and $3 million in 2008, 2007 and 2006, respectively. </w:t>
      </w:r>
    </w:p>
    <w:p>
      <w:pPr>
        <w:pStyle w:val="TextBody"/>
        <w:rPr/>
      </w:pPr>
      <w:r>
        <w:rPr/>
        <w:t>        </w:t>
      </w:r>
      <w:r>
        <w:rPr>
          <w:rFonts w:ascii="times" w:hAnsi="times"/>
          <w:sz w:val="20"/>
        </w:rPr>
        <w:t xml:space="preserve">Included in depreciation expense for the years ended December 31, 2008, 2007 and 2006 is a net gain of $6 million, a net loss of approximately $7 million and a net gain of approximately $2 million, respectively, recognized upon disposition of certain inactive assets. Also included within depreciation expense for the year ended December 31, 2008 is an impairment of approximately $5 million for assets taken out of service. </w:t>
      </w:r>
    </w:p>
    <w:p>
      <w:pPr>
        <w:pStyle w:val="TextBody"/>
        <w:rPr>
          <w:rFonts w:ascii="times" w:hAnsi="times"/>
          <w:b/>
          <w:i/>
          <w:sz w:val="20"/>
        </w:rPr>
      </w:pPr>
      <w:r>
        <w:rPr>
          <w:rFonts w:ascii="times" w:hAnsi="times"/>
          <w:b/>
          <w:i/>
          <w:sz w:val="20"/>
        </w:rPr>
        <w:t xml:space="preserve">Interest Expense </w:t>
      </w:r>
    </w:p>
    <w:p>
      <w:pPr>
        <w:pStyle w:val="TextBody"/>
        <w:rPr/>
      </w:pPr>
      <w:r>
        <w:rPr/>
        <w:t>        </w:t>
      </w:r>
      <w:r>
        <w:rPr>
          <w:rFonts w:ascii="times" w:hAnsi="times"/>
          <w:sz w:val="20"/>
        </w:rPr>
        <w:t xml:space="preserve">Interest expense was $196 million for the year ended December 31, 2008, compared to $162 million and $86 million for the years ended December 31, 2007 and 2006, respectively. Interest expense is primarily impacted by: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average debt balances;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and maturity of fixed rate debt and interest rates associated therewith;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market interest rates and our interest rate hedging activities on floating rate debt; and </w:t>
      </w:r>
    </w:p>
    <w:p>
      <w:pPr>
        <w:pStyle w:val="TextBody"/>
        <w:jc w:val="center"/>
        <w:rPr>
          <w:rFonts w:ascii="times" w:hAnsi="times"/>
          <w:sz w:val="20"/>
        </w:rPr>
      </w:pPr>
      <w:r>
        <w:rPr>
          <w:rFonts w:ascii="times" w:hAnsi="times"/>
          <w:sz w:val="20"/>
        </w:rPr>
        <w:t>88</w:t>
      </w:r>
    </w:p>
    <w:p>
      <w:pPr>
        <w:pStyle w:val="HorizontalLine"/>
        <w:pBdr>
          <w:bottom w:val="single" w:sz="20" w:space="0" w:color="808080"/>
        </w:pBdr>
        <w:rPr/>
      </w:pPr>
      <w:r>
        <w:rPr/>
      </w:r>
      <w:r>
        <w:br w:type="page"/>
      </w:r>
    </w:p>
    <w:p>
      <w:pPr>
        <w:pStyle w:val="TextBody"/>
        <w:rPr/>
      </w:pPr>
      <w:hyperlink w:anchor="bg12101a_main_toc">
        <w:bookmarkStart w:id="119" w:name="page_dy12101_1_89"/>
        <w:bookmarkEnd w:id="11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capitalized on capital projects. </w:t>
      </w:r>
    </w:p>
    <w:p>
      <w:pPr>
        <w:pStyle w:val="TextBody"/>
        <w:rPr/>
      </w:pPr>
      <w:r>
        <w:rPr/>
        <w:t>        </w:t>
      </w:r>
      <w:r>
        <w:rPr>
          <w:rFonts w:ascii="times" w:hAnsi="times"/>
          <w:sz w:val="20"/>
        </w:rPr>
        <w:t xml:space="preserve">The following table summarizes selected components of our average debt balances (in millions): </w:t>
      </w:r>
    </w:p>
    <w:tbl>
      <w:tblPr>
        <w:tblW w:w="9501" w:type="dxa"/>
        <w:jc w:val="center"/>
        <w:tblInd w:w="0" w:type="dxa"/>
        <w:tblCellMar>
          <w:top w:w="0" w:type="dxa"/>
          <w:left w:w="0" w:type="dxa"/>
          <w:bottom w:w="0" w:type="dxa"/>
          <w:right w:w="0" w:type="dxa"/>
        </w:tblCellMar>
      </w:tblPr>
      <w:tblGrid>
        <w:gridCol w:w="210"/>
        <w:gridCol w:w="3889"/>
        <w:gridCol w:w="180"/>
        <w:gridCol w:w="125"/>
        <w:gridCol w:w="485"/>
        <w:gridCol w:w="225"/>
        <w:gridCol w:w="93"/>
        <w:gridCol w:w="601"/>
        <w:gridCol w:w="225"/>
        <w:gridCol w:w="125"/>
        <w:gridCol w:w="485"/>
        <w:gridCol w:w="225"/>
        <w:gridCol w:w="93"/>
        <w:gridCol w:w="601"/>
        <w:gridCol w:w="225"/>
        <w:gridCol w:w="125"/>
        <w:gridCol w:w="485"/>
        <w:gridCol w:w="225"/>
        <w:gridCol w:w="93"/>
        <w:gridCol w:w="601"/>
        <w:gridCol w:w="185"/>
      </w:tblGrid>
      <w:tr>
        <w:trPr/>
        <w:tc>
          <w:tcPr>
            <w:tcW w:w="210" w:type="dxa"/>
            <w:tcBorders/>
            <w:shd w:fill="auto" w:val="clear"/>
            <w:vAlign w:val="center"/>
          </w:tcPr>
          <w:p>
            <w:pPr>
              <w:pStyle w:val="TableContents"/>
              <w:spacing w:before="0" w:after="283"/>
              <w:rPr>
                <w:sz w:val="4"/>
                <w:szCs w:val="4"/>
              </w:rPr>
            </w:pPr>
            <w:r>
              <w:rPr>
                <w:sz w:val="4"/>
                <w:szCs w:val="4"/>
              </w:rPr>
            </w:r>
          </w:p>
        </w:tc>
        <w:tc>
          <w:tcPr>
            <w:tcW w:w="388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09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037"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For the year ended December 31, </w:t>
            </w:r>
          </w:p>
        </w:tc>
        <w:tc>
          <w:tcPr>
            <w:tcW w:w="185" w:type="dxa"/>
            <w:tcBorders/>
            <w:shd w:fill="auto" w:val="clear"/>
            <w:vAlign w:val="bottom"/>
          </w:tcPr>
          <w:p>
            <w:pPr>
              <w:pStyle w:val="TableHeading"/>
              <w:suppressLineNumbers/>
              <w:spacing w:before="0" w:after="283"/>
              <w:jc w:val="center"/>
              <w:rPr/>
            </w:pPr>
            <w:r>
              <w:rPr/>
              <w:t> </w:t>
            </w:r>
          </w:p>
        </w:tc>
      </w:tr>
      <w:tr>
        <w:trPr/>
        <w:tc>
          <w:tcPr>
            <w:tcW w:w="409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52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152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1529"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85" w:type="dxa"/>
            <w:tcBorders/>
            <w:shd w:fill="auto" w:val="clear"/>
            <w:vAlign w:val="bottom"/>
          </w:tcPr>
          <w:p>
            <w:pPr>
              <w:pStyle w:val="TableHeading"/>
              <w:suppressLineNumbers/>
              <w:spacing w:before="0" w:after="283"/>
              <w:jc w:val="center"/>
              <w:rPr/>
            </w:pPr>
            <w:r>
              <w:rPr/>
              <w:t> </w:t>
            </w:r>
          </w:p>
        </w:tc>
      </w:tr>
      <w:tr>
        <w:trPr/>
        <w:tc>
          <w:tcPr>
            <w:tcW w:w="409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25" w:type="dxa"/>
            <w:tcBorders/>
            <w:shd w:fill="auto" w:val="clear"/>
            <w:vAlign w:val="bottom"/>
          </w:tcPr>
          <w:p>
            <w:pPr>
              <w:pStyle w:val="TableHeading"/>
              <w:suppressLineNumbers/>
              <w:spacing w:before="0" w:after="283"/>
              <w:jc w:val="center"/>
              <w:rPr/>
            </w:pPr>
            <w:r>
              <w:rPr/>
              <w:t> </w:t>
            </w:r>
          </w:p>
        </w:tc>
        <w:tc>
          <w:tcPr>
            <w:tcW w:w="6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of Total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25" w:type="dxa"/>
            <w:tcBorders/>
            <w:shd w:fill="auto" w:val="clear"/>
            <w:vAlign w:val="bottom"/>
          </w:tcPr>
          <w:p>
            <w:pPr>
              <w:pStyle w:val="TableHeading"/>
              <w:suppressLineNumbers/>
              <w:spacing w:before="0" w:after="283"/>
              <w:jc w:val="center"/>
              <w:rPr/>
            </w:pPr>
            <w:r>
              <w:rPr/>
              <w:t> </w:t>
            </w:r>
          </w:p>
        </w:tc>
        <w:tc>
          <w:tcPr>
            <w:tcW w:w="6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of Total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25" w:type="dxa"/>
            <w:tcBorders/>
            <w:shd w:fill="auto" w:val="clear"/>
            <w:vAlign w:val="bottom"/>
          </w:tcPr>
          <w:p>
            <w:pPr>
              <w:pStyle w:val="TableHeading"/>
              <w:suppressLineNumbers/>
              <w:spacing w:before="0" w:after="283"/>
              <w:jc w:val="center"/>
              <w:rPr/>
            </w:pPr>
            <w:r>
              <w:rPr/>
              <w:t> </w:t>
            </w:r>
          </w:p>
        </w:tc>
        <w:tc>
          <w:tcPr>
            <w:tcW w:w="6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of Total </w:t>
            </w:r>
          </w:p>
        </w:tc>
        <w:tc>
          <w:tcPr>
            <w:tcW w:w="185" w:type="dxa"/>
            <w:tcBorders/>
            <w:shd w:fill="auto" w:val="clear"/>
            <w:vAlign w:val="bottom"/>
          </w:tcPr>
          <w:p>
            <w:pPr>
              <w:pStyle w:val="TableHeading"/>
              <w:suppressLineNumbers/>
              <w:spacing w:before="0" w:after="283"/>
              <w:jc w:val="center"/>
              <w:rPr/>
            </w:pPr>
            <w:r>
              <w:rPr/>
              <w:t> </w:t>
            </w:r>
          </w:p>
        </w:tc>
      </w:tr>
      <w:tr>
        <w:trPr/>
        <w:tc>
          <w:tcPr>
            <w:tcW w:w="409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Fixed rate senior notes</w:t>
            </w:r>
            <w:r>
              <w:rPr>
                <w:rFonts w:ascii="times" w:hAnsi="times"/>
                <w:position w:val="7"/>
                <w:sz w:val="16"/>
                <w:sz w:val="20"/>
              </w:rPr>
              <w:t>(1)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3,028</w:t>
            </w:r>
          </w:p>
        </w:tc>
        <w:tc>
          <w:tcPr>
            <w:tcW w:w="22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w:hAnsi="times"/>
                <w:sz w:val="20"/>
              </w:rPr>
            </w:pPr>
            <w:r>
              <w:rPr>
                <w:rFonts w:ascii="times" w:hAnsi="times"/>
                <w:sz w:val="20"/>
              </w:rPr>
              <w:t>87</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2,625</w:t>
            </w:r>
          </w:p>
        </w:tc>
        <w:tc>
          <w:tcPr>
            <w:tcW w:w="22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w:hAnsi="times"/>
                <w:sz w:val="20"/>
              </w:rPr>
            </w:pPr>
            <w:r>
              <w:rPr>
                <w:rFonts w:ascii="times" w:hAnsi="times"/>
                <w:sz w:val="20"/>
              </w:rPr>
              <w:t>95</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1,336</w:t>
            </w:r>
          </w:p>
        </w:tc>
        <w:tc>
          <w:tcPr>
            <w:tcW w:w="22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w:hAnsi="times"/>
                <w:sz w:val="20"/>
              </w:rPr>
            </w:pPr>
            <w:r>
              <w:rPr>
                <w:rFonts w:ascii="times" w:hAnsi="times"/>
                <w:sz w:val="20"/>
              </w:rPr>
              <w:t>92</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09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Borrowings under our revolving credit facilities</w:t>
            </w:r>
            <w:r>
              <w:rPr>
                <w:rFonts w:ascii="times" w:hAnsi="times"/>
                <w:position w:val="7"/>
                <w:sz w:val="16"/>
                <w:sz w:val="20"/>
              </w:rPr>
              <w:t>(2)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456</w:t>
            </w:r>
          </w:p>
        </w:tc>
        <w:tc>
          <w:tcPr>
            <w:tcW w:w="22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601"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22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601"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118</w:t>
            </w:r>
          </w:p>
        </w:tc>
        <w:tc>
          <w:tcPr>
            <w:tcW w:w="225"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rPr/>
            </w:pPr>
            <w:r>
              <w:rPr/>
              <w:t> </w:t>
            </w:r>
          </w:p>
        </w:tc>
        <w:tc>
          <w:tcPr>
            <w:tcW w:w="601"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09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210" w:type="dxa"/>
            <w:tcBorders/>
            <w:shd w:fill="CCEEFF" w:val="clear"/>
            <w:vAlign w:val="bottom"/>
          </w:tcPr>
          <w:p>
            <w:pPr>
              <w:pStyle w:val="TableContents"/>
              <w:spacing w:before="0" w:after="283"/>
              <w:rPr/>
            </w:pPr>
            <w:r>
              <w:rPr/>
              <w:t> </w:t>
            </w:r>
          </w:p>
        </w:tc>
        <w:tc>
          <w:tcPr>
            <w:tcW w:w="388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3,484</w:t>
            </w:r>
          </w:p>
        </w:tc>
        <w:tc>
          <w:tcPr>
            <w:tcW w:w="22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2,775</w:t>
            </w:r>
          </w:p>
        </w:tc>
        <w:tc>
          <w:tcPr>
            <w:tcW w:w="22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1,454</w:t>
            </w:r>
          </w:p>
        </w:tc>
        <w:tc>
          <w:tcPr>
            <w:tcW w:w="22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r>
      <w:tr>
        <w:trPr/>
        <w:tc>
          <w:tcPr>
            <w:tcW w:w="409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Weighted average face amount of senior notes, exclusive of discounts.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Excludes borrowings under our senior secured hedged inventory facility and the short-term portion of our senior unsecured revolving credit facility, as the associated interest expense is recorded in crude oil, refined products and LPG purchases and related costs. </w:t>
      </w:r>
    </w:p>
    <w:p>
      <w:pPr>
        <w:pStyle w:val="TextBody"/>
        <w:rPr/>
      </w:pPr>
      <w:r>
        <w:rPr/>
        <w:t>        </w:t>
      </w:r>
      <w:r>
        <w:rPr>
          <w:rFonts w:ascii="times" w:hAnsi="times"/>
          <w:sz w:val="20"/>
        </w:rPr>
        <w:t xml:space="preserve">The following table summarizes the components impacting the interest expense variance for the years ended December 31, 2008 and 2007 (in million, except for percentages): </w:t>
      </w:r>
    </w:p>
    <w:tbl>
      <w:tblPr>
        <w:tblW w:w="7617" w:type="dxa"/>
        <w:jc w:val="center"/>
        <w:tblInd w:w="0" w:type="dxa"/>
        <w:tblCellMar>
          <w:top w:w="0" w:type="dxa"/>
          <w:left w:w="0" w:type="dxa"/>
          <w:bottom w:w="0" w:type="dxa"/>
          <w:right w:w="0" w:type="dxa"/>
        </w:tblCellMar>
      </w:tblPr>
      <w:tblGrid>
        <w:gridCol w:w="150"/>
        <w:gridCol w:w="4294"/>
        <w:gridCol w:w="180"/>
        <w:gridCol w:w="125"/>
        <w:gridCol w:w="335"/>
        <w:gridCol w:w="225"/>
        <w:gridCol w:w="85"/>
        <w:gridCol w:w="699"/>
        <w:gridCol w:w="225"/>
        <w:gridCol w:w="88"/>
        <w:gridCol w:w="1026"/>
        <w:gridCol w:w="185"/>
      </w:tblGrid>
      <w:tr>
        <w:trPr/>
        <w:tc>
          <w:tcPr>
            <w:tcW w:w="150" w:type="dxa"/>
            <w:tcBorders/>
            <w:shd w:fill="auto" w:val="clear"/>
            <w:vAlign w:val="center"/>
          </w:tcPr>
          <w:p>
            <w:pPr>
              <w:pStyle w:val="TableContents"/>
              <w:spacing w:before="0" w:after="283"/>
              <w:rPr>
                <w:sz w:val="4"/>
                <w:szCs w:val="4"/>
              </w:rPr>
            </w:pPr>
            <w:r>
              <w:rPr>
                <w:sz w:val="4"/>
                <w:szCs w:val="4"/>
              </w:rPr>
            </w:r>
          </w:p>
        </w:tc>
        <w:tc>
          <w:tcPr>
            <w:tcW w:w="429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44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Average</w:t>
              <w:br/>
              <w:t xml:space="preserve">LIBOR Rate </w:t>
            </w:r>
          </w:p>
        </w:tc>
        <w:tc>
          <w:tcPr>
            <w:tcW w:w="225" w:type="dxa"/>
            <w:tcBorders/>
            <w:shd w:fill="auto" w:val="clear"/>
            <w:vAlign w:val="bottom"/>
          </w:tcPr>
          <w:p>
            <w:pPr>
              <w:pStyle w:val="TableHeading"/>
              <w:suppressLineNumbers/>
              <w:spacing w:before="0" w:after="283"/>
              <w:jc w:val="center"/>
              <w:rPr/>
            </w:pPr>
            <w:r>
              <w:rPr/>
              <w:t> </w:t>
            </w:r>
          </w:p>
        </w:tc>
        <w:tc>
          <w:tcPr>
            <w:tcW w:w="11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 Average</w:t>
              <w:br/>
              <w:t>Interest Rate</w:t>
            </w:r>
            <w:r>
              <w:rPr>
                <w:rFonts w:ascii="times" w:hAnsi="times"/>
                <w:b/>
                <w:position w:val="5"/>
                <w:sz w:val="11"/>
                <w:sz w:val="14"/>
              </w:rPr>
              <w:t>(1)</w:t>
            </w:r>
            <w:r>
              <w:rPr>
                <w:rFonts w:ascii="times" w:hAnsi="times"/>
                <w:b/>
                <w:sz w:val="14"/>
              </w:rPr>
              <w:t xml:space="preserve"> </w:t>
            </w:r>
          </w:p>
        </w:tc>
        <w:tc>
          <w:tcPr>
            <w:tcW w:w="185" w:type="dxa"/>
            <w:tcBorders/>
            <w:shd w:fill="auto" w:val="clear"/>
            <w:vAlign w:val="bottom"/>
          </w:tcPr>
          <w:p>
            <w:pPr>
              <w:pStyle w:val="TableHeading"/>
              <w:suppressLineNumbers/>
              <w:spacing w:before="0" w:after="283"/>
              <w:jc w:val="center"/>
              <w:rPr/>
            </w:pPr>
            <w:r>
              <w:rPr/>
              <w:t> </w:t>
            </w:r>
          </w:p>
        </w:tc>
      </w:tr>
      <w:tr>
        <w:trPr/>
        <w:tc>
          <w:tcPr>
            <w:tcW w:w="44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 for the year ended December 31, 2006</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86</w:t>
            </w:r>
          </w:p>
        </w:tc>
        <w:tc>
          <w:tcPr>
            <w:tcW w:w="2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w:hAnsi="times"/>
                <w:sz w:val="20"/>
              </w:rPr>
            </w:pPr>
            <w:r>
              <w:rPr>
                <w:rFonts w:ascii="times" w:hAnsi="times"/>
                <w:sz w:val="20"/>
              </w:rPr>
              <w:t>5.0</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w:hAnsi="times"/>
                <w:sz w:val="20"/>
              </w:rPr>
            </w:pPr>
            <w:r>
              <w:rPr>
                <w:rFonts w:ascii="times" w:hAnsi="times"/>
                <w:sz w:val="20"/>
              </w:rPr>
              <w:t>6.1</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150" w:type="dxa"/>
            <w:tcBorders/>
            <w:shd w:fill="FFFFFF" w:val="clear"/>
            <w:vAlign w:val="bottom"/>
          </w:tcPr>
          <w:p>
            <w:pPr>
              <w:pStyle w:val="TableContents"/>
              <w:spacing w:before="0" w:after="283"/>
              <w:rPr/>
            </w:pPr>
            <w:r>
              <w:rPr/>
              <w:t> </w:t>
            </w:r>
          </w:p>
        </w:tc>
        <w:tc>
          <w:tcPr>
            <w:tcW w:w="42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Impact of issuance and assumption of notes related to the Pacific acquisition</w:t>
            </w:r>
            <w:r>
              <w:rPr>
                <w:rFonts w:ascii="times" w:hAnsi="times"/>
                <w:position w:val="7"/>
                <w:sz w:val="16"/>
                <w:sz w:val="20"/>
              </w:rPr>
              <w:t>(2)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77</w:t>
            </w:r>
          </w:p>
        </w:tc>
        <w:tc>
          <w:tcPr>
            <w:tcW w:w="225"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699"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42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Impact of issuance of senior notes</w:t>
            </w:r>
            <w:r>
              <w:rPr>
                <w:rFonts w:ascii="times" w:hAnsi="times"/>
                <w:position w:val="7"/>
                <w:sz w:val="16"/>
                <w:sz w:val="20"/>
              </w:rPr>
              <w:t>(3)</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2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r>
      <w:tr>
        <w:trPr/>
        <w:tc>
          <w:tcPr>
            <w:tcW w:w="150" w:type="dxa"/>
            <w:tcBorders/>
            <w:shd w:fill="FFFFFF" w:val="clear"/>
            <w:vAlign w:val="bottom"/>
          </w:tcPr>
          <w:p>
            <w:pPr>
              <w:pStyle w:val="TableContents"/>
              <w:spacing w:before="0" w:after="283"/>
              <w:rPr/>
            </w:pPr>
            <w:r>
              <w:rPr/>
              <w:t> </w:t>
            </w:r>
          </w:p>
        </w:tc>
        <w:tc>
          <w:tcPr>
            <w:tcW w:w="42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Impact of increased borrowings under credit facilities</w:t>
            </w:r>
            <w:r>
              <w:rPr>
                <w:rFonts w:ascii="times" w:hAnsi="times"/>
                <w:position w:val="7"/>
                <w:sz w:val="16"/>
                <w:sz w:val="20"/>
              </w:rPr>
              <w:t>(4)</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25"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699"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42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Impact of increased capitalized interest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r>
      <w:tr>
        <w:trPr/>
        <w:tc>
          <w:tcPr>
            <w:tcW w:w="150" w:type="dxa"/>
            <w:tcBorders/>
            <w:shd w:fill="FFFFFF" w:val="clear"/>
            <w:vAlign w:val="bottom"/>
          </w:tcPr>
          <w:p>
            <w:pPr>
              <w:pStyle w:val="TableContents"/>
              <w:spacing w:before="0" w:after="283"/>
              <w:rPr/>
            </w:pPr>
            <w:r>
              <w:rPr/>
              <w:t> </w:t>
            </w:r>
          </w:p>
        </w:tc>
        <w:tc>
          <w:tcPr>
            <w:tcW w:w="42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5" w:type="dxa"/>
            <w:tcBorders/>
            <w:shd w:fill="FFFFFF" w:val="clear"/>
            <w:vAlign w:val="bottom"/>
          </w:tcPr>
          <w:p>
            <w:pPr>
              <w:pStyle w:val="TableContents"/>
              <w:spacing w:before="0" w:after="283"/>
              <w:rPr/>
            </w:pPr>
            <w:r>
              <w:rPr/>
              <w:t> </w:t>
            </w:r>
          </w:p>
        </w:tc>
        <w:tc>
          <w:tcPr>
            <w:tcW w:w="699"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r>
      <w:tr>
        <w:trPr/>
        <w:tc>
          <w:tcPr>
            <w:tcW w:w="44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699"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8"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r>
      <w:tr>
        <w:trPr/>
        <w:tc>
          <w:tcPr>
            <w:tcW w:w="44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 for the year ended December 31, 2007</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162</w:t>
            </w:r>
          </w:p>
        </w:tc>
        <w:tc>
          <w:tcPr>
            <w:tcW w:w="2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w:hAnsi="times"/>
                <w:sz w:val="20"/>
              </w:rPr>
            </w:pPr>
            <w:r>
              <w:rPr>
                <w:rFonts w:ascii="times" w:hAnsi="times"/>
                <w:sz w:val="20"/>
              </w:rPr>
              <w:t>5.2</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w:hAnsi="times"/>
                <w:sz w:val="20"/>
              </w:rPr>
            </w:pPr>
            <w:r>
              <w:rPr>
                <w:rFonts w:ascii="times" w:hAnsi="times"/>
                <w:sz w:val="20"/>
              </w:rPr>
              <w:t>6.3</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150" w:type="dxa"/>
            <w:tcBorders/>
            <w:shd w:fill="FFFFFF" w:val="clear"/>
            <w:vAlign w:val="bottom"/>
          </w:tcPr>
          <w:p>
            <w:pPr>
              <w:pStyle w:val="TableContents"/>
              <w:spacing w:before="0" w:after="283"/>
              <w:rPr/>
            </w:pPr>
            <w:r>
              <w:rPr/>
              <w:t> </w:t>
            </w:r>
          </w:p>
        </w:tc>
        <w:tc>
          <w:tcPr>
            <w:tcW w:w="42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Impact of issuance of senior notes</w:t>
            </w:r>
            <w:r>
              <w:rPr>
                <w:rFonts w:ascii="times" w:hAnsi="times"/>
                <w:position w:val="7"/>
                <w:sz w:val="16"/>
                <w:sz w:val="20"/>
              </w:rPr>
              <w:t>(5)</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27</w:t>
            </w:r>
          </w:p>
        </w:tc>
        <w:tc>
          <w:tcPr>
            <w:tcW w:w="225"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699"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42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Impact of increased borrowings under credit facilities</w:t>
            </w:r>
            <w:r>
              <w:rPr>
                <w:rFonts w:ascii="times" w:hAnsi="times"/>
                <w:position w:val="7"/>
                <w:sz w:val="16"/>
                <w:sz w:val="20"/>
              </w:rPr>
              <w:t>(4)</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r>
      <w:tr>
        <w:trPr/>
        <w:tc>
          <w:tcPr>
            <w:tcW w:w="150" w:type="dxa"/>
            <w:tcBorders/>
            <w:shd w:fill="FFFFFF" w:val="clear"/>
            <w:vAlign w:val="bottom"/>
          </w:tcPr>
          <w:p>
            <w:pPr>
              <w:pStyle w:val="TableContents"/>
              <w:spacing w:before="0" w:after="283"/>
              <w:rPr/>
            </w:pPr>
            <w:r>
              <w:rPr/>
              <w:t> </w:t>
            </w:r>
          </w:p>
        </w:tc>
        <w:tc>
          <w:tcPr>
            <w:tcW w:w="429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Impact of increased capitalized interest</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5" w:type="dxa"/>
            <w:tcBorders/>
            <w:shd w:fill="FFFFFF" w:val="clear"/>
            <w:vAlign w:val="bottom"/>
          </w:tcPr>
          <w:p>
            <w:pPr>
              <w:pStyle w:val="TableContents"/>
              <w:spacing w:before="0" w:after="283"/>
              <w:rPr/>
            </w:pPr>
            <w:r>
              <w:rPr/>
              <w:t> </w:t>
            </w:r>
          </w:p>
        </w:tc>
        <w:tc>
          <w:tcPr>
            <w:tcW w:w="699"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429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r>
      <w:tr>
        <w:trPr/>
        <w:tc>
          <w:tcPr>
            <w:tcW w:w="44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5" w:type="dxa"/>
            <w:tcBorders/>
            <w:shd w:fill="auto" w:val="clear"/>
          </w:tcPr>
          <w:p>
            <w:pPr>
              <w:pStyle w:val="TableContents"/>
              <w:spacing w:before="0" w:after="283"/>
              <w:rPr/>
            </w:pPr>
            <w:r>
              <w:rPr/>
              <w:t> </w:t>
            </w:r>
          </w:p>
        </w:tc>
        <w:tc>
          <w:tcPr>
            <w:tcW w:w="699"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8"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r>
      <w:tr>
        <w:trPr/>
        <w:tc>
          <w:tcPr>
            <w:tcW w:w="44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Interest expense for the year ended December 31, 2008</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196</w:t>
            </w:r>
          </w:p>
        </w:tc>
        <w:tc>
          <w:tcPr>
            <w:tcW w:w="225"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699" w:type="dxa"/>
            <w:tcBorders/>
            <w:shd w:fill="FFFFFF" w:val="clear"/>
            <w:vAlign w:val="bottom"/>
          </w:tcPr>
          <w:p>
            <w:pPr>
              <w:pStyle w:val="TableContents"/>
              <w:spacing w:before="0" w:after="283"/>
              <w:jc w:val="right"/>
              <w:rPr>
                <w:rFonts w:ascii="times" w:hAnsi="times"/>
                <w:sz w:val="20"/>
              </w:rPr>
            </w:pPr>
            <w:r>
              <w:rPr>
                <w:rFonts w:ascii="times" w:hAnsi="times"/>
                <w:sz w:val="20"/>
              </w:rPr>
              <w:t>2.7</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8"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jc w:val="right"/>
              <w:rPr>
                <w:rFonts w:ascii="times" w:hAnsi="times"/>
                <w:sz w:val="20"/>
              </w:rPr>
            </w:pPr>
            <w:r>
              <w:rPr>
                <w:rFonts w:ascii="times" w:hAnsi="times"/>
                <w:sz w:val="20"/>
              </w:rPr>
              <w:t>5.9</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Excludes commitment and other fees.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In October 2006, we issued $1.0 billion senior notes to partly finance the Pacific acquisition in November 2006. In connection with the Pacific acquisition, we also assumed $400 million senior notes from Pacific.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In May 2006, we issued $250 million of senior notes.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The change primarily reflects varying borrowing requirements for inventory-related borrowings and other working capital items and changes in LIBOR rates. </w:t>
      </w:r>
    </w:p>
    <w:p>
      <w:pPr>
        <w:pStyle w:val="ListHeading"/>
        <w:spacing w:before="0" w:after="0"/>
        <w:rPr>
          <w:rFonts w:ascii="times" w:hAnsi="times"/>
          <w:position w:val="7"/>
          <w:sz w:val="16"/>
          <w:sz w:val="20"/>
        </w:rPr>
      </w:pPr>
      <w:r>
        <w:rPr>
          <w:rFonts w:ascii="times" w:hAnsi="times"/>
          <w:position w:val="7"/>
          <w:sz w:val="16"/>
          <w:sz w:val="20"/>
        </w:rPr>
        <w:t>(5)</w:t>
      </w:r>
    </w:p>
    <w:p>
      <w:pPr>
        <w:pStyle w:val="ListContents"/>
        <w:spacing w:before="0" w:after="283"/>
        <w:rPr>
          <w:rFonts w:ascii="times" w:hAnsi="times"/>
          <w:sz w:val="20"/>
        </w:rPr>
      </w:pPr>
      <w:r>
        <w:rPr>
          <w:rFonts w:ascii="times" w:hAnsi="times"/>
          <w:sz w:val="20"/>
        </w:rPr>
        <w:t xml:space="preserve">The $600 million senior notes were issued in April 2008 in connection with the Rainbow acquisition. </w:t>
      </w:r>
    </w:p>
    <w:p>
      <w:pPr>
        <w:pStyle w:val="TextBody"/>
        <w:rPr/>
      </w:pPr>
      <w:r>
        <w:rPr/>
        <w:t>        </w:t>
      </w:r>
      <w:r>
        <w:rPr>
          <w:rFonts w:ascii="times" w:hAnsi="times"/>
          <w:sz w:val="20"/>
        </w:rPr>
        <w:t xml:space="preserve">Interest costs attributable to borrowings for inventory stored in a contango market are included in purchases and related costs in our marketing segment profit as we consider interest on these </w:t>
      </w:r>
    </w:p>
    <w:p>
      <w:pPr>
        <w:pStyle w:val="TextBody"/>
        <w:jc w:val="center"/>
        <w:rPr>
          <w:rFonts w:ascii="times" w:hAnsi="times"/>
          <w:sz w:val="20"/>
        </w:rPr>
      </w:pPr>
      <w:r>
        <w:rPr>
          <w:rFonts w:ascii="times" w:hAnsi="times"/>
          <w:sz w:val="20"/>
        </w:rPr>
        <w:t>89</w:t>
      </w:r>
    </w:p>
    <w:p>
      <w:pPr>
        <w:pStyle w:val="HorizontalLine"/>
        <w:pBdr>
          <w:bottom w:val="single" w:sz="20" w:space="0" w:color="808080"/>
        </w:pBdr>
        <w:rPr/>
      </w:pPr>
      <w:r>
        <w:rPr/>
      </w:r>
      <w:r>
        <w:br w:type="page"/>
      </w:r>
    </w:p>
    <w:p>
      <w:pPr>
        <w:pStyle w:val="TextBody"/>
        <w:rPr/>
      </w:pPr>
      <w:hyperlink w:anchor="bg12101a_main_toc">
        <w:bookmarkStart w:id="120" w:name="page_dy12101_1_90"/>
        <w:bookmarkEnd w:id="12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borrowings a direct cost to storing the inventory. These borrowings are primarily under our senior secured hedged inventory facility. These costs were approximately $21 million, $44 million and $49 million for the years ended December 31, 2008, 2007 and 2006, respectively. </w:t>
      </w:r>
    </w:p>
    <w:p>
      <w:pPr>
        <w:pStyle w:val="TextBody"/>
        <w:rPr>
          <w:rFonts w:ascii="times" w:hAnsi="times"/>
          <w:b/>
          <w:i/>
          <w:sz w:val="20"/>
        </w:rPr>
      </w:pPr>
      <w:r>
        <w:rPr>
          <w:rFonts w:ascii="times" w:hAnsi="times"/>
          <w:b/>
          <w:i/>
          <w:sz w:val="20"/>
        </w:rPr>
        <w:t xml:space="preserve">Interest Income and Other, Net </w:t>
      </w:r>
    </w:p>
    <w:p>
      <w:pPr>
        <w:pStyle w:val="TextBody"/>
        <w:rPr/>
      </w:pPr>
      <w:r>
        <w:rPr/>
        <w:t>        </w:t>
      </w:r>
      <w:r>
        <w:rPr>
          <w:rFonts w:ascii="times" w:hAnsi="times"/>
          <w:sz w:val="20"/>
        </w:rPr>
        <w:t xml:space="preserve">Interest income and other, net increased by approximately $23 million for the year ended December 31, 2008, compared to the year ended December 31, 2007 primarily due to (i) a gain of $14 million resulting from the sale of our NYMEX seats and shares in NYMEX Holdings, Inc., which merged with CME Group Inc. and (ii) a gain of $11 million on the foreign currency hedge and commodity price risk hedge that we entered into in connection with the Rainbow acquisition. </w:t>
      </w:r>
    </w:p>
    <w:p>
      <w:pPr>
        <w:pStyle w:val="TextBody"/>
        <w:rPr/>
      </w:pPr>
      <w:r>
        <w:rPr/>
        <w:t>        </w:t>
      </w:r>
      <w:r>
        <w:rPr>
          <w:rFonts w:ascii="times" w:hAnsi="times"/>
          <w:sz w:val="20"/>
        </w:rPr>
        <w:t xml:space="preserve">Interest income and other, net increased by approximately $8 million for the year ended December 31, 2007 compared to the year ended December 31, 2006, primarily due to (i) the recognition of a gain of approximately $4 million upon the sale of a portion of our stock ownership in NYMEX Holdings, Inc. and (ii) the change in fair value of our interest rate swaps. </w:t>
      </w:r>
    </w:p>
    <w:p>
      <w:pPr>
        <w:pStyle w:val="TextBody"/>
        <w:rPr>
          <w:rFonts w:ascii="times" w:hAnsi="times"/>
          <w:b/>
          <w:i/>
          <w:sz w:val="20"/>
        </w:rPr>
      </w:pPr>
      <w:r>
        <w:rPr>
          <w:rFonts w:ascii="times" w:hAnsi="times"/>
          <w:b/>
          <w:i/>
          <w:sz w:val="20"/>
        </w:rPr>
        <w:t xml:space="preserve">Income Tax Expense </w:t>
      </w:r>
    </w:p>
    <w:p>
      <w:pPr>
        <w:pStyle w:val="TextBody"/>
        <w:rPr/>
      </w:pPr>
      <w:r>
        <w:rPr/>
        <w:t>        </w:t>
      </w:r>
      <w:r>
        <w:rPr>
          <w:rFonts w:ascii="times" w:hAnsi="times"/>
          <w:sz w:val="20"/>
        </w:rPr>
        <w:t xml:space="preserve">Excluding the $10 million impact of the initial adoption of the revised Canadian tax laws in 2007, our income tax expense increased by $2 million in 2008 compared to 2007 primarily due to the Rainbow acquisition. Income tax expense was $16 million for the year ended December 31, 2007 primarily due to revised rules on Canadian taxation on certain flow-through entities and the introduction of the Texas margin tax. There was no income tax in 2006. See Note 7 to our Consolidated Financial Statements for further discussion. </w:t>
      </w:r>
    </w:p>
    <w:p>
      <w:pPr>
        <w:pStyle w:val="TextBody"/>
        <w:rPr>
          <w:rFonts w:ascii="times" w:hAnsi="times"/>
          <w:b/>
          <w:sz w:val="20"/>
        </w:rPr>
      </w:pPr>
      <w:r>
        <w:rPr>
          <w:rFonts w:ascii="times" w:hAnsi="times"/>
          <w:b/>
          <w:sz w:val="20"/>
        </w:rPr>
        <w:t xml:space="preserve">Outlook </w:t>
      </w:r>
    </w:p>
    <w:p>
      <w:pPr>
        <w:pStyle w:val="TextBody"/>
        <w:rPr/>
      </w:pPr>
      <w:r>
        <w:rPr/>
        <w:t>        </w:t>
      </w:r>
      <w:r>
        <w:rPr>
          <w:rFonts w:ascii="times" w:hAnsi="times"/>
          <w:sz w:val="20"/>
        </w:rPr>
        <w:t xml:space="preserve">During 2008, we grew our business by expanding our asset base through approximately $735 million of acquisitions and $491 million of internal growth projects. In 2009, we intend to spend approximately $295 million on internal growth projects. Several of the larger storage tank projects for 2008 and 2009, such as the construction or expansion of the Patoka, St. James and Cushing terminals, are well positioned to benefit from the importation of waterborne foreign crude oil into the Gulf Coast as well as the importation of Canadian crude oil and the associated diluent requirements to facilitate its movement. We also believe there are opportunities for us to grow our LPG business and the natural gas storage business of PAA/Vulcan. In late 2008, PAA/Vulcan's management team was further strengthened and a major gas storage project was placed into partial commercial operation. The management team of PAA/Vulcan has been charged with developing the company into a solid, stand alone business through organic growth, acquisitions and greenfield development projects. </w:t>
      </w:r>
    </w:p>
    <w:p>
      <w:pPr>
        <w:pStyle w:val="TextBody"/>
        <w:rPr/>
      </w:pPr>
      <w:r>
        <w:rPr/>
        <w:t>        </w:t>
      </w:r>
      <w:r>
        <w:rPr>
          <w:rFonts w:ascii="times" w:hAnsi="times"/>
          <w:sz w:val="20"/>
        </w:rPr>
        <w:t xml:space="preserve">We intend to continue to develop our inventory of projects for implementation beyond 2009 throughout all of our product and growth platforms, and to pursue potential acquisitions of assets and businesses within our existing areas of operation as well as potential acquisitions of other complementary assets and businesses. These efforts may involve assets that, if constructed or acquired, could have a material effect on our financial condition and results of operations. Although we expect any such capital expenditures to be accretive in the long term, we can give no assurance that our current or future expansion or acquisition efforts will be completed, if at all, on terms considered favorable to us, nor that our expectations will ultimately be realized. </w:t>
      </w:r>
    </w:p>
    <w:p>
      <w:pPr>
        <w:pStyle w:val="TextBody"/>
        <w:rPr/>
      </w:pPr>
      <w:r>
        <w:rPr/>
        <w:t>        </w:t>
      </w:r>
      <w:r>
        <w:rPr>
          <w:rFonts w:ascii="times" w:hAnsi="times"/>
          <w:sz w:val="20"/>
        </w:rPr>
        <w:t xml:space="preserve">During 2008, the financial markets were extremely volatile and the global economy substantially weakened. Many well-known and previously sound U.S. financial institutions failed or were forced into mergers. The U.S. government and governments around the world have taken significant actions in response, including an attempt to provide liquidity and stability to the financial markets by providing government assistance to some of the largest financial institutions in the world. Moreover, the energy </w:t>
      </w:r>
    </w:p>
    <w:p>
      <w:pPr>
        <w:pStyle w:val="TextBody"/>
        <w:jc w:val="center"/>
        <w:rPr>
          <w:rFonts w:ascii="times" w:hAnsi="times"/>
          <w:sz w:val="20"/>
        </w:rPr>
      </w:pPr>
      <w:r>
        <w:rPr>
          <w:rFonts w:ascii="times" w:hAnsi="times"/>
          <w:sz w:val="20"/>
        </w:rPr>
        <w:t>90</w:t>
      </w:r>
    </w:p>
    <w:p>
      <w:pPr>
        <w:pStyle w:val="HorizontalLine"/>
        <w:pBdr>
          <w:bottom w:val="single" w:sz="20" w:space="0" w:color="808080"/>
        </w:pBdr>
        <w:rPr/>
      </w:pPr>
      <w:r>
        <w:rPr/>
      </w:r>
      <w:r>
        <w:br w:type="page"/>
      </w:r>
    </w:p>
    <w:p>
      <w:pPr>
        <w:pStyle w:val="TextBody"/>
        <w:rPr/>
      </w:pPr>
      <w:hyperlink w:anchor="bg12101a_main_toc">
        <w:bookmarkStart w:id="121" w:name="page_dy12101_1_91"/>
        <w:bookmarkEnd w:id="121"/>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markets experienced remarkable volatility, with the prices of crude oil and refined products reaching historically high levels during the first seven months of 2008, then dropping precipitously to much lower levels during the remainder of the year. </w:t>
      </w:r>
    </w:p>
    <w:p>
      <w:pPr>
        <w:pStyle w:val="TextBody"/>
        <w:rPr/>
      </w:pPr>
      <w:r>
        <w:rPr/>
        <w:t>        </w:t>
      </w:r>
      <w:r>
        <w:rPr>
          <w:rFonts w:ascii="times" w:hAnsi="times"/>
          <w:sz w:val="20"/>
        </w:rPr>
        <w:t xml:space="preserve">Despite the chaotic and unstable market conditions, we believe we have access to equity and debt capitalalbeit at a higher cost and with greater execution risk than previously experiencedand that we are well situated to optimize our position in and around our existing assets and to expand our asset base by continuing to consolidate, rationalize and optimize portions of the North American midstream infrastructure. Although we will not be unaffected by challenging economic and capital markets conditions, we believe that the current market environment may enhance our competitive positioning relative to other smaller, non-investment grade competitors. </w:t>
      </w:r>
    </w:p>
    <w:p>
      <w:pPr>
        <w:pStyle w:val="TextBody"/>
        <w:rPr/>
      </w:pPr>
      <w:r>
        <w:rPr/>
        <w:t>        </w:t>
      </w:r>
      <w:r>
        <w:rPr>
          <w:rFonts w:ascii="times" w:hAnsi="times"/>
          <w:sz w:val="20"/>
        </w:rPr>
        <w:t xml:space="preserve">Although we believe our business strategy is designed to manage a volatile environment, and that our asset base strategically positions us to benefit from certain of these developments, there can be no assurance that we will not be negatively affected by this volatility or the challenging capital markets conditions, or that our acquisition and expansion efforts will be successful. See Item 1A. "Risk FactorsRisks Related to Our Business." </w:t>
      </w:r>
    </w:p>
    <w:p>
      <w:pPr>
        <w:pStyle w:val="TextBody"/>
        <w:rPr>
          <w:rFonts w:ascii="times" w:hAnsi="times"/>
          <w:b/>
          <w:sz w:val="20"/>
        </w:rPr>
      </w:pPr>
      <w:r>
        <w:rPr>
          <w:rFonts w:ascii="times" w:hAnsi="times"/>
          <w:b/>
          <w:sz w:val="20"/>
        </w:rPr>
        <w:t xml:space="preserve">Liquidity and Capital Resources </w:t>
      </w:r>
    </w:p>
    <w:p>
      <w:pPr>
        <w:pStyle w:val="TextBody"/>
        <w:rPr/>
      </w:pPr>
      <w:r>
        <w:rPr/>
        <w:t>        </w:t>
      </w:r>
      <w:r>
        <w:rPr>
          <w:rFonts w:ascii="times" w:hAnsi="times"/>
          <w:sz w:val="20"/>
        </w:rPr>
        <w:t xml:space="preserve">Cash flow from operations and borrowings under our credit facilities are our primary sources of liquidity. At December 31, 2008, we had a working capital deficit of approximately $364 million, approximately $764 million of availability under our committed revolving credit facility and approximately $245 million of availability under our committed hedged inventory facility. Usage of the credit facilities is subject to ongoing compliance with covenants. We believe we are currently in compliance with all covenants. </w:t>
      </w:r>
    </w:p>
    <w:p>
      <w:pPr>
        <w:pStyle w:val="TextBody"/>
        <w:rPr/>
      </w:pPr>
      <w:r>
        <w:rPr/>
        <w:t>        </w:t>
      </w:r>
      <w:r>
        <w:rPr>
          <w:rFonts w:ascii="times" w:hAnsi="times"/>
          <w:sz w:val="20"/>
        </w:rPr>
        <w:t xml:space="preserve">We believe that we have and will continue to have the ability to access our credit facilities, which we use to meet our short-term cash needs. We believe that our financial position is strong and we have sufficient liquidity; however, further disruptions in the financial markets and significant energy price volatility that adversely affect our business may have a material adverse effect on our financial condition, results of operations or cash flows. Also, see Item 1A. "Risk Factors" for further discussion regarding such risks that may impact our liquidity and capital resources. </w:t>
      </w:r>
    </w:p>
    <w:p>
      <w:pPr>
        <w:pStyle w:val="TextBody"/>
        <w:rPr/>
      </w:pPr>
      <w:r>
        <w:rPr/>
        <w:t>        </w:t>
      </w:r>
      <w:r>
        <w:rPr>
          <w:rFonts w:ascii="times" w:hAnsi="times"/>
          <w:sz w:val="20"/>
        </w:rPr>
        <w:t xml:space="preserve">In light of the recent decline in the credit markets and overall market turmoil, we have taken the following proactive and preemptive steps to maintain our financial strength and flexibility and the ability to generate baseline cash flow: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have increased the amount of storage capacity leased to third parties by leasing storage capacity on certain newly constructed tanks and certain tanks previously reserved for our proprietary use, which reduced our potential working capital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have pre-funded or contemporaneously funded acquisitions and our capital expansion programs in order to maintain a strong balance sheet and high levels of liquidity. As a result, we have the ability to execute our capital plans through 2009 without reliance on the financial markets for incremental debt or equity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have reduced our forecasted expansion capital spending for 2009 to approximately $295 million from $491 million in 2008. </w:t>
      </w:r>
    </w:p>
    <w:p>
      <w:pPr>
        <w:pStyle w:val="TextBody"/>
        <w:jc w:val="center"/>
        <w:rPr>
          <w:rFonts w:ascii="times" w:hAnsi="times"/>
          <w:sz w:val="20"/>
        </w:rPr>
      </w:pPr>
      <w:r>
        <w:rPr>
          <w:rFonts w:ascii="times" w:hAnsi="times"/>
          <w:sz w:val="20"/>
        </w:rPr>
        <w:t>91</w:t>
      </w:r>
    </w:p>
    <w:p>
      <w:pPr>
        <w:pStyle w:val="HorizontalLine"/>
        <w:pBdr>
          <w:bottom w:val="single" w:sz="20" w:space="0" w:color="808080"/>
        </w:pBdr>
        <w:rPr/>
      </w:pPr>
      <w:r>
        <w:rPr/>
      </w:r>
      <w:r>
        <w:br w:type="page"/>
      </w:r>
    </w:p>
    <w:p>
      <w:pPr>
        <w:pStyle w:val="TextBody"/>
        <w:rPr/>
      </w:pPr>
      <w:hyperlink w:anchor="bg12101a_main_toc">
        <w:bookmarkStart w:id="122" w:name="page_ea12101_1_92"/>
        <w:bookmarkEnd w:id="122"/>
        <w:r>
          <w:rPr>
            <w:rStyle w:val="InternetLink"/>
            <w:rFonts w:ascii="times" w:hAnsi="times"/>
            <w:sz w:val="20"/>
          </w:rPr>
          <w:t>Table of Contents</w:t>
        </w:r>
      </w:hyperlink>
      <w:r>
        <w:rPr>
          <w:rFonts w:ascii="times" w:hAnsi="times"/>
          <w:sz w:val="20"/>
        </w:rPr>
        <w:t xml:space="preserve"> </w:t>
      </w:r>
    </w:p>
    <w:p>
      <w:pPr>
        <w:pStyle w:val="TextBody"/>
        <w:numPr>
          <w:ilvl w:val="0"/>
          <w:numId w:val="0"/>
        </w:numPr>
        <w:ind w:left="707" w:hanging="0"/>
        <w:rPr>
          <w:rFonts w:ascii="times" w:hAnsi="times"/>
          <w:b/>
          <w:sz w:val="20"/>
        </w:rPr>
      </w:pPr>
      <w:r>
        <w:rPr>
          <w:rFonts w:ascii="times" w:hAnsi="times"/>
          <w:b/>
          <w:sz w:val="20"/>
        </w:rPr>
        <w:t xml:space="preserve">Cash Flow from Operations </w:t>
      </w:r>
    </w:p>
    <w:p>
      <w:pPr>
        <w:pStyle w:val="TextBody"/>
        <w:rPr/>
      </w:pPr>
      <w:r>
        <w:rPr/>
        <w:t>        </w:t>
      </w:r>
      <w:r>
        <w:rPr>
          <w:rFonts w:ascii="times" w:hAnsi="times"/>
          <w:sz w:val="20"/>
        </w:rPr>
        <w:t xml:space="preserve">The primary drivers of cash flow from our operations are (i) the collection of amounts related to the sale of crude oil and other products, the transportation of crude oil and other products for a fee, and storage and terminalling services, and (ii) the payment of amounts related to the purchase of crude oil and other products and other expenses, principally field operating costs and general and administrative expenses.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in third party pipelines. In addition, our cash flow from operations may be impacted by the timing of settlement of our derivative activities. Gains and losses from settled instruments that qualify as effective cash flow hedges are deferred in AOCI, but may impact operating cash flow in the period settled. </w:t>
      </w:r>
    </w:p>
    <w:p>
      <w:pPr>
        <w:pStyle w:val="TextBody"/>
        <w:rPr/>
      </w:pPr>
      <w:r>
        <w:rPr/>
        <w:t>        </w:t>
      </w:r>
      <w:r>
        <w:rPr>
          <w:rFonts w:ascii="times" w:hAnsi="times"/>
          <w:sz w:val="20"/>
        </w:rPr>
        <w:t xml:space="preserve">The storage of crude oil in periods of a contango market, when the price of crude oil for future deliveries is higher than current prices, can have a material impact on our cash flows from operating activities.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and other product inventory stored and held for resale at period end affects our cash flow from operating activities. </w:t>
      </w:r>
    </w:p>
    <w:p>
      <w:pPr>
        <w:pStyle w:val="TextBody"/>
        <w:rPr/>
      </w:pPr>
      <w:r>
        <w:rPr/>
        <w:t>        </w:t>
      </w:r>
      <w:r>
        <w:rPr>
          <w:rFonts w:ascii="times" w:hAnsi="times"/>
          <w:sz w:val="20"/>
        </w:rPr>
        <w:t xml:space="preserve">In periods when the market is not in contango, we typically sell our crude oil during the same month in which we purchase it and we do not rely on borrowings under our credit facilities to pay for the crude oil. During such market conditions, our accounts payable and accounts receivable generally move in tandem because we make payments and receive payments for the purchase and sale of crude oil in the same month, which is the month following such activity. In periods during which we build inventory or linefill, regardless of market structure, we may rely on our credit facilities to pay for the inventory or linefill. </w:t>
      </w:r>
    </w:p>
    <w:p>
      <w:pPr>
        <w:pStyle w:val="TextBody"/>
        <w:rPr/>
      </w:pPr>
      <w:r>
        <w:rPr/>
        <w:t>        </w:t>
      </w:r>
      <w:r>
        <w:rPr>
          <w:rFonts w:ascii="times" w:hAnsi="times"/>
          <w:sz w:val="20"/>
        </w:rPr>
        <w:t xml:space="preserve">Our cash flow from operations are significantly impacted in periods when we are increasing or decreasing the amount of inventory in storage. During 2008, we increased the amount of our inventory; however, these volumetric increases were offset by lower prices for our inventory stored at the end of the year compared to prior year amounts. The net proceeds received during the year were used to repay borrowings under our credit facilities and favorably impacted our cash flow from operating activities. The settlement of gains on derivatives that have been deferred in AOCI also had a significant positive impact in 2008 on our operating cash flows. During 2007 we reduced our overall inventory levels as we liquidated inventory that had been stored in the contango market. The proceeds from liquidating the inventory were used to repay borrowings under our credit facilities and favorably impacted our cash flow from operating activities. In 2006, the market was in contango and we increased our storage of crude oil and other products primarily financed through borrowings under our credit facilities, resulting in a negative impact on our cash flows from operating activities for the period, as explained above. </w:t>
      </w:r>
    </w:p>
    <w:p>
      <w:pPr>
        <w:pStyle w:val="TextBody"/>
        <w:numPr>
          <w:ilvl w:val="0"/>
          <w:numId w:val="0"/>
        </w:numPr>
        <w:ind w:left="707" w:hanging="0"/>
        <w:rPr>
          <w:rFonts w:ascii="times" w:hAnsi="times"/>
          <w:b/>
          <w:sz w:val="20"/>
        </w:rPr>
      </w:pPr>
      <w:r>
        <w:rPr>
          <w:rFonts w:ascii="times" w:hAnsi="times"/>
          <w:b/>
          <w:sz w:val="20"/>
        </w:rPr>
        <w:t xml:space="preserve">Credit Facilities and Long-Term Debt </w:t>
      </w:r>
    </w:p>
    <w:p>
      <w:pPr>
        <w:pStyle w:val="TextBody"/>
        <w:rPr/>
      </w:pPr>
      <w:r>
        <w:rPr/>
        <w:t>        </w:t>
      </w:r>
      <w:r>
        <w:rPr>
          <w:rFonts w:ascii="times" w:hAnsi="times"/>
          <w:sz w:val="20"/>
        </w:rPr>
        <w:t xml:space="preserve">At December 31, 2008, we had approximately $0.8 billion of available borrowing capacity under our $1.6 billion committed revolving credit facility. Of the capacity we utilized at December 31, 2008, approximately $51 million was associated with outstanding letters of credit and the remainder was borrowed. The majority of these borrowings related to LPG inventory that is scheduled to be sold over the next six months. This credit facility, among other things, has a maturity date of July 2012, contains </w:t>
      </w:r>
    </w:p>
    <w:p>
      <w:pPr>
        <w:pStyle w:val="TextBody"/>
        <w:jc w:val="center"/>
        <w:rPr>
          <w:rFonts w:ascii="times" w:hAnsi="times"/>
          <w:sz w:val="20"/>
        </w:rPr>
      </w:pPr>
      <w:r>
        <w:rPr>
          <w:rFonts w:ascii="times" w:hAnsi="times"/>
          <w:sz w:val="20"/>
        </w:rPr>
        <w:t>92</w:t>
      </w:r>
    </w:p>
    <w:p>
      <w:pPr>
        <w:pStyle w:val="HorizontalLine"/>
        <w:pBdr>
          <w:bottom w:val="single" w:sz="20" w:space="0" w:color="808080"/>
        </w:pBdr>
        <w:rPr/>
      </w:pPr>
      <w:r>
        <w:rPr/>
      </w:r>
      <w:r>
        <w:br w:type="page"/>
      </w:r>
    </w:p>
    <w:p>
      <w:pPr>
        <w:pStyle w:val="TextBody"/>
        <w:rPr/>
      </w:pPr>
      <w:hyperlink w:anchor="bg12101a_main_toc">
        <w:bookmarkStart w:id="123" w:name="page_ea12101_1_93"/>
        <w:bookmarkEnd w:id="12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no Material Adverse Change language and can be expanded to $2.0 billion, subject to additional lender commitments. In addition this revolving credit facility includes broad participation from 24 financial institutions, with no one institution holding more than 10% or less than 2% of the total facility. See Note 4 to our Consolidated Financial Statements. </w:t>
      </w:r>
    </w:p>
    <w:p>
      <w:pPr>
        <w:pStyle w:val="TextBody"/>
        <w:rPr/>
      </w:pPr>
      <w:r>
        <w:rPr/>
        <w:t>        </w:t>
      </w:r>
      <w:r>
        <w:rPr>
          <w:rFonts w:ascii="times" w:hAnsi="times"/>
          <w:sz w:val="20"/>
        </w:rPr>
        <w:t xml:space="preserve">At December 31, 2008, we had approximately $245 million of availability under our $525 million committed hedged inventory facility. The facility's committed amount may be increased to $1.2 billion, subject to obtaining additional commitments from lenders. This facility is a committed working capital facility, which is used to finance the purchase of hedged crude oil inventory for storage when market conditions warrant. Borrowings under the hedged inventory facility are collateralized by the inventory purchased under the facility and the associated accounts receivable, and will be repaid with the proceeds from the sale of such inventory. The facility will mature on an annual basis beginning in November 2009. </w:t>
      </w:r>
    </w:p>
    <w:p>
      <w:pPr>
        <w:pStyle w:val="TextBody"/>
        <w:rPr/>
      </w:pPr>
      <w:r>
        <w:rPr/>
        <w:t>        </w:t>
      </w:r>
      <w:r>
        <w:rPr>
          <w:rFonts w:ascii="times" w:hAnsi="times"/>
          <w:sz w:val="20"/>
        </w:rPr>
        <w:t xml:space="preserve">We also have several issues of senior debt outstanding that total $3.2 billion, excluding premium or discount, and range in size from $150 million to $600 million and mature at various dates through 2037. Approximately $175 million of these senior notes are due in August 2009. Since we have the ability and intent to refinance these notes, they are classified as long-term debt within our balance sheet. </w:t>
      </w:r>
    </w:p>
    <w:p>
      <w:pPr>
        <w:pStyle w:val="TextBody"/>
        <w:rPr/>
      </w:pPr>
      <w:r>
        <w:rPr/>
        <w:t>        </w:t>
      </w:r>
      <w:r>
        <w:rPr>
          <w:rFonts w:ascii="times" w:hAnsi="times"/>
          <w:sz w:val="20"/>
        </w:rPr>
        <w:t xml:space="preserve">Our credit agreements and the indentures governing our senior notes contain cross-default provisions. A default under our credit facility would permit the lenders to accelerate the maturity of the outstanding debt. As long as we are in compliance with our credit agreements, our ability to make distributions of available cash is not restricted. We are currently in compliance with the covenants contained in our credit agreements and indentures. See Note 4 to our Consolidated Financial Statements. </w:t>
      </w:r>
    </w:p>
    <w:p>
      <w:pPr>
        <w:pStyle w:val="TextBody"/>
        <w:numPr>
          <w:ilvl w:val="0"/>
          <w:numId w:val="0"/>
        </w:numPr>
        <w:ind w:left="707" w:hanging="0"/>
        <w:rPr>
          <w:rFonts w:ascii="times" w:hAnsi="times"/>
          <w:b/>
          <w:sz w:val="20"/>
        </w:rPr>
      </w:pPr>
      <w:r>
        <w:rPr>
          <w:rFonts w:ascii="times" w:hAnsi="times"/>
          <w:b/>
          <w:sz w:val="20"/>
        </w:rPr>
        <w:t xml:space="preserve">Equity and Debt Financing Activities </w:t>
      </w:r>
    </w:p>
    <w:p>
      <w:pPr>
        <w:pStyle w:val="TextBody"/>
        <w:rPr/>
      </w:pPr>
      <w:r>
        <w:rPr/>
        <w:t>        </w:t>
      </w:r>
      <w:r>
        <w:rPr>
          <w:rFonts w:ascii="times" w:hAnsi="times"/>
          <w:sz w:val="20"/>
        </w:rPr>
        <w:t xml:space="preserve">Our financing activities primarily relate to funding acquisitions and internal capital projects, and short-term working capital and hedged inventory borrowings related to our contango market activities. Our financing activities have primarily consisted of equity offerings, senior notes offerings and borrowings and repayments under our credit facilities. </w:t>
      </w:r>
    </w:p>
    <w:p>
      <w:pPr>
        <w:pStyle w:val="TextBody"/>
        <w:rPr/>
      </w:pPr>
      <w:r>
        <w:rPr/>
        <w:t>        </w:t>
      </w:r>
      <w:r>
        <w:rPr>
          <w:rFonts w:ascii="times" w:hAnsi="times"/>
          <w:sz w:val="20"/>
        </w:rPr>
        <w:t xml:space="preserve">We periodically access the capital markets for both equity and debt financing. We have filed with the Securities and Exchange Commission a universal shelf registration statement that, subject to effectiveness at the time of use, allows us to issue from time to time up to an aggregate of $2.0 billion of debt or equity securities. At December 31, 2008, we have $2.0 billion of unissued securities remaining available under this registration statement. </w:t>
      </w:r>
    </w:p>
    <w:p>
      <w:pPr>
        <w:pStyle w:val="TextBody"/>
        <w:rPr/>
      </w:pPr>
      <w:r>
        <w:rPr/>
        <w:t>        </w:t>
      </w:r>
      <w:r>
        <w:rPr>
          <w:rFonts w:ascii="times" w:hAnsi="times"/>
          <w:i/>
          <w:sz w:val="20"/>
        </w:rPr>
        <w:t>Equity Offerings.</w:t>
      </w:r>
      <w:r>
        <w:rPr>
          <w:rFonts w:ascii="times" w:hAnsi="times"/>
        </w:rPr>
        <w:t>    </w:t>
      </w:r>
      <w:r>
        <w:rPr>
          <w:rFonts w:ascii="times" w:hAnsi="times"/>
          <w:sz w:val="20"/>
        </w:rPr>
        <w:t xml:space="preserve">During the last three years we completed several equity offerings as summarized in the table below (net proceeds in millions). Certain of these offerings involved related parties. See Note 9 to our Consolidated Financial Statements. </w:t>
      </w:r>
    </w:p>
    <w:tbl>
      <w:tblPr>
        <w:tblW w:w="7094" w:type="dxa"/>
        <w:jc w:val="center"/>
        <w:tblInd w:w="0" w:type="dxa"/>
        <w:tblCellMar>
          <w:top w:w="0" w:type="dxa"/>
          <w:left w:w="0" w:type="dxa"/>
          <w:bottom w:w="0" w:type="dxa"/>
          <w:right w:w="0" w:type="dxa"/>
        </w:tblCellMar>
      </w:tblPr>
      <w:tblGrid>
        <w:gridCol w:w="75"/>
        <w:gridCol w:w="845"/>
        <w:gridCol w:w="225"/>
        <w:gridCol w:w="125"/>
        <w:gridCol w:w="570"/>
        <w:gridCol w:w="645"/>
        <w:gridCol w:w="75"/>
        <w:gridCol w:w="845"/>
        <w:gridCol w:w="225"/>
        <w:gridCol w:w="125"/>
        <w:gridCol w:w="570"/>
        <w:gridCol w:w="645"/>
        <w:gridCol w:w="75"/>
        <w:gridCol w:w="950"/>
        <w:gridCol w:w="225"/>
        <w:gridCol w:w="127"/>
        <w:gridCol w:w="687"/>
        <w:gridCol w:w="60"/>
      </w:tblGrid>
      <w:tr>
        <w:trPr/>
        <w:tc>
          <w:tcPr>
            <w:tcW w:w="7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84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645" w:type="dxa"/>
            <w:tcBorders/>
            <w:shd w:fill="auto" w:val="clear"/>
            <w:vAlign w:val="bottom"/>
          </w:tcPr>
          <w:p>
            <w:pPr>
              <w:pStyle w:val="TableHeading"/>
              <w:suppressLineNumbers/>
              <w:spacing w:before="0" w:after="283"/>
              <w:jc w:val="center"/>
              <w:rPr/>
            </w:pPr>
            <w:r>
              <w:rPr/>
              <w:t> </w:t>
            </w:r>
          </w:p>
        </w:tc>
        <w:tc>
          <w:tcPr>
            <w:tcW w:w="184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645" w:type="dxa"/>
            <w:tcBorders/>
            <w:shd w:fill="auto" w:val="clear"/>
            <w:vAlign w:val="bottom"/>
          </w:tcPr>
          <w:p>
            <w:pPr>
              <w:pStyle w:val="TableHeading"/>
              <w:suppressLineNumbers/>
              <w:spacing w:before="0" w:after="283"/>
              <w:jc w:val="center"/>
              <w:rPr/>
            </w:pPr>
            <w:r>
              <w:rPr/>
              <w:t> </w:t>
            </w:r>
          </w:p>
        </w:tc>
        <w:tc>
          <w:tcPr>
            <w:tcW w:w="206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0" w:type="dxa"/>
            <w:tcBorders/>
            <w:shd w:fill="auto" w:val="clear"/>
            <w:vAlign w:val="bottom"/>
          </w:tcPr>
          <w:p>
            <w:pPr>
              <w:pStyle w:val="TableHeading"/>
              <w:suppressLineNumbers/>
              <w:spacing w:before="0" w:after="283"/>
              <w:jc w:val="center"/>
              <w:rPr/>
            </w:pPr>
            <w:r>
              <w:rPr/>
              <w:t> </w:t>
            </w:r>
          </w:p>
        </w:tc>
      </w:tr>
      <w:tr>
        <w:trPr/>
        <w:tc>
          <w:tcPr>
            <w:tcW w:w="9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25" w:type="dxa"/>
            <w:tcBorders/>
            <w:shd w:fill="auto" w:val="clear"/>
            <w:vAlign w:val="bottom"/>
          </w:tcPr>
          <w:p>
            <w:pPr>
              <w:pStyle w:val="TableHeading"/>
              <w:suppressLineNumbers/>
              <w:spacing w:before="0" w:after="283"/>
              <w:jc w:val="center"/>
              <w:rPr/>
            </w:pPr>
            <w:r>
              <w:rPr/>
              <w:t> </w:t>
            </w:r>
          </w:p>
        </w:tc>
        <w:tc>
          <w:tcPr>
            <w:tcW w:w="6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Proceeds</w:t>
            </w:r>
            <w:r>
              <w:rPr>
                <w:rFonts w:ascii="times" w:hAnsi="times"/>
                <w:b/>
                <w:position w:val="5"/>
                <w:sz w:val="11"/>
                <w:sz w:val="14"/>
              </w:rPr>
              <w:t>(1)</w:t>
            </w:r>
            <w:r>
              <w:rPr>
                <w:rFonts w:ascii="times" w:hAnsi="times"/>
                <w:b/>
                <w:sz w:val="14"/>
              </w:rPr>
              <w:t xml:space="preserve"> </w:t>
            </w:r>
          </w:p>
        </w:tc>
        <w:tc>
          <w:tcPr>
            <w:tcW w:w="645" w:type="dxa"/>
            <w:tcBorders/>
            <w:shd w:fill="auto" w:val="clear"/>
            <w:vAlign w:val="bottom"/>
          </w:tcPr>
          <w:p>
            <w:pPr>
              <w:pStyle w:val="TableHeading"/>
              <w:suppressLineNumbers/>
              <w:spacing w:before="0" w:after="283"/>
              <w:jc w:val="center"/>
              <w:rPr/>
            </w:pPr>
            <w:r>
              <w:rPr/>
              <w:t> </w:t>
            </w:r>
          </w:p>
        </w:tc>
        <w:tc>
          <w:tcPr>
            <w:tcW w:w="9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25" w:type="dxa"/>
            <w:tcBorders/>
            <w:shd w:fill="auto" w:val="clear"/>
            <w:vAlign w:val="bottom"/>
          </w:tcPr>
          <w:p>
            <w:pPr>
              <w:pStyle w:val="TableHeading"/>
              <w:suppressLineNumbers/>
              <w:spacing w:before="0" w:after="283"/>
              <w:jc w:val="center"/>
              <w:rPr/>
            </w:pPr>
            <w:r>
              <w:rPr/>
              <w:t> </w:t>
            </w:r>
          </w:p>
        </w:tc>
        <w:tc>
          <w:tcPr>
            <w:tcW w:w="6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Proceeds</w:t>
            </w:r>
            <w:r>
              <w:rPr>
                <w:rFonts w:ascii="times" w:hAnsi="times"/>
                <w:b/>
                <w:position w:val="5"/>
                <w:sz w:val="11"/>
                <w:sz w:val="14"/>
              </w:rPr>
              <w:t>(1)</w:t>
            </w:r>
            <w:r>
              <w:rPr>
                <w:rFonts w:ascii="times" w:hAnsi="times"/>
                <w:b/>
                <w:sz w:val="14"/>
              </w:rPr>
              <w:t xml:space="preserve"> </w:t>
            </w:r>
          </w:p>
        </w:tc>
        <w:tc>
          <w:tcPr>
            <w:tcW w:w="645"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25" w:type="dxa"/>
            <w:tcBorders/>
            <w:shd w:fill="auto" w:val="clear"/>
            <w:vAlign w:val="bottom"/>
          </w:tcPr>
          <w:p>
            <w:pPr>
              <w:pStyle w:val="TableHeading"/>
              <w:suppressLineNumbers/>
              <w:spacing w:before="0" w:after="283"/>
              <w:jc w:val="center"/>
              <w:rPr/>
            </w:pPr>
            <w:r>
              <w:rPr/>
              <w:t> </w:t>
            </w:r>
          </w:p>
        </w:tc>
        <w:tc>
          <w:tcPr>
            <w:tcW w:w="8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Proceeds</w:t>
            </w:r>
            <w:r>
              <w:rPr>
                <w:rFonts w:ascii="times" w:hAnsi="times"/>
                <w:b/>
                <w:position w:val="5"/>
                <w:sz w:val="11"/>
                <w:sz w:val="14"/>
              </w:rPr>
              <w:t>(1)(2)</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75"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6,900,000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70" w:type="dxa"/>
            <w:tcBorders/>
            <w:shd w:fill="CCEEFF" w:val="clear"/>
          </w:tcPr>
          <w:p>
            <w:pPr>
              <w:pStyle w:val="TableContents"/>
              <w:spacing w:before="0" w:after="283"/>
              <w:jc w:val="right"/>
              <w:rPr>
                <w:rFonts w:ascii="times" w:hAnsi="times"/>
                <w:sz w:val="20"/>
              </w:rPr>
            </w:pPr>
            <w:r>
              <w:rPr>
                <w:rFonts w:ascii="times" w:hAnsi="times"/>
                <w:sz w:val="20"/>
              </w:rPr>
              <w:t>315</w:t>
            </w:r>
          </w:p>
        </w:tc>
        <w:tc>
          <w:tcPr>
            <w:tcW w:w="64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6,296,172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70" w:type="dxa"/>
            <w:tcBorders/>
            <w:shd w:fill="CCEEFF" w:val="clear"/>
          </w:tcPr>
          <w:p>
            <w:pPr>
              <w:pStyle w:val="TableContents"/>
              <w:spacing w:before="0" w:after="283"/>
              <w:jc w:val="right"/>
              <w:rPr>
                <w:rFonts w:ascii="times" w:hAnsi="times"/>
                <w:sz w:val="20"/>
              </w:rPr>
            </w:pPr>
            <w:r>
              <w:rPr>
                <w:rFonts w:ascii="times" w:hAnsi="times"/>
                <w:sz w:val="20"/>
              </w:rPr>
              <w:t>383</w:t>
            </w:r>
          </w:p>
        </w:tc>
        <w:tc>
          <w:tcPr>
            <w:tcW w:w="64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13,389,562</w:t>
            </w:r>
          </w:p>
        </w:tc>
        <w:tc>
          <w:tcPr>
            <w:tcW w:w="225"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jc w:val="right"/>
              <w:rPr>
                <w:rFonts w:ascii="times" w:hAnsi="times"/>
                <w:sz w:val="20"/>
              </w:rPr>
            </w:pPr>
            <w:r>
              <w:rPr>
                <w:rFonts w:ascii="times" w:hAnsi="times"/>
                <w:sz w:val="20"/>
              </w:rPr>
              <w:t>$</w:t>
            </w:r>
          </w:p>
        </w:tc>
        <w:tc>
          <w:tcPr>
            <w:tcW w:w="687" w:type="dxa"/>
            <w:tcBorders/>
            <w:shd w:fill="CCEEFF" w:val="clear"/>
          </w:tcPr>
          <w:p>
            <w:pPr>
              <w:pStyle w:val="TableContents"/>
              <w:spacing w:before="0" w:after="283"/>
              <w:jc w:val="right"/>
              <w:rPr>
                <w:rFonts w:ascii="times" w:hAnsi="times"/>
                <w:sz w:val="20"/>
              </w:rPr>
            </w:pPr>
            <w:r>
              <w:rPr>
                <w:rFonts w:ascii="times" w:hAnsi="times"/>
                <w:sz w:val="20"/>
              </w:rPr>
              <w:t>621</w:t>
            </w:r>
          </w:p>
        </w:tc>
        <w:tc>
          <w:tcPr>
            <w:tcW w:w="60" w:type="dxa"/>
            <w:tcBorders/>
            <w:shd w:fill="CCEEFF"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Includes our general partner's proportionate capital contribution and is net of costs associated with the offering.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Excludes the common units issued and our general partner's proportionate capital contribution of $22 million pertaining to the equity exchange for the Pacific acquisition. </w:t>
      </w:r>
    </w:p>
    <w:p>
      <w:pPr>
        <w:pStyle w:val="TextBody"/>
        <w:jc w:val="center"/>
        <w:rPr>
          <w:rFonts w:ascii="times" w:hAnsi="times"/>
          <w:sz w:val="20"/>
        </w:rPr>
      </w:pPr>
      <w:r>
        <w:rPr>
          <w:rFonts w:ascii="times" w:hAnsi="times"/>
          <w:sz w:val="20"/>
        </w:rPr>
        <w:t>93</w:t>
      </w:r>
    </w:p>
    <w:p>
      <w:pPr>
        <w:pStyle w:val="HorizontalLine"/>
        <w:pBdr>
          <w:bottom w:val="single" w:sz="20" w:space="0" w:color="808080"/>
        </w:pBdr>
        <w:rPr/>
      </w:pPr>
      <w:r>
        <w:rPr/>
      </w:r>
      <w:r>
        <w:br w:type="page"/>
      </w:r>
    </w:p>
    <w:p>
      <w:pPr>
        <w:pStyle w:val="TextBody"/>
        <w:rPr/>
      </w:pPr>
      <w:hyperlink w:anchor="bg12101a_main_toc">
        <w:bookmarkStart w:id="124" w:name="page_ea12101_1_94"/>
        <w:bookmarkEnd w:id="124"/>
        <w:r>
          <w:rPr>
            <w:rStyle w:val="InternetLink"/>
            <w:rFonts w:ascii="times" w:hAnsi="times"/>
            <w:sz w:val="20"/>
          </w:rPr>
          <w:t>Table of Contents</w:t>
        </w:r>
      </w:hyperlink>
    </w:p>
    <w:p>
      <w:pPr>
        <w:pStyle w:val="TextBody"/>
        <w:rPr/>
      </w:pPr>
      <w:r>
        <w:rPr/>
        <w:t>        </w:t>
      </w:r>
      <w:r>
        <w:rPr>
          <w:rFonts w:ascii="times" w:hAnsi="times"/>
          <w:i/>
          <w:sz w:val="20"/>
        </w:rPr>
        <w:t>Senior Notes.</w:t>
      </w:r>
      <w:r>
        <w:rPr>
          <w:rFonts w:ascii="times" w:hAnsi="times"/>
        </w:rPr>
        <w:t>    </w:t>
      </w:r>
      <w:r>
        <w:rPr>
          <w:rFonts w:ascii="times" w:hAnsi="times"/>
          <w:sz w:val="20"/>
        </w:rPr>
        <w:t xml:space="preserve">During the last three years we completed the sale of senior unsecured notes as summarized in the table below (in millions). </w:t>
      </w:r>
    </w:p>
    <w:tbl>
      <w:tblPr>
        <w:tblW w:w="7688" w:type="dxa"/>
        <w:jc w:val="center"/>
        <w:tblInd w:w="0" w:type="dxa"/>
        <w:tblCellMar>
          <w:top w:w="0" w:type="dxa"/>
          <w:left w:w="0" w:type="dxa"/>
          <w:bottom w:w="0" w:type="dxa"/>
          <w:right w:w="0" w:type="dxa"/>
        </w:tblCellMar>
      </w:tblPr>
      <w:tblGrid>
        <w:gridCol w:w="675"/>
        <w:gridCol w:w="180"/>
        <w:gridCol w:w="3705"/>
        <w:gridCol w:w="180"/>
        <w:gridCol w:w="870"/>
        <w:gridCol w:w="180"/>
        <w:gridCol w:w="188"/>
        <w:gridCol w:w="506"/>
        <w:gridCol w:w="225"/>
        <w:gridCol w:w="165"/>
        <w:gridCol w:w="754"/>
        <w:gridCol w:w="60"/>
      </w:tblGrid>
      <w:tr>
        <w:trPr/>
        <w:tc>
          <w:tcPr>
            <w:tcW w:w="67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7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7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Year </w:t>
            </w:r>
          </w:p>
        </w:tc>
        <w:tc>
          <w:tcPr>
            <w:tcW w:w="180" w:type="dxa"/>
            <w:tcBorders/>
            <w:shd w:fill="auto" w:val="clear"/>
            <w:vAlign w:val="bottom"/>
          </w:tcPr>
          <w:p>
            <w:pPr>
              <w:pStyle w:val="TableHeading"/>
              <w:suppressLineNumbers/>
              <w:spacing w:before="0" w:after="283"/>
              <w:jc w:val="center"/>
              <w:rPr/>
            </w:pPr>
            <w:r>
              <w:rPr/>
              <w:t> </w:t>
            </w:r>
          </w:p>
        </w:tc>
        <w:tc>
          <w:tcPr>
            <w:tcW w:w="37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c>
          <w:tcPr>
            <w:tcW w:w="180" w:type="dxa"/>
            <w:tcBorders/>
            <w:shd w:fill="auto" w:val="clear"/>
            <w:vAlign w:val="bottom"/>
          </w:tcPr>
          <w:p>
            <w:pPr>
              <w:pStyle w:val="TableHeading"/>
              <w:suppressLineNumbers/>
              <w:spacing w:before="0" w:after="283"/>
              <w:jc w:val="center"/>
              <w:rPr/>
            </w:pPr>
            <w:r>
              <w:rPr/>
              <w:t> </w:t>
            </w:r>
          </w:p>
        </w:tc>
        <w:tc>
          <w:tcPr>
            <w:tcW w:w="87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Maturity </w:t>
            </w:r>
          </w:p>
        </w:tc>
        <w:tc>
          <w:tcPr>
            <w:tcW w:w="180" w:type="dxa"/>
            <w:tcBorders/>
            <w:shd w:fill="auto" w:val="clear"/>
            <w:vAlign w:val="bottom"/>
          </w:tcPr>
          <w:p>
            <w:pPr>
              <w:pStyle w:val="TableHeading"/>
              <w:suppressLineNumbers/>
              <w:spacing w:before="0" w:after="283"/>
              <w:jc w:val="center"/>
              <w:rPr/>
            </w:pPr>
            <w:r>
              <w:rPr/>
              <w:t> </w:t>
            </w:r>
          </w:p>
        </w:tc>
        <w:tc>
          <w:tcPr>
            <w:tcW w:w="6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Face Value </w:t>
            </w:r>
          </w:p>
        </w:tc>
        <w:tc>
          <w:tcPr>
            <w:tcW w:w="225" w:type="dxa"/>
            <w:tcBorders/>
            <w:shd w:fill="auto" w:val="clear"/>
            <w:vAlign w:val="bottom"/>
          </w:tcPr>
          <w:p>
            <w:pPr>
              <w:pStyle w:val="TableHeading"/>
              <w:suppressLineNumbers/>
              <w:spacing w:before="0" w:after="283"/>
              <w:jc w:val="center"/>
              <w:rPr/>
            </w:pPr>
            <w:r>
              <w:rPr/>
              <w:t> </w:t>
            </w:r>
          </w:p>
        </w:tc>
        <w:tc>
          <w:tcPr>
            <w:tcW w:w="91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 Proceeds</w:t>
            </w:r>
            <w:r>
              <w:rPr>
                <w:rFonts w:ascii="times" w:hAnsi="times"/>
                <w:b/>
                <w:position w:val="5"/>
                <w:sz w:val="11"/>
                <w:sz w:val="14"/>
              </w:rPr>
              <w:t>(1)</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675" w:type="dxa"/>
            <w:tcBorders/>
            <w:shd w:fill="CCEEFF" w:val="clear"/>
          </w:tcPr>
          <w:p>
            <w:pPr>
              <w:pStyle w:val="TableContents"/>
              <w:spacing w:before="0" w:after="283"/>
              <w:ind w:left="200" w:right="0" w:hanging="200"/>
              <w:rPr>
                <w:rFonts w:ascii="times" w:hAnsi="times"/>
                <w:sz w:val="20"/>
              </w:rPr>
            </w:pPr>
            <w:r>
              <w:rPr>
                <w:rFonts w:ascii="times" w:hAnsi="times"/>
                <w:sz w:val="20"/>
              </w:rPr>
              <w:t>2008</w:t>
            </w:r>
          </w:p>
        </w:tc>
        <w:tc>
          <w:tcPr>
            <w:tcW w:w="180" w:type="dxa"/>
            <w:tcBorders/>
            <w:shd w:fill="CCEEFF" w:val="clear"/>
          </w:tcPr>
          <w:p>
            <w:pPr>
              <w:pStyle w:val="TableContents"/>
              <w:spacing w:before="0" w:after="283"/>
              <w:rPr/>
            </w:pPr>
            <w:r>
              <w:rPr/>
              <w:t> </w:t>
            </w:r>
          </w:p>
        </w:tc>
        <w:tc>
          <w:tcPr>
            <w:tcW w:w="3705" w:type="dxa"/>
            <w:tcBorders/>
            <w:shd w:fill="CCEEFF" w:val="clear"/>
          </w:tcPr>
          <w:p>
            <w:pPr>
              <w:pStyle w:val="TableContents"/>
              <w:spacing w:before="0" w:after="283"/>
              <w:ind w:left="200" w:right="0" w:hanging="200"/>
              <w:jc w:val="left"/>
              <w:rPr>
                <w:rFonts w:ascii="times" w:hAnsi="times"/>
                <w:sz w:val="20"/>
              </w:rPr>
            </w:pPr>
            <w:r>
              <w:rPr>
                <w:rFonts w:ascii="times" w:hAnsi="times"/>
                <w:sz w:val="20"/>
              </w:rPr>
              <w:t>6.5% Senior Notes issued at 99.424% of face value</w:t>
            </w:r>
          </w:p>
        </w:tc>
        <w:tc>
          <w:tcPr>
            <w:tcW w:w="180" w:type="dxa"/>
            <w:tcBorders/>
            <w:shd w:fill="CCEEFF" w:val="clear"/>
          </w:tcPr>
          <w:p>
            <w:pPr>
              <w:pStyle w:val="TableContents"/>
              <w:spacing w:before="0" w:after="283"/>
              <w:rPr/>
            </w:pPr>
            <w:r>
              <w:rPr/>
              <w:t> </w:t>
            </w:r>
          </w:p>
        </w:tc>
        <w:tc>
          <w:tcPr>
            <w:tcW w:w="870" w:type="dxa"/>
            <w:tcBorders/>
            <w:shd w:fill="CCEEFF" w:val="clear"/>
          </w:tcPr>
          <w:p>
            <w:pPr>
              <w:pStyle w:val="TableContents"/>
              <w:spacing w:before="0" w:after="283"/>
              <w:rPr>
                <w:rFonts w:ascii="times" w:hAnsi="times"/>
                <w:sz w:val="20"/>
              </w:rPr>
            </w:pPr>
            <w:r>
              <w:rPr>
                <w:rFonts w:ascii="times" w:hAnsi="times"/>
                <w:sz w:val="20"/>
              </w:rPr>
              <w:t>May 2018</w:t>
            </w:r>
          </w:p>
        </w:tc>
        <w:tc>
          <w:tcPr>
            <w:tcW w:w="180" w:type="dxa"/>
            <w:tcBorders/>
            <w:shd w:fill="CCEEFF" w:val="clear"/>
          </w:tcPr>
          <w:p>
            <w:pPr>
              <w:pStyle w:val="TableContents"/>
              <w:spacing w:before="0" w:after="283"/>
              <w:rPr/>
            </w:pPr>
            <w:r>
              <w:rPr/>
              <w:t> </w:t>
            </w:r>
          </w:p>
        </w:tc>
        <w:tc>
          <w:tcPr>
            <w:tcW w:w="188" w:type="dxa"/>
            <w:tcBorders/>
            <w:shd w:fill="CCEEFF" w:val="clear"/>
          </w:tcPr>
          <w:p>
            <w:pPr>
              <w:pStyle w:val="TableContents"/>
              <w:spacing w:before="0" w:after="283"/>
              <w:jc w:val="right"/>
              <w:rPr>
                <w:rFonts w:ascii="times" w:hAnsi="times"/>
                <w:sz w:val="20"/>
              </w:rPr>
            </w:pPr>
            <w:r>
              <w:rPr>
                <w:rFonts w:ascii="times" w:hAnsi="times"/>
                <w:sz w:val="20"/>
              </w:rP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t>600</w:t>
            </w:r>
          </w:p>
        </w:tc>
        <w:tc>
          <w:tcPr>
            <w:tcW w:w="225" w:type="dxa"/>
            <w:tcBorders/>
            <w:shd w:fill="CCEEFF" w:val="clear"/>
          </w:tcPr>
          <w:p>
            <w:pPr>
              <w:pStyle w:val="TableContents"/>
              <w:spacing w:before="0" w:after="283"/>
              <w:rPr/>
            </w:pPr>
            <w:r>
              <w:rPr/>
              <w:t> </w:t>
            </w:r>
          </w:p>
        </w:tc>
        <w:tc>
          <w:tcPr>
            <w:tcW w:w="165" w:type="dxa"/>
            <w:tcBorders/>
            <w:shd w:fill="CCEEFF" w:val="clear"/>
          </w:tcPr>
          <w:p>
            <w:pPr>
              <w:pStyle w:val="TableContents"/>
              <w:spacing w:before="0" w:after="283"/>
              <w:jc w:val="right"/>
              <w:rPr>
                <w:rFonts w:ascii="times" w:hAnsi="times"/>
                <w:sz w:val="20"/>
              </w:rPr>
            </w:pPr>
            <w:r>
              <w:rPr>
                <w:rFonts w:ascii="times" w:hAnsi="times"/>
                <w:sz w:val="20"/>
              </w:rPr>
              <w:t>$</w:t>
            </w:r>
          </w:p>
        </w:tc>
        <w:tc>
          <w:tcPr>
            <w:tcW w:w="754" w:type="dxa"/>
            <w:tcBorders/>
            <w:shd w:fill="CCEEFF" w:val="clear"/>
          </w:tcPr>
          <w:p>
            <w:pPr>
              <w:pStyle w:val="TableContents"/>
              <w:spacing w:before="0" w:after="283"/>
              <w:jc w:val="right"/>
              <w:rPr>
                <w:rFonts w:ascii="times" w:hAnsi="times"/>
                <w:sz w:val="20"/>
              </w:rPr>
            </w:pPr>
            <w:r>
              <w:rPr>
                <w:rFonts w:ascii="times" w:hAnsi="times"/>
                <w:sz w:val="20"/>
              </w:rPr>
              <w:t>597</w:t>
            </w:r>
          </w:p>
        </w:tc>
        <w:tc>
          <w:tcPr>
            <w:tcW w:w="60" w:type="dxa"/>
            <w:tcBorders/>
            <w:shd w:fill="CCEEFF" w:val="clear"/>
          </w:tcPr>
          <w:p>
            <w:pPr>
              <w:pStyle w:val="TableContents"/>
              <w:spacing w:before="0" w:after="283"/>
              <w:rPr/>
            </w:pPr>
            <w:r>
              <w:rPr/>
              <w:t> </w:t>
            </w:r>
          </w:p>
        </w:tc>
      </w:tr>
      <w:tr>
        <w:trPr/>
        <w:tc>
          <w:tcPr>
            <w:tcW w:w="675" w:type="dxa"/>
            <w:tcBorders/>
            <w:shd w:fill="FFFFFF" w:val="clear"/>
          </w:tcPr>
          <w:p>
            <w:pPr>
              <w:pStyle w:val="TableContents"/>
              <w:spacing w:before="240" w:after="283"/>
              <w:ind w:left="200" w:right="0" w:hanging="200"/>
              <w:rPr>
                <w:rFonts w:ascii="times" w:hAnsi="times"/>
                <w:sz w:val="20"/>
              </w:rPr>
            </w:pPr>
            <w:r>
              <w:rPr>
                <w:rFonts w:ascii="times" w:hAnsi="times"/>
                <w:sz w:val="20"/>
              </w:rPr>
              <w:t>2006</w:t>
            </w:r>
          </w:p>
        </w:tc>
        <w:tc>
          <w:tcPr>
            <w:tcW w:w="180" w:type="dxa"/>
            <w:tcBorders/>
            <w:shd w:fill="FFFFFF" w:val="clear"/>
          </w:tcPr>
          <w:p>
            <w:pPr>
              <w:pStyle w:val="TableContents"/>
              <w:spacing w:before="0" w:after="283"/>
              <w:rPr/>
            </w:pPr>
            <w:r>
              <w:rPr/>
              <w:t> </w:t>
            </w:r>
          </w:p>
        </w:tc>
        <w:tc>
          <w:tcPr>
            <w:tcW w:w="3705" w:type="dxa"/>
            <w:tcBorders/>
            <w:shd w:fill="FFFFFF" w:val="clear"/>
          </w:tcPr>
          <w:p>
            <w:pPr>
              <w:pStyle w:val="TableContents"/>
              <w:spacing w:before="240" w:after="283"/>
              <w:ind w:left="200" w:right="0" w:hanging="200"/>
              <w:jc w:val="left"/>
              <w:rPr>
                <w:rFonts w:ascii="times" w:hAnsi="times"/>
                <w:sz w:val="20"/>
              </w:rPr>
            </w:pPr>
            <w:r>
              <w:rPr>
                <w:rFonts w:ascii="times" w:hAnsi="times"/>
                <w:sz w:val="20"/>
              </w:rPr>
              <w:t>6.125% Senior Notes issued at 99.56% of face value</w:t>
            </w:r>
          </w:p>
        </w:tc>
        <w:tc>
          <w:tcPr>
            <w:tcW w:w="180" w:type="dxa"/>
            <w:tcBorders/>
            <w:shd w:fill="FFFFFF" w:val="clear"/>
          </w:tcPr>
          <w:p>
            <w:pPr>
              <w:pStyle w:val="TableContents"/>
              <w:spacing w:before="0" w:after="283"/>
              <w:rPr/>
            </w:pPr>
            <w:r>
              <w:rPr/>
              <w:t> </w:t>
            </w:r>
          </w:p>
        </w:tc>
        <w:tc>
          <w:tcPr>
            <w:tcW w:w="870" w:type="dxa"/>
            <w:tcBorders/>
            <w:shd w:fill="FFFFFF" w:val="clear"/>
          </w:tcPr>
          <w:p>
            <w:pPr>
              <w:pStyle w:val="TableContents"/>
              <w:spacing w:before="240" w:after="283"/>
              <w:ind w:left="0" w:right="0" w:hanging="0"/>
              <w:jc w:val="left"/>
              <w:rPr>
                <w:rFonts w:ascii="times" w:hAnsi="times"/>
                <w:sz w:val="20"/>
              </w:rPr>
            </w:pPr>
            <w:r>
              <w:rPr>
                <w:rFonts w:ascii="times" w:hAnsi="times"/>
                <w:sz w:val="20"/>
              </w:rPr>
              <w:t>January 2017</w:t>
            </w:r>
          </w:p>
        </w:tc>
        <w:tc>
          <w:tcPr>
            <w:tcW w:w="180" w:type="dxa"/>
            <w:tcBorders/>
            <w:shd w:fill="FFFFFF" w:val="clear"/>
          </w:tcPr>
          <w:p>
            <w:pPr>
              <w:pStyle w:val="TableContents"/>
              <w:spacing w:before="0" w:after="283"/>
              <w:rPr/>
            </w:pPr>
            <w:r>
              <w:rPr/>
              <w:t> </w:t>
            </w:r>
          </w:p>
        </w:tc>
        <w:tc>
          <w:tcPr>
            <w:tcW w:w="188" w:type="dxa"/>
            <w:tcBorders/>
            <w:shd w:fill="FFFFFF" w:val="clear"/>
          </w:tcPr>
          <w:p>
            <w:pPr>
              <w:pStyle w:val="TableContents"/>
              <w:spacing w:before="0" w:after="283"/>
              <w:jc w:val="right"/>
              <w:rPr>
                <w:rFonts w:ascii="times" w:hAnsi="times"/>
                <w:sz w:val="20"/>
              </w:rPr>
            </w:pPr>
            <w:r>
              <w:rPr>
                <w:rFonts w:ascii="times" w:hAnsi="times"/>
                <w:sz w:val="20"/>
              </w:rPr>
              <w:br/>
              <w:t>$</w:t>
            </w:r>
          </w:p>
        </w:tc>
        <w:tc>
          <w:tcPr>
            <w:tcW w:w="506" w:type="dxa"/>
            <w:tcBorders/>
            <w:shd w:fill="FFFFFF" w:val="clear"/>
          </w:tcPr>
          <w:p>
            <w:pPr>
              <w:pStyle w:val="TableContents"/>
              <w:spacing w:before="0" w:after="283"/>
              <w:jc w:val="right"/>
              <w:rPr>
                <w:rFonts w:ascii="times" w:hAnsi="times"/>
                <w:sz w:val="20"/>
              </w:rPr>
            </w:pPr>
            <w:r>
              <w:rPr>
                <w:rFonts w:ascii="times" w:hAnsi="times"/>
                <w:sz w:val="20"/>
              </w:rPr>
              <w:br/>
              <w:t>400</w:t>
            </w:r>
          </w:p>
        </w:tc>
        <w:tc>
          <w:tcPr>
            <w:tcW w:w="225" w:type="dxa"/>
            <w:tcBorders/>
            <w:shd w:fill="FFFFFF" w:val="clear"/>
          </w:tcPr>
          <w:p>
            <w:pPr>
              <w:pStyle w:val="TableContents"/>
              <w:spacing w:before="0" w:after="283"/>
              <w:rPr/>
            </w:pPr>
            <w:r>
              <w:rPr/>
              <w:t> </w:t>
            </w:r>
          </w:p>
        </w:tc>
        <w:tc>
          <w:tcPr>
            <w:tcW w:w="165" w:type="dxa"/>
            <w:tcBorders/>
            <w:shd w:fill="FFFFFF" w:val="clear"/>
          </w:tcPr>
          <w:p>
            <w:pPr>
              <w:pStyle w:val="TableContents"/>
              <w:spacing w:before="0" w:after="283"/>
              <w:jc w:val="right"/>
              <w:rPr>
                <w:rFonts w:ascii="times" w:hAnsi="times"/>
                <w:sz w:val="20"/>
              </w:rPr>
            </w:pPr>
            <w:r>
              <w:rPr>
                <w:rFonts w:ascii="times" w:hAnsi="times"/>
                <w:sz w:val="20"/>
              </w:rPr>
              <w:br/>
              <w:t>$</w:t>
            </w:r>
          </w:p>
        </w:tc>
        <w:tc>
          <w:tcPr>
            <w:tcW w:w="754" w:type="dxa"/>
            <w:tcBorders/>
            <w:shd w:fill="FFFFFF" w:val="clear"/>
          </w:tcPr>
          <w:p>
            <w:pPr>
              <w:pStyle w:val="TableContents"/>
              <w:spacing w:before="0" w:after="283"/>
              <w:jc w:val="right"/>
              <w:rPr>
                <w:rFonts w:ascii="times" w:hAnsi="times"/>
                <w:sz w:val="20"/>
              </w:rPr>
            </w:pPr>
            <w:r>
              <w:rPr>
                <w:rFonts w:ascii="times" w:hAnsi="times"/>
                <w:sz w:val="20"/>
              </w:rPr>
              <w:br/>
              <w:t>398</w:t>
            </w:r>
          </w:p>
        </w:tc>
        <w:tc>
          <w:tcPr>
            <w:tcW w:w="60" w:type="dxa"/>
            <w:tcBorders/>
            <w:shd w:fill="FFFFFF" w:val="clear"/>
          </w:tcPr>
          <w:p>
            <w:pPr>
              <w:pStyle w:val="TableContents"/>
              <w:spacing w:before="0" w:after="283"/>
              <w:rPr/>
            </w:pPr>
            <w:r>
              <w:rPr/>
              <w:t> </w:t>
            </w:r>
          </w:p>
        </w:tc>
      </w:tr>
      <w:tr>
        <w:trPr/>
        <w:tc>
          <w:tcPr>
            <w:tcW w:w="675"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3705" w:type="dxa"/>
            <w:tcBorders/>
            <w:shd w:fill="CCEEFF" w:val="clear"/>
          </w:tcPr>
          <w:p>
            <w:pPr>
              <w:pStyle w:val="TableContents"/>
              <w:spacing w:before="0" w:after="283"/>
              <w:ind w:left="200" w:right="0" w:hanging="200"/>
              <w:jc w:val="left"/>
              <w:rPr>
                <w:rFonts w:ascii="times" w:hAnsi="times"/>
                <w:sz w:val="20"/>
              </w:rPr>
            </w:pPr>
            <w:r>
              <w:rPr>
                <w:rFonts w:ascii="times" w:hAnsi="times"/>
                <w:sz w:val="20"/>
              </w:rPr>
              <w:t>6.65% Senior Notes issued at 99.17% of face value</w:t>
            </w:r>
          </w:p>
        </w:tc>
        <w:tc>
          <w:tcPr>
            <w:tcW w:w="180" w:type="dxa"/>
            <w:tcBorders/>
            <w:shd w:fill="CCEEFF" w:val="clear"/>
          </w:tcPr>
          <w:p>
            <w:pPr>
              <w:pStyle w:val="TableContents"/>
              <w:spacing w:before="0" w:after="283"/>
              <w:rPr/>
            </w:pPr>
            <w:r>
              <w:rPr/>
              <w:t> </w:t>
            </w:r>
          </w:p>
        </w:tc>
        <w:tc>
          <w:tcPr>
            <w:tcW w:w="870" w:type="dxa"/>
            <w:tcBorders/>
            <w:shd w:fill="CCEEFF" w:val="clear"/>
          </w:tcPr>
          <w:p>
            <w:pPr>
              <w:pStyle w:val="TableContents"/>
              <w:spacing w:before="0" w:after="283"/>
              <w:rPr>
                <w:rFonts w:ascii="times" w:hAnsi="times"/>
                <w:sz w:val="20"/>
              </w:rPr>
            </w:pPr>
            <w:r>
              <w:rPr>
                <w:rFonts w:ascii="times" w:hAnsi="times"/>
                <w:sz w:val="20"/>
              </w:rPr>
              <w:t>January 2037</w:t>
            </w:r>
          </w:p>
        </w:tc>
        <w:tc>
          <w:tcPr>
            <w:tcW w:w="180" w:type="dxa"/>
            <w:tcBorders/>
            <w:shd w:fill="CCEEFF" w:val="clear"/>
          </w:tcPr>
          <w:p>
            <w:pPr>
              <w:pStyle w:val="TableContents"/>
              <w:spacing w:before="0" w:after="283"/>
              <w:rPr/>
            </w:pPr>
            <w:r>
              <w:rPr/>
              <w:t> </w:t>
            </w:r>
          </w:p>
        </w:tc>
        <w:tc>
          <w:tcPr>
            <w:tcW w:w="188" w:type="dxa"/>
            <w:tcBorders/>
            <w:shd w:fill="CCEEFF" w:val="clear"/>
          </w:tcPr>
          <w:p>
            <w:pPr>
              <w:pStyle w:val="TableContents"/>
              <w:spacing w:before="0" w:after="283"/>
              <w:jc w:val="right"/>
              <w:rPr>
                <w:rFonts w:ascii="times" w:hAnsi="times"/>
                <w:sz w:val="20"/>
              </w:rPr>
            </w:pPr>
            <w:r>
              <w:rPr>
                <w:rFonts w:ascii="times" w:hAnsi="times"/>
                <w:sz w:val="20"/>
              </w:rP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t>600</w:t>
            </w:r>
          </w:p>
        </w:tc>
        <w:tc>
          <w:tcPr>
            <w:tcW w:w="225" w:type="dxa"/>
            <w:tcBorders/>
            <w:shd w:fill="CCEEFF" w:val="clear"/>
          </w:tcPr>
          <w:p>
            <w:pPr>
              <w:pStyle w:val="TableContents"/>
              <w:spacing w:before="0" w:after="283"/>
              <w:rPr/>
            </w:pPr>
            <w:r>
              <w:rPr/>
              <w:t> </w:t>
            </w:r>
          </w:p>
        </w:tc>
        <w:tc>
          <w:tcPr>
            <w:tcW w:w="165" w:type="dxa"/>
            <w:tcBorders/>
            <w:shd w:fill="CCEEFF" w:val="clear"/>
          </w:tcPr>
          <w:p>
            <w:pPr>
              <w:pStyle w:val="TableContents"/>
              <w:spacing w:before="0" w:after="283"/>
              <w:jc w:val="right"/>
              <w:rPr>
                <w:rFonts w:ascii="times" w:hAnsi="times"/>
                <w:sz w:val="20"/>
              </w:rPr>
            </w:pPr>
            <w:r>
              <w:rPr>
                <w:rFonts w:ascii="times" w:hAnsi="times"/>
                <w:sz w:val="20"/>
              </w:rPr>
              <w:t>$</w:t>
            </w:r>
          </w:p>
        </w:tc>
        <w:tc>
          <w:tcPr>
            <w:tcW w:w="754" w:type="dxa"/>
            <w:tcBorders/>
            <w:shd w:fill="CCEEFF" w:val="clear"/>
          </w:tcPr>
          <w:p>
            <w:pPr>
              <w:pStyle w:val="TableContents"/>
              <w:spacing w:before="0" w:after="283"/>
              <w:jc w:val="right"/>
              <w:rPr>
                <w:rFonts w:ascii="times" w:hAnsi="times"/>
                <w:sz w:val="20"/>
              </w:rPr>
            </w:pPr>
            <w:r>
              <w:rPr>
                <w:rFonts w:ascii="times" w:hAnsi="times"/>
                <w:sz w:val="20"/>
              </w:rPr>
              <w:t>595</w:t>
            </w:r>
          </w:p>
        </w:tc>
        <w:tc>
          <w:tcPr>
            <w:tcW w:w="60" w:type="dxa"/>
            <w:tcBorders/>
            <w:shd w:fill="CCEEFF" w:val="clear"/>
          </w:tcPr>
          <w:p>
            <w:pPr>
              <w:pStyle w:val="TableContents"/>
              <w:spacing w:before="0" w:after="283"/>
              <w:rPr/>
            </w:pPr>
            <w:r>
              <w:rPr/>
              <w:t> </w:t>
            </w:r>
          </w:p>
        </w:tc>
      </w:tr>
      <w:tr>
        <w:trPr/>
        <w:tc>
          <w:tcPr>
            <w:tcW w:w="675" w:type="dxa"/>
            <w:tcBorders/>
            <w:shd w:fill="FFFFFF" w:val="clear"/>
          </w:tcPr>
          <w:p>
            <w:pPr>
              <w:pStyle w:val="TableContents"/>
              <w:spacing w:before="0" w:after="283"/>
              <w:ind w:left="200" w:right="0" w:hanging="200"/>
              <w:rPr>
                <w:sz w:val="4"/>
                <w:szCs w:val="4"/>
              </w:rPr>
            </w:pPr>
            <w:r>
              <w:rPr>
                <w:sz w:val="4"/>
                <w:szCs w:val="4"/>
              </w:rPr>
            </w:r>
          </w:p>
        </w:tc>
        <w:tc>
          <w:tcPr>
            <w:tcW w:w="180" w:type="dxa"/>
            <w:tcBorders/>
            <w:shd w:fill="FFFFFF" w:val="clear"/>
          </w:tcPr>
          <w:p>
            <w:pPr>
              <w:pStyle w:val="TableContents"/>
              <w:spacing w:before="0" w:after="283"/>
              <w:rPr/>
            </w:pPr>
            <w:r>
              <w:rPr/>
              <w:t> </w:t>
            </w:r>
          </w:p>
        </w:tc>
        <w:tc>
          <w:tcPr>
            <w:tcW w:w="3705" w:type="dxa"/>
            <w:tcBorders/>
            <w:shd w:fill="FFFFFF" w:val="clear"/>
          </w:tcPr>
          <w:p>
            <w:pPr>
              <w:pStyle w:val="TableContents"/>
              <w:spacing w:before="0" w:after="283"/>
              <w:ind w:left="200" w:right="0" w:hanging="200"/>
              <w:jc w:val="left"/>
              <w:rPr>
                <w:rFonts w:ascii="times" w:hAnsi="times"/>
                <w:sz w:val="20"/>
              </w:rPr>
            </w:pPr>
            <w:r>
              <w:rPr>
                <w:rFonts w:ascii="times" w:hAnsi="times"/>
                <w:sz w:val="20"/>
              </w:rPr>
              <w:t>6.7% Senior Notes issued at 99.82% of face value</w:t>
            </w:r>
          </w:p>
        </w:tc>
        <w:tc>
          <w:tcPr>
            <w:tcW w:w="180" w:type="dxa"/>
            <w:tcBorders/>
            <w:shd w:fill="FFFFFF" w:val="clear"/>
          </w:tcPr>
          <w:p>
            <w:pPr>
              <w:pStyle w:val="TableContents"/>
              <w:spacing w:before="0" w:after="283"/>
              <w:rPr/>
            </w:pPr>
            <w:r>
              <w:rPr/>
              <w:t> </w:t>
            </w:r>
          </w:p>
        </w:tc>
        <w:tc>
          <w:tcPr>
            <w:tcW w:w="870" w:type="dxa"/>
            <w:tcBorders/>
            <w:shd w:fill="FFFFFF" w:val="clear"/>
          </w:tcPr>
          <w:p>
            <w:pPr>
              <w:pStyle w:val="TableContents"/>
              <w:spacing w:before="0" w:after="283"/>
              <w:rPr>
                <w:rFonts w:ascii="times" w:hAnsi="times"/>
                <w:sz w:val="20"/>
              </w:rPr>
            </w:pPr>
            <w:r>
              <w:rPr>
                <w:rFonts w:ascii="times" w:hAnsi="times"/>
                <w:sz w:val="20"/>
              </w:rPr>
              <w:t>May 2036</w:t>
            </w:r>
          </w:p>
        </w:tc>
        <w:tc>
          <w:tcPr>
            <w:tcW w:w="180" w:type="dxa"/>
            <w:tcBorders/>
            <w:shd w:fill="FFFFFF" w:val="clear"/>
          </w:tcPr>
          <w:p>
            <w:pPr>
              <w:pStyle w:val="TableContents"/>
              <w:spacing w:before="0" w:after="283"/>
              <w:rPr/>
            </w:pPr>
            <w:r>
              <w:rPr/>
              <w:t> </w:t>
            </w:r>
          </w:p>
        </w:tc>
        <w:tc>
          <w:tcPr>
            <w:tcW w:w="188" w:type="dxa"/>
            <w:tcBorders/>
            <w:shd w:fill="FFFFFF" w:val="clear"/>
          </w:tcPr>
          <w:p>
            <w:pPr>
              <w:pStyle w:val="TableContents"/>
              <w:spacing w:before="0" w:after="283"/>
              <w:jc w:val="right"/>
              <w:rPr>
                <w:rFonts w:ascii="times" w:hAnsi="times"/>
                <w:sz w:val="20"/>
              </w:rPr>
            </w:pPr>
            <w:r>
              <w:rPr>
                <w:rFonts w:ascii="times" w:hAnsi="times"/>
                <w:sz w:val="20"/>
              </w:rPr>
              <w:t>$</w:t>
            </w:r>
          </w:p>
        </w:tc>
        <w:tc>
          <w:tcPr>
            <w:tcW w:w="506" w:type="dxa"/>
            <w:tcBorders/>
            <w:shd w:fill="FFFFFF" w:val="clear"/>
          </w:tcPr>
          <w:p>
            <w:pPr>
              <w:pStyle w:val="TableContents"/>
              <w:spacing w:before="0" w:after="283"/>
              <w:jc w:val="right"/>
              <w:rPr>
                <w:rFonts w:ascii="times" w:hAnsi="times"/>
                <w:sz w:val="20"/>
              </w:rPr>
            </w:pPr>
            <w:r>
              <w:rPr>
                <w:rFonts w:ascii="times" w:hAnsi="times"/>
                <w:sz w:val="20"/>
              </w:rPr>
              <w:t>250</w:t>
            </w:r>
          </w:p>
        </w:tc>
        <w:tc>
          <w:tcPr>
            <w:tcW w:w="225" w:type="dxa"/>
            <w:tcBorders/>
            <w:shd w:fill="FFFFFF" w:val="clear"/>
          </w:tcPr>
          <w:p>
            <w:pPr>
              <w:pStyle w:val="TableContents"/>
              <w:spacing w:before="0" w:after="283"/>
              <w:rPr/>
            </w:pPr>
            <w:r>
              <w:rPr/>
              <w:t> </w:t>
            </w:r>
          </w:p>
        </w:tc>
        <w:tc>
          <w:tcPr>
            <w:tcW w:w="165" w:type="dxa"/>
            <w:tcBorders/>
            <w:shd w:fill="FFFFFF" w:val="clear"/>
          </w:tcPr>
          <w:p>
            <w:pPr>
              <w:pStyle w:val="TableContents"/>
              <w:spacing w:before="0" w:after="283"/>
              <w:jc w:val="right"/>
              <w:rPr>
                <w:rFonts w:ascii="times" w:hAnsi="times"/>
                <w:sz w:val="20"/>
              </w:rPr>
            </w:pPr>
            <w:r>
              <w:rPr>
                <w:rFonts w:ascii="times" w:hAnsi="times"/>
                <w:sz w:val="20"/>
              </w:rPr>
              <w:t>$</w:t>
            </w:r>
          </w:p>
        </w:tc>
        <w:tc>
          <w:tcPr>
            <w:tcW w:w="754" w:type="dxa"/>
            <w:tcBorders/>
            <w:shd w:fill="FFFFFF" w:val="clear"/>
          </w:tcPr>
          <w:p>
            <w:pPr>
              <w:pStyle w:val="TableContents"/>
              <w:spacing w:before="0" w:after="283"/>
              <w:jc w:val="right"/>
              <w:rPr>
                <w:rFonts w:ascii="times" w:hAnsi="times"/>
                <w:sz w:val="20"/>
              </w:rPr>
            </w:pPr>
            <w:r>
              <w:rPr>
                <w:rFonts w:ascii="times" w:hAnsi="times"/>
                <w:sz w:val="20"/>
              </w:rPr>
              <w:t>250</w:t>
            </w:r>
          </w:p>
        </w:tc>
        <w:tc>
          <w:tcPr>
            <w:tcW w:w="60" w:type="dxa"/>
            <w:tcBorders/>
            <w:shd w:fill="FFFFFF"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Face value of notes less the applicable discount (before deducting for initial purchaser discounts, commissions and offering expenses). </w:t>
      </w:r>
    </w:p>
    <w:p>
      <w:pPr>
        <w:pStyle w:val="TextBody"/>
        <w:rPr/>
      </w:pPr>
      <w:r>
        <w:rPr/>
        <w:t>        </w:t>
      </w:r>
      <w:r>
        <w:rPr>
          <w:rFonts w:ascii="times" w:hAnsi="times"/>
          <w:i/>
          <w:sz w:val="20"/>
        </w:rPr>
        <w:t>Credit Facilities.</w:t>
      </w:r>
      <w:r>
        <w:rPr>
          <w:rFonts w:ascii="times" w:hAnsi="times"/>
        </w:rPr>
        <w:t>    </w:t>
      </w:r>
      <w:r>
        <w:rPr>
          <w:rFonts w:ascii="times" w:hAnsi="times"/>
          <w:sz w:val="20"/>
        </w:rPr>
        <w:t xml:space="preserve">During the year ended December 31, 2008, we had net working capital and hedged inventory borrowings of approximately $90 million. These net borrowings were used primarily for purchases of LPG inventory that was stored. During the year ended December 31, 2007, we had net working capital and hedged inventory repayments of approximately $54 million. These repayments resulted primarily from sales of crude oil inventory that was stored and subsequently liquidated as we transitioned to backwardated market conditions, partially offset by higher levels of stored LPG inventory. See "Cash Flow from Operations" above. During 2006, we had net working capital and hedged inventory borrowings of approximately $320 million. These net borrowings were used primarily for purchases of crude oil inventory that was stored. For further discussion related to our credit facilities and long-term debt, see "Credit Facilities and Long-Term Debt" above. </w:t>
      </w:r>
    </w:p>
    <w:p>
      <w:pPr>
        <w:pStyle w:val="TextBody"/>
        <w:numPr>
          <w:ilvl w:val="0"/>
          <w:numId w:val="0"/>
        </w:numPr>
        <w:ind w:left="707" w:hanging="0"/>
        <w:rPr>
          <w:rFonts w:ascii="times" w:hAnsi="times"/>
          <w:b/>
          <w:sz w:val="20"/>
        </w:rPr>
      </w:pPr>
      <w:r>
        <w:rPr>
          <w:rFonts w:ascii="times" w:hAnsi="times"/>
          <w:b/>
          <w:sz w:val="20"/>
        </w:rPr>
        <w:t xml:space="preserve">Capital Expenditures and Distributions Paid to Unitholders and General Partner </w:t>
      </w:r>
    </w:p>
    <w:p>
      <w:pPr>
        <w:pStyle w:val="TextBody"/>
        <w:rPr/>
      </w:pPr>
      <w:r>
        <w:rPr/>
        <w:t>        </w:t>
      </w:r>
      <w:r>
        <w:rPr>
          <w:rFonts w:ascii="times" w:hAnsi="times"/>
          <w:sz w:val="20"/>
        </w:rPr>
        <w:t xml:space="preserve">We use cash primarily for our acquisition activities, internal growth projects and distributions paid to our unitholders and general partner. We have made and will continue to make capital expenditures for acquisitions, expansion capital and maintenance capital. Historically, we have financed these expenditures primarily with cash generated by operations and the financing activities discussed above. See "Internal Growth Projects and Acquisitions" for further discussion for such capital expenditures. </w:t>
      </w:r>
    </w:p>
    <w:p>
      <w:pPr>
        <w:pStyle w:val="TextBody"/>
        <w:rPr/>
      </w:pPr>
      <w:r>
        <w:rPr/>
        <w:t>        </w:t>
      </w:r>
      <w:r>
        <w:rPr>
          <w:rFonts w:ascii="times" w:hAnsi="times"/>
          <w:i/>
          <w:sz w:val="20"/>
        </w:rPr>
        <w:t>Acquisitions.</w:t>
      </w:r>
      <w:r>
        <w:rPr>
          <w:rFonts w:ascii="times" w:hAnsi="times"/>
        </w:rPr>
        <w:t>    </w:t>
      </w:r>
      <w:r>
        <w:rPr>
          <w:rFonts w:ascii="times" w:hAnsi="times"/>
          <w:sz w:val="20"/>
        </w:rPr>
        <w:t xml:space="preserve">The price of the acquisitions includes cash paid, transaction costs and assumed liabilities and net working capital items. Because of the non-cash items included in the total price of the acquisition and the timing of certain cash payments, the net cash paid may differ significantly from the total price of the acquisitions completed during the year. </w:t>
      </w:r>
    </w:p>
    <w:p>
      <w:pPr>
        <w:pStyle w:val="TextBody"/>
        <w:rPr/>
      </w:pPr>
      <w:r>
        <w:rPr/>
        <w:t>        </w:t>
      </w:r>
      <w:r>
        <w:rPr>
          <w:rFonts w:ascii="times" w:hAnsi="times"/>
          <w:i/>
          <w:sz w:val="20"/>
        </w:rPr>
        <w:t>2009 Capital Expansion Projects.</w:t>
      </w:r>
      <w:r>
        <w:rPr>
          <w:rFonts w:ascii="times" w:hAnsi="times"/>
        </w:rPr>
        <w:t>    </w:t>
      </w:r>
      <w:r>
        <w:rPr>
          <w:rFonts w:ascii="times" w:hAnsi="times"/>
          <w:sz w:val="20"/>
        </w:rPr>
        <w:t xml:space="preserve">The vast majority of funding for our 2009 capital program will be provided by a combination of cash flow in excess of partnership distributions, proceeds associated with pending asset sales and planned reductions in crude oil and LPG inventories, as we expect prices to be lower in 2009 than they were in 2008. This will allow us to fund these capital projects without need to </w:t>
      </w:r>
    </w:p>
    <w:p>
      <w:pPr>
        <w:pStyle w:val="TextBody"/>
        <w:jc w:val="center"/>
        <w:rPr>
          <w:rFonts w:ascii="times" w:hAnsi="times"/>
          <w:sz w:val="20"/>
        </w:rPr>
      </w:pPr>
      <w:r>
        <w:rPr>
          <w:rFonts w:ascii="times" w:hAnsi="times"/>
          <w:sz w:val="20"/>
        </w:rPr>
        <w:t>94</w:t>
      </w:r>
    </w:p>
    <w:p>
      <w:pPr>
        <w:pStyle w:val="HorizontalLine"/>
        <w:pBdr>
          <w:bottom w:val="single" w:sz="20" w:space="0" w:color="808080"/>
        </w:pBdr>
        <w:rPr/>
      </w:pPr>
      <w:r>
        <w:rPr/>
      </w:r>
      <w:r>
        <w:br w:type="page"/>
      </w:r>
    </w:p>
    <w:p>
      <w:pPr>
        <w:pStyle w:val="TextBody"/>
        <w:rPr/>
      </w:pPr>
      <w:hyperlink w:anchor="bg12101a_main_toc">
        <w:bookmarkStart w:id="125" w:name="page_ea12101_1_95"/>
        <w:bookmarkEnd w:id="125"/>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access the capital markets for equity or debt. Our 2009 capital expansion program includes the following projects with the estimated cost for the entire year (in millions): </w:t>
      </w:r>
    </w:p>
    <w:tbl>
      <w:tblPr>
        <w:tblW w:w="5875" w:type="dxa"/>
        <w:jc w:val="center"/>
        <w:tblInd w:w="0" w:type="dxa"/>
        <w:tblCellMar>
          <w:top w:w="0" w:type="dxa"/>
          <w:left w:w="0" w:type="dxa"/>
          <w:bottom w:w="0" w:type="dxa"/>
          <w:right w:w="0" w:type="dxa"/>
        </w:tblCellMar>
      </w:tblPr>
      <w:tblGrid>
        <w:gridCol w:w="5175"/>
        <w:gridCol w:w="180"/>
        <w:gridCol w:w="125"/>
        <w:gridCol w:w="335"/>
        <w:gridCol w:w="60"/>
      </w:tblGrid>
      <w:tr>
        <w:trPr/>
        <w:tc>
          <w:tcPr>
            <w:tcW w:w="517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Projects </w:t>
            </w:r>
          </w:p>
        </w:tc>
        <w:tc>
          <w:tcPr>
            <w:tcW w:w="180" w:type="dxa"/>
            <w:tcBorders/>
            <w:shd w:fill="auto" w:val="clear"/>
            <w:vAlign w:val="bottom"/>
          </w:tcPr>
          <w:p>
            <w:pPr>
              <w:pStyle w:val="TableHeading"/>
              <w:suppressLineNumbers/>
              <w:spacing w:before="0" w:after="283"/>
              <w:jc w:val="center"/>
              <w:rPr/>
            </w:pPr>
            <w:r>
              <w:rPr/>
              <w:t> </w:t>
            </w:r>
          </w:p>
        </w:tc>
        <w:tc>
          <w:tcPr>
            <w:tcW w:w="460" w:type="dxa"/>
            <w:gridSpan w:val="2"/>
            <w:tcBorders/>
            <w:shd w:fill="auto" w:val="clear"/>
            <w:vAlign w:val="bottom"/>
          </w:tcPr>
          <w:p>
            <w:pPr>
              <w:pStyle w:val="TableHeading"/>
              <w:spacing w:before="0" w:after="283"/>
              <w:jc w:val="center"/>
              <w:rPr/>
            </w:pPr>
            <w:r>
              <w:rPr/>
              <w:t> </w:t>
            </w:r>
          </w:p>
        </w:tc>
        <w:tc>
          <w:tcPr>
            <w:tcW w:w="60" w:type="dxa"/>
            <w:tcBorders/>
            <w:shd w:fill="auto" w:val="clear"/>
            <w:vAlign w:val="bottom"/>
          </w:tcPr>
          <w:p>
            <w:pPr>
              <w:pStyle w:val="TableHeading"/>
              <w:suppressLineNumbers/>
              <w:spacing w:before="0" w:after="283"/>
              <w:jc w:val="center"/>
              <w:rPr/>
            </w:pPr>
            <w:r>
              <w:rPr/>
              <w:t> </w:t>
            </w:r>
          </w:p>
        </w:tc>
      </w:tr>
      <w:tr>
        <w:trPr/>
        <w:tc>
          <w:tcPr>
            <w:tcW w:w="5175" w:type="dxa"/>
            <w:tcBorders/>
            <w:shd w:fill="CCEEFF" w:val="clear"/>
          </w:tcPr>
          <w:p>
            <w:pPr>
              <w:pStyle w:val="TableContents"/>
              <w:spacing w:before="0" w:after="283"/>
              <w:ind w:left="200" w:right="0" w:hanging="200"/>
              <w:rPr>
                <w:rFonts w:ascii="times" w:hAnsi="times"/>
                <w:sz w:val="20"/>
              </w:rPr>
            </w:pPr>
            <w:r>
              <w:rPr>
                <w:rFonts w:ascii="times" w:hAnsi="times"/>
                <w:sz w:val="20"/>
              </w:rPr>
              <w:t>St. James Phase III</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85</w:t>
            </w:r>
          </w:p>
        </w:tc>
        <w:tc>
          <w:tcPr>
            <w:tcW w:w="60" w:type="dxa"/>
            <w:tcBorders/>
            <w:shd w:fill="CCEEFF" w:val="clear"/>
          </w:tcPr>
          <w:p>
            <w:pPr>
              <w:pStyle w:val="TableContents"/>
              <w:spacing w:before="0" w:after="283"/>
              <w:rPr/>
            </w:pPr>
            <w:r>
              <w:rPr/>
              <w:t> </w:t>
            </w:r>
          </w:p>
        </w:tc>
      </w:tr>
      <w:tr>
        <w:trPr/>
        <w:tc>
          <w:tcPr>
            <w:tcW w:w="5175" w:type="dxa"/>
            <w:tcBorders/>
            <w:shd w:fill="FFFFFF" w:val="clear"/>
          </w:tcPr>
          <w:p>
            <w:pPr>
              <w:pStyle w:val="TableContents"/>
              <w:spacing w:before="0" w:after="283"/>
              <w:ind w:left="200" w:right="0" w:hanging="200"/>
              <w:rPr>
                <w:rFonts w:ascii="times" w:hAnsi="times"/>
                <w:sz w:val="20"/>
              </w:rPr>
            </w:pPr>
            <w:r>
              <w:rPr>
                <w:rFonts w:ascii="times" w:hAnsi="times"/>
                <w:sz w:val="20"/>
              </w:rPr>
              <w:t>Kerrobert pumping project</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34</w:t>
            </w:r>
          </w:p>
        </w:tc>
        <w:tc>
          <w:tcPr>
            <w:tcW w:w="60" w:type="dxa"/>
            <w:tcBorders/>
            <w:shd w:fill="FFFFFF" w:val="clear"/>
          </w:tcPr>
          <w:p>
            <w:pPr>
              <w:pStyle w:val="TableContents"/>
              <w:spacing w:before="0" w:after="283"/>
              <w:rPr/>
            </w:pPr>
            <w:r>
              <w:rPr/>
              <w:t> </w:t>
            </w:r>
          </w:p>
        </w:tc>
      </w:tr>
      <w:tr>
        <w:trPr/>
        <w:tc>
          <w:tcPr>
            <w:tcW w:w="5175" w:type="dxa"/>
            <w:tcBorders/>
            <w:shd w:fill="CCEEFF" w:val="clear"/>
          </w:tcPr>
          <w:p>
            <w:pPr>
              <w:pStyle w:val="TableContents"/>
              <w:spacing w:before="0" w:after="283"/>
              <w:ind w:left="200" w:right="0" w:hanging="200"/>
              <w:rPr>
                <w:rFonts w:ascii="times" w:hAnsi="times"/>
                <w:sz w:val="20"/>
              </w:rPr>
            </w:pPr>
            <w:r>
              <w:rPr>
                <w:rFonts w:ascii="times" w:hAnsi="times"/>
                <w:sz w:val="20"/>
              </w:rPr>
              <w:t>CushingPhase VII</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29</w:t>
            </w:r>
          </w:p>
        </w:tc>
        <w:tc>
          <w:tcPr>
            <w:tcW w:w="60" w:type="dxa"/>
            <w:tcBorders/>
            <w:shd w:fill="CCEEFF" w:val="clear"/>
          </w:tcPr>
          <w:p>
            <w:pPr>
              <w:pStyle w:val="TableContents"/>
              <w:spacing w:before="0" w:after="283"/>
              <w:rPr/>
            </w:pPr>
            <w:r>
              <w:rPr/>
              <w:t> </w:t>
            </w:r>
          </w:p>
        </w:tc>
      </w:tr>
      <w:tr>
        <w:trPr/>
        <w:tc>
          <w:tcPr>
            <w:tcW w:w="5175" w:type="dxa"/>
            <w:tcBorders/>
            <w:shd w:fill="FFFFFF" w:val="clear"/>
          </w:tcPr>
          <w:p>
            <w:pPr>
              <w:pStyle w:val="TableContents"/>
              <w:spacing w:before="0" w:after="283"/>
              <w:ind w:left="200" w:right="0" w:hanging="200"/>
              <w:rPr>
                <w:rFonts w:ascii="times" w:hAnsi="times"/>
                <w:sz w:val="20"/>
              </w:rPr>
            </w:pPr>
            <w:r>
              <w:rPr>
                <w:rFonts w:ascii="times" w:hAnsi="times"/>
                <w:sz w:val="20"/>
              </w:rPr>
              <w:t>Rangeland tankage and connections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29</w:t>
            </w:r>
          </w:p>
        </w:tc>
        <w:tc>
          <w:tcPr>
            <w:tcW w:w="60" w:type="dxa"/>
            <w:tcBorders/>
            <w:shd w:fill="FFFFFF" w:val="clear"/>
          </w:tcPr>
          <w:p>
            <w:pPr>
              <w:pStyle w:val="TableContents"/>
              <w:spacing w:before="0" w:after="283"/>
              <w:rPr/>
            </w:pPr>
            <w:r>
              <w:rPr/>
              <w:t> </w:t>
            </w:r>
          </w:p>
        </w:tc>
      </w:tr>
      <w:tr>
        <w:trPr/>
        <w:tc>
          <w:tcPr>
            <w:tcW w:w="5175" w:type="dxa"/>
            <w:tcBorders/>
            <w:shd w:fill="CCEEFF" w:val="clear"/>
          </w:tcPr>
          <w:p>
            <w:pPr>
              <w:pStyle w:val="TableContents"/>
              <w:spacing w:before="0" w:after="283"/>
              <w:ind w:left="200" w:right="0" w:hanging="200"/>
              <w:rPr>
                <w:rFonts w:ascii="times" w:hAnsi="times"/>
                <w:sz w:val="20"/>
              </w:rPr>
            </w:pPr>
            <w:r>
              <w:rPr>
                <w:rFonts w:ascii="times" w:hAnsi="times"/>
                <w:sz w:val="20"/>
              </w:rPr>
              <w:t>Nipisi storage and truck terminal</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20</w:t>
            </w:r>
          </w:p>
        </w:tc>
        <w:tc>
          <w:tcPr>
            <w:tcW w:w="60" w:type="dxa"/>
            <w:tcBorders/>
            <w:shd w:fill="CCEEFF" w:val="clear"/>
          </w:tcPr>
          <w:p>
            <w:pPr>
              <w:pStyle w:val="TableContents"/>
              <w:spacing w:before="0" w:after="283"/>
              <w:rPr/>
            </w:pPr>
            <w:r>
              <w:rPr/>
              <w:t> </w:t>
            </w:r>
          </w:p>
        </w:tc>
      </w:tr>
      <w:tr>
        <w:trPr/>
        <w:tc>
          <w:tcPr>
            <w:tcW w:w="5175" w:type="dxa"/>
            <w:tcBorders/>
            <w:shd w:fill="FFFFFF" w:val="clear"/>
          </w:tcPr>
          <w:p>
            <w:pPr>
              <w:pStyle w:val="TableContents"/>
              <w:spacing w:before="0" w:after="283"/>
              <w:ind w:left="200" w:right="0" w:hanging="200"/>
              <w:rPr>
                <w:rFonts w:ascii="times" w:hAnsi="times"/>
                <w:sz w:val="20"/>
              </w:rPr>
            </w:pPr>
            <w:r>
              <w:rPr>
                <w:rFonts w:ascii="times" w:hAnsi="times"/>
                <w:sz w:val="20"/>
              </w:rPr>
              <w:t>Patoka tankage</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20</w:t>
            </w:r>
          </w:p>
        </w:tc>
        <w:tc>
          <w:tcPr>
            <w:tcW w:w="60" w:type="dxa"/>
            <w:tcBorders/>
            <w:shd w:fill="FFFFFF" w:val="clear"/>
          </w:tcPr>
          <w:p>
            <w:pPr>
              <w:pStyle w:val="TableContents"/>
              <w:spacing w:before="0" w:after="283"/>
              <w:rPr/>
            </w:pPr>
            <w:r>
              <w:rPr/>
              <w:t> </w:t>
            </w:r>
          </w:p>
        </w:tc>
      </w:tr>
      <w:tr>
        <w:trPr/>
        <w:tc>
          <w:tcPr>
            <w:tcW w:w="5175" w:type="dxa"/>
            <w:tcBorders/>
            <w:shd w:fill="CCEEFF" w:val="clear"/>
          </w:tcPr>
          <w:p>
            <w:pPr>
              <w:pStyle w:val="TableContents"/>
              <w:spacing w:before="0" w:after="283"/>
              <w:ind w:left="200" w:right="0" w:hanging="200"/>
              <w:rPr>
                <w:rFonts w:ascii="times" w:hAnsi="times"/>
                <w:sz w:val="20"/>
              </w:rPr>
            </w:pPr>
            <w:r>
              <w:rPr>
                <w:rFonts w:ascii="times" w:hAnsi="times"/>
                <w:sz w:val="20"/>
              </w:rPr>
              <w:t>Paulsboro tankage</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13</w:t>
            </w:r>
          </w:p>
        </w:tc>
        <w:tc>
          <w:tcPr>
            <w:tcW w:w="60" w:type="dxa"/>
            <w:tcBorders/>
            <w:shd w:fill="CCEEFF" w:val="clear"/>
          </w:tcPr>
          <w:p>
            <w:pPr>
              <w:pStyle w:val="TableContents"/>
              <w:spacing w:before="0" w:after="283"/>
              <w:rPr/>
            </w:pPr>
            <w:r>
              <w:rPr/>
              <w:t> </w:t>
            </w:r>
          </w:p>
        </w:tc>
      </w:tr>
      <w:tr>
        <w:trPr/>
        <w:tc>
          <w:tcPr>
            <w:tcW w:w="5175" w:type="dxa"/>
            <w:tcBorders/>
            <w:shd w:fill="FFFFFF" w:val="clear"/>
          </w:tcPr>
          <w:p>
            <w:pPr>
              <w:pStyle w:val="TableContents"/>
              <w:spacing w:before="0" w:after="283"/>
              <w:ind w:left="200" w:right="0" w:hanging="200"/>
              <w:rPr>
                <w:rFonts w:ascii="times" w:hAnsi="times"/>
                <w:sz w:val="20"/>
              </w:rPr>
            </w:pPr>
            <w:r>
              <w:rPr>
                <w:rFonts w:ascii="times" w:hAnsi="times"/>
                <w:sz w:val="20"/>
              </w:rPr>
              <w:t>Other projects, including acquisition related expansion projects</w:t>
            </w:r>
            <w:r>
              <w:rPr>
                <w:rFonts w:ascii="times" w:hAnsi="times"/>
                <w:position w:val="7"/>
                <w:sz w:val="16"/>
                <w:sz w:val="20"/>
              </w:rPr>
              <w:t>(2)</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65</w:t>
            </w:r>
          </w:p>
        </w:tc>
        <w:tc>
          <w:tcPr>
            <w:tcW w:w="60" w:type="dxa"/>
            <w:tcBorders/>
            <w:shd w:fill="FFFFFF" w:val="clear"/>
          </w:tcPr>
          <w:p>
            <w:pPr>
              <w:pStyle w:val="TableContents"/>
              <w:spacing w:before="0" w:after="283"/>
              <w:rPr/>
            </w:pPr>
            <w:r>
              <w:rPr/>
              <w:t> </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175"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295</w:t>
            </w:r>
          </w:p>
        </w:tc>
        <w:tc>
          <w:tcPr>
            <w:tcW w:w="60" w:type="dxa"/>
            <w:tcBorders/>
            <w:shd w:fill="CCEEFF" w:val="clear"/>
          </w:tcPr>
          <w:p>
            <w:pPr>
              <w:pStyle w:val="TableContents"/>
              <w:spacing w:before="0" w:after="283"/>
              <w:rPr/>
            </w:pPr>
            <w:r>
              <w:rPr/>
              <w:t> </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Includes a dock and condensate tanks.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Primarily pipeline connections, upgrades and truck stations, new tank construction and refurbishing, and carry-over of projects started in 2008. </w:t>
      </w:r>
    </w:p>
    <w:p>
      <w:pPr>
        <w:pStyle w:val="TextBody"/>
        <w:rPr/>
      </w:pPr>
      <w:r>
        <w:rPr/>
        <w:t>        </w:t>
      </w:r>
      <w:r>
        <w:rPr>
          <w:rFonts w:ascii="times" w:hAnsi="times"/>
          <w:i/>
          <w:sz w:val="20"/>
        </w:rPr>
        <w:t>Distributions to unitholders and general partner.</w:t>
      </w:r>
      <w:r>
        <w:rPr>
          <w:rFonts w:ascii="times" w:hAnsi="times"/>
        </w:rPr>
        <w:t>    </w:t>
      </w:r>
      <w:r>
        <w:rPr>
          <w:rFonts w:ascii="times" w:hAnsi="times"/>
          <w:sz w:val="20"/>
        </w:rPr>
        <w:t xml:space="preserve">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We paid our quarterly distribution for the fourth quarter of 2008 on February 13, 2009. Due to the unstable and uncertain financial markets, the distribution was consistent with the distribution in the third quarter of 2008 but achieved a year-over-year distribution increase of 5%, which is within the range of our 2008 target for distribution growth of 5% - 8%. We will continue to monitor the financial market conditions as they evolve and it is our intent to maintain an appropriate balance between the near-term benefits of distribution growth and the long-term benefits of retaining excess cash flow during such challenging times for capital formation. See Note 5 to our Consolidated Financial Statements for details of distributions paid. Also, see Item 5. "Market for Registrant's Common Units, Related Unitholder Matters and Issuer Purchases of Equity SecuritiesCash Distribution Policy" for additional discussion on distribution thresholds. </w:t>
      </w:r>
    </w:p>
    <w:p>
      <w:pPr>
        <w:pStyle w:val="TextBody"/>
        <w:rPr/>
      </w:pPr>
      <w:r>
        <w:rPr/>
        <w:t>        </w:t>
      </w:r>
      <w:r>
        <w:rPr>
          <w:rFonts w:ascii="times" w:hAnsi="times"/>
          <w:sz w:val="20"/>
        </w:rPr>
        <w:t xml:space="preserve">Upon closing of the Pacific and Rainbow acquisitions, our general partner agreed to reduce the amounts due it as incentive distributions. See Note 5 to our Consolidated Financial Statements for details related to the general partner's incentive distributions reduction. </w:t>
      </w:r>
    </w:p>
    <w:p>
      <w:pPr>
        <w:pStyle w:val="TextBody"/>
        <w:rPr/>
      </w:pPr>
      <w:r>
        <w:rPr/>
        <w:t>        </w:t>
      </w:r>
      <w:r>
        <w:rPr>
          <w:rFonts w:ascii="times" w:hAnsi="times"/>
          <w:sz w:val="20"/>
        </w:rPr>
        <w:t xml:space="preserve">We believe that we have sufficient liquid assets, cash flow from operations and borrowing capacity under our credit agreements to meet our financial commitments, debt service obligations, contingencies and anticipated capital expenditures. We are subject to business and operational risks, however, that could adversely affect our cash flow. A material decrease in our cash flows would likely produce an adverse effect on our borrowing capacity. </w:t>
      </w:r>
    </w:p>
    <w:p>
      <w:pPr>
        <w:pStyle w:val="TextBody"/>
        <w:numPr>
          <w:ilvl w:val="0"/>
          <w:numId w:val="0"/>
        </w:numPr>
        <w:ind w:left="707" w:hanging="0"/>
        <w:rPr>
          <w:rFonts w:ascii="times" w:hAnsi="times"/>
          <w:b/>
          <w:sz w:val="20"/>
        </w:rPr>
      </w:pPr>
      <w:r>
        <w:rPr>
          <w:rFonts w:ascii="times" w:hAnsi="times"/>
          <w:b/>
          <w:sz w:val="20"/>
        </w:rPr>
        <w:t xml:space="preserve">Contingencies </w:t>
      </w:r>
    </w:p>
    <w:p>
      <w:pPr>
        <w:pStyle w:val="TextBody"/>
        <w:rPr/>
      </w:pPr>
      <w:r>
        <w:rPr/>
        <w:t>        </w:t>
      </w:r>
      <w:r>
        <w:rPr>
          <w:rFonts w:ascii="times" w:hAnsi="times"/>
          <w:sz w:val="20"/>
        </w:rPr>
        <w:t xml:space="preserve">See Note 11 to our Consolidated Financial Statements. </w:t>
      </w:r>
    </w:p>
    <w:p>
      <w:pPr>
        <w:pStyle w:val="TextBody"/>
        <w:numPr>
          <w:ilvl w:val="0"/>
          <w:numId w:val="0"/>
        </w:numPr>
        <w:ind w:left="707" w:hanging="0"/>
        <w:rPr>
          <w:rFonts w:ascii="times" w:hAnsi="times"/>
          <w:b/>
          <w:sz w:val="20"/>
        </w:rPr>
      </w:pPr>
      <w:r>
        <w:rPr>
          <w:rFonts w:ascii="times" w:hAnsi="times"/>
          <w:b/>
          <w:sz w:val="20"/>
        </w:rPr>
        <w:t xml:space="preserve">Commitments </w:t>
      </w:r>
    </w:p>
    <w:p>
      <w:pPr>
        <w:pStyle w:val="TextBody"/>
        <w:rPr/>
      </w:pPr>
      <w:r>
        <w:rPr/>
        <w:t>        </w:t>
      </w:r>
      <w:r>
        <w:rPr>
          <w:rFonts w:ascii="times" w:hAnsi="times"/>
          <w:i/>
          <w:sz w:val="20"/>
        </w:rPr>
        <w:t>Contractual Obligations.</w:t>
      </w:r>
      <w:r>
        <w:rPr>
          <w:rFonts w:ascii="times" w:hAnsi="times"/>
        </w:rPr>
        <w:t>    </w:t>
      </w:r>
      <w:r>
        <w:rPr>
          <w:rFonts w:ascii="times" w:hAnsi="times"/>
          <w:sz w:val="20"/>
        </w:rPr>
        <w:t xml:space="preserve">In the ordinary course of doing business we purchase crude oil and LPG from third parties under contracts, the majority of which range in term from thirty-day evergreen to three years. We establish a margin for these purchases by entering into various types of physical and </w:t>
      </w:r>
    </w:p>
    <w:p>
      <w:pPr>
        <w:pStyle w:val="TextBody"/>
        <w:jc w:val="center"/>
        <w:rPr>
          <w:rFonts w:ascii="times" w:hAnsi="times"/>
          <w:sz w:val="20"/>
        </w:rPr>
      </w:pPr>
      <w:r>
        <w:rPr>
          <w:rFonts w:ascii="times" w:hAnsi="times"/>
          <w:sz w:val="20"/>
        </w:rPr>
        <w:t>95</w:t>
      </w:r>
    </w:p>
    <w:p>
      <w:pPr>
        <w:pStyle w:val="HorizontalLine"/>
        <w:pBdr>
          <w:bottom w:val="single" w:sz="20" w:space="0" w:color="808080"/>
        </w:pBdr>
        <w:rPr/>
      </w:pPr>
      <w:r>
        <w:rPr/>
      </w:r>
      <w:r>
        <w:br w:type="page"/>
      </w:r>
    </w:p>
    <w:p>
      <w:pPr>
        <w:pStyle w:val="TextBody"/>
        <w:rPr/>
      </w:pPr>
      <w:hyperlink w:anchor="bg12101a_main_toc">
        <w:bookmarkStart w:id="126" w:name="page_ea12101_1_96"/>
        <w:bookmarkEnd w:id="12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creditworthy entities. </w:t>
      </w:r>
    </w:p>
    <w:p>
      <w:pPr>
        <w:pStyle w:val="TextBody"/>
        <w:rPr/>
      </w:pPr>
      <w:r>
        <w:rPr/>
        <w:t>        </w:t>
      </w:r>
      <w:r>
        <w:rPr>
          <w:rFonts w:ascii="times" w:hAnsi="times"/>
          <w:sz w:val="20"/>
        </w:rPr>
        <w:t xml:space="preserve">The following table includes our best estimate of the amount and timing of these payments as well as others due under the specified contractual obligations as of December 31, 2008 (in millions). </w:t>
      </w:r>
    </w:p>
    <w:tbl>
      <w:tblPr>
        <w:tblW w:w="8563" w:type="dxa"/>
        <w:jc w:val="center"/>
        <w:tblInd w:w="0" w:type="dxa"/>
        <w:tblCellMar>
          <w:top w:w="0" w:type="dxa"/>
          <w:left w:w="0" w:type="dxa"/>
          <w:bottom w:w="0" w:type="dxa"/>
          <w:right w:w="0" w:type="dxa"/>
        </w:tblCellMar>
      </w:tblPr>
      <w:tblGrid>
        <w:gridCol w:w="185"/>
        <w:gridCol w:w="3119"/>
        <w:gridCol w:w="90"/>
        <w:gridCol w:w="125"/>
        <w:gridCol w:w="590"/>
        <w:gridCol w:w="90"/>
        <w:gridCol w:w="125"/>
        <w:gridCol w:w="510"/>
        <w:gridCol w:w="90"/>
        <w:gridCol w:w="125"/>
        <w:gridCol w:w="510"/>
        <w:gridCol w:w="90"/>
        <w:gridCol w:w="125"/>
        <w:gridCol w:w="510"/>
        <w:gridCol w:w="90"/>
        <w:gridCol w:w="125"/>
        <w:gridCol w:w="510"/>
        <w:gridCol w:w="90"/>
        <w:gridCol w:w="125"/>
        <w:gridCol w:w="510"/>
        <w:gridCol w:w="90"/>
        <w:gridCol w:w="139"/>
        <w:gridCol w:w="540"/>
        <w:gridCol w:w="60"/>
      </w:tblGrid>
      <w:tr>
        <w:trPr/>
        <w:tc>
          <w:tcPr>
            <w:tcW w:w="185" w:type="dxa"/>
            <w:tcBorders/>
            <w:shd w:fill="auto" w:val="clear"/>
            <w:vAlign w:val="center"/>
          </w:tcPr>
          <w:p>
            <w:pPr>
              <w:pStyle w:val="TableContents"/>
              <w:spacing w:before="0" w:after="283"/>
              <w:rPr>
                <w:sz w:val="4"/>
                <w:szCs w:val="4"/>
              </w:rPr>
            </w:pPr>
            <w:r>
              <w:rPr>
                <w:sz w:val="4"/>
                <w:szCs w:val="4"/>
              </w:rPr>
            </w:r>
          </w:p>
        </w:tc>
        <w:tc>
          <w:tcPr>
            <w:tcW w:w="311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304" w:type="dxa"/>
            <w:gridSpan w:val="2"/>
            <w:tcBorders/>
            <w:shd w:fill="auto" w:val="clear"/>
            <w:vAlign w:val="bottom"/>
          </w:tcPr>
          <w:p>
            <w:pPr>
              <w:pStyle w:val="TableHeading"/>
              <w:spacing w:before="0" w:after="283"/>
              <w:jc w:val="left"/>
              <w:rPr/>
            </w:pPr>
            <w:r>
              <w:rPr/>
              <w:t> </w:t>
            </w:r>
          </w:p>
        </w:tc>
        <w:tc>
          <w:tcPr>
            <w:tcW w:w="90"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90" w:type="dxa"/>
            <w:tcBorders/>
            <w:shd w:fill="auto" w:val="clear"/>
            <w:vAlign w:val="bottom"/>
          </w:tcPr>
          <w:p>
            <w:pPr>
              <w:pStyle w:val="TableHeading"/>
              <w:suppressLineNumbers/>
              <w:spacing w:before="0" w:after="283"/>
              <w:jc w:val="center"/>
              <w:rPr/>
            </w:pPr>
            <w:r>
              <w:rPr/>
              <w:t> </w:t>
            </w:r>
          </w:p>
        </w:tc>
        <w:tc>
          <w:tcPr>
            <w:tcW w:w="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90" w:type="dxa"/>
            <w:tcBorders/>
            <w:shd w:fill="auto" w:val="clear"/>
            <w:vAlign w:val="bottom"/>
          </w:tcPr>
          <w:p>
            <w:pPr>
              <w:pStyle w:val="TableHeading"/>
              <w:suppressLineNumbers/>
              <w:spacing w:before="0" w:after="283"/>
              <w:jc w:val="center"/>
              <w:rPr/>
            </w:pPr>
            <w:r>
              <w:rPr/>
              <w:t> </w:t>
            </w:r>
          </w:p>
        </w:tc>
        <w:tc>
          <w:tcPr>
            <w:tcW w:w="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90" w:type="dxa"/>
            <w:tcBorders/>
            <w:shd w:fill="auto" w:val="clear"/>
            <w:vAlign w:val="bottom"/>
          </w:tcPr>
          <w:p>
            <w:pPr>
              <w:pStyle w:val="TableHeading"/>
              <w:suppressLineNumbers/>
              <w:spacing w:before="0" w:after="283"/>
              <w:jc w:val="center"/>
              <w:rPr/>
            </w:pPr>
            <w:r>
              <w:rPr/>
              <w:t> </w:t>
            </w:r>
          </w:p>
        </w:tc>
        <w:tc>
          <w:tcPr>
            <w:tcW w:w="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90" w:type="dxa"/>
            <w:tcBorders/>
            <w:shd w:fill="auto" w:val="clear"/>
            <w:vAlign w:val="bottom"/>
          </w:tcPr>
          <w:p>
            <w:pPr>
              <w:pStyle w:val="TableHeading"/>
              <w:suppressLineNumbers/>
              <w:spacing w:before="0" w:after="283"/>
              <w:jc w:val="center"/>
              <w:rPr/>
            </w:pPr>
            <w:r>
              <w:rPr/>
              <w:t> </w:t>
            </w:r>
          </w:p>
        </w:tc>
        <w:tc>
          <w:tcPr>
            <w:tcW w:w="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90" w:type="dxa"/>
            <w:tcBorders/>
            <w:shd w:fill="auto" w:val="clear"/>
            <w:vAlign w:val="bottom"/>
          </w:tcPr>
          <w:p>
            <w:pPr>
              <w:pStyle w:val="TableHeading"/>
              <w:suppressLineNumbers/>
              <w:spacing w:before="0" w:after="283"/>
              <w:jc w:val="center"/>
              <w:rPr/>
            </w:pPr>
            <w:r>
              <w:rPr/>
              <w:t> </w:t>
            </w:r>
          </w:p>
        </w:tc>
        <w:tc>
          <w:tcPr>
            <w:tcW w:w="6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90" w:type="dxa"/>
            <w:tcBorders/>
            <w:shd w:fill="auto" w:val="clear"/>
            <w:vAlign w:val="bottom"/>
          </w:tcPr>
          <w:p>
            <w:pPr>
              <w:pStyle w:val="TableHeading"/>
              <w:suppressLineNumbers/>
              <w:spacing w:before="0" w:after="283"/>
              <w:jc w:val="center"/>
              <w:rPr/>
            </w:pPr>
            <w:r>
              <w:rPr/>
              <w:t> </w:t>
            </w:r>
          </w:p>
        </w:tc>
        <w:tc>
          <w:tcPr>
            <w:tcW w:w="6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2014 and</w:t>
              <w:br/>
              <w:t xml:space="preserve">Thereafter </w:t>
            </w:r>
          </w:p>
        </w:tc>
        <w:tc>
          <w:tcPr>
            <w:tcW w:w="60" w:type="dxa"/>
            <w:tcBorders/>
            <w:shd w:fill="auto" w:val="clear"/>
            <w:vAlign w:val="bottom"/>
          </w:tcPr>
          <w:p>
            <w:pPr>
              <w:pStyle w:val="TableHeading"/>
              <w:suppressLineNumbers/>
              <w:spacing w:before="0" w:after="283"/>
              <w:jc w:val="center"/>
              <w:rPr/>
            </w:pPr>
            <w:r>
              <w:rPr/>
              <w:t> </w:t>
            </w:r>
          </w:p>
        </w:tc>
      </w:tr>
      <w:tr>
        <w:trPr/>
        <w:tc>
          <w:tcPr>
            <w:tcW w:w="3304" w:type="dxa"/>
            <w:gridSpan w:val="2"/>
            <w:tcBorders/>
            <w:shd w:fill="CCEEFF" w:val="clear"/>
            <w:vAlign w:val="bottom"/>
          </w:tcPr>
          <w:p>
            <w:pPr>
              <w:pStyle w:val="TableContents"/>
              <w:spacing w:before="0" w:after="283"/>
              <w:ind w:left="180" w:right="0" w:hanging="180"/>
              <w:rPr>
                <w:rFonts w:ascii="times" w:hAnsi="times"/>
                <w:sz w:val="20"/>
              </w:rPr>
            </w:pPr>
            <w:r>
              <w:rPr>
                <w:rFonts w:ascii="times" w:hAnsi="times"/>
                <w:sz w:val="20"/>
              </w:rPr>
              <w:t>Long-term debt and interest payments</w:t>
            </w:r>
            <w:r>
              <w:rPr>
                <w:rFonts w:ascii="times" w:hAnsi="times"/>
                <w:position w:val="7"/>
                <w:sz w:val="16"/>
                <w:sz w:val="20"/>
              </w:rPr>
              <w:t>(1)</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5,811</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378</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198</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198</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394</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431</w:t>
            </w:r>
          </w:p>
        </w:tc>
        <w:tc>
          <w:tcPr>
            <w:tcW w:w="9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40" w:type="dxa"/>
            <w:tcBorders/>
            <w:shd w:fill="CCEEFF" w:val="clear"/>
            <w:vAlign w:val="bottom"/>
          </w:tcPr>
          <w:p>
            <w:pPr>
              <w:pStyle w:val="TableContents"/>
              <w:spacing w:before="0" w:after="283"/>
              <w:jc w:val="right"/>
              <w:rPr>
                <w:rFonts w:ascii="times" w:hAnsi="times"/>
                <w:sz w:val="20"/>
              </w:rPr>
            </w:pPr>
            <w:r>
              <w:rPr>
                <w:rFonts w:ascii="times" w:hAnsi="times"/>
                <w:sz w:val="20"/>
              </w:rPr>
              <w:t>4,212</w:t>
            </w:r>
          </w:p>
        </w:tc>
        <w:tc>
          <w:tcPr>
            <w:tcW w:w="60" w:type="dxa"/>
            <w:tcBorders/>
            <w:shd w:fill="CCEEFF" w:val="clear"/>
            <w:vAlign w:val="bottom"/>
          </w:tcPr>
          <w:p>
            <w:pPr>
              <w:pStyle w:val="TableContents"/>
              <w:spacing w:before="0" w:after="283"/>
              <w:rPr/>
            </w:pPr>
            <w:r>
              <w:rPr/>
              <w:t> </w:t>
            </w:r>
          </w:p>
        </w:tc>
      </w:tr>
      <w:tr>
        <w:trPr/>
        <w:tc>
          <w:tcPr>
            <w:tcW w:w="3304" w:type="dxa"/>
            <w:gridSpan w:val="2"/>
            <w:tcBorders/>
            <w:shd w:fill="FFFFFF" w:val="clear"/>
            <w:vAlign w:val="bottom"/>
          </w:tcPr>
          <w:p>
            <w:pPr>
              <w:pStyle w:val="TableContents"/>
              <w:spacing w:before="0" w:after="283"/>
              <w:ind w:left="180" w:right="0" w:hanging="180"/>
              <w:rPr>
                <w:rFonts w:ascii="times" w:hAnsi="times"/>
                <w:sz w:val="20"/>
              </w:rPr>
            </w:pPr>
            <w:r>
              <w:rPr>
                <w:rFonts w:ascii="times" w:hAnsi="times"/>
                <w:sz w:val="20"/>
              </w:rPr>
              <w:t>Leases</w:t>
            </w:r>
            <w:r>
              <w:rPr>
                <w:rFonts w:ascii="times" w:hAnsi="times"/>
                <w:position w:val="7"/>
                <w:sz w:val="16"/>
                <w:sz w:val="20"/>
              </w:rPr>
              <w:t>(2)</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408</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57</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46</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40</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26</w:t>
            </w:r>
          </w:p>
        </w:tc>
        <w:tc>
          <w:tcPr>
            <w:tcW w:w="9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540" w:type="dxa"/>
            <w:tcBorders/>
            <w:shd w:fill="FFFFFF" w:val="clear"/>
            <w:vAlign w:val="bottom"/>
          </w:tcPr>
          <w:p>
            <w:pPr>
              <w:pStyle w:val="TableContents"/>
              <w:spacing w:before="0" w:after="283"/>
              <w:jc w:val="right"/>
              <w:rPr>
                <w:rFonts w:ascii="times" w:hAnsi="times"/>
                <w:sz w:val="20"/>
              </w:rPr>
            </w:pPr>
            <w:r>
              <w:rPr>
                <w:rFonts w:ascii="times" w:hAnsi="times"/>
                <w:sz w:val="20"/>
              </w:rPr>
              <w:t>204</w:t>
            </w:r>
          </w:p>
        </w:tc>
        <w:tc>
          <w:tcPr>
            <w:tcW w:w="60" w:type="dxa"/>
            <w:tcBorders/>
            <w:shd w:fill="FFFFFF" w:val="clear"/>
            <w:vAlign w:val="bottom"/>
          </w:tcPr>
          <w:p>
            <w:pPr>
              <w:pStyle w:val="TableContents"/>
              <w:spacing w:before="0" w:after="283"/>
              <w:rPr/>
            </w:pPr>
            <w:r>
              <w:rPr/>
              <w:t> </w:t>
            </w:r>
          </w:p>
        </w:tc>
      </w:tr>
      <w:tr>
        <w:trPr/>
        <w:tc>
          <w:tcPr>
            <w:tcW w:w="3304" w:type="dxa"/>
            <w:gridSpan w:val="2"/>
            <w:tcBorders/>
            <w:shd w:fill="CCEEFF" w:val="clear"/>
            <w:vAlign w:val="bottom"/>
          </w:tcPr>
          <w:p>
            <w:pPr>
              <w:pStyle w:val="TableContents"/>
              <w:spacing w:before="0" w:after="283"/>
              <w:ind w:left="180" w:right="0" w:hanging="180"/>
              <w:rPr>
                <w:rFonts w:ascii="times" w:hAnsi="times"/>
                <w:sz w:val="20"/>
              </w:rPr>
            </w:pPr>
            <w:r>
              <w:rPr>
                <w:rFonts w:ascii="times" w:hAnsi="times"/>
                <w:sz w:val="20"/>
              </w:rPr>
              <w:t>Other long-term liabilities</w:t>
            </w:r>
            <w:r>
              <w:rPr>
                <w:rFonts w:ascii="times" w:hAnsi="times"/>
                <w:position w:val="7"/>
                <w:sz w:val="16"/>
                <w:sz w:val="20"/>
              </w:rPr>
              <w:t>(3)</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110</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27</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9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60" w:type="dxa"/>
            <w:tcBorders/>
            <w:shd w:fill="CCEEFF" w:val="clear"/>
            <w:vAlign w:val="bottom"/>
          </w:tcPr>
          <w:p>
            <w:pPr>
              <w:pStyle w:val="TableContents"/>
              <w:spacing w:before="0" w:after="283"/>
              <w:rPr/>
            </w:pPr>
            <w:r>
              <w:rPr/>
              <w:t> </w:t>
            </w:r>
          </w:p>
        </w:tc>
      </w:tr>
      <w:tr>
        <w:trPr/>
        <w:tc>
          <w:tcPr>
            <w:tcW w:w="3304" w:type="dxa"/>
            <w:gridSpan w:val="2"/>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85" w:type="dxa"/>
            <w:tcBorders/>
            <w:shd w:fill="FFFFFF" w:val="clear"/>
            <w:vAlign w:val="bottom"/>
          </w:tcPr>
          <w:p>
            <w:pPr>
              <w:pStyle w:val="TableContents"/>
              <w:spacing w:before="0" w:after="283"/>
              <w:rPr/>
            </w:pPr>
            <w:r>
              <w:rPr/>
              <w:t> </w:t>
            </w:r>
          </w:p>
        </w:tc>
        <w:tc>
          <w:tcPr>
            <w:tcW w:w="311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Subtotal</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6,329</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471</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271</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247</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442</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460</w:t>
            </w:r>
          </w:p>
        </w:tc>
        <w:tc>
          <w:tcPr>
            <w:tcW w:w="9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540" w:type="dxa"/>
            <w:tcBorders/>
            <w:shd w:fill="FFFFFF" w:val="clear"/>
            <w:vAlign w:val="bottom"/>
          </w:tcPr>
          <w:p>
            <w:pPr>
              <w:pStyle w:val="TableContents"/>
              <w:spacing w:before="0" w:after="283"/>
              <w:jc w:val="right"/>
              <w:rPr>
                <w:rFonts w:ascii="times" w:hAnsi="times"/>
                <w:sz w:val="20"/>
              </w:rPr>
            </w:pPr>
            <w:r>
              <w:rPr>
                <w:rFonts w:ascii="times" w:hAnsi="times"/>
                <w:sz w:val="20"/>
              </w:rPr>
              <w:t>4,438</w:t>
            </w:r>
          </w:p>
        </w:tc>
        <w:tc>
          <w:tcPr>
            <w:tcW w:w="60" w:type="dxa"/>
            <w:tcBorders/>
            <w:shd w:fill="FFFFFF" w:val="clear"/>
            <w:vAlign w:val="bottom"/>
          </w:tcPr>
          <w:p>
            <w:pPr>
              <w:pStyle w:val="TableContents"/>
              <w:spacing w:before="0" w:after="283"/>
              <w:rPr/>
            </w:pPr>
            <w:r>
              <w:rPr/>
              <w:t> </w:t>
            </w:r>
          </w:p>
        </w:tc>
      </w:tr>
      <w:tr>
        <w:trPr/>
        <w:tc>
          <w:tcPr>
            <w:tcW w:w="3304" w:type="dxa"/>
            <w:gridSpan w:val="2"/>
            <w:tcBorders/>
            <w:shd w:fill="CCEEFF" w:val="clear"/>
            <w:vAlign w:val="bottom"/>
          </w:tcPr>
          <w:p>
            <w:pPr>
              <w:pStyle w:val="TableContents"/>
              <w:spacing w:before="0" w:after="283"/>
              <w:ind w:left="180" w:right="0" w:hanging="180"/>
              <w:rPr>
                <w:rFonts w:ascii="times" w:hAnsi="times"/>
                <w:sz w:val="20"/>
              </w:rPr>
            </w:pPr>
            <w:r>
              <w:rPr>
                <w:rFonts w:ascii="times" w:hAnsi="times"/>
                <w:sz w:val="20"/>
              </w:rPr>
              <w:t>Crude oil and LPG purchases</w:t>
            </w:r>
            <w:r>
              <w:rPr>
                <w:rFonts w:ascii="times" w:hAnsi="times"/>
                <w:position w:val="7"/>
                <w:sz w:val="16"/>
                <w:sz w:val="20"/>
              </w:rPr>
              <w:t>(4)</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4,344</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3,277</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519</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312</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229</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9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vAlign w:val="bottom"/>
          </w:tcPr>
          <w:p>
            <w:pPr>
              <w:pStyle w:val="TableContents"/>
              <w:spacing w:before="0" w:after="283"/>
              <w:rPr/>
            </w:pPr>
            <w:r>
              <w:rPr/>
              <w:t> </w:t>
            </w:r>
          </w:p>
        </w:tc>
      </w:tr>
      <w:tr>
        <w:trPr/>
        <w:tc>
          <w:tcPr>
            <w:tcW w:w="3304" w:type="dxa"/>
            <w:gridSpan w:val="2"/>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85" w:type="dxa"/>
            <w:tcBorders/>
            <w:shd w:fill="FFFFFF" w:val="clear"/>
            <w:vAlign w:val="bottom"/>
          </w:tcPr>
          <w:p>
            <w:pPr>
              <w:pStyle w:val="TableContents"/>
              <w:spacing w:before="0" w:after="283"/>
              <w:rPr/>
            </w:pPr>
            <w:r>
              <w:rPr/>
              <w:t> </w:t>
            </w:r>
          </w:p>
        </w:tc>
        <w:tc>
          <w:tcPr>
            <w:tcW w:w="3119"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Total</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10,673</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3,748</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790</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559</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671</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10" w:type="dxa"/>
            <w:tcBorders/>
            <w:shd w:fill="FFFFFF" w:val="clear"/>
            <w:vAlign w:val="bottom"/>
          </w:tcPr>
          <w:p>
            <w:pPr>
              <w:pStyle w:val="TableContents"/>
              <w:spacing w:before="0" w:after="283"/>
              <w:jc w:val="right"/>
              <w:rPr>
                <w:rFonts w:ascii="times" w:hAnsi="times"/>
                <w:sz w:val="20"/>
              </w:rPr>
            </w:pPr>
            <w:r>
              <w:rPr>
                <w:rFonts w:ascii="times" w:hAnsi="times"/>
                <w:sz w:val="20"/>
              </w:rPr>
              <w:t>467</w:t>
            </w:r>
          </w:p>
        </w:tc>
        <w:tc>
          <w:tcPr>
            <w:tcW w:w="9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0" w:type="dxa"/>
            <w:tcBorders/>
            <w:shd w:fill="FFFFFF" w:val="clear"/>
            <w:vAlign w:val="bottom"/>
          </w:tcPr>
          <w:p>
            <w:pPr>
              <w:pStyle w:val="TableContents"/>
              <w:spacing w:before="0" w:after="283"/>
              <w:jc w:val="right"/>
              <w:rPr>
                <w:rFonts w:ascii="times" w:hAnsi="times"/>
                <w:sz w:val="20"/>
              </w:rPr>
            </w:pPr>
            <w:r>
              <w:rPr>
                <w:rFonts w:ascii="times" w:hAnsi="times"/>
                <w:sz w:val="20"/>
              </w:rPr>
              <w:t>4,438</w:t>
            </w:r>
          </w:p>
        </w:tc>
        <w:tc>
          <w:tcPr>
            <w:tcW w:w="60" w:type="dxa"/>
            <w:tcBorders/>
            <w:shd w:fill="FFFFFF" w:val="clear"/>
            <w:vAlign w:val="bottom"/>
          </w:tcPr>
          <w:p>
            <w:pPr>
              <w:pStyle w:val="TableContents"/>
              <w:spacing w:before="0" w:after="283"/>
              <w:rPr/>
            </w:pPr>
            <w:r>
              <w:rPr/>
              <w:t> </w:t>
            </w:r>
          </w:p>
        </w:tc>
      </w:tr>
      <w:tr>
        <w:trPr/>
        <w:tc>
          <w:tcPr>
            <w:tcW w:w="3304" w:type="dxa"/>
            <w:gridSpan w:val="2"/>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3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Includes debt service payments, interest payments due on our senior notes and the commitment fee on our revolving credit facility. Although there is an outstanding balance on our revolving credit facility at December 31, 2008, we historically repay and borrow at varying amounts. As such, we have included only the maximum commitment fee (as if no amounts were outstanding on the facility) in the amounts above.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Leases are primarily for (i) storage, (ii) rights-of-way, (iii) office rent and (iv) trucks used in our gathering activities.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Excludes a non-current liability of approximately $72 million related to SFAS 133 included in crude oil and LPG purchases.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 </w:t>
      </w:r>
    </w:p>
    <w:p>
      <w:pPr>
        <w:pStyle w:val="TextBody"/>
        <w:rPr/>
      </w:pPr>
      <w:r>
        <w:rPr/>
        <w:t>        </w:t>
      </w:r>
      <w:r>
        <w:rPr>
          <w:rFonts w:ascii="times" w:hAnsi="times"/>
          <w:i/>
          <w:sz w:val="20"/>
        </w:rPr>
        <w:t>Letters of Credit.</w:t>
      </w:r>
      <w:r>
        <w:rPr>
          <w:rFonts w:ascii="times" w:hAnsi="times"/>
        </w:rPr>
        <w:t>    </w:t>
      </w:r>
      <w:r>
        <w:rPr>
          <w:rFonts w:ascii="times" w:hAnsi="times"/>
          <w:sz w:val="20"/>
        </w:rPr>
        <w:t xml:space="preserve">In connection with our crude oil marketing,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2008 and 2007, we had outstanding letters of credit of approximately $51 million and $153 million, respectively. The change in the value of outstanding letters of credit is impacted primarily by the fluctuation of market prices and the timing of foreign cargos purchased. </w:t>
      </w:r>
    </w:p>
    <w:p>
      <w:pPr>
        <w:pStyle w:val="TextBody"/>
        <w:rPr/>
      </w:pPr>
      <w:r>
        <w:rPr/>
        <w:t>        </w:t>
      </w:r>
      <w:r>
        <w:rPr>
          <w:rFonts w:ascii="times" w:hAnsi="times"/>
          <w:i/>
          <w:sz w:val="20"/>
        </w:rPr>
        <w:t>Capital Contributions to PAA/Vulcan Gas Storage, LLC.</w:t>
      </w:r>
      <w:r>
        <w:rPr>
          <w:rFonts w:ascii="times" w:hAnsi="times"/>
        </w:rPr>
        <w:t>    </w:t>
      </w:r>
      <w:r>
        <w:rPr>
          <w:rFonts w:ascii="times" w:hAnsi="times"/>
          <w:sz w:val="20"/>
        </w:rPr>
        <w:t xml:space="preserve">We and Vulcan Gas Storage are both required to make capital contributions in equal proportions to fund equity requests associated with certain projects specified in the joint venture agreement. For certain other specified projects, Vulcan Gas Storage has the right, but not the obligation, to participate for up to 50% of such equity requests. In some cases, Vulcan Gas Storage's obligation is subject to a maximum amount, beyond which Vulcan Gas Storage's participation is optional. For any other capital expenditures, or capital expenditures with respect to which Vulcan Gas Storage's participation is optional, if Vulcan Gas Storage elects not to participate, we have the right to make additional capital contributions to fund 100% of the project until our interest in PAA/Vulcan equals 70%. Such contributions would increase our interest in PAA/Vulcan and dilute Vulcan Gas Storage's interest. Once our ownership interest is 70% or more, Vulcan Gas Storage would have the right, but not the obligation, to make future capital contributions proportionate </w:t>
      </w:r>
    </w:p>
    <w:p>
      <w:pPr>
        <w:pStyle w:val="TextBody"/>
        <w:jc w:val="center"/>
        <w:rPr>
          <w:rFonts w:ascii="times" w:hAnsi="times"/>
          <w:sz w:val="20"/>
        </w:rPr>
      </w:pPr>
      <w:r>
        <w:rPr>
          <w:rFonts w:ascii="times" w:hAnsi="times"/>
          <w:sz w:val="20"/>
        </w:rPr>
        <w:t>96</w:t>
      </w:r>
    </w:p>
    <w:p>
      <w:pPr>
        <w:pStyle w:val="HorizontalLine"/>
        <w:pBdr>
          <w:bottom w:val="single" w:sz="20" w:space="0" w:color="808080"/>
        </w:pBdr>
        <w:rPr/>
      </w:pPr>
      <w:r>
        <w:rPr/>
      </w:r>
      <w:r>
        <w:br w:type="page"/>
      </w:r>
    </w:p>
    <w:p>
      <w:pPr>
        <w:pStyle w:val="TextBody"/>
        <w:rPr/>
      </w:pPr>
      <w:hyperlink w:anchor="bg12101a_main_toc">
        <w:bookmarkStart w:id="127" w:name="page_ea12101_1_97"/>
        <w:bookmarkEnd w:id="12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to its ownership interest at the time. During 2008 and 2007, we made additional contributions of $37 million and $9 million to PAA/Vulcan, respectively. During 2008, we received distributions of $7 million from PAA/Vulcan; there were no such distributions received during 2007. Vulcan Gas Storage made the same net contribution as we did during 2008 and 2007. Such contributions and distributions did not result in an increase or decrease to our ownership interest. See Note 9 to our Consolidated Financial Statements. </w:t>
      </w:r>
    </w:p>
    <w:p>
      <w:pPr>
        <w:pStyle w:val="TextBody"/>
        <w:rPr>
          <w:rFonts w:ascii="times" w:hAnsi="times"/>
          <w:b/>
          <w:sz w:val="20"/>
        </w:rPr>
      </w:pPr>
      <w:r>
        <w:rPr>
          <w:rFonts w:ascii="times" w:hAnsi="times"/>
          <w:b/>
          <w:sz w:val="20"/>
        </w:rPr>
        <w:t xml:space="preserve">Off-Balance Sheet Arrangements </w:t>
      </w:r>
    </w:p>
    <w:p>
      <w:pPr>
        <w:pStyle w:val="TextBody"/>
        <w:rPr/>
      </w:pPr>
      <w:r>
        <w:rPr/>
        <w:t>        </w:t>
      </w:r>
      <w:r>
        <w:rPr>
          <w:rFonts w:ascii="times" w:hAnsi="times"/>
          <w:sz w:val="20"/>
        </w:rPr>
        <w:t xml:space="preserve">We have invested in certain entities (PAA/Vulcan, Butte, Settoon Towing and Frontier) that are not consolidated in our financial statements. In conjunction with these investments, from time to time we may elect to provide financial and performance guarantees or other forms of credit support. In conjunction with the formation of PAA/Vulcan and the acquisition of ECI (now known as PAA Natural Gas Storage, LLC) in 2005, we provided performance and financial guarantees to the seller with respect to PAA/Vulcan's performance under the purchase agreement, as well as in support of continuing guarantees of the seller with respect to ECI's obligations under certain gas storage and other contracts. We believe that the fair value of the obligation to stand ready to perform is minimal. In addition, we believe the probability that we would be required to perform under the guaranty is remote. See Note 9 to our Consolidated Financial Statements for more information concerning our obligations as they relate to our investment in PAA/Vulcan. </w:t>
      </w:r>
    </w:p>
    <w:p>
      <w:pPr>
        <w:pStyle w:val="TextBody"/>
        <w:rPr>
          <w:rFonts w:ascii="times" w:hAnsi="times"/>
          <w:b/>
          <w:sz w:val="20"/>
        </w:rPr>
      </w:pPr>
      <w:r>
        <w:rPr>
          <w:rFonts w:ascii="times" w:hAnsi="times"/>
          <w:b/>
          <w:sz w:val="20"/>
        </w:rPr>
        <w:t xml:space="preserve">Investments in Unconsolidated Entities </w:t>
      </w:r>
    </w:p>
    <w:p>
      <w:pPr>
        <w:pStyle w:val="TextBody"/>
        <w:rPr/>
      </w:pPr>
      <w:r>
        <w:rPr/>
        <w:t>        </w:t>
      </w:r>
      <w:r>
        <w:rPr>
          <w:rFonts w:ascii="times" w:hAnsi="times"/>
          <w:sz w:val="20"/>
        </w:rPr>
        <w:t xml:space="preserve">We have invested in entities that are not consolidated in our financial statements. Certain of these entities are borrowers under credit facilities. We are neither a co-borrower nor a guarantor under any such facilities. In the case of PAA/Vulcan, we have agreed, along with our co-venturer, to make future capital contributions (a maximum of $17.5 million in the aggregate to our share) for further contribution to Pine Prairie. We may elect at any time to make additional capital contributions to any of these entities. The following table sets forth selected information regarding these entities as of December 31, 2008 (unaudited, in millions): </w:t>
      </w:r>
    </w:p>
    <w:tbl>
      <w:tblPr>
        <w:tblW w:w="7635" w:type="dxa"/>
        <w:jc w:val="center"/>
        <w:tblInd w:w="0" w:type="dxa"/>
        <w:tblCellMar>
          <w:top w:w="0" w:type="dxa"/>
          <w:left w:w="0" w:type="dxa"/>
          <w:bottom w:w="0" w:type="dxa"/>
          <w:right w:w="0" w:type="dxa"/>
        </w:tblCellMar>
      </w:tblPr>
      <w:tblGrid>
        <w:gridCol w:w="1995"/>
        <w:gridCol w:w="180"/>
        <w:gridCol w:w="1980"/>
        <w:gridCol w:w="180"/>
        <w:gridCol w:w="137"/>
        <w:gridCol w:w="528"/>
        <w:gridCol w:w="225"/>
        <w:gridCol w:w="125"/>
        <w:gridCol w:w="335"/>
        <w:gridCol w:w="225"/>
        <w:gridCol w:w="140"/>
        <w:gridCol w:w="840"/>
        <w:gridCol w:w="225"/>
        <w:gridCol w:w="125"/>
        <w:gridCol w:w="335"/>
        <w:gridCol w:w="60"/>
      </w:tblGrid>
      <w:tr>
        <w:trPr/>
        <w:tc>
          <w:tcPr>
            <w:tcW w:w="19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99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Entity </w:t>
            </w:r>
          </w:p>
        </w:tc>
        <w:tc>
          <w:tcPr>
            <w:tcW w:w="180" w:type="dxa"/>
            <w:tcBorders/>
            <w:shd w:fill="auto" w:val="clear"/>
            <w:vAlign w:val="bottom"/>
          </w:tcPr>
          <w:p>
            <w:pPr>
              <w:pStyle w:val="TableHeading"/>
              <w:suppressLineNumbers/>
              <w:spacing w:before="0" w:after="283"/>
              <w:jc w:val="center"/>
              <w:rPr/>
            </w:pPr>
            <w:r>
              <w:rPr/>
              <w:t> </w:t>
            </w:r>
          </w:p>
        </w:tc>
        <w:tc>
          <w:tcPr>
            <w:tcW w:w="198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Type of Operation </w:t>
            </w:r>
          </w:p>
        </w:tc>
        <w:tc>
          <w:tcPr>
            <w:tcW w:w="180" w:type="dxa"/>
            <w:tcBorders/>
            <w:shd w:fill="auto" w:val="clear"/>
            <w:vAlign w:val="bottom"/>
          </w:tcPr>
          <w:p>
            <w:pPr>
              <w:pStyle w:val="TableHeading"/>
              <w:suppressLineNumbers/>
              <w:spacing w:before="0" w:after="283"/>
              <w:jc w:val="center"/>
              <w:rPr/>
            </w:pPr>
            <w:r>
              <w:rPr/>
              <w:t> </w:t>
            </w:r>
          </w:p>
        </w:tc>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Our</w:t>
              <w:br/>
              <w:t>Ownership</w:t>
              <w:br/>
              <w:t xml:space="preserve">Interest </w:t>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w:t>
              <w:br/>
              <w:t>Entity</w:t>
              <w:br/>
              <w:t xml:space="preserve">Assets </w:t>
            </w:r>
          </w:p>
        </w:tc>
        <w:tc>
          <w:tcPr>
            <w:tcW w:w="225" w:type="dxa"/>
            <w:tcBorders/>
            <w:shd w:fill="auto" w:val="clear"/>
            <w:vAlign w:val="bottom"/>
          </w:tcPr>
          <w:p>
            <w:pPr>
              <w:pStyle w:val="TableHeading"/>
              <w:suppressLineNumbers/>
              <w:spacing w:before="0" w:after="283"/>
              <w:jc w:val="center"/>
              <w:rPr/>
            </w:pPr>
            <w:r>
              <w:rPr/>
              <w:t> </w:t>
            </w:r>
          </w:p>
        </w:tc>
        <w:tc>
          <w:tcPr>
            <w:tcW w:w="9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 Cash and</w:t>
              <w:br/>
              <w:t xml:space="preserve">Restricted Cash </w:t>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w:t>
              <w:br/>
              <w:t>Entity</w:t>
              <w:br/>
              <w:t xml:space="preserve">Debt </w:t>
            </w:r>
          </w:p>
        </w:tc>
        <w:tc>
          <w:tcPr>
            <w:tcW w:w="60" w:type="dxa"/>
            <w:tcBorders/>
            <w:shd w:fill="auto" w:val="clear"/>
            <w:vAlign w:val="bottom"/>
          </w:tcPr>
          <w:p>
            <w:pPr>
              <w:pStyle w:val="TableHeading"/>
              <w:suppressLineNumbers/>
              <w:spacing w:before="0" w:after="283"/>
              <w:jc w:val="center"/>
              <w:rPr/>
            </w:pPr>
            <w:r>
              <w:rPr/>
              <w:t> </w:t>
            </w:r>
          </w:p>
        </w:tc>
      </w:tr>
      <w:tr>
        <w:trPr/>
        <w:tc>
          <w:tcPr>
            <w:tcW w:w="1995" w:type="dxa"/>
            <w:tcBorders/>
            <w:shd w:fill="CCEEFF" w:val="clear"/>
          </w:tcPr>
          <w:p>
            <w:pPr>
              <w:pStyle w:val="TableContents"/>
              <w:spacing w:before="0" w:after="283"/>
              <w:ind w:left="200" w:right="0" w:hanging="200"/>
              <w:rPr>
                <w:rFonts w:ascii="times" w:hAnsi="times"/>
                <w:b/>
                <w:sz w:val="20"/>
              </w:rPr>
            </w:pPr>
            <w:r>
              <w:rPr>
                <w:rFonts w:ascii="times" w:hAnsi="times"/>
                <w:b/>
                <w:sz w:val="20"/>
              </w:rPr>
              <w:t>PAA/Vulcan</w:t>
            </w:r>
          </w:p>
        </w:tc>
        <w:tc>
          <w:tcPr>
            <w:tcW w:w="180" w:type="dxa"/>
            <w:tcBorders/>
            <w:shd w:fill="CCEEFF" w:val="clear"/>
          </w:tcPr>
          <w:p>
            <w:pPr>
              <w:pStyle w:val="TableContents"/>
              <w:spacing w:before="0" w:after="283"/>
              <w:rPr/>
            </w:pPr>
            <w:r>
              <w:rPr/>
              <w:t> </w:t>
            </w:r>
          </w:p>
        </w:tc>
        <w:tc>
          <w:tcPr>
            <w:tcW w:w="1980" w:type="dxa"/>
            <w:tcBorders/>
            <w:shd w:fill="CCEEFF" w:val="clear"/>
          </w:tcPr>
          <w:p>
            <w:pPr>
              <w:pStyle w:val="TableContents"/>
              <w:spacing w:before="0" w:after="283"/>
              <w:jc w:val="center"/>
              <w:rPr>
                <w:rFonts w:ascii="times" w:hAnsi="times"/>
                <w:sz w:val="20"/>
              </w:rPr>
            </w:pPr>
            <w:r>
              <w:rPr>
                <w:rFonts w:ascii="times" w:hAnsi="times"/>
                <w:sz w:val="20"/>
              </w:rPr>
              <w:t>Natural Gas Storage</w:t>
            </w:r>
          </w:p>
        </w:tc>
        <w:tc>
          <w:tcPr>
            <w:tcW w:w="180" w:type="dxa"/>
            <w:tcBorders/>
            <w:shd w:fill="CCEEFF" w:val="clear"/>
          </w:tcPr>
          <w:p>
            <w:pPr>
              <w:pStyle w:val="TableContents"/>
              <w:spacing w:before="0" w:after="283"/>
              <w:rPr/>
            </w:pPr>
            <w:r>
              <w:rPr/>
              <w:t> </w:t>
            </w:r>
          </w:p>
        </w:tc>
        <w:tc>
          <w:tcPr>
            <w:tcW w:w="137" w:type="dxa"/>
            <w:tcBorders/>
            <w:shd w:fill="CCEEFF" w:val="clear"/>
          </w:tcPr>
          <w:p>
            <w:pPr>
              <w:pStyle w:val="TableContents"/>
              <w:spacing w:before="0" w:after="283"/>
              <w:rPr/>
            </w:pPr>
            <w:r>
              <w:rPr/>
              <w:t> </w:t>
            </w:r>
          </w:p>
        </w:tc>
        <w:tc>
          <w:tcPr>
            <w:tcW w:w="528" w:type="dxa"/>
            <w:tcBorders/>
            <w:shd w:fill="CCEEFF" w:val="clear"/>
          </w:tcPr>
          <w:p>
            <w:pPr>
              <w:pStyle w:val="TableContents"/>
              <w:spacing w:before="0" w:after="283"/>
              <w:jc w:val="right"/>
              <w:rPr>
                <w:rFonts w:ascii="times" w:hAnsi="times"/>
                <w:sz w:val="20"/>
              </w:rPr>
            </w:pPr>
            <w:r>
              <w:rPr>
                <w:rFonts w:ascii="times" w:hAnsi="times"/>
                <w:sz w:val="20"/>
              </w:rPr>
              <w:t>50</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812</w:t>
            </w:r>
          </w:p>
        </w:tc>
        <w:tc>
          <w:tcPr>
            <w:tcW w:w="225"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jc w:val="right"/>
              <w:rPr>
                <w:rFonts w:ascii="times" w:hAnsi="times"/>
                <w:sz w:val="20"/>
              </w:rPr>
            </w:pPr>
            <w:r>
              <w:rPr>
                <w:rFonts w:ascii="times" w:hAnsi="times"/>
                <w:sz w:val="20"/>
              </w:rPr>
              <w:t>$</w:t>
            </w:r>
          </w:p>
        </w:tc>
        <w:tc>
          <w:tcPr>
            <w:tcW w:w="840" w:type="dxa"/>
            <w:tcBorders/>
            <w:shd w:fill="CCEEFF" w:val="clear"/>
          </w:tcPr>
          <w:p>
            <w:pPr>
              <w:pStyle w:val="TableContents"/>
              <w:spacing w:before="0" w:after="283"/>
              <w:jc w:val="right"/>
              <w:rPr>
                <w:rFonts w:ascii="times" w:hAnsi="times"/>
                <w:sz w:val="20"/>
              </w:rPr>
            </w:pPr>
            <w:r>
              <w:rPr>
                <w:rFonts w:ascii="times" w:hAnsi="times"/>
                <w:sz w:val="20"/>
              </w:rPr>
              <w:t>47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418</w:t>
            </w:r>
          </w:p>
        </w:tc>
        <w:tc>
          <w:tcPr>
            <w:tcW w:w="60" w:type="dxa"/>
            <w:tcBorders/>
            <w:shd w:fill="CCEEFF" w:val="clear"/>
          </w:tcPr>
          <w:p>
            <w:pPr>
              <w:pStyle w:val="TableContents"/>
              <w:spacing w:before="0" w:after="283"/>
              <w:rPr/>
            </w:pPr>
            <w:r>
              <w:rPr/>
              <w:t> </w:t>
            </w:r>
          </w:p>
        </w:tc>
      </w:tr>
      <w:tr>
        <w:trPr/>
        <w:tc>
          <w:tcPr>
            <w:tcW w:w="1995" w:type="dxa"/>
            <w:tcBorders/>
            <w:shd w:fill="FFFFFF" w:val="clear"/>
          </w:tcPr>
          <w:p>
            <w:pPr>
              <w:pStyle w:val="TableContents"/>
              <w:spacing w:before="0" w:after="283"/>
              <w:ind w:left="200" w:right="0" w:hanging="200"/>
              <w:rPr>
                <w:rFonts w:ascii="times" w:hAnsi="times"/>
                <w:b/>
                <w:sz w:val="20"/>
              </w:rPr>
            </w:pPr>
            <w:r>
              <w:rPr>
                <w:rFonts w:ascii="times" w:hAnsi="times"/>
                <w:b/>
                <w:sz w:val="20"/>
              </w:rPr>
              <w:t>Settoon Towing</w:t>
            </w:r>
          </w:p>
        </w:tc>
        <w:tc>
          <w:tcPr>
            <w:tcW w:w="180" w:type="dxa"/>
            <w:tcBorders/>
            <w:shd w:fill="FFFFFF" w:val="clear"/>
          </w:tcPr>
          <w:p>
            <w:pPr>
              <w:pStyle w:val="TableContents"/>
              <w:spacing w:before="0" w:after="283"/>
              <w:rPr/>
            </w:pPr>
            <w:r>
              <w:rPr/>
              <w:t> </w:t>
            </w:r>
          </w:p>
        </w:tc>
        <w:tc>
          <w:tcPr>
            <w:tcW w:w="1980" w:type="dxa"/>
            <w:tcBorders/>
            <w:shd w:fill="FFFFFF" w:val="clear"/>
          </w:tcPr>
          <w:p>
            <w:pPr>
              <w:pStyle w:val="TableContents"/>
              <w:spacing w:before="0" w:after="283"/>
              <w:jc w:val="center"/>
              <w:rPr>
                <w:rFonts w:ascii="times" w:hAnsi="times"/>
                <w:sz w:val="20"/>
              </w:rPr>
            </w:pPr>
            <w:r>
              <w:rPr>
                <w:rFonts w:ascii="times" w:hAnsi="times"/>
                <w:sz w:val="20"/>
              </w:rPr>
              <w:t>Barge Transportation Services</w:t>
            </w:r>
          </w:p>
        </w:tc>
        <w:tc>
          <w:tcPr>
            <w:tcW w:w="180" w:type="dxa"/>
            <w:tcBorders/>
            <w:shd w:fill="FFFFFF" w:val="clear"/>
          </w:tcPr>
          <w:p>
            <w:pPr>
              <w:pStyle w:val="TableContents"/>
              <w:spacing w:before="0" w:after="283"/>
              <w:rPr/>
            </w:pPr>
            <w:r>
              <w:rPr/>
              <w:t> </w:t>
            </w:r>
          </w:p>
        </w:tc>
        <w:tc>
          <w:tcPr>
            <w:tcW w:w="137" w:type="dxa"/>
            <w:tcBorders/>
            <w:shd w:fill="FFFFFF" w:val="clear"/>
          </w:tcPr>
          <w:p>
            <w:pPr>
              <w:pStyle w:val="TableContents"/>
              <w:spacing w:before="0" w:after="283"/>
              <w:rPr/>
            </w:pPr>
            <w:r>
              <w:rPr/>
              <w:t> </w:t>
            </w:r>
          </w:p>
        </w:tc>
        <w:tc>
          <w:tcPr>
            <w:tcW w:w="528" w:type="dxa"/>
            <w:tcBorders/>
            <w:shd w:fill="FFFFFF" w:val="clear"/>
          </w:tcPr>
          <w:p>
            <w:pPr>
              <w:pStyle w:val="TableContents"/>
              <w:spacing w:before="0" w:after="283"/>
              <w:jc w:val="right"/>
              <w:rPr>
                <w:rFonts w:ascii="times" w:hAnsi="times"/>
                <w:sz w:val="20"/>
              </w:rPr>
            </w:pPr>
            <w:r>
              <w:rPr>
                <w:rFonts w:ascii="times" w:hAnsi="times"/>
                <w:sz w:val="20"/>
              </w:rPr>
              <w:t>50</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85</w:t>
            </w:r>
          </w:p>
        </w:tc>
        <w:tc>
          <w:tcPr>
            <w:tcW w:w="225"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jc w:val="right"/>
              <w:rPr>
                <w:rFonts w:ascii="times" w:hAnsi="times"/>
                <w:sz w:val="20"/>
              </w:rPr>
            </w:pPr>
            <w:r>
              <w:rPr>
                <w:rFonts w:ascii="times" w:hAnsi="times"/>
                <w:sz w:val="20"/>
              </w:rPr>
              <w:t>$</w:t>
            </w:r>
          </w:p>
        </w:tc>
        <w:tc>
          <w:tcPr>
            <w:tcW w:w="84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54</w:t>
            </w:r>
          </w:p>
        </w:tc>
        <w:tc>
          <w:tcPr>
            <w:tcW w:w="60" w:type="dxa"/>
            <w:tcBorders/>
            <w:shd w:fill="FFFFFF" w:val="clear"/>
          </w:tcPr>
          <w:p>
            <w:pPr>
              <w:pStyle w:val="TableContents"/>
              <w:spacing w:before="0" w:after="283"/>
              <w:rPr/>
            </w:pPr>
            <w:r>
              <w:rPr/>
              <w:t> </w:t>
            </w:r>
          </w:p>
        </w:tc>
      </w:tr>
      <w:tr>
        <w:trPr/>
        <w:tc>
          <w:tcPr>
            <w:tcW w:w="1995" w:type="dxa"/>
            <w:tcBorders/>
            <w:shd w:fill="CCEEFF" w:val="clear"/>
          </w:tcPr>
          <w:p>
            <w:pPr>
              <w:pStyle w:val="TableContents"/>
              <w:spacing w:before="0" w:after="283"/>
              <w:ind w:left="200" w:right="0" w:hanging="200"/>
              <w:rPr>
                <w:rFonts w:ascii="times" w:hAnsi="times"/>
                <w:b/>
                <w:sz w:val="20"/>
              </w:rPr>
            </w:pPr>
            <w:r>
              <w:rPr>
                <w:rFonts w:ascii="times" w:hAnsi="times"/>
                <w:b/>
                <w:sz w:val="20"/>
              </w:rPr>
              <w:t>Frontier</w:t>
            </w:r>
          </w:p>
        </w:tc>
        <w:tc>
          <w:tcPr>
            <w:tcW w:w="180" w:type="dxa"/>
            <w:tcBorders/>
            <w:shd w:fill="CCEEFF" w:val="clear"/>
          </w:tcPr>
          <w:p>
            <w:pPr>
              <w:pStyle w:val="TableContents"/>
              <w:spacing w:before="0" w:after="283"/>
              <w:rPr/>
            </w:pPr>
            <w:r>
              <w:rPr/>
              <w:t> </w:t>
            </w:r>
          </w:p>
        </w:tc>
        <w:tc>
          <w:tcPr>
            <w:tcW w:w="1980" w:type="dxa"/>
            <w:tcBorders/>
            <w:shd w:fill="CCEEFF" w:val="clear"/>
          </w:tcPr>
          <w:p>
            <w:pPr>
              <w:pStyle w:val="TableContents"/>
              <w:spacing w:before="0" w:after="283"/>
              <w:jc w:val="center"/>
              <w:rPr>
                <w:rFonts w:ascii="times" w:hAnsi="times"/>
                <w:sz w:val="20"/>
              </w:rPr>
            </w:pPr>
            <w:r>
              <w:rPr>
                <w:rFonts w:ascii="times" w:hAnsi="times"/>
                <w:sz w:val="20"/>
              </w:rPr>
              <w:t>Crude Oil Pipeline</w:t>
            </w:r>
          </w:p>
        </w:tc>
        <w:tc>
          <w:tcPr>
            <w:tcW w:w="180" w:type="dxa"/>
            <w:tcBorders/>
            <w:shd w:fill="CCEEFF" w:val="clear"/>
          </w:tcPr>
          <w:p>
            <w:pPr>
              <w:pStyle w:val="TableContents"/>
              <w:spacing w:before="0" w:after="283"/>
              <w:rPr/>
            </w:pPr>
            <w:r>
              <w:rPr/>
              <w:t> </w:t>
            </w:r>
          </w:p>
        </w:tc>
        <w:tc>
          <w:tcPr>
            <w:tcW w:w="137" w:type="dxa"/>
            <w:tcBorders/>
            <w:shd w:fill="CCEEFF" w:val="clear"/>
          </w:tcPr>
          <w:p>
            <w:pPr>
              <w:pStyle w:val="TableContents"/>
              <w:spacing w:before="0" w:after="283"/>
              <w:rPr/>
            </w:pPr>
            <w:r>
              <w:rPr/>
              <w:t> </w:t>
            </w:r>
          </w:p>
        </w:tc>
        <w:tc>
          <w:tcPr>
            <w:tcW w:w="528" w:type="dxa"/>
            <w:tcBorders/>
            <w:shd w:fill="CCEEFF" w:val="clear"/>
          </w:tcPr>
          <w:p>
            <w:pPr>
              <w:pStyle w:val="TableContents"/>
              <w:spacing w:before="0" w:after="283"/>
              <w:jc w:val="right"/>
              <w:rPr>
                <w:rFonts w:ascii="times" w:hAnsi="times"/>
                <w:sz w:val="20"/>
              </w:rPr>
            </w:pPr>
            <w:r>
              <w:rPr>
                <w:rFonts w:ascii="times" w:hAnsi="times"/>
                <w:sz w:val="20"/>
              </w:rPr>
              <w:t>22</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25</w:t>
            </w:r>
          </w:p>
        </w:tc>
        <w:tc>
          <w:tcPr>
            <w:tcW w:w="225"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jc w:val="right"/>
              <w:rPr>
                <w:rFonts w:ascii="times" w:hAnsi="times"/>
                <w:sz w:val="20"/>
              </w:rPr>
            </w:pPr>
            <w:r>
              <w:rPr>
                <w:rFonts w:ascii="times" w:hAnsi="times"/>
                <w:sz w:val="20"/>
              </w:rPr>
              <w:t>$</w:t>
            </w:r>
          </w:p>
        </w:tc>
        <w:tc>
          <w:tcPr>
            <w:tcW w:w="840" w:type="dxa"/>
            <w:tcBorders/>
            <w:shd w:fill="CCEEFF" w:val="clear"/>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1995" w:type="dxa"/>
            <w:tcBorders/>
            <w:shd w:fill="FFFFFF" w:val="clear"/>
          </w:tcPr>
          <w:p>
            <w:pPr>
              <w:pStyle w:val="TableContents"/>
              <w:spacing w:before="0" w:after="283"/>
              <w:ind w:left="200" w:right="0" w:hanging="200"/>
              <w:rPr>
                <w:rFonts w:ascii="times" w:hAnsi="times"/>
                <w:b/>
                <w:sz w:val="20"/>
              </w:rPr>
            </w:pPr>
            <w:r>
              <w:rPr>
                <w:rFonts w:ascii="times" w:hAnsi="times"/>
                <w:b/>
                <w:sz w:val="20"/>
              </w:rPr>
              <w:t>Butte</w:t>
            </w:r>
          </w:p>
        </w:tc>
        <w:tc>
          <w:tcPr>
            <w:tcW w:w="180" w:type="dxa"/>
            <w:tcBorders/>
            <w:shd w:fill="FFFFFF" w:val="clear"/>
          </w:tcPr>
          <w:p>
            <w:pPr>
              <w:pStyle w:val="TableContents"/>
              <w:spacing w:before="0" w:after="283"/>
              <w:rPr/>
            </w:pPr>
            <w:r>
              <w:rPr/>
              <w:t> </w:t>
            </w:r>
          </w:p>
        </w:tc>
        <w:tc>
          <w:tcPr>
            <w:tcW w:w="1980" w:type="dxa"/>
            <w:tcBorders/>
            <w:shd w:fill="FFFFFF" w:val="clear"/>
          </w:tcPr>
          <w:p>
            <w:pPr>
              <w:pStyle w:val="TableContents"/>
              <w:spacing w:before="0" w:after="283"/>
              <w:jc w:val="center"/>
              <w:rPr>
                <w:rFonts w:ascii="times" w:hAnsi="times"/>
                <w:sz w:val="20"/>
              </w:rPr>
            </w:pPr>
            <w:r>
              <w:rPr>
                <w:rFonts w:ascii="times" w:hAnsi="times"/>
                <w:sz w:val="20"/>
              </w:rPr>
              <w:t>Crude Oil Pipeline</w:t>
            </w:r>
          </w:p>
        </w:tc>
        <w:tc>
          <w:tcPr>
            <w:tcW w:w="180" w:type="dxa"/>
            <w:tcBorders/>
            <w:shd w:fill="FFFFFF" w:val="clear"/>
          </w:tcPr>
          <w:p>
            <w:pPr>
              <w:pStyle w:val="TableContents"/>
              <w:spacing w:before="0" w:after="283"/>
              <w:rPr/>
            </w:pPr>
            <w:r>
              <w:rPr/>
              <w:t> </w:t>
            </w:r>
          </w:p>
        </w:tc>
        <w:tc>
          <w:tcPr>
            <w:tcW w:w="137" w:type="dxa"/>
            <w:tcBorders/>
            <w:shd w:fill="FFFFFF" w:val="clear"/>
          </w:tcPr>
          <w:p>
            <w:pPr>
              <w:pStyle w:val="TableContents"/>
              <w:spacing w:before="0" w:after="283"/>
              <w:rPr/>
            </w:pPr>
            <w:r>
              <w:rPr/>
              <w:t> </w:t>
            </w:r>
          </w:p>
        </w:tc>
        <w:tc>
          <w:tcPr>
            <w:tcW w:w="528" w:type="dxa"/>
            <w:tcBorders/>
            <w:shd w:fill="FFFFFF" w:val="clear"/>
          </w:tcPr>
          <w:p>
            <w:pPr>
              <w:pStyle w:val="TableContents"/>
              <w:spacing w:before="0" w:after="283"/>
              <w:jc w:val="right"/>
              <w:rPr>
                <w:rFonts w:ascii="times" w:hAnsi="times"/>
                <w:sz w:val="20"/>
              </w:rPr>
            </w:pPr>
            <w:r>
              <w:rPr>
                <w:rFonts w:ascii="times" w:hAnsi="times"/>
                <w:sz w:val="20"/>
              </w:rPr>
              <w:t>22</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12</w:t>
            </w:r>
          </w:p>
        </w:tc>
        <w:tc>
          <w:tcPr>
            <w:tcW w:w="225"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jc w:val="right"/>
              <w:rPr>
                <w:rFonts w:ascii="times" w:hAnsi="times"/>
                <w:sz w:val="20"/>
              </w:rPr>
            </w:pPr>
            <w:r>
              <w:rPr>
                <w:rFonts w:ascii="times" w:hAnsi="times"/>
                <w:sz w:val="20"/>
              </w:rPr>
              <w:t>$</w:t>
            </w:r>
          </w:p>
        </w:tc>
        <w:tc>
          <w:tcPr>
            <w:tcW w:w="840" w:type="dxa"/>
            <w:tcBorders/>
            <w:shd w:fill="FFFFFF" w:val="clear"/>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bl>
    <w:p>
      <w:pPr>
        <w:pStyle w:val="TextBody"/>
        <w:rPr>
          <w:rFonts w:ascii="times" w:hAnsi="times"/>
        </w:rPr>
      </w:pPr>
      <w:bookmarkStart w:id="128" w:name="toc_ea12101_1"/>
      <w:bookmarkStart w:id="129" w:name="ea12101_item_7a._quantitative_and_qual__"/>
      <w:bookmarkEnd w:id="128"/>
      <w:bookmarkEnd w:id="129"/>
      <w:r>
        <w:rPr>
          <w:rFonts w:ascii="times" w:hAnsi="times"/>
          <w:b/>
          <w:sz w:val="20"/>
        </w:rPr>
        <w:t>Item 7A.</w:t>
      </w:r>
      <w:r>
        <w:rPr>
          <w:rFonts w:ascii="times" w:hAnsi="times"/>
        </w:rPr>
        <w:t>    </w:t>
      </w:r>
      <w:r>
        <w:rPr>
          <w:rFonts w:ascii="times" w:hAnsi="times"/>
          <w:b/>
          <w:i/>
          <w:sz w:val="20"/>
        </w:rPr>
        <w:t xml:space="preserve">Quantitative and Qualitative Disclosures About Market Risk </w:t>
      </w:r>
    </w:p>
    <w:p>
      <w:pPr>
        <w:pStyle w:val="TextBody"/>
        <w:rPr/>
      </w:pPr>
      <w:r>
        <w:rPr/>
        <w:t>        </w:t>
      </w:r>
      <w:r>
        <w:rPr>
          <w:rFonts w:ascii="times" w:hAnsi="times"/>
          <w:sz w:val="20"/>
        </w:rPr>
        <w:t xml:space="preserve">We are exposed to various market risks, including volatility in (i) commodity prices for crude oil, refined products, natural gas and LPG, (ii) interest rates and (iii) currency exchange rates. We utilize various derivative instruments to manage such exposure and, in certain circumstances, to realize incremental margin during volatile market conditions.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Our risk management policies and procedures are designed to monitor interest rates, currency exchange rates, NYMEX, ICE and over-the-counter positions, and physical volumes, grades, locations and delivery schedules to ensure our hedging activities address our market risks. We have a risk management function that has direct responsibility and authority for our risk policies and </w:t>
      </w:r>
    </w:p>
    <w:p>
      <w:pPr>
        <w:pStyle w:val="TextBody"/>
        <w:jc w:val="center"/>
        <w:rPr>
          <w:rFonts w:ascii="times" w:hAnsi="times"/>
          <w:sz w:val="20"/>
        </w:rPr>
      </w:pPr>
      <w:r>
        <w:rPr>
          <w:rFonts w:ascii="times" w:hAnsi="times"/>
          <w:sz w:val="20"/>
        </w:rPr>
        <w:t>97</w:t>
      </w:r>
    </w:p>
    <w:p>
      <w:pPr>
        <w:pStyle w:val="HorizontalLine"/>
        <w:pBdr>
          <w:bottom w:val="single" w:sz="20" w:space="0" w:color="808080"/>
        </w:pBdr>
        <w:rPr/>
      </w:pPr>
      <w:r>
        <w:rPr/>
      </w:r>
      <w:r>
        <w:br w:type="page"/>
      </w:r>
    </w:p>
    <w:p>
      <w:pPr>
        <w:pStyle w:val="TextBody"/>
        <w:rPr/>
      </w:pPr>
      <w:hyperlink w:anchor="bg12101a_main_toc">
        <w:bookmarkStart w:id="130" w:name="page_ea12101_1_98"/>
        <w:bookmarkEnd w:id="130"/>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our trading controls and procedures and certain aspects of corporate risk management. Our risk management function also approves all new risk management strategies through a formal process. With the exception of the controlled trading program referenced below, our approved strategies are intended to mitigate and manage enterprise level risks that are inherent in our core businesses of gathering and marketing and storage. To hedge the risks discussed above we engage in risk management activities that we categorize by the risks we are hedging. The following discussion addresses each category of risk. </w:t>
      </w:r>
    </w:p>
    <w:p>
      <w:pPr>
        <w:pStyle w:val="TextBody"/>
        <w:rPr>
          <w:rFonts w:ascii="times" w:hAnsi="times"/>
          <w:b/>
          <w:sz w:val="20"/>
        </w:rPr>
      </w:pPr>
      <w:r>
        <w:rPr>
          <w:rFonts w:ascii="times" w:hAnsi="times"/>
          <w:b/>
          <w:sz w:val="20"/>
        </w:rPr>
        <w:t xml:space="preserve">Commodity Price Risk </w:t>
      </w:r>
    </w:p>
    <w:p>
      <w:pPr>
        <w:pStyle w:val="TextBody"/>
        <w:rPr/>
      </w:pPr>
      <w:r>
        <w:rPr/>
        <w:t>        </w:t>
      </w:r>
      <w:r>
        <w:rPr>
          <w:rFonts w:ascii="times" w:hAnsi="times"/>
          <w:sz w:val="20"/>
        </w:rPr>
        <w:t xml:space="preserve">We use derivative instruments and physical delivery contracts to hedge our exposure to price fluctuations with respect to crude oil, refined products, natural gas and LPG in storage, and expected purchases and sales of these commodities (relating primarily to crude oil and LPGs at this time). The derivative instruments utilized consist primarily of futures, options and swaps traded on the NYMEX, ICE and in over-the-counter transactions, including swap and option contracts entered into with financial institutions and other energy companies. Our policy is to purchase only commodity products for which we have a market, and to structure our sales contracts so that price fluctuations for those products do not materially affect the segment profit we receive. Except for the controlled trading program referenced below, we do not acquire and hold futures contracts or other derivative products for the purpose of speculating on price changes, as these activities could expose us to significant losses. </w:t>
      </w:r>
    </w:p>
    <w:p>
      <w:pPr>
        <w:pStyle w:val="TextBody"/>
        <w:rPr/>
      </w:pPr>
      <w:r>
        <w:rPr/>
        <w:t>        </w:t>
      </w:r>
      <w:r>
        <w:rPr>
          <w:rFonts w:ascii="times" w:hAnsi="times"/>
          <w:sz w:val="20"/>
        </w:rPr>
        <w:t xml:space="preserve">Although we seek to maintain a position that is substantially balanced within our various commodity purchase and sales activities (which mainly relate to crude oil and LPGs), we may experience net unbalanced positions for short periods of time as a result of production, transportation and delivery variances as well as logistical issues associated with inclement weather conditions. When unscheduled physical inventory builds or draws do occur, they are monitored constantly and managed to a balanced position over a reasonable period of time. In connection with managing these positions and maintaining a constant presence in the marketplace, both necessary for our core business, we engage in a controlled trading program for up to an aggregate of 500,000 barrels of crude oil and a substantially lesser amount for LPG. </w:t>
      </w:r>
    </w:p>
    <w:p>
      <w:pPr>
        <w:pStyle w:val="TextBody"/>
        <w:rPr/>
      </w:pPr>
      <w:r>
        <w:rPr/>
        <w:t>        </w:t>
      </w:r>
      <w:r>
        <w:rPr>
          <w:rFonts w:ascii="times" w:hAnsi="times"/>
          <w:sz w:val="20"/>
        </w:rPr>
        <w:t xml:space="preserve">Although the intent of our risk-management strategies is to hedge our margin, not all of our derivatives qualify for hedge accounting. In such instances, changes in the fair values of these derivatives are recognized in earnings, and result in greater potential for earnings volatility. This accounting treatment is discussed further in Note 2 to our Consolidated Financial Statements. </w:t>
      </w:r>
    </w:p>
    <w:p>
      <w:pPr>
        <w:pStyle w:val="TextBody"/>
        <w:rPr/>
      </w:pPr>
      <w:r>
        <w:rPr/>
        <w:t>        </w:t>
      </w:r>
      <w:r>
        <w:rPr>
          <w:rFonts w:ascii="times" w:hAnsi="times"/>
          <w:sz w:val="20"/>
        </w:rPr>
        <w:t xml:space="preserve">All of our open commodity price risk derivatives at December 31, 2008 were categorized as non-trading. The fair value of these instruments and the change in fair value that would be expected from a 10 percent price decrease are shown in the table below (in millions): </w:t>
      </w:r>
    </w:p>
    <w:tbl>
      <w:tblPr>
        <w:tblW w:w="7258" w:type="dxa"/>
        <w:jc w:val="center"/>
        <w:tblInd w:w="0" w:type="dxa"/>
        <w:tblCellMar>
          <w:top w:w="0" w:type="dxa"/>
          <w:left w:w="0" w:type="dxa"/>
          <w:bottom w:w="0" w:type="dxa"/>
          <w:right w:w="0" w:type="dxa"/>
        </w:tblCellMar>
      </w:tblPr>
      <w:tblGrid>
        <w:gridCol w:w="150"/>
        <w:gridCol w:w="5040"/>
        <w:gridCol w:w="180"/>
        <w:gridCol w:w="140"/>
        <w:gridCol w:w="539"/>
        <w:gridCol w:w="225"/>
        <w:gridCol w:w="133"/>
        <w:gridCol w:w="771"/>
        <w:gridCol w:w="80"/>
      </w:tblGrid>
      <w:tr>
        <w:trPr/>
        <w:tc>
          <w:tcPr>
            <w:tcW w:w="150" w:type="dxa"/>
            <w:tcBorders/>
            <w:shd w:fill="auto" w:val="clear"/>
            <w:vAlign w:val="center"/>
          </w:tcPr>
          <w:p>
            <w:pPr>
              <w:pStyle w:val="TableContents"/>
              <w:spacing w:before="0" w:after="283"/>
              <w:rPr>
                <w:sz w:val="4"/>
                <w:szCs w:val="4"/>
              </w:rPr>
            </w:pPr>
            <w:r>
              <w:rPr>
                <w:sz w:val="4"/>
                <w:szCs w:val="4"/>
              </w:rPr>
            </w:r>
          </w:p>
        </w:tc>
        <w:tc>
          <w:tcPr>
            <w:tcW w:w="50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5190"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6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Fair Value </w:t>
            </w:r>
          </w:p>
        </w:tc>
        <w:tc>
          <w:tcPr>
            <w:tcW w:w="225" w:type="dxa"/>
            <w:tcBorders/>
            <w:shd w:fill="auto" w:val="clear"/>
            <w:vAlign w:val="bottom"/>
          </w:tcPr>
          <w:p>
            <w:pPr>
              <w:pStyle w:val="TableHeading"/>
              <w:suppressLineNumbers/>
              <w:spacing w:before="0" w:after="283"/>
              <w:jc w:val="center"/>
              <w:rPr/>
            </w:pPr>
            <w:r>
              <w:rPr/>
              <w:t> </w:t>
            </w:r>
          </w:p>
        </w:tc>
        <w:tc>
          <w:tcPr>
            <w:tcW w:w="9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Effect of 10%</w:t>
              <w:br/>
              <w:t xml:space="preserve">Price Decrease </w:t>
            </w:r>
          </w:p>
        </w:tc>
        <w:tc>
          <w:tcPr>
            <w:tcW w:w="80" w:type="dxa"/>
            <w:tcBorders/>
            <w:shd w:fill="auto" w:val="clear"/>
            <w:vAlign w:val="bottom"/>
          </w:tcPr>
          <w:p>
            <w:pPr>
              <w:pStyle w:val="TableHeading"/>
              <w:suppressLineNumbers/>
              <w:spacing w:before="0" w:after="283"/>
              <w:jc w:val="center"/>
              <w:rPr/>
            </w:pPr>
            <w:r>
              <w:rPr/>
              <w:t> </w:t>
            </w:r>
          </w:p>
        </w:tc>
      </w:tr>
      <w:tr>
        <w:trPr/>
        <w:tc>
          <w:tcPr>
            <w:tcW w:w="519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Crude oil:</w:t>
            </w:r>
          </w:p>
        </w:tc>
        <w:tc>
          <w:tcPr>
            <w:tcW w:w="180"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rPr/>
            </w:pPr>
            <w:r>
              <w:rPr/>
              <w:t> </w:t>
            </w:r>
          </w:p>
        </w:tc>
        <w:tc>
          <w:tcPr>
            <w:tcW w:w="539"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33" w:type="dxa"/>
            <w:tcBorders/>
            <w:shd w:fill="CCEEFF" w:val="clear"/>
          </w:tcPr>
          <w:p>
            <w:pPr>
              <w:pStyle w:val="TableContents"/>
              <w:spacing w:before="0" w:after="283"/>
              <w:rPr/>
            </w:pPr>
            <w:r>
              <w:rPr/>
              <w:t> </w:t>
            </w:r>
          </w:p>
        </w:tc>
        <w:tc>
          <w:tcPr>
            <w:tcW w:w="771"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5040" w:type="dxa"/>
            <w:tcBorders/>
            <w:shd w:fill="FFFFFF" w:val="clear"/>
          </w:tcPr>
          <w:p>
            <w:pPr>
              <w:pStyle w:val="TableContents"/>
              <w:spacing w:before="0" w:after="283"/>
              <w:ind w:left="200" w:right="0" w:hanging="200"/>
              <w:rPr>
                <w:rFonts w:ascii="times" w:hAnsi="times"/>
                <w:sz w:val="20"/>
              </w:rPr>
            </w:pPr>
            <w:r>
              <w:rPr>
                <w:rFonts w:ascii="times" w:hAnsi="times"/>
                <w:sz w:val="20"/>
              </w:rPr>
              <w:t>Futures contracts</w:t>
            </w:r>
          </w:p>
        </w:tc>
        <w:tc>
          <w:tcPr>
            <w:tcW w:w="180"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jc w:val="right"/>
              <w:rPr>
                <w:rFonts w:ascii="times" w:hAnsi="times"/>
                <w:sz w:val="20"/>
              </w:rPr>
            </w:pPr>
            <w:r>
              <w:rPr>
                <w:rFonts w:ascii="times" w:hAnsi="times"/>
                <w:sz w:val="20"/>
              </w:rPr>
              <w:t>$</w:t>
            </w:r>
          </w:p>
        </w:tc>
        <w:tc>
          <w:tcPr>
            <w:tcW w:w="539" w:type="dxa"/>
            <w:tcBorders/>
            <w:shd w:fill="FFFFFF" w:val="clear"/>
          </w:tcPr>
          <w:p>
            <w:pPr>
              <w:pStyle w:val="TableContents"/>
              <w:spacing w:before="0" w:after="283"/>
              <w:jc w:val="right"/>
              <w:rPr>
                <w:rFonts w:ascii="times" w:hAnsi="times"/>
                <w:sz w:val="20"/>
              </w:rPr>
            </w:pPr>
            <w:r>
              <w:rPr>
                <w:rFonts w:ascii="times" w:hAnsi="times"/>
                <w:sz w:val="20"/>
              </w:rPr>
              <w:t>(10</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33" w:type="dxa"/>
            <w:tcBorders/>
            <w:shd w:fill="FFFFFF" w:val="clear"/>
          </w:tcPr>
          <w:p>
            <w:pPr>
              <w:pStyle w:val="TableContents"/>
              <w:spacing w:before="0" w:after="283"/>
              <w:jc w:val="right"/>
              <w:rPr>
                <w:rFonts w:ascii="times" w:hAnsi="times"/>
                <w:sz w:val="20"/>
              </w:rPr>
            </w:pPr>
            <w:r>
              <w:rPr>
                <w:rFonts w:ascii="times" w:hAnsi="times"/>
                <w:sz w:val="20"/>
              </w:rPr>
              <w:t>$</w:t>
            </w:r>
          </w:p>
        </w:tc>
        <w:tc>
          <w:tcPr>
            <w:tcW w:w="771" w:type="dxa"/>
            <w:tcBorders/>
            <w:shd w:fill="FFFFFF" w:val="clear"/>
          </w:tcPr>
          <w:p>
            <w:pPr>
              <w:pStyle w:val="TableContents"/>
              <w:spacing w:before="0" w:after="283"/>
              <w:jc w:val="right"/>
              <w:rPr>
                <w:rFonts w:ascii="times" w:hAnsi="times"/>
                <w:sz w:val="20"/>
              </w:rPr>
            </w:pPr>
            <w:r>
              <w:rPr>
                <w:rFonts w:ascii="times" w:hAnsi="times"/>
                <w:sz w:val="20"/>
              </w:rPr>
              <w:t>22</w:t>
            </w:r>
          </w:p>
        </w:tc>
        <w:tc>
          <w:tcPr>
            <w:tcW w:w="8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5040" w:type="dxa"/>
            <w:tcBorders/>
            <w:shd w:fill="CCEEFF" w:val="clear"/>
          </w:tcPr>
          <w:p>
            <w:pPr>
              <w:pStyle w:val="TableContents"/>
              <w:spacing w:before="0" w:after="283"/>
              <w:ind w:left="200" w:right="0" w:hanging="200"/>
              <w:rPr>
                <w:rFonts w:ascii="times" w:hAnsi="times"/>
                <w:sz w:val="20"/>
              </w:rPr>
            </w:pPr>
            <w:r>
              <w:rPr>
                <w:rFonts w:ascii="times" w:hAnsi="times"/>
                <w:sz w:val="20"/>
              </w:rPr>
              <w:t>Swaps and options contracts</w:t>
            </w:r>
          </w:p>
        </w:tc>
        <w:tc>
          <w:tcPr>
            <w:tcW w:w="180"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rPr/>
            </w:pPr>
            <w:r>
              <w:rPr/>
              <w:t> </w:t>
            </w:r>
          </w:p>
        </w:tc>
        <w:tc>
          <w:tcPr>
            <w:tcW w:w="539" w:type="dxa"/>
            <w:tcBorders/>
            <w:shd w:fill="CCEEFF" w:val="clear"/>
          </w:tcPr>
          <w:p>
            <w:pPr>
              <w:pStyle w:val="TableContents"/>
              <w:spacing w:before="0" w:after="283"/>
              <w:jc w:val="right"/>
              <w:rPr>
                <w:rFonts w:ascii="times" w:hAnsi="times"/>
                <w:sz w:val="20"/>
              </w:rPr>
            </w:pPr>
            <w:r>
              <w:rPr>
                <w:rFonts w:ascii="times" w:hAnsi="times"/>
                <w:sz w:val="20"/>
              </w:rPr>
              <w:t>174</w:t>
            </w:r>
          </w:p>
        </w:tc>
        <w:tc>
          <w:tcPr>
            <w:tcW w:w="225" w:type="dxa"/>
            <w:tcBorders/>
            <w:shd w:fill="CCEEFF" w:val="clear"/>
          </w:tcPr>
          <w:p>
            <w:pPr>
              <w:pStyle w:val="TableContents"/>
              <w:spacing w:before="0" w:after="283"/>
              <w:rPr/>
            </w:pPr>
            <w:r>
              <w:rPr/>
              <w:t> </w:t>
            </w:r>
          </w:p>
        </w:tc>
        <w:tc>
          <w:tcPr>
            <w:tcW w:w="133" w:type="dxa"/>
            <w:tcBorders/>
            <w:shd w:fill="CCEEFF" w:val="clear"/>
          </w:tcPr>
          <w:p>
            <w:pPr>
              <w:pStyle w:val="TableContents"/>
              <w:spacing w:before="0" w:after="283"/>
              <w:rPr/>
            </w:pPr>
            <w:r>
              <w:rPr/>
              <w:t> </w:t>
            </w:r>
          </w:p>
        </w:tc>
        <w:tc>
          <w:tcPr>
            <w:tcW w:w="771" w:type="dxa"/>
            <w:tcBorders/>
            <w:shd w:fill="CCEEFF" w:val="clear"/>
          </w:tcPr>
          <w:p>
            <w:pPr>
              <w:pStyle w:val="TableContents"/>
              <w:spacing w:before="0" w:after="283"/>
              <w:jc w:val="right"/>
              <w:rPr>
                <w:rFonts w:ascii="times" w:hAnsi="times"/>
                <w:sz w:val="20"/>
              </w:rPr>
            </w:pPr>
            <w:r>
              <w:rPr>
                <w:rFonts w:ascii="times" w:hAnsi="times"/>
                <w:sz w:val="20"/>
              </w:rPr>
              <w:t>59</w:t>
            </w:r>
          </w:p>
        </w:tc>
        <w:tc>
          <w:tcPr>
            <w:tcW w:w="80" w:type="dxa"/>
            <w:tcBorders/>
            <w:shd w:fill="CCEEFF" w:val="clear"/>
          </w:tcPr>
          <w:p>
            <w:pPr>
              <w:pStyle w:val="TableContents"/>
              <w:spacing w:before="0" w:after="283"/>
              <w:rPr/>
            </w:pPr>
            <w:r>
              <w:rPr/>
              <w:t> </w:t>
            </w:r>
          </w:p>
        </w:tc>
      </w:tr>
      <w:tr>
        <w:trPr/>
        <w:tc>
          <w:tcPr>
            <w:tcW w:w="5190" w:type="dxa"/>
            <w:gridSpan w:val="2"/>
            <w:tcBorders/>
            <w:shd w:fill="FFFFFF" w:val="clear"/>
          </w:tcPr>
          <w:p>
            <w:pPr>
              <w:pStyle w:val="TableContents"/>
              <w:spacing w:before="240" w:after="283"/>
              <w:ind w:left="200" w:right="0" w:hanging="200"/>
              <w:rPr>
                <w:rFonts w:ascii="times" w:hAnsi="times"/>
                <w:sz w:val="20"/>
              </w:rPr>
            </w:pPr>
            <w:r>
              <w:rPr>
                <w:rFonts w:ascii="times" w:hAnsi="times"/>
                <w:sz w:val="20"/>
              </w:rPr>
              <w:t>LPG and other:</w:t>
            </w:r>
          </w:p>
        </w:tc>
        <w:tc>
          <w:tcPr>
            <w:tcW w:w="180"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rPr/>
            </w:pPr>
            <w:r>
              <w:rPr/>
              <w:t> </w:t>
            </w:r>
          </w:p>
        </w:tc>
        <w:tc>
          <w:tcPr>
            <w:tcW w:w="539"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33" w:type="dxa"/>
            <w:tcBorders/>
            <w:shd w:fill="FFFFFF" w:val="clear"/>
          </w:tcPr>
          <w:p>
            <w:pPr>
              <w:pStyle w:val="TableContents"/>
              <w:spacing w:before="0" w:after="283"/>
              <w:rPr/>
            </w:pPr>
            <w:r>
              <w:rPr/>
              <w:t> </w:t>
            </w:r>
          </w:p>
        </w:tc>
        <w:tc>
          <w:tcPr>
            <w:tcW w:w="771" w:type="dxa"/>
            <w:tcBorders/>
            <w:shd w:fill="FFFFFF" w:val="clear"/>
          </w:tcPr>
          <w:p>
            <w:pPr>
              <w:pStyle w:val="TableContents"/>
              <w:spacing w:before="0" w:after="283"/>
              <w:rPr/>
            </w:pPr>
            <w:r>
              <w:rPr/>
              <w:t> </w:t>
            </w:r>
          </w:p>
        </w:tc>
        <w:tc>
          <w:tcPr>
            <w:tcW w:w="8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5040" w:type="dxa"/>
            <w:tcBorders/>
            <w:shd w:fill="CCEEFF" w:val="clear"/>
          </w:tcPr>
          <w:p>
            <w:pPr>
              <w:pStyle w:val="TableContents"/>
              <w:spacing w:before="0" w:after="283"/>
              <w:ind w:left="200" w:right="0" w:hanging="200"/>
              <w:rPr>
                <w:rFonts w:ascii="times" w:hAnsi="times"/>
                <w:sz w:val="20"/>
              </w:rPr>
            </w:pPr>
            <w:r>
              <w:rPr>
                <w:rFonts w:ascii="times" w:hAnsi="times"/>
                <w:sz w:val="20"/>
              </w:rPr>
              <w:t>Futures contracts</w:t>
            </w:r>
          </w:p>
        </w:tc>
        <w:tc>
          <w:tcPr>
            <w:tcW w:w="180"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rPr/>
            </w:pPr>
            <w:r>
              <w:rPr/>
              <w:t> </w:t>
            </w:r>
          </w:p>
        </w:tc>
        <w:tc>
          <w:tcPr>
            <w:tcW w:w="539" w:type="dxa"/>
            <w:tcBorders/>
            <w:shd w:fill="CCEEFF" w:val="clear"/>
          </w:tcPr>
          <w:p>
            <w:pPr>
              <w:pStyle w:val="TableContents"/>
              <w:spacing w:before="0" w:after="283"/>
              <w:jc w:val="right"/>
              <w:rPr>
                <w:rFonts w:ascii="times" w:hAnsi="times"/>
                <w:sz w:val="20"/>
              </w:rPr>
            </w:pPr>
            <w:r>
              <w:rPr>
                <w:rFonts w:ascii="times" w:hAnsi="times"/>
                <w:sz w:val="20"/>
              </w:rPr>
              <w:t>(24</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33" w:type="dxa"/>
            <w:tcBorders/>
            <w:shd w:fill="CCEEFF" w:val="clear"/>
          </w:tcPr>
          <w:p>
            <w:pPr>
              <w:pStyle w:val="TableContents"/>
              <w:spacing w:before="0" w:after="283"/>
              <w:rPr/>
            </w:pPr>
            <w:r>
              <w:rPr/>
              <w:t> </w:t>
            </w:r>
          </w:p>
        </w:tc>
        <w:tc>
          <w:tcPr>
            <w:tcW w:w="771" w:type="dxa"/>
            <w:tcBorders/>
            <w:shd w:fill="CCEEFF" w:val="clear"/>
          </w:tcPr>
          <w:p>
            <w:pPr>
              <w:pStyle w:val="TableContents"/>
              <w:spacing w:before="0" w:after="283"/>
              <w:jc w:val="right"/>
              <w:rPr>
                <w:rFonts w:ascii="times" w:hAnsi="times"/>
                <w:sz w:val="20"/>
              </w:rPr>
            </w:pPr>
            <w:r>
              <w:rPr>
                <w:rFonts w:ascii="times" w:hAnsi="times"/>
                <w:sz w:val="20"/>
              </w:rPr>
              <w:t>(3</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150" w:type="dxa"/>
            <w:tcBorders/>
            <w:shd w:fill="FFFFFF" w:val="clear"/>
          </w:tcPr>
          <w:p>
            <w:pPr>
              <w:pStyle w:val="TableContents"/>
              <w:spacing w:before="0" w:after="283"/>
              <w:rPr/>
            </w:pPr>
            <w:r>
              <w:rPr/>
              <w:t> </w:t>
            </w:r>
          </w:p>
        </w:tc>
        <w:tc>
          <w:tcPr>
            <w:tcW w:w="5040" w:type="dxa"/>
            <w:tcBorders/>
            <w:shd w:fill="FFFFFF" w:val="clear"/>
          </w:tcPr>
          <w:p>
            <w:pPr>
              <w:pStyle w:val="TableContents"/>
              <w:spacing w:before="0" w:after="283"/>
              <w:ind w:left="200" w:right="0" w:hanging="200"/>
              <w:rPr>
                <w:rFonts w:ascii="times" w:hAnsi="times"/>
                <w:sz w:val="20"/>
              </w:rPr>
            </w:pPr>
            <w:r>
              <w:rPr>
                <w:rFonts w:ascii="times" w:hAnsi="times"/>
                <w:sz w:val="20"/>
              </w:rPr>
              <w:t>Swaps, options and other contracts</w:t>
            </w:r>
            <w:r>
              <w:rPr>
                <w:rFonts w:ascii="times" w:hAnsi="times"/>
                <w:position w:val="7"/>
                <w:sz w:val="16"/>
                <w:sz w:val="20"/>
              </w:rPr>
              <w:t>(1)</w:t>
            </w:r>
          </w:p>
        </w:tc>
        <w:tc>
          <w:tcPr>
            <w:tcW w:w="180"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rPr/>
            </w:pPr>
            <w:r>
              <w:rPr/>
              <w:t> </w:t>
            </w:r>
          </w:p>
        </w:tc>
        <w:tc>
          <w:tcPr>
            <w:tcW w:w="539" w:type="dxa"/>
            <w:tcBorders/>
            <w:shd w:fill="FFFFFF" w:val="clear"/>
          </w:tcPr>
          <w:p>
            <w:pPr>
              <w:pStyle w:val="TableContents"/>
              <w:spacing w:before="0" w:after="283"/>
              <w:jc w:val="right"/>
              <w:rPr>
                <w:rFonts w:ascii="times" w:hAnsi="times"/>
                <w:sz w:val="20"/>
              </w:rPr>
            </w:pPr>
            <w:r>
              <w:rPr>
                <w:rFonts w:ascii="times" w:hAnsi="times"/>
                <w:sz w:val="20"/>
              </w:rPr>
              <w:t>(170</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33" w:type="dxa"/>
            <w:tcBorders/>
            <w:shd w:fill="FFFFFF" w:val="clear"/>
          </w:tcPr>
          <w:p>
            <w:pPr>
              <w:pStyle w:val="TableContents"/>
              <w:spacing w:before="0" w:after="283"/>
              <w:rPr/>
            </w:pPr>
            <w:r>
              <w:rPr/>
              <w:t> </w:t>
            </w:r>
          </w:p>
        </w:tc>
        <w:tc>
          <w:tcPr>
            <w:tcW w:w="771" w:type="dxa"/>
            <w:tcBorders/>
            <w:shd w:fill="FFFFFF" w:val="clear"/>
          </w:tcPr>
          <w:p>
            <w:pPr>
              <w:pStyle w:val="TableContents"/>
              <w:spacing w:before="0" w:after="283"/>
              <w:jc w:val="right"/>
              <w:rPr>
                <w:rFonts w:ascii="times" w:hAnsi="times"/>
                <w:sz w:val="20"/>
              </w:rPr>
            </w:pPr>
            <w:r>
              <w:rPr>
                <w:rFonts w:ascii="times" w:hAnsi="times"/>
                <w:sz w:val="20"/>
              </w:rPr>
              <w:t>(21</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519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771" w:type="dxa"/>
            <w:tcBorders/>
            <w:shd w:fill="auto" w:val="cle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519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Total Fair Value</w:t>
            </w:r>
          </w:p>
        </w:tc>
        <w:tc>
          <w:tcPr>
            <w:tcW w:w="180"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jc w:val="right"/>
              <w:rPr>
                <w:rFonts w:ascii="times" w:hAnsi="times"/>
                <w:sz w:val="20"/>
              </w:rPr>
            </w:pPr>
            <w:r>
              <w:rPr>
                <w:rFonts w:ascii="times" w:hAnsi="times"/>
                <w:sz w:val="20"/>
              </w:rPr>
              <w:t>$</w:t>
            </w:r>
          </w:p>
        </w:tc>
        <w:tc>
          <w:tcPr>
            <w:tcW w:w="539" w:type="dxa"/>
            <w:tcBorders/>
            <w:shd w:fill="CCEEFF" w:val="clear"/>
          </w:tcPr>
          <w:p>
            <w:pPr>
              <w:pStyle w:val="TableContents"/>
              <w:spacing w:before="0" w:after="283"/>
              <w:jc w:val="right"/>
              <w:rPr>
                <w:rFonts w:ascii="times" w:hAnsi="times"/>
                <w:sz w:val="20"/>
              </w:rPr>
            </w:pPr>
            <w:r>
              <w:rPr>
                <w:rFonts w:ascii="times" w:hAnsi="times"/>
                <w:sz w:val="20"/>
              </w:rPr>
              <w:t>(30</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33" w:type="dxa"/>
            <w:tcBorders/>
            <w:shd w:fill="CCEEFF" w:val="clear"/>
          </w:tcPr>
          <w:p>
            <w:pPr>
              <w:pStyle w:val="TableContents"/>
              <w:spacing w:before="0" w:after="283"/>
              <w:rPr/>
            </w:pPr>
            <w:r>
              <w:rPr/>
              <w:t> </w:t>
            </w:r>
          </w:p>
        </w:tc>
        <w:tc>
          <w:tcPr>
            <w:tcW w:w="771" w:type="dxa"/>
            <w:tcBorders/>
            <w:shd w:fill="CCEEFF" w:val="clear"/>
          </w:tcPr>
          <w:p>
            <w:pPr>
              <w:pStyle w:val="TableContents"/>
              <w:spacing w:before="0" w:after="283"/>
              <w:jc w:val="right"/>
              <w:rPr/>
            </w:pPr>
            <w:r>
              <w:rPr/>
              <w:t> </w:t>
            </w:r>
          </w:p>
        </w:tc>
        <w:tc>
          <w:tcPr>
            <w:tcW w:w="80" w:type="dxa"/>
            <w:tcBorders/>
            <w:shd w:fill="CCEEFF" w:val="clear"/>
          </w:tcPr>
          <w:p>
            <w:pPr>
              <w:pStyle w:val="TableContents"/>
              <w:spacing w:before="0" w:after="283"/>
              <w:rPr/>
            </w:pPr>
            <w:r>
              <w:rPr/>
              <w:t> </w:t>
            </w:r>
          </w:p>
        </w:tc>
      </w:tr>
      <w:tr>
        <w:trPr/>
        <w:tc>
          <w:tcPr>
            <w:tcW w:w="519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771" w:type="dxa"/>
            <w:tcBorders/>
            <w:shd w:fill="auto" w:val="cle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Amount includes approximately $46 million associated with LPG and natural gas physical contracts not eligible for the normal purchase and sale scope exception under SFAS 133. </w:t>
      </w:r>
    </w:p>
    <w:p>
      <w:pPr>
        <w:pStyle w:val="TextBody"/>
        <w:jc w:val="center"/>
        <w:rPr>
          <w:rFonts w:ascii="times" w:hAnsi="times"/>
          <w:sz w:val="20"/>
        </w:rPr>
      </w:pPr>
      <w:r>
        <w:rPr>
          <w:rFonts w:ascii="times" w:hAnsi="times"/>
          <w:sz w:val="20"/>
        </w:rPr>
        <w:t>98</w:t>
      </w:r>
    </w:p>
    <w:p>
      <w:pPr>
        <w:pStyle w:val="HorizontalLine"/>
        <w:pBdr>
          <w:bottom w:val="single" w:sz="20" w:space="0" w:color="808080"/>
        </w:pBdr>
        <w:rPr/>
      </w:pPr>
      <w:r>
        <w:rPr/>
      </w:r>
      <w:r>
        <w:br w:type="page"/>
      </w:r>
    </w:p>
    <w:p>
      <w:pPr>
        <w:pStyle w:val="TextBody"/>
        <w:rPr/>
      </w:pPr>
      <w:hyperlink w:anchor="bg12101a_main_toc">
        <w:bookmarkStart w:id="131" w:name="page_ea12101_1_99"/>
        <w:bookmarkEnd w:id="131"/>
        <w:r>
          <w:rPr>
            <w:rStyle w:val="InternetLink"/>
            <w:rFonts w:ascii="times" w:hAnsi="times"/>
            <w:sz w:val="20"/>
          </w:rPr>
          <w:t>Table of Contents</w:t>
        </w:r>
      </w:hyperlink>
    </w:p>
    <w:p>
      <w:pPr>
        <w:pStyle w:val="TextBody"/>
        <w:rPr/>
      </w:pPr>
      <w:r>
        <w:rPr/>
        <w:t>        </w:t>
      </w:r>
      <w:r>
        <w:rPr>
          <w:rFonts w:ascii="times" w:hAnsi="times"/>
          <w:sz w:val="20"/>
        </w:rPr>
        <w:t xml:space="preserve">The fair value of our exchange-traded contracts is based on quoted market prices obtained from the NYMEX or ICE. The fair value of our over-the-counter swaps and option contracts is estimated based on quoted prices from various sources such as independent reporting services, industry publications and brokers. These quotes are compared to the contract price of the swap, which approximates the gain or loss that would have been realized if the contracts had been closed out at year end. For positions where independent quotations are not available, an estimate is provided, or the prevailing market price at which the positions could be liquidated is used. The assumptions used in these estimates as well as the source for the estimates are maintained by the independent risk control function. See Note 6 to our Consolidated Financial Statements for further discussion. Price-risk sensitivities were calculated by assuming an across-the-board 10 percent decrease in price regardless of term or historical relationships between the contractual price of the instruments and the underlying commodity price. In the event of an actual 10 percent change in near-term crude prices, the fair value of our derivative portfolio would typically change less than that shown in the table as changes in near-term prices are not typically mirrored in delivery months further out. </w:t>
      </w:r>
    </w:p>
    <w:p>
      <w:pPr>
        <w:pStyle w:val="TextBody"/>
        <w:rPr>
          <w:rFonts w:ascii="times" w:hAnsi="times"/>
          <w:b/>
          <w:sz w:val="20"/>
        </w:rPr>
      </w:pPr>
      <w:r>
        <w:rPr>
          <w:rFonts w:ascii="times" w:hAnsi="times"/>
          <w:b/>
          <w:sz w:val="20"/>
        </w:rPr>
        <w:t xml:space="preserve">Interest Rate Risk </w:t>
      </w:r>
    </w:p>
    <w:p>
      <w:pPr>
        <w:pStyle w:val="TextBody"/>
        <w:rPr/>
      </w:pPr>
      <w:r>
        <w:rPr/>
        <w:t>        </w:t>
      </w:r>
      <w:r>
        <w:rPr>
          <w:rFonts w:ascii="times" w:hAnsi="times"/>
          <w:sz w:val="20"/>
        </w:rPr>
        <w:t xml:space="preserve">We use both fixed and variable rate debt, and are exposed to market risk due to the floating interest rates on our credit facilities. Therefore, from time to time we use interest rate derivatives to hedge interest obligations on specific debt issuances, including anticipated debt issuances. All of our senior notes are fixed rate notes and thus not subject to market risk. Substantially all of our variable rate debt at December 31, 2008, approximately $1 billion, is short-term debt and is subject to interest rate re-sets, which range from a week to a month. The average interest rate of 1.4% is based upon rates in effect at December 31, 2008. The carrying values of the variable rate instruments in our credit facilities approximate fair value primarily because interest rates fluctuate with prevailing market rates. See Note 6 to our Consolidated Financial Statements for a discussion of our interest rate risk hedging activities. </w:t>
      </w:r>
    </w:p>
    <w:p>
      <w:pPr>
        <w:pStyle w:val="TextBody"/>
        <w:rPr>
          <w:rFonts w:ascii="times" w:hAnsi="times"/>
          <w:b/>
          <w:sz w:val="20"/>
        </w:rPr>
      </w:pPr>
      <w:r>
        <w:rPr>
          <w:rFonts w:ascii="times" w:hAnsi="times"/>
          <w:b/>
          <w:sz w:val="20"/>
        </w:rPr>
        <w:t xml:space="preserve">Currency Exchange Risk </w:t>
      </w:r>
    </w:p>
    <w:p>
      <w:pPr>
        <w:pStyle w:val="TextBody"/>
        <w:rPr/>
      </w:pPr>
      <w:r>
        <w:rPr/>
        <w:t>        </w:t>
      </w:r>
      <w:r>
        <w:rPr>
          <w:rFonts w:ascii="times" w:hAnsi="times"/>
          <w:sz w:val="20"/>
        </w:rPr>
        <w:t xml:space="preserve">Our cash flow stream relating to our Canadian operations is based on the U.S. dollar equivalent of such amounts measured in Canadian dollars. Assets and liabilities of our Canadian subsidiaries are translated to U.S. dollars using the applicable exchange rate as of the end of a reporting period. Revenues, expenses and cash flow are translated using the average exchange rate during the reporting period. Because a significant portion of our Canadian business is conducted in Canadian dollars, we use certain financial instruments to minimize the risks of changes in the exchange rate. These instruments may include forward exchange contracts, swaps and options. The fair value of our open foreign currency instruments is an unrealized gain of $13 million as of December 31, 2008. A ten percent decrease in the exchange rate (Canadian dollars to U.S. dollars) would result in an increase of approximately $12 million to the fair value of our foreign currency derivatives. See Note 6 to our Consolidated Financial Statements for a discussion of our currency exchange rate risk hedging. </w:t>
      </w:r>
    </w:p>
    <w:p>
      <w:pPr>
        <w:pStyle w:val="TextBody"/>
        <w:rPr>
          <w:rFonts w:ascii="times" w:hAnsi="times"/>
        </w:rPr>
      </w:pPr>
      <w:bookmarkStart w:id="132" w:name="toc_ea12101_2"/>
      <w:bookmarkStart w:id="133" w:name="ea12101_item_8._financial_statements_and"/>
      <w:bookmarkEnd w:id="132"/>
      <w:bookmarkEnd w:id="133"/>
      <w:r>
        <w:rPr>
          <w:rFonts w:ascii="times" w:hAnsi="times"/>
          <w:b/>
          <w:sz w:val="20"/>
        </w:rPr>
        <w:t>Item 8.    </w:t>
      </w:r>
      <w:r>
        <w:rPr>
          <w:rFonts w:ascii="times" w:hAnsi="times"/>
          <w:b/>
          <w:i/>
          <w:sz w:val="20"/>
        </w:rPr>
        <w:t xml:space="preserve">Financial Statements and Supplementary Data </w:t>
      </w:r>
    </w:p>
    <w:p>
      <w:pPr>
        <w:pStyle w:val="TextBody"/>
        <w:rPr/>
      </w:pPr>
      <w:r>
        <w:rPr/>
        <w:t>        </w:t>
      </w:r>
      <w:r>
        <w:rPr>
          <w:rFonts w:ascii="times" w:hAnsi="times"/>
          <w:sz w:val="20"/>
        </w:rPr>
        <w:t xml:space="preserve">See "Index to the Consolidated Financial Statements" on page F-1. </w:t>
      </w:r>
    </w:p>
    <w:p>
      <w:pPr>
        <w:pStyle w:val="TextBody"/>
        <w:rPr>
          <w:rFonts w:ascii="times" w:hAnsi="times"/>
        </w:rPr>
      </w:pPr>
      <w:bookmarkStart w:id="134" w:name="toc_ea12101_3"/>
      <w:bookmarkStart w:id="135" w:name="ea12101_item_9._changes_in_and_disagre__"/>
      <w:bookmarkEnd w:id="134"/>
      <w:bookmarkEnd w:id="135"/>
      <w:r>
        <w:rPr>
          <w:rFonts w:ascii="times" w:hAnsi="times"/>
          <w:b/>
          <w:sz w:val="20"/>
        </w:rPr>
        <w:t>Item 9.    </w:t>
      </w:r>
      <w:r>
        <w:rPr>
          <w:rFonts w:ascii="times" w:hAnsi="times"/>
          <w:b/>
          <w:i/>
          <w:sz w:val="20"/>
        </w:rPr>
        <w:t xml:space="preserve">Changes In and Disagreements With Accountants on Accounting and Financial Disclosure </w:t>
      </w:r>
    </w:p>
    <w:p>
      <w:pPr>
        <w:pStyle w:val="TextBody"/>
        <w:rPr/>
      </w:pPr>
      <w:r>
        <w:rPr/>
        <w:t>        </w:t>
      </w:r>
      <w:r>
        <w:rPr>
          <w:rFonts w:ascii="times" w:hAnsi="times"/>
          <w:sz w:val="20"/>
        </w:rPr>
        <w:t xml:space="preserve">Not applicable. </w:t>
      </w:r>
    </w:p>
    <w:p>
      <w:pPr>
        <w:pStyle w:val="TextBody"/>
        <w:jc w:val="center"/>
        <w:rPr>
          <w:rFonts w:ascii="times" w:hAnsi="times"/>
          <w:sz w:val="20"/>
        </w:rPr>
      </w:pPr>
      <w:r>
        <w:rPr>
          <w:rFonts w:ascii="times" w:hAnsi="times"/>
          <w:sz w:val="20"/>
        </w:rPr>
        <w:t>99</w:t>
      </w:r>
    </w:p>
    <w:p>
      <w:pPr>
        <w:pStyle w:val="HorizontalLine"/>
        <w:pBdr>
          <w:bottom w:val="single" w:sz="20" w:space="0" w:color="808080"/>
        </w:pBdr>
        <w:rPr/>
      </w:pPr>
      <w:r>
        <w:rPr/>
      </w:r>
      <w:r>
        <w:br w:type="page"/>
      </w:r>
    </w:p>
    <w:p>
      <w:pPr>
        <w:pStyle w:val="TextBody"/>
        <w:rPr/>
      </w:pPr>
      <w:hyperlink w:anchor="bg12101a_main_toc">
        <w:bookmarkStart w:id="136" w:name="page_ea12101_1_100"/>
        <w:bookmarkEnd w:id="136"/>
        <w:r>
          <w:rPr>
            <w:rStyle w:val="InternetLink"/>
            <w:rFonts w:ascii="times" w:hAnsi="times"/>
            <w:sz w:val="20"/>
          </w:rPr>
          <w:t>Table of Contents</w:t>
        </w:r>
      </w:hyperlink>
    </w:p>
    <w:p>
      <w:pPr>
        <w:pStyle w:val="TextBody"/>
        <w:rPr/>
      </w:pPr>
      <w:r>
        <w:rPr/>
      </w:r>
    </w:p>
    <w:p>
      <w:pPr>
        <w:pStyle w:val="TextBody"/>
        <w:rPr>
          <w:rFonts w:ascii="times" w:hAnsi="times"/>
        </w:rPr>
      </w:pPr>
      <w:bookmarkStart w:id="137" w:name="toc_ea12101_4"/>
      <w:bookmarkStart w:id="138" w:name="ea12101_item_9a._controls_and_procedures"/>
      <w:bookmarkEnd w:id="137"/>
      <w:bookmarkEnd w:id="138"/>
      <w:r>
        <w:rPr>
          <w:rFonts w:ascii="times" w:hAnsi="times"/>
          <w:b/>
          <w:sz w:val="20"/>
        </w:rPr>
        <w:t>Item 9A.</w:t>
      </w:r>
      <w:r>
        <w:rPr>
          <w:rFonts w:ascii="times" w:hAnsi="times"/>
        </w:rPr>
        <w:t>    </w:t>
      </w:r>
      <w:r>
        <w:rPr>
          <w:rFonts w:ascii="times" w:hAnsi="times"/>
          <w:b/>
          <w:i/>
          <w:sz w:val="20"/>
        </w:rPr>
        <w:t xml:space="preserve">Controls and Procedures </w:t>
      </w:r>
    </w:p>
    <w:p>
      <w:pPr>
        <w:pStyle w:val="TextBody"/>
        <w:rPr/>
      </w:pPr>
      <w:r>
        <w:rPr/>
        <w:t>        </w:t>
      </w:r>
      <w:r>
        <w:rPr>
          <w:rFonts w:ascii="times" w:hAnsi="times"/>
          <w:sz w:val="20"/>
        </w:rPr>
        <w:t xml:space="preserve">We maintain written "disclosure controls and procedures," which we refer to as our "DCP." The purpose of our DCP is to provide reasonable assurance that (i) information is recorded, processed, summarized and reported in time to allow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 </w:t>
      </w:r>
    </w:p>
    <w:p>
      <w:pPr>
        <w:pStyle w:val="TextBody"/>
        <w:rPr/>
      </w:pPr>
      <w:r>
        <w:rPr/>
        <w:t>        </w:t>
      </w:r>
      <w:r>
        <w:rPr>
          <w:rFonts w:ascii="times" w:hAnsi="times"/>
          <w:sz w:val="20"/>
        </w:rPr>
        <w:t xml:space="preserve">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 </w:t>
      </w:r>
    </w:p>
    <w:p>
      <w:pPr>
        <w:pStyle w:val="TextBody"/>
        <w:rPr/>
      </w:pPr>
      <w:r>
        <w:rPr/>
        <w:t>        </w:t>
      </w:r>
      <w:r>
        <w:rPr>
          <w:rFonts w:ascii="times" w:hAnsi="times"/>
          <w:sz w:val="20"/>
        </w:rPr>
        <w:t xml:space="preserve">In addition to the information concerning our DCP, we are required to disclose certain changes in our internal control over financial reporting. Although we have made various enhancements to our controls, there was no change in our internal control over financial reporting that has materially affected, or is reasonably likely to materially affect, our internal control over financial reporting. </w:t>
      </w:r>
    </w:p>
    <w:p>
      <w:pPr>
        <w:pStyle w:val="TextBody"/>
        <w:rPr/>
      </w:pPr>
      <w:r>
        <w:rPr/>
        <w:t>        </w:t>
      </w:r>
      <w:r>
        <w:rPr>
          <w:rFonts w:ascii="times" w:hAnsi="times"/>
          <w:sz w:val="20"/>
        </w:rPr>
        <w:t xml:space="preserve">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 </w:t>
      </w:r>
    </w:p>
    <w:p>
      <w:pPr>
        <w:pStyle w:val="TextBody"/>
        <w:rPr/>
      </w:pPr>
      <w:r>
        <w:rPr/>
        <w:t>        </w:t>
      </w:r>
      <w:r>
        <w:rPr>
          <w:rFonts w:ascii="times" w:hAnsi="times"/>
          <w:sz w:val="20"/>
        </w:rPr>
        <w:t xml:space="preserve">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including our Chief Executive Officer and our Chief Financial Officer, has evaluated the effectiveness of our internal control over financial reporting as of December 31, 2008. See Management's Report on Internal Control Over Financial Reporting on page F-2. </w:t>
      </w:r>
    </w:p>
    <w:p>
      <w:pPr>
        <w:pStyle w:val="TextBody"/>
        <w:rPr>
          <w:rFonts w:ascii="times" w:hAnsi="times"/>
        </w:rPr>
      </w:pPr>
      <w:bookmarkStart w:id="139" w:name="toc_ea12101_5"/>
      <w:bookmarkStart w:id="140" w:name="ea12101_item_9b._other_information"/>
      <w:bookmarkEnd w:id="139"/>
      <w:bookmarkEnd w:id="140"/>
      <w:r>
        <w:rPr>
          <w:rFonts w:ascii="times" w:hAnsi="times"/>
          <w:b/>
          <w:sz w:val="20"/>
        </w:rPr>
        <w:t>Item 9B.</w:t>
      </w:r>
      <w:r>
        <w:rPr>
          <w:rFonts w:ascii="times" w:hAnsi="times"/>
        </w:rPr>
        <w:t>    </w:t>
      </w:r>
      <w:r>
        <w:rPr>
          <w:rFonts w:ascii="times" w:hAnsi="times"/>
          <w:b/>
          <w:i/>
          <w:sz w:val="20"/>
        </w:rPr>
        <w:t xml:space="preserve">Other Information </w:t>
      </w:r>
    </w:p>
    <w:p>
      <w:pPr>
        <w:pStyle w:val="TextBody"/>
        <w:rPr/>
      </w:pPr>
      <w:r>
        <w:rPr/>
        <w:t>        </w:t>
      </w:r>
      <w:r>
        <w:rPr>
          <w:rFonts w:ascii="times" w:hAnsi="times"/>
          <w:sz w:val="20"/>
        </w:rPr>
        <w:t xml:space="preserve">There was no information that was required to be disclosed in a report on Form 8-K during the fourth quarter of 2008 that has not previously been reported. </w:t>
      </w:r>
    </w:p>
    <w:p>
      <w:pPr>
        <w:pStyle w:val="TextBody"/>
        <w:jc w:val="center"/>
        <w:rPr>
          <w:rFonts w:ascii="times" w:hAnsi="times"/>
          <w:sz w:val="20"/>
        </w:rPr>
      </w:pPr>
      <w:r>
        <w:rPr>
          <w:rFonts w:ascii="times" w:hAnsi="times"/>
          <w:sz w:val="20"/>
        </w:rPr>
        <w:t>100</w:t>
      </w:r>
    </w:p>
    <w:p>
      <w:pPr>
        <w:pStyle w:val="HorizontalLine"/>
        <w:pBdr>
          <w:bottom w:val="single" w:sz="20" w:space="0" w:color="808080"/>
        </w:pBdr>
        <w:rPr/>
      </w:pPr>
      <w:r>
        <w:rPr/>
      </w:r>
      <w:r>
        <w:br w:type="page"/>
      </w:r>
    </w:p>
    <w:p>
      <w:pPr>
        <w:pStyle w:val="TextBody"/>
        <w:rPr/>
      </w:pPr>
      <w:hyperlink w:anchor="bg12101a_main_toc">
        <w:bookmarkStart w:id="141" w:name="page_ec12101_1_101"/>
        <w:bookmarkEnd w:id="14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42" w:name="toc_ec12101_1"/>
      <w:bookmarkStart w:id="143" w:name="ec12101_part_iii"/>
      <w:bookmarkEnd w:id="142"/>
      <w:bookmarkEnd w:id="143"/>
      <w:r>
        <w:rPr>
          <w:rFonts w:ascii="times" w:hAnsi="times"/>
          <w:sz w:val="20"/>
        </w:rPr>
        <w:br/>
      </w:r>
      <w:r>
        <w:rPr>
          <w:rFonts w:ascii="times" w:hAnsi="times"/>
          <w:b/>
          <w:sz w:val="20"/>
        </w:rPr>
        <w:t xml:space="preserve">PART III </w:t>
      </w:r>
    </w:p>
    <w:p>
      <w:pPr>
        <w:pStyle w:val="TextBody"/>
        <w:rPr>
          <w:rFonts w:ascii="times" w:hAnsi="times"/>
        </w:rPr>
      </w:pPr>
      <w:bookmarkStart w:id="144" w:name="toc_ec12101_2"/>
      <w:bookmarkStart w:id="145" w:name="ec12101_item_10._directors_and_executi__"/>
      <w:bookmarkEnd w:id="144"/>
      <w:bookmarkEnd w:id="145"/>
      <w:r>
        <w:rPr>
          <w:rFonts w:ascii="times" w:hAnsi="times"/>
          <w:b/>
          <w:sz w:val="20"/>
        </w:rPr>
        <w:t>Item 10.    </w:t>
      </w:r>
      <w:r>
        <w:rPr>
          <w:rFonts w:ascii="times" w:hAnsi="times"/>
          <w:b/>
          <w:i/>
          <w:sz w:val="20"/>
        </w:rPr>
        <w:t xml:space="preserve">Directors and Executive Officers of Our General Partner and Corporate Governance </w:t>
      </w:r>
    </w:p>
    <w:p>
      <w:pPr>
        <w:pStyle w:val="TextBody"/>
        <w:rPr>
          <w:rFonts w:ascii="times" w:hAnsi="times"/>
          <w:b/>
          <w:sz w:val="20"/>
        </w:rPr>
      </w:pPr>
      <w:r>
        <w:rPr>
          <w:rFonts w:ascii="times" w:hAnsi="times"/>
          <w:b/>
          <w:sz w:val="20"/>
        </w:rPr>
        <w:t xml:space="preserve">Partnership Management and Governance </w:t>
      </w:r>
    </w:p>
    <w:p>
      <w:pPr>
        <w:pStyle w:val="TextBody"/>
        <w:rPr/>
      </w:pPr>
      <w:r>
        <w:rPr/>
        <w:t>        </w:t>
      </w:r>
      <w:r>
        <w:rPr>
          <w:rFonts w:ascii="times" w:hAnsi="times"/>
          <w:sz w:val="20"/>
        </w:rPr>
        <w:t xml:space="preserve">As is the case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PMC (Nova Scotia) Company). GP LLC is the general partner of Plains AAP, L.P. ("AAP LP"), which is the sole member of PAA GP LLC, our general partner. References to our general partner, as the context requires, include any or all of GP LLC, AAP LP and PAA GP LLC. References to our officers, directors and employees are references to the officers, directors and employees of GP LLC (or, in the case of our Canadian operations, PMC (Nova Scotia) Company). </w:t>
      </w:r>
    </w:p>
    <w:p>
      <w:pPr>
        <w:pStyle w:val="TextBody"/>
        <w:rPr/>
      </w:pPr>
      <w:r>
        <w:rPr/>
        <w:t>        </w:t>
      </w:r>
      <w:r>
        <w:rPr>
          <w:rFonts w:ascii="times" w:hAnsi="times"/>
          <w:sz w:val="20"/>
        </w:rPr>
        <w:t xml:space="preserve">Our general partner manages our operations and activities. Unitholders are limited partners and do not directly or indirectly participate in our management or operation. Our general partner owes a fiduciary duty to our unitholders, as limited by our partnership agreement.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 </w:t>
      </w:r>
    </w:p>
    <w:p>
      <w:pPr>
        <w:pStyle w:val="TextBody"/>
        <w:rPr/>
      </w:pPr>
      <w:r>
        <w:rPr/>
        <w:t>        </w:t>
      </w:r>
      <w:r>
        <w:rPr>
          <w:rFonts w:ascii="times" w:hAnsi="times"/>
          <w:sz w:val="20"/>
        </w:rPr>
        <w:t xml:space="preserve">Our partnership agreement provides that our general partner will manage and operate us and that unitholders, unlike holders of common stock in a corporation, will have only limited voting rights on matters affecting our business or governance. The corporate governance of GP LLC is, in effect, the corporate governance of our partnership, subject in all cases to any specific unitholder rights contained in our partnership agreement. References to our "Board of Directors" mean the board of directors of GP LLC, which consists of up to eight directors elected by the members of GP LLC, and not by our unitholders. The Board currently consists of seven directors. Under the Fourth Amended and Restated Limited Liability Company Agreement of GP LLC (the "GP LLC Agreement"), two of the members of GP LLC have the right to designate one director each, and our CEO is a director by virtue of holding the office. The remaining five seats are elected, and may be removed, by a majority of the membership interest. Directors filling three of these five "at large" seats must be independent. In August 2008, a wholly owned subsidiary of Occidental Petroleum Corporation ("Oxy") acquired a 10% membership interest in GP LLC directly from other existing members. As a result of this transaction, Oxy has the right to designate an individual to attend Board meetings in an observer capacity. Under certain circumstances involving changes in upper-level management, Oxy will have the right to designate a director to serve on the Board and the authorized number of Board members will be expanded to a total of nine. </w:t>
      </w:r>
    </w:p>
    <w:p>
      <w:pPr>
        <w:pStyle w:val="TextBody"/>
        <w:rPr/>
      </w:pPr>
      <w:r>
        <w:rPr/>
        <w:t>        </w:t>
      </w:r>
      <w:r>
        <w:rPr>
          <w:rFonts w:ascii="times" w:hAnsi="times"/>
          <w:sz w:val="20"/>
        </w:rPr>
        <w:t xml:space="preserve">In August 2005, a former member's 19% interest in the general partner was sold pro rata to the other general partner owners, which increased Vulcan Energy's ownership interest from 44% to greater than 50%. See Item 12. "Security Ownership of Certain Beneficial Owners and Management and Related Unitholder MattersBeneficial Ownership of General Partner Interest." In connection with this transaction, Vulcan Energy entered into an agreement with GP LLC pursuant to which Vulcan Energy has agreed to restrict certain of its voting rights to help preserve a balanced board. Vulcan Energy has agreed that, with respect to any action taken involving the election or removal of an independent director, Vulcan Energy will vote all of its interest in excess of 49.9% in the same way and proportionate to the votes of all membership interests other than Vulcan Energy's. Without the voting agreement, Vulcan Energy's ownership interest, in effect, would allow Vulcan Energy unilaterally to elect six of the eight board seats: the Vulcan Energy designee and the five "at large" seats (subject to the requirement that three of the "at large" directors meet the independence requirements set forth in </w:t>
      </w:r>
    </w:p>
    <w:p>
      <w:pPr>
        <w:pStyle w:val="TextBody"/>
        <w:jc w:val="center"/>
        <w:rPr>
          <w:rFonts w:ascii="times" w:hAnsi="times"/>
          <w:sz w:val="20"/>
        </w:rPr>
      </w:pPr>
      <w:r>
        <w:rPr>
          <w:rFonts w:ascii="times" w:hAnsi="times"/>
          <w:sz w:val="20"/>
        </w:rPr>
        <w:t>101</w:t>
      </w:r>
    </w:p>
    <w:p>
      <w:pPr>
        <w:pStyle w:val="HorizontalLine"/>
        <w:pBdr>
          <w:bottom w:val="single" w:sz="20" w:space="0" w:color="808080"/>
        </w:pBdr>
        <w:rPr/>
      </w:pPr>
      <w:r>
        <w:rPr/>
      </w:r>
      <w:r>
        <w:br w:type="page"/>
      </w:r>
    </w:p>
    <w:p>
      <w:pPr>
        <w:pStyle w:val="TextBody"/>
        <w:rPr/>
      </w:pPr>
      <w:hyperlink w:anchor="bg12101a_main_toc">
        <w:bookmarkStart w:id="146" w:name="page_ec12101_1_102"/>
        <w:bookmarkEnd w:id="146"/>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the GP LLC Agreement, our partnership agreement, NYSE listing standards and SEC regulations). Vulcan Energy has the right at any time to give notice of termination of the voting rights agreement. The time between notice and termination depends on the circumstances, but would never be longer than one year. In connection with the August 2005 transaction, Messrs. Armstrong and Pefanis entered into waivers of the change in control provisions of their employment agreements, which otherwise would have been triggered by the transaction. These waivers were contingent upon Vulcan's execution of the voting agreement, and will terminate upon any breach or termination by Vulcan Energy of, or notice of termination under, the voting agreement. See Item 11. "Executive CompensationEmployment Contracts" and "Potential Payments upon Termination or Change-in-Control." </w:t>
      </w:r>
    </w:p>
    <w:p>
      <w:pPr>
        <w:pStyle w:val="TextBody"/>
        <w:rPr/>
      </w:pPr>
      <w:r>
        <w:rPr/>
        <w:t>        </w:t>
      </w:r>
      <w:r>
        <w:rPr>
          <w:rFonts w:ascii="times" w:hAnsi="times"/>
          <w:sz w:val="20"/>
        </w:rPr>
        <w:t xml:space="preserve">Another member of GP LLC, Lynx Holdings I, LLC, also agreed to certain restrictions on its voting rights with respect to its approximate 1.2% interest in GP LLC and AAP LP. The Lynx voting agreement requires Lynx to vote its membership interest (in the context of elections or the removal of an independent director) in the same way and proportionate to the votes of the other membership interests (excluding Vulcan's and Lynx's). Lynx has the right to terminate its voting agreement at any time upon termination of the Vulcan voting agreement or the sale or transfer of all of its interest in the general partner to an unaffiliated third party. </w:t>
      </w:r>
    </w:p>
    <w:p>
      <w:pPr>
        <w:pStyle w:val="TextBody"/>
        <w:rPr>
          <w:rFonts w:ascii="times" w:hAnsi="times"/>
          <w:b/>
          <w:sz w:val="20"/>
        </w:rPr>
      </w:pPr>
      <w:r>
        <w:rPr>
          <w:rFonts w:ascii="times" w:hAnsi="times"/>
          <w:b/>
          <w:sz w:val="20"/>
        </w:rPr>
        <w:t xml:space="preserve">Non-Management Executive Sessions and Shareholder Communications </w:t>
      </w:r>
    </w:p>
    <w:p>
      <w:pPr>
        <w:pStyle w:val="TextBody"/>
        <w:rPr/>
      </w:pPr>
      <w:r>
        <w:rPr/>
        <w:t>        </w:t>
      </w:r>
      <w:r>
        <w:rPr>
          <w:rFonts w:ascii="times" w:hAnsi="times"/>
          <w:sz w:val="20"/>
        </w:rPr>
        <w:t xml:space="preserve">Non-management directors meet in executive session in connection with each regular board meeting. Each non-management director acts as presiding director at the regularly scheduled executive sessions, rotating alphabetically by last name. </w:t>
      </w:r>
    </w:p>
    <w:p>
      <w:pPr>
        <w:pStyle w:val="TextBody"/>
        <w:rPr/>
      </w:pPr>
      <w:r>
        <w:rPr/>
        <w:t>        </w:t>
      </w:r>
      <w:r>
        <w:rPr>
          <w:rFonts w:ascii="times" w:hAnsi="times"/>
          <w:sz w:val="20"/>
        </w:rPr>
        <w:t xml:space="preserve">Interested parties can communicate directly with non-management directors by mail in care of the General Counsel and Secretary or Director of Internal Audit, Plains All American Pipeline, L.P., 333 Clay Street, Suite 1600, Houston, Texas 77002. Such communications should specify the intended recipient or recipients. Commercial solicitations or communications will not be forwarded. </w:t>
      </w:r>
    </w:p>
    <w:p>
      <w:pPr>
        <w:pStyle w:val="TextBody"/>
        <w:rPr>
          <w:rFonts w:ascii="times" w:hAnsi="times"/>
          <w:b/>
          <w:sz w:val="20"/>
        </w:rPr>
      </w:pPr>
      <w:r>
        <w:rPr>
          <w:rFonts w:ascii="times" w:hAnsi="times"/>
          <w:b/>
          <w:sz w:val="20"/>
        </w:rPr>
        <w:t xml:space="preserve">Independence Determinations and Audit Committee </w:t>
      </w:r>
    </w:p>
    <w:p>
      <w:pPr>
        <w:pStyle w:val="TextBody"/>
        <w:rPr/>
      </w:pPr>
      <w:r>
        <w:rPr/>
        <w:t>        </w:t>
      </w:r>
      <w:r>
        <w:rPr>
          <w:rFonts w:ascii="times" w:hAnsi="times"/>
          <w:sz w:val="20"/>
        </w:rPr>
        <w:t xml:space="preserve">Because we are a limited partnership, the listing standards of the NYSE do not require that we or our general partner have a majority of independent directors or a nominating or compensation committee of the board of directors. We are, however, required to have an audit committee consisting of at least three members, all of whom are required to be "independent" as defined by the NYSE. </w:t>
      </w:r>
    </w:p>
    <w:p>
      <w:pPr>
        <w:pStyle w:val="TextBody"/>
        <w:rPr/>
      </w:pPr>
      <w:r>
        <w:rPr/>
        <w:t>        </w:t>
      </w:r>
      <w:r>
        <w:rPr>
          <w:rFonts w:ascii="times" w:hAnsi="times"/>
          <w:sz w:val="20"/>
        </w:rPr>
        <w:t xml:space="preserve">Under NYSE listing standards, to be considered independent,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w:t>
      </w:r>
    </w:p>
    <w:p>
      <w:pPr>
        <w:pStyle w:val="TextBody"/>
        <w:rPr/>
      </w:pPr>
      <w:r>
        <w:rPr/>
        <w:t>        </w:t>
      </w:r>
      <w:r>
        <w:rPr>
          <w:rFonts w:ascii="times" w:hAnsi="times"/>
          <w:sz w:val="20"/>
        </w:rPr>
        <w:t xml:space="preserve">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(Everardo Goyanes, Arthur L. Smith and J. Taft Symonds) is (i) "independent" under applicable NYSE rules and (ii) an "Audit Committee Financial Expert," as that term is defined in Item 407 of Regulation S-K. </w:t>
      </w:r>
    </w:p>
    <w:p>
      <w:pPr>
        <w:pStyle w:val="TextBody"/>
        <w:rPr/>
      </w:pPr>
      <w:r>
        <w:rPr/>
        <w:t>        </w:t>
      </w:r>
      <w:r>
        <w:rPr>
          <w:rFonts w:ascii="times" w:hAnsi="times"/>
          <w:sz w:val="20"/>
        </w:rPr>
        <w:t xml:space="preserve">In determining the independence of the members of our audit committee, the board of directors considered the relationships described below: </w:t>
      </w:r>
    </w:p>
    <w:p>
      <w:pPr>
        <w:pStyle w:val="TextBody"/>
        <w:numPr>
          <w:ilvl w:val="0"/>
          <w:numId w:val="0"/>
        </w:numPr>
        <w:ind w:left="707" w:hanging="0"/>
        <w:rPr/>
      </w:pPr>
      <w:r>
        <w:rPr/>
        <w:t>        </w:t>
      </w:r>
      <w:r>
        <w:rPr>
          <w:rFonts w:ascii="times" w:hAnsi="times"/>
          <w:i/>
          <w:sz w:val="20"/>
        </w:rPr>
        <w:t>Everardo Goyanes,</w:t>
      </w:r>
      <w:r>
        <w:rPr>
          <w:rFonts w:ascii="times" w:hAnsi="times"/>
        </w:rPr>
        <w:t xml:space="preserve"> </w:t>
      </w:r>
      <w:r>
        <w:rPr>
          <w:rFonts w:ascii="times" w:hAnsi="times"/>
          <w:sz w:val="20"/>
        </w:rPr>
        <w:t xml:space="preserve">the chairman of our audit committee, is President and Chief Executive Officer of Liberty Energy Holdings, LLC ("LEH"), a subsidiary of Liberty Mutual Insurance </w:t>
      </w:r>
    </w:p>
    <w:p>
      <w:pPr>
        <w:pStyle w:val="TextBody"/>
        <w:jc w:val="center"/>
        <w:rPr>
          <w:rFonts w:ascii="times" w:hAnsi="times"/>
          <w:sz w:val="20"/>
        </w:rPr>
      </w:pPr>
      <w:r>
        <w:rPr>
          <w:rFonts w:ascii="times" w:hAnsi="times"/>
          <w:sz w:val="20"/>
        </w:rPr>
        <w:t>102</w:t>
      </w:r>
    </w:p>
    <w:p>
      <w:pPr>
        <w:pStyle w:val="HorizontalLine"/>
        <w:pBdr>
          <w:bottom w:val="single" w:sz="20" w:space="0" w:color="808080"/>
        </w:pBdr>
        <w:rPr/>
      </w:pPr>
      <w:r>
        <w:rPr/>
      </w:r>
      <w:r>
        <w:br w:type="page"/>
      </w:r>
    </w:p>
    <w:p>
      <w:pPr>
        <w:pStyle w:val="TextBody"/>
        <w:rPr/>
      </w:pPr>
      <w:hyperlink w:anchor="bg12101a_main_toc">
        <w:bookmarkStart w:id="147" w:name="page_ec12101_1_103"/>
        <w:bookmarkEnd w:id="147"/>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Company. LEH makes investments in producing properties, from some of which Plains Marketing, L.P. buys the production. LEH does not operate the properties in which it invests. Plains Marketing pays the same amount per barrel to LEH that it pays to other interest owners in the properties. In 2008, the amount paid to LEH by Plains Marketing was approximately $0.4 million (net of severance taxes). The board has determined that the transactions with LEH do not compromise Mr. Goyanes' independence. </w:t>
      </w:r>
    </w:p>
    <w:p>
      <w:pPr>
        <w:pStyle w:val="TextBody"/>
        <w:numPr>
          <w:ilvl w:val="0"/>
          <w:numId w:val="0"/>
        </w:numPr>
        <w:ind w:left="707" w:hanging="0"/>
        <w:rPr/>
      </w:pPr>
      <w:r>
        <w:rPr/>
        <w:t>        </w:t>
      </w:r>
      <w:r>
        <w:rPr>
          <w:rFonts w:ascii="times" w:hAnsi="times"/>
          <w:i/>
          <w:sz w:val="20"/>
        </w:rPr>
        <w:t>Arthur L. Smith,</w:t>
      </w:r>
      <w:r>
        <w:rPr>
          <w:rFonts w:ascii="times" w:hAnsi="times"/>
        </w:rPr>
        <w:t xml:space="preserve"> </w:t>
      </w:r>
      <w:r>
        <w:rPr>
          <w:rFonts w:ascii="times" w:hAnsi="times"/>
          <w:sz w:val="20"/>
        </w:rPr>
        <w:t xml:space="preserve">a member of our audit committee, is a director of Pioneer Natural Resources GP LLC, the general partner of Pioneer Southwest Energy Partners, L.P. ("PSE"). PSE is a subsidiary of Pioneer Natural Resources Company ("Pioneer"). Pioneer and its affiliates (including PSE) own crude oil producing properties, from some of which Plains Marketing buys the production. Mr. Smith is not an officer of PSE or Pioneer and does not participate in operational decision making. In 2008, the amount paid to Pioneer and its affiliates by Plains Marketing was approximately $566.5 million. The board has determined that the transactions with PSE and Pioneer do not compromise Mr. Smith's independence. </w:t>
      </w:r>
    </w:p>
    <w:p>
      <w:pPr>
        <w:pStyle w:val="TextBody"/>
        <w:numPr>
          <w:ilvl w:val="0"/>
          <w:numId w:val="0"/>
        </w:numPr>
        <w:ind w:left="707" w:hanging="0"/>
        <w:rPr/>
      </w:pPr>
      <w:r>
        <w:rPr/>
        <w:t>        </w:t>
      </w:r>
      <w:r>
        <w:rPr>
          <w:rFonts w:ascii="times" w:hAnsi="times"/>
          <w:i/>
          <w:sz w:val="20"/>
        </w:rPr>
        <w:t>J. Taft Symonds</w:t>
      </w:r>
      <w:r>
        <w:rPr>
          <w:rFonts w:ascii="times" w:hAnsi="times"/>
          <w:sz w:val="20"/>
        </w:rPr>
        <w:t xml:space="preserve">, a member of our audit committee, has no relationships with either GP LLC or us, other than as a director and unitholder. </w:t>
      </w:r>
    </w:p>
    <w:p>
      <w:pPr>
        <w:pStyle w:val="TextBody"/>
        <w:rPr>
          <w:rFonts w:ascii="times" w:hAnsi="times"/>
          <w:b/>
          <w:sz w:val="20"/>
        </w:rPr>
      </w:pPr>
      <w:r>
        <w:rPr>
          <w:rFonts w:ascii="times" w:hAnsi="times"/>
          <w:b/>
          <w:sz w:val="20"/>
        </w:rPr>
        <w:t xml:space="preserve">Compensation Committee </w:t>
      </w:r>
    </w:p>
    <w:p>
      <w:pPr>
        <w:pStyle w:val="TextBody"/>
        <w:rPr/>
      </w:pPr>
      <w:r>
        <w:rPr/>
        <w:t>        </w:t>
      </w:r>
      <w:r>
        <w:rPr>
          <w:rFonts w:ascii="times" w:hAnsi="times"/>
          <w:sz w:val="20"/>
        </w:rPr>
        <w:t xml:space="preserve">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W. Lance Conn, Gary R. Petersen and Robert V. Sinnott. Under applicable stock exchange rules, none of the members of our compensation committee is required to be "independent." None of the members of the compensation committee has been determined to be independent at this time. The compensation committee has the sole authority to retain any compensation consultants to be used to assist the committee, but did not retain any consultants in 2008. Similarly, the compensation committee has not delegated any of its authority to subcommittees. The compensation committee has delegated limited authority to the CEO to administer our long-term incentive plans with respect to employees other than executive officers. </w:t>
      </w:r>
    </w:p>
    <w:p>
      <w:pPr>
        <w:pStyle w:val="TextBody"/>
        <w:rPr>
          <w:rFonts w:ascii="times" w:hAnsi="times"/>
          <w:b/>
          <w:sz w:val="20"/>
        </w:rPr>
      </w:pPr>
      <w:r>
        <w:rPr>
          <w:rFonts w:ascii="times" w:hAnsi="times"/>
          <w:b/>
          <w:sz w:val="20"/>
        </w:rPr>
        <w:t xml:space="preserve">Governance and Other Committees </w:t>
      </w:r>
    </w:p>
    <w:p>
      <w:pPr>
        <w:pStyle w:val="TextBody"/>
        <w:rPr/>
      </w:pPr>
      <w:r>
        <w:rPr/>
        <w:t>        </w:t>
      </w:r>
      <w:r>
        <w:rPr>
          <w:rFonts w:ascii="times" w:hAnsi="times"/>
          <w:sz w:val="20"/>
        </w:rPr>
        <w:t xml:space="preserve">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Smith and Symonds, each of whom is independent under the NYSE's listing standards. As a limited partnership, we are not required by the listing standards of the NYSE to have a nominating committee. As discussed above, two of the owners of our general partner each have the right to appoint a director, and Mr. Armstrong is a director by virtue of his office. In the event of a vacancy in the three independent director seats, the governance committee will assist in identifying and screening potential candidates. Upon request of the owners of the general partner, the governance committee is also available to assist in identifying and screening potential candidates for the currently vacant "at large" seat. The governance committee will base its recommendations on an assessment of the skills, experience and characteristics of the candidate in the context of the needs of the board. As a minimum requirement for the independent board seats, any candidate must be "independent" and qualify for service on the audit committee under applicable SEC and NYSE rules, the GP LLC Agreement and our partnership agreement. </w:t>
      </w:r>
    </w:p>
    <w:p>
      <w:pPr>
        <w:pStyle w:val="TextBody"/>
        <w:jc w:val="center"/>
        <w:rPr>
          <w:rFonts w:ascii="times" w:hAnsi="times"/>
          <w:sz w:val="20"/>
        </w:rPr>
      </w:pPr>
      <w:r>
        <w:rPr>
          <w:rFonts w:ascii="times" w:hAnsi="times"/>
          <w:sz w:val="20"/>
        </w:rPr>
        <w:t>103</w:t>
      </w:r>
    </w:p>
    <w:p>
      <w:pPr>
        <w:pStyle w:val="HorizontalLine"/>
        <w:pBdr>
          <w:bottom w:val="single" w:sz="20" w:space="0" w:color="808080"/>
        </w:pBdr>
        <w:rPr/>
      </w:pPr>
      <w:r>
        <w:rPr/>
      </w:r>
      <w:r>
        <w:br w:type="page"/>
      </w:r>
    </w:p>
    <w:p>
      <w:pPr>
        <w:pStyle w:val="TextBody"/>
        <w:rPr/>
      </w:pPr>
      <w:hyperlink w:anchor="bg12101a_main_toc">
        <w:bookmarkStart w:id="148" w:name="page_ec12101_1_104"/>
        <w:bookmarkEnd w:id="148"/>
        <w:r>
          <w:rPr>
            <w:rStyle w:val="InternetLink"/>
            <w:rFonts w:ascii="times" w:hAnsi="times"/>
            <w:sz w:val="20"/>
          </w:rPr>
          <w:t>Table of Contents</w:t>
        </w:r>
      </w:hyperlink>
    </w:p>
    <w:p>
      <w:pPr>
        <w:pStyle w:val="TextBody"/>
        <w:rPr/>
      </w:pPr>
      <w:r>
        <w:rPr/>
        <w:t>        </w:t>
      </w:r>
      <w:r>
        <w:rPr>
          <w:rFonts w:ascii="times" w:hAnsi="times"/>
          <w:sz w:val="20"/>
        </w:rPr>
        <w:t xml:space="preserve">In addition, our partnership agreement provides for the establishment or activation of a conflicts committee as circumstances warrant to review conflicts of interest between us and our general partner or the owners of our general partner. Such a committee would consist of a minimum of two members, none of whom can be officers or employees of our general partner or directors, officers or employees of its affiliates nor owners of the general partner interest. Any matters approved by the conflicts committee will be conclusively deemed to be fair and reasonable to us, approved by all of our partners, and not a breach by our general partner of any duties owed to us or our unitholders. For example, a conflicts committee may be asked from time to time to review certain aspects of our joint venture with PAA/Vulcan. See Item 13. "Certain Relationships and Related Transactions, and Director IndependenceTransactions with Related PersonsReview, Approval or Ratification of Transactions with Related Persons." </w:t>
      </w:r>
    </w:p>
    <w:p>
      <w:pPr>
        <w:pStyle w:val="TextBody"/>
        <w:rPr>
          <w:rFonts w:ascii="times" w:hAnsi="times"/>
          <w:b/>
          <w:sz w:val="20"/>
        </w:rPr>
      </w:pPr>
      <w:r>
        <w:rPr>
          <w:rFonts w:ascii="times" w:hAnsi="times"/>
          <w:b/>
          <w:sz w:val="20"/>
        </w:rPr>
        <w:t xml:space="preserve">Meetings and Other Information </w:t>
      </w:r>
    </w:p>
    <w:p>
      <w:pPr>
        <w:pStyle w:val="TextBody"/>
        <w:rPr/>
      </w:pPr>
      <w:r>
        <w:rPr/>
        <w:t>        </w:t>
      </w:r>
      <w:r>
        <w:rPr>
          <w:rFonts w:ascii="times" w:hAnsi="times"/>
          <w:sz w:val="20"/>
        </w:rPr>
        <w:t xml:space="preserve">During the last fiscal year our board of directors had eight regularly scheduled and special meetings, our audit committee had 11 meetings, our compensation committee had two formal meetings and our governance committee had one meeting. None of our directors attended fewer than 75% of the aggregate number of meetings of the board of directors and committees of the board on which the director served. </w:t>
      </w:r>
    </w:p>
    <w:p>
      <w:pPr>
        <w:pStyle w:val="TextBody"/>
        <w:rPr/>
      </w:pPr>
      <w:r>
        <w:rPr/>
        <w:t>        </w:t>
      </w:r>
      <w:r>
        <w:rPr>
          <w:rFonts w:ascii="times" w:hAnsi="times"/>
          <w:sz w:val="20"/>
        </w:rPr>
        <w:t xml:space="preserve">As discussed above, the corporate governance of GP LLC is, in effect, the corporate governance of our partnership and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 As a result, we do not hold annual meetings of unitholders. </w:t>
      </w:r>
    </w:p>
    <w:p>
      <w:pPr>
        <w:pStyle w:val="TextBody"/>
        <w:rPr/>
      </w:pPr>
      <w:r>
        <w:rPr/>
        <w:t>        </w:t>
      </w:r>
      <w:r>
        <w:rPr>
          <w:rFonts w:ascii="times" w:hAnsi="times"/>
          <w:sz w:val="20"/>
        </w:rPr>
        <w:t xml:space="preserve">All of our standing committees have charters. Our committee charters and governance guidelines, as well as our Code of Business Conduct and our Code of Ethics for Senior Financial Officers, which apply to our principal executive officer, principal financial officer and principal accounting officer, are available on our Internet website at </w:t>
      </w:r>
      <w:r>
        <w:rPr>
          <w:rFonts w:ascii="times" w:hAnsi="times"/>
          <w:i/>
          <w:sz w:val="20"/>
        </w:rPr>
        <w:t>http://www.paalp.com</w:t>
      </w:r>
      <w:r>
        <w:rPr>
          <w:rFonts w:ascii="times" w:hAnsi="times"/>
          <w:sz w:val="20"/>
        </w:rPr>
        <w:t xml:space="preserve">. Print versions of the foregoing are available to any unitholder without charge, upon request by writing to our Secretary, Plains All American Pipeline, L.P., 333 Clay Street, Suite 1600, Houston, Texas 77002. We intend to disclose any amendment to or waiver of the Code of Ethics for Senior Financial Officers and any waiver of our Code of Business Conduct on behalf of an executive officer or director either on our Internet website or in an 8-K filing. Our Chief Executive Officer submitted to the NYSE the most recent annual certification, without qualification, as required by Section 303A.12(a) of the NYSE's Listed Company Manual. </w:t>
      </w:r>
    </w:p>
    <w:p>
      <w:pPr>
        <w:pStyle w:val="TextBody"/>
        <w:rPr>
          <w:rFonts w:ascii="times" w:hAnsi="times"/>
          <w:b/>
          <w:sz w:val="20"/>
        </w:rPr>
      </w:pPr>
      <w:r>
        <w:rPr>
          <w:rFonts w:ascii="times" w:hAnsi="times"/>
          <w:b/>
          <w:sz w:val="20"/>
        </w:rPr>
        <w:t xml:space="preserve">Report of the Audit Committee </w:t>
      </w:r>
    </w:p>
    <w:p>
      <w:pPr>
        <w:pStyle w:val="TextBody"/>
        <w:rPr/>
      </w:pPr>
      <w:r>
        <w:rPr/>
        <w:t>        </w:t>
      </w:r>
      <w:r>
        <w:rPr>
          <w:rFonts w:ascii="times" w:hAnsi="times"/>
          <w:sz w:val="20"/>
        </w:rPr>
        <w:t xml:space="preserve">The audit committee of Plains All American GP LLC oversees the Partnership's financial reporting process on behalf of the board of directors. Management has the primary responsibility for the financial statements and the reporting process including the systems of internal controls. </w:t>
      </w:r>
    </w:p>
    <w:p>
      <w:pPr>
        <w:pStyle w:val="TextBody"/>
        <w:rPr/>
      </w:pPr>
      <w:r>
        <w:rPr/>
        <w:t>        </w:t>
      </w:r>
      <w:r>
        <w:rPr>
          <w:rFonts w:ascii="times" w:hAnsi="times"/>
          <w:sz w:val="20"/>
        </w:rPr>
        <w:t xml:space="preserve">In fulfilling its oversight responsibilities, the audit committee reviewed and discussed with management the audited financial statements contained in this Annual Report on Form 10-K. </w:t>
      </w:r>
    </w:p>
    <w:p>
      <w:pPr>
        <w:pStyle w:val="TextBody"/>
        <w:rPr/>
      </w:pPr>
      <w:r>
        <w:rPr/>
        <w:t>        </w:t>
      </w:r>
      <w:r>
        <w:rPr>
          <w:rFonts w:ascii="times" w:hAnsi="times"/>
          <w:sz w:val="20"/>
        </w:rPr>
        <w:t xml:space="preserve">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 </w:t>
      </w:r>
    </w:p>
    <w:p>
      <w:pPr>
        <w:pStyle w:val="TextBody"/>
        <w:jc w:val="center"/>
        <w:rPr>
          <w:rFonts w:ascii="times" w:hAnsi="times"/>
          <w:sz w:val="20"/>
        </w:rPr>
      </w:pPr>
      <w:r>
        <w:rPr>
          <w:rFonts w:ascii="times" w:hAnsi="times"/>
          <w:sz w:val="20"/>
        </w:rPr>
        <w:t>104</w:t>
      </w:r>
    </w:p>
    <w:p>
      <w:pPr>
        <w:pStyle w:val="HorizontalLine"/>
        <w:pBdr>
          <w:bottom w:val="single" w:sz="20" w:space="0" w:color="808080"/>
        </w:pBdr>
        <w:rPr/>
      </w:pPr>
      <w:r>
        <w:rPr/>
      </w:r>
      <w:r>
        <w:br w:type="page"/>
      </w:r>
    </w:p>
    <w:p>
      <w:pPr>
        <w:pStyle w:val="TextBody"/>
        <w:rPr/>
      </w:pPr>
      <w:hyperlink w:anchor="bg12101a_main_toc">
        <w:bookmarkStart w:id="149" w:name="page_ec12101_1_105"/>
        <w:bookmarkEnd w:id="149"/>
        <w:r>
          <w:rPr>
            <w:rStyle w:val="InternetLink"/>
            <w:rFonts w:ascii="times" w:hAnsi="times"/>
            <w:sz w:val="20"/>
          </w:rPr>
          <w:t>Table of Contents</w:t>
        </w:r>
      </w:hyperlink>
    </w:p>
    <w:p>
      <w:pPr>
        <w:pStyle w:val="TextBody"/>
        <w:rPr/>
      </w:pPr>
      <w:r>
        <w:rPr/>
        <w:t>        </w:t>
      </w:r>
      <w:r>
        <w:rPr>
          <w:rFonts w:ascii="times" w:hAnsi="times"/>
          <w:sz w:val="20"/>
        </w:rPr>
        <w:t xml:space="preserve">The audit committee discussed with PricewaterhouseCoopers LLP the matters required to be discussed by SAS 61 (Codification of Statement on Auditing Standards, AU § 380), as may be modified or supplemented. The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 </w:t>
      </w:r>
    </w:p>
    <w:p>
      <w:pPr>
        <w:pStyle w:val="TextBody"/>
        <w:rPr/>
      </w:pPr>
      <w:r>
        <w:rPr/>
        <w:t>        </w:t>
      </w:r>
      <w:r>
        <w:rPr>
          <w:rFonts w:ascii="times" w:hAnsi="times"/>
          <w:sz w:val="20"/>
        </w:rPr>
        <w:t xml:space="preserve">Based on the reviews and discussions referred to above, the audit committee recommended to the board of directors that the audited financial statements be included in the Annual Report on Form 10-K for the year ended December 31, 2008 for filing with the SEC.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 xml:space="preserve">Everardo Goyanes, </w:t>
            </w:r>
            <w:r>
              <w:rPr>
                <w:rFonts w:ascii="times" w:hAnsi="times"/>
                <w:i/>
                <w:sz w:val="20"/>
              </w:rPr>
              <w:t>Chairman</w:t>
            </w:r>
            <w:r>
              <w:rPr>
                <w:rFonts w:ascii="times" w:hAnsi="times"/>
                <w:sz w:val="20"/>
              </w:rPr>
              <w:br/>
              <w:t>Arthur L. Smith</w:t>
              <w:br/>
              <w:t>J. Taft Symonds</w:t>
            </w:r>
          </w:p>
        </w:tc>
      </w:tr>
    </w:tbl>
    <w:p>
      <w:pPr>
        <w:pStyle w:val="TextBody"/>
        <w:rPr>
          <w:rFonts w:ascii="times" w:hAnsi="times"/>
          <w:b/>
          <w:sz w:val="20"/>
        </w:rPr>
      </w:pPr>
      <w:r>
        <w:rPr>
          <w:rFonts w:ascii="times" w:hAnsi="times"/>
          <w:b/>
          <w:sz w:val="20"/>
        </w:rPr>
        <w:t xml:space="preserve">Report of the Compensation Committee </w:t>
      </w:r>
    </w:p>
    <w:p>
      <w:pPr>
        <w:pStyle w:val="TextBody"/>
        <w:rPr/>
      </w:pPr>
      <w:r>
        <w:rPr/>
        <w:t>        </w:t>
      </w:r>
      <w:r>
        <w:rPr>
          <w:rFonts w:ascii="times" w:hAnsi="times"/>
          <w:sz w:val="20"/>
        </w:rPr>
        <w:t xml:space="preserve">The compensation committee of Plains All American GP LLC reviews and makes recommendations to the board of directors regarding the compensation for the executive officers and directors. </w:t>
      </w:r>
    </w:p>
    <w:p>
      <w:pPr>
        <w:pStyle w:val="TextBody"/>
        <w:rPr/>
      </w:pPr>
      <w:r>
        <w:rPr/>
        <w:t>        </w:t>
      </w:r>
      <w:r>
        <w:rPr>
          <w:rFonts w:ascii="times" w:hAnsi="times"/>
          <w:sz w:val="20"/>
        </w:rPr>
        <w:t xml:space="preserve">In fulfilling its oversight responsibilities, the compensation committee reviewed and discussed with management the compensation discussion and analysis contained in this Annual Report on Form 10-K. Based on the reviews and discussions referred to above, the compensation committee recommended to the board of directors that the compensation discussion and analysis be included in the Annual Report on Form 10-K for the year ended December 31, 2008 for filing with the SEC.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 xml:space="preserve">Robert V. Sinnott, </w:t>
            </w:r>
            <w:r>
              <w:rPr>
                <w:rFonts w:ascii="times" w:hAnsi="times"/>
                <w:i/>
                <w:sz w:val="20"/>
              </w:rPr>
              <w:t>Chairman</w:t>
            </w:r>
            <w:r>
              <w:rPr>
                <w:rFonts w:ascii="times" w:hAnsi="times"/>
                <w:sz w:val="20"/>
              </w:rPr>
              <w:br/>
              <w:t>W. Lance Conn</w:t>
              <w:br/>
              <w:t>Gary R. Petersen</w:t>
            </w:r>
          </w:p>
        </w:tc>
      </w:tr>
    </w:tbl>
    <w:p>
      <w:pPr>
        <w:pStyle w:val="TextBody"/>
        <w:rPr>
          <w:rFonts w:ascii="times" w:hAnsi="times"/>
          <w:b/>
          <w:sz w:val="20"/>
        </w:rPr>
      </w:pPr>
      <w:r>
        <w:rPr>
          <w:rFonts w:ascii="times" w:hAnsi="times"/>
          <w:b/>
          <w:sz w:val="20"/>
        </w:rPr>
        <w:t xml:space="preserve">Compensation Committee Interlocks and Insider Participation </w:t>
      </w:r>
    </w:p>
    <w:p>
      <w:pPr>
        <w:pStyle w:val="TextBody"/>
        <w:rPr/>
      </w:pPr>
      <w:r>
        <w:rPr/>
        <w:t>        </w:t>
      </w:r>
      <w:r>
        <w:rPr>
          <w:rFonts w:ascii="times" w:hAnsi="times"/>
          <w:sz w:val="20"/>
        </w:rPr>
        <w:t xml:space="preserve">Messrs. Conn, Petersen and Sinnott served on the compensation committee during 2008. David N. Capobianco, a former director, served on the compensation committee for a portion of 2008. During 2008, none of the members of the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Messrs. Conn, Petersen and Sinnott are associated with business entities with which we have relationships. See Item 13. "Certain Relationships and Related Transactions, and Director Independence." </w:t>
      </w:r>
    </w:p>
    <w:p>
      <w:pPr>
        <w:pStyle w:val="TextBody"/>
        <w:jc w:val="center"/>
        <w:rPr>
          <w:rFonts w:ascii="times" w:hAnsi="times"/>
          <w:sz w:val="20"/>
        </w:rPr>
      </w:pPr>
      <w:r>
        <w:rPr>
          <w:rFonts w:ascii="times" w:hAnsi="times"/>
          <w:sz w:val="20"/>
        </w:rPr>
        <w:t>105</w:t>
      </w:r>
    </w:p>
    <w:p>
      <w:pPr>
        <w:pStyle w:val="HorizontalLine"/>
        <w:pBdr>
          <w:bottom w:val="single" w:sz="20" w:space="0" w:color="808080"/>
        </w:pBdr>
        <w:rPr/>
      </w:pPr>
      <w:r>
        <w:rPr/>
      </w:r>
      <w:r>
        <w:br w:type="page"/>
      </w:r>
    </w:p>
    <w:p>
      <w:pPr>
        <w:pStyle w:val="TextBody"/>
        <w:rPr/>
      </w:pPr>
      <w:hyperlink w:anchor="bg12101a_main_toc">
        <w:bookmarkStart w:id="150" w:name="page_ec12101_1_106"/>
        <w:bookmarkEnd w:id="150"/>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Directors, Executive Officers and Other Officers </w:t>
      </w:r>
    </w:p>
    <w:p>
      <w:pPr>
        <w:pStyle w:val="TextBody"/>
        <w:rPr/>
      </w:pPr>
      <w:r>
        <w:rPr/>
        <w:t>        </w:t>
      </w:r>
      <w:r>
        <w:rPr>
          <w:rFonts w:ascii="times" w:hAnsi="times"/>
          <w:sz w:val="20"/>
        </w:rPr>
        <w:t xml:space="preserve">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Two of the owners of our general partner each have the right to separately designate a member of our board. Such designees are indicated in footnote 2 to the following table. </w:t>
      </w:r>
    </w:p>
    <w:tbl>
      <w:tblPr>
        <w:tblW w:w="10205" w:type="dxa"/>
        <w:jc w:val="center"/>
        <w:tblInd w:w="0" w:type="dxa"/>
        <w:tblCellMar>
          <w:top w:w="0" w:type="dxa"/>
          <w:left w:w="0" w:type="dxa"/>
          <w:bottom w:w="0" w:type="dxa"/>
          <w:right w:w="0" w:type="dxa"/>
        </w:tblCellMar>
      </w:tblPr>
      <w:tblGrid>
        <w:gridCol w:w="1567"/>
        <w:gridCol w:w="167"/>
        <w:gridCol w:w="127"/>
        <w:gridCol w:w="503"/>
        <w:gridCol w:w="167"/>
        <w:gridCol w:w="7674"/>
      </w:tblGrid>
      <w:tr>
        <w:trPr/>
        <w:tc>
          <w:tcPr>
            <w:tcW w:w="15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7674" w:type="dxa"/>
            <w:tcBorders/>
            <w:shd w:fill="auto" w:val="clear"/>
            <w:vAlign w:val="center"/>
          </w:tcPr>
          <w:p>
            <w:pPr>
              <w:pStyle w:val="TableContents"/>
              <w:spacing w:before="0" w:after="283"/>
              <w:rPr>
                <w:sz w:val="4"/>
                <w:szCs w:val="4"/>
              </w:rPr>
            </w:pPr>
            <w:r>
              <w:rPr>
                <w:sz w:val="4"/>
                <w:szCs w:val="4"/>
              </w:rPr>
            </w:r>
          </w:p>
        </w:tc>
      </w:tr>
      <w:tr>
        <w:trPr/>
        <w:tc>
          <w:tcPr>
            <w:tcW w:w="1567"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167" w:type="dxa"/>
            <w:tcBorders/>
            <w:shd w:fill="auto" w:val="clear"/>
            <w:vAlign w:val="bottom"/>
          </w:tcPr>
          <w:p>
            <w:pPr>
              <w:pStyle w:val="TableHeading"/>
              <w:suppressLineNumbers/>
              <w:spacing w:before="0" w:after="283"/>
              <w:jc w:val="center"/>
              <w:rPr/>
            </w:pPr>
            <w:r>
              <w:rPr/>
              <w:t> </w:t>
            </w:r>
          </w:p>
        </w:tc>
        <w:tc>
          <w:tcPr>
            <w:tcW w:w="6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Age (as of</w:t>
              <w:br/>
              <w:t xml:space="preserve">12/31/08) </w:t>
            </w:r>
          </w:p>
        </w:tc>
        <w:tc>
          <w:tcPr>
            <w:tcW w:w="167" w:type="dxa"/>
            <w:tcBorders/>
            <w:shd w:fill="auto" w:val="clear"/>
            <w:vAlign w:val="bottom"/>
          </w:tcPr>
          <w:p>
            <w:pPr>
              <w:pStyle w:val="TableHeading"/>
              <w:suppressLineNumbers/>
              <w:spacing w:before="0" w:after="283"/>
              <w:jc w:val="center"/>
              <w:rPr/>
            </w:pPr>
            <w:r>
              <w:rPr/>
              <w:t> </w:t>
            </w:r>
          </w:p>
        </w:tc>
        <w:tc>
          <w:tcPr>
            <w:tcW w:w="767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Position</w:t>
            </w:r>
            <w:r>
              <w:rPr>
                <w:rFonts w:ascii="times" w:hAnsi="times"/>
                <w:b/>
                <w:position w:val="5"/>
                <w:sz w:val="11"/>
                <w:sz w:val="14"/>
              </w:rPr>
              <w:t>(1)</w:t>
            </w:r>
            <w:r>
              <w:rPr>
                <w:rFonts w:ascii="times" w:hAnsi="times"/>
                <w:b/>
                <w:sz w:val="14"/>
              </w:rPr>
              <w:t xml:space="preserve"> </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Greg L. Armstrong*</w:t>
            </w:r>
            <w:r>
              <w:rPr>
                <w:rFonts w:ascii="times" w:hAnsi="times"/>
                <w:position w:val="7"/>
                <w:sz w:val="16"/>
                <w:sz w:val="20"/>
              </w:rPr>
              <w:t>(2)</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50</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Chairman of the Board, Chief Executive Officer and Director</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Harry N. Pefanis*</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51</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President and Chief Operating Officer</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Phillip D. Kramer*</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52</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Executive Vice President</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W. David Duckett*</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53</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PresidentPMC (Nova Scotia) Company</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Mark J. Gorman*</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54</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Senior Vice PresidentOperations and Business Development</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Alfred A. Lindseth</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39</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Senior Vice PresidentTechnology, Process &amp; Risk Management</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Al Swanson*</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44</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Senior Vice President and Chief Financial Officer</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John P. vonBerg*</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54</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Senior Vice PresidentCommercial Activities</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Stephen L. Bart</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48</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PresidentOperations of PMC (Nova Scotia) Company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David Craig</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51</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Executive Vice President and Chief Financial Officer of PMC (Nova Scotia) Company</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Ralph R. Cross</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53</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PresidentCorporate Development and Transportation Services of PMC (Nova Scotia) Company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A. Patrick Diamond</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36</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Lawrence J. Dreyfuss</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54</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 General CounselCommercial &amp; Litigation and Assistant Secretary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Roger D. Everett</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63</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PresidentHuman Resources</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James B. Fryfogle</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57</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PresidentRefinery Supply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M.D. (Mike) Hallahan</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48</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PresidentCrude Oil of PMC (Nova Scotia) Company</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Bill Harradence</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55</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PresidentHuman Resources of PMC (Nova Scotia) Company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Jim G. Hester</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49</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PresidentAcquisitions</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John Keffer</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49</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PresidentTerminals</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Charles Kingswell-Smith</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57</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 and Treasurer</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Mike Mikuska</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40</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PresidentBusiness Development of PMC (Nova Scotia) Company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Tim Moore*</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51</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 General Counsel and Secretary</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Daniel J. Nerbonne</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51</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PresidentEngineering</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John F. Russell</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60</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PresidentWest Coast Projects</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Robert M. Sanford</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59</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PresidentLease Supply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Tina L. Val*</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39</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PresidentAccounting and Chief Accounting Officer</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Troy E. Valenzuela</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47</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PresidentEnvironmental, Health and Safety</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Sandi Wingert</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38</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PresidentAccounting of PMC (Nova Scotia) Company</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David E. Wright</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63</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Vice President</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Ron F. Wunder</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40</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Vice PresidentLPG of PMC (Nova Scotia) Company</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W. Lance Conn</w:t>
            </w:r>
            <w:r>
              <w:rPr>
                <w:rFonts w:ascii="times" w:hAnsi="times"/>
                <w:position w:val="7"/>
                <w:sz w:val="16"/>
                <w:sz w:val="20"/>
              </w:rPr>
              <w:t>(2)</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40</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Director and Member of Compensation Committee</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Everardo Goyanes</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64</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Director and Member of Audit** Committee</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Gary R. Petersen</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62</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Director and Member of Compensation Committee</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Robert V. Sinnott</w:t>
            </w:r>
            <w:r>
              <w:rPr>
                <w:rFonts w:ascii="times" w:hAnsi="times"/>
                <w:position w:val="7"/>
                <w:sz w:val="16"/>
                <w:sz w:val="20"/>
              </w:rPr>
              <w:t>(2)</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59</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Director and Member of Compensation** Committee</w:t>
            </w:r>
          </w:p>
        </w:tc>
      </w:tr>
      <w:tr>
        <w:trPr/>
        <w:tc>
          <w:tcPr>
            <w:tcW w:w="1567" w:type="dxa"/>
            <w:tcBorders/>
            <w:shd w:fill="CCEEFF" w:val="clear"/>
          </w:tcPr>
          <w:p>
            <w:pPr>
              <w:pStyle w:val="TableContents"/>
              <w:spacing w:before="0" w:after="283"/>
              <w:ind w:left="0" w:right="0" w:hanging="0"/>
              <w:rPr>
                <w:rFonts w:ascii="times" w:hAnsi="times"/>
                <w:sz w:val="20"/>
              </w:rPr>
            </w:pPr>
            <w:r>
              <w:rPr>
                <w:rFonts w:ascii="times" w:hAnsi="times"/>
                <w:sz w:val="20"/>
              </w:rPr>
              <w:t>Arthur L. Smith</w:t>
            </w:r>
          </w:p>
        </w:tc>
        <w:tc>
          <w:tcPr>
            <w:tcW w:w="167"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rPr/>
            </w:pPr>
            <w:r>
              <w:rPr/>
              <w:t> </w:t>
            </w:r>
          </w:p>
        </w:tc>
        <w:tc>
          <w:tcPr>
            <w:tcW w:w="503" w:type="dxa"/>
            <w:tcBorders/>
            <w:shd w:fill="CCEEFF" w:val="clear"/>
          </w:tcPr>
          <w:p>
            <w:pPr>
              <w:pStyle w:val="TableContents"/>
              <w:spacing w:before="0" w:after="283"/>
              <w:jc w:val="right"/>
              <w:rPr>
                <w:rFonts w:ascii="times" w:hAnsi="times"/>
                <w:sz w:val="20"/>
              </w:rPr>
            </w:pPr>
            <w:r>
              <w:rPr>
                <w:rFonts w:ascii="times" w:hAnsi="times"/>
                <w:sz w:val="20"/>
              </w:rPr>
              <w:t>56</w:t>
            </w:r>
          </w:p>
        </w:tc>
        <w:tc>
          <w:tcPr>
            <w:tcW w:w="167" w:type="dxa"/>
            <w:tcBorders/>
            <w:shd w:fill="CCEEFF" w:val="clear"/>
          </w:tcPr>
          <w:p>
            <w:pPr>
              <w:pStyle w:val="TableContents"/>
              <w:spacing w:before="0" w:after="283"/>
              <w:rPr/>
            </w:pPr>
            <w:r>
              <w:rPr/>
              <w:t> </w:t>
            </w:r>
          </w:p>
        </w:tc>
        <w:tc>
          <w:tcPr>
            <w:tcW w:w="7674" w:type="dxa"/>
            <w:tcBorders/>
            <w:shd w:fill="CCEEFF" w:val="clear"/>
          </w:tcPr>
          <w:p>
            <w:pPr>
              <w:pStyle w:val="TableContents"/>
              <w:spacing w:before="0" w:after="283"/>
              <w:ind w:left="180" w:right="0" w:hanging="180"/>
              <w:jc w:val="left"/>
              <w:rPr>
                <w:rFonts w:ascii="times" w:hAnsi="times"/>
                <w:sz w:val="20"/>
              </w:rPr>
            </w:pPr>
            <w:r>
              <w:rPr>
                <w:rFonts w:ascii="times" w:hAnsi="times"/>
                <w:sz w:val="20"/>
              </w:rPr>
              <w:t>Director and Member of Audit and Governance** Committees</w:t>
            </w:r>
          </w:p>
        </w:tc>
      </w:tr>
      <w:tr>
        <w:trPr/>
        <w:tc>
          <w:tcPr>
            <w:tcW w:w="1567" w:type="dxa"/>
            <w:tcBorders/>
            <w:shd w:fill="FFFFFF" w:val="clear"/>
          </w:tcPr>
          <w:p>
            <w:pPr>
              <w:pStyle w:val="TableContents"/>
              <w:spacing w:before="0" w:after="283"/>
              <w:ind w:left="0" w:right="0" w:hanging="0"/>
              <w:rPr>
                <w:rFonts w:ascii="times" w:hAnsi="times"/>
                <w:sz w:val="20"/>
              </w:rPr>
            </w:pPr>
            <w:r>
              <w:rPr>
                <w:rFonts w:ascii="times" w:hAnsi="times"/>
                <w:sz w:val="20"/>
              </w:rPr>
              <w:t>J. Taft Symonds</w:t>
            </w:r>
          </w:p>
        </w:tc>
        <w:tc>
          <w:tcPr>
            <w:tcW w:w="167"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rPr/>
            </w:pPr>
            <w:r>
              <w:rPr/>
              <w:t> </w:t>
            </w:r>
          </w:p>
        </w:tc>
        <w:tc>
          <w:tcPr>
            <w:tcW w:w="503" w:type="dxa"/>
            <w:tcBorders/>
            <w:shd w:fill="FFFFFF" w:val="clear"/>
          </w:tcPr>
          <w:p>
            <w:pPr>
              <w:pStyle w:val="TableContents"/>
              <w:spacing w:before="0" w:after="283"/>
              <w:jc w:val="right"/>
              <w:rPr>
                <w:rFonts w:ascii="times" w:hAnsi="times"/>
                <w:sz w:val="20"/>
              </w:rPr>
            </w:pPr>
            <w:r>
              <w:rPr>
                <w:rFonts w:ascii="times" w:hAnsi="times"/>
                <w:sz w:val="20"/>
              </w:rPr>
              <w:t>69</w:t>
            </w:r>
          </w:p>
        </w:tc>
        <w:tc>
          <w:tcPr>
            <w:tcW w:w="167" w:type="dxa"/>
            <w:tcBorders/>
            <w:shd w:fill="FFFFFF" w:val="clear"/>
          </w:tcPr>
          <w:p>
            <w:pPr>
              <w:pStyle w:val="TableContents"/>
              <w:spacing w:before="0" w:after="283"/>
              <w:rPr/>
            </w:pPr>
            <w:r>
              <w:rPr/>
              <w:t> </w:t>
            </w:r>
          </w:p>
        </w:tc>
        <w:tc>
          <w:tcPr>
            <w:tcW w:w="7674" w:type="dxa"/>
            <w:tcBorders/>
            <w:shd w:fill="FFFFFF" w:val="clear"/>
          </w:tcPr>
          <w:p>
            <w:pPr>
              <w:pStyle w:val="TableContents"/>
              <w:spacing w:before="0" w:after="283"/>
              <w:ind w:left="180" w:right="0" w:hanging="180"/>
              <w:jc w:val="left"/>
              <w:rPr>
                <w:rFonts w:ascii="times" w:hAnsi="times"/>
                <w:sz w:val="20"/>
              </w:rPr>
            </w:pPr>
            <w:r>
              <w:rPr>
                <w:rFonts w:ascii="times" w:hAnsi="times"/>
                <w:sz w:val="20"/>
              </w:rPr>
              <w:t>Director and Member of Audit and Governance Committees</w:t>
            </w:r>
          </w:p>
        </w:tc>
      </w:tr>
    </w:tbl>
    <w:p>
      <w:pPr>
        <w:pStyle w:val="HorizontalLine"/>
        <w:pBdr>
          <w:bottom w:val="single" w:sz="6" w:space="0" w:color="000000"/>
        </w:pBdr>
        <w:ind w:left="0" w:right="7552" w:hanging="0"/>
        <w:rPr/>
      </w:pPr>
      <w:r>
        <w:rPr/>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Indicates an "executive officer" for purposes of Item 401(b) of Regulation S-K.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Indicates chairman of committee. </w:t>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Unless otherwise described, the position indicates the position held with Plains All American GP LLC.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The GP LLC Agreement specifies that the Chief Executive Officer of the general partner will be a member of the board of directors. The GP LLC Agreement also provides that two of the owners of our general partner each have the right to appoint a member of our board of directors. Mr. Conn has been appointed by Vulcan Energy Corporation, of which he is Chairman of the Board. Because it owns a majority in interest in </w:t>
      </w:r>
    </w:p>
    <w:p>
      <w:pPr>
        <w:pStyle w:val="TextBody"/>
        <w:jc w:val="center"/>
        <w:rPr>
          <w:rFonts w:ascii="times" w:hAnsi="times"/>
          <w:sz w:val="20"/>
        </w:rPr>
      </w:pPr>
      <w:r>
        <w:rPr>
          <w:rFonts w:ascii="times" w:hAnsi="times"/>
          <w:sz w:val="20"/>
        </w:rPr>
        <w:t>106</w:t>
      </w:r>
    </w:p>
    <w:p>
      <w:pPr>
        <w:pStyle w:val="HorizontalLine"/>
        <w:pBdr>
          <w:bottom w:val="single" w:sz="20" w:space="0" w:color="808080"/>
        </w:pBdr>
        <w:rPr/>
      </w:pPr>
      <w:r>
        <w:rPr/>
      </w:r>
      <w:r>
        <w:br w:type="page"/>
      </w:r>
    </w:p>
    <w:p>
      <w:pPr>
        <w:pStyle w:val="TextBody"/>
        <w:rPr/>
      </w:pPr>
      <w:hyperlink w:anchor="bg12101a_main_toc">
        <w:bookmarkStart w:id="151" w:name="page_ec12101_1_107"/>
        <w:bookmarkEnd w:id="151"/>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GP LLC, Vulcan Energy Corporation has the power at any time to cause an additional director to be elected to the currently vacant board seat. Mr. Sinnott has been appointed by KAFU Holdings, L.P., which is affiliated with Kayne Anderson Investment Management, Inc., of which he is President. The remaining directors were elected by a majority of the membership interest. See Item 12. "Security Ownership of Certain Beneficial Owners and Management and Related Unitholder MattersBeneficial Ownership of General Partner Interest." </w:t>
      </w:r>
    </w:p>
    <w:p>
      <w:pPr>
        <w:pStyle w:val="TextBody"/>
        <w:rPr/>
      </w:pPr>
      <w:r>
        <w:rPr/>
        <w:t>        </w:t>
      </w:r>
      <w:r>
        <w:rPr>
          <w:rFonts w:ascii="times" w:hAnsi="times"/>
          <w:i/>
          <w:sz w:val="20"/>
        </w:rPr>
        <w:t>Greg L. Armstrong</w:t>
      </w:r>
      <w:r>
        <w:rPr>
          <w:rFonts w:ascii="times" w:hAnsi="times"/>
        </w:rPr>
        <w:t xml:space="preserve"> </w:t>
      </w:r>
      <w:r>
        <w:rPr>
          <w:rFonts w:ascii="times" w:hAnsi="times"/>
          <w:sz w:val="20"/>
        </w:rPr>
        <w:t xml:space="preserve">has served as Chairman of the Board and Chief Executive Officer since our formation in 1998. He has also served as a director of 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also a director of National Oilwell Varco, Inc. and PAA/Vulcan. </w:t>
      </w:r>
    </w:p>
    <w:p>
      <w:pPr>
        <w:pStyle w:val="TextBody"/>
        <w:rPr/>
      </w:pPr>
      <w:r>
        <w:rPr/>
        <w:t>        </w:t>
      </w:r>
      <w:r>
        <w:rPr>
          <w:rFonts w:ascii="times" w:hAnsi="times"/>
          <w:i/>
          <w:sz w:val="20"/>
        </w:rPr>
        <w:t>Harry N. Pefanis</w:t>
      </w:r>
      <w:r>
        <w:rPr>
          <w:rFonts w:ascii="times" w:hAnsi="times"/>
        </w:rPr>
        <w:t xml:space="preserve"> </w:t>
      </w:r>
      <w:r>
        <w:rPr>
          <w:rFonts w:ascii="times" w:hAnsi="times"/>
          <w:sz w:val="20"/>
        </w:rPr>
        <w:t xml:space="preserve">has served as President and Chief Operating Officer since our formation in 1998. He was also a director of our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also a director of PAA/Vulcan and Settoon Towing. </w:t>
      </w:r>
    </w:p>
    <w:p>
      <w:pPr>
        <w:pStyle w:val="TextBody"/>
        <w:rPr/>
      </w:pPr>
      <w:r>
        <w:rPr/>
        <w:t>        </w:t>
      </w:r>
      <w:r>
        <w:rPr>
          <w:rFonts w:ascii="times" w:hAnsi="times"/>
          <w:i/>
          <w:sz w:val="20"/>
        </w:rPr>
        <w:t>Phillip D. Kramer</w:t>
      </w:r>
      <w:r>
        <w:rPr>
          <w:rFonts w:ascii="times" w:hAnsi="times"/>
        </w:rPr>
        <w:t xml:space="preserve"> </w:t>
      </w:r>
      <w:r>
        <w:rPr>
          <w:rFonts w:ascii="times" w:hAnsi="times"/>
          <w:sz w:val="20"/>
        </w:rPr>
        <w:t xml:space="preserve">has served as Executive Vice President since November 2008 and previously served as Executive Vice President and Chief Financial Officer from our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 He is also a director of Crusader Energy Group Inc., an oil and gas company engaged in drilling for and producing oil and gas. </w:t>
      </w:r>
    </w:p>
    <w:p>
      <w:pPr>
        <w:pStyle w:val="TextBody"/>
        <w:rPr/>
      </w:pPr>
      <w:r>
        <w:rPr/>
        <w:t>        </w:t>
      </w:r>
      <w:r>
        <w:rPr>
          <w:rFonts w:ascii="times" w:hAnsi="times"/>
          <w:i/>
          <w:sz w:val="20"/>
        </w:rPr>
        <w:t>W. David Duckett</w:t>
      </w:r>
      <w:r>
        <w:rPr>
          <w:rFonts w:ascii="times" w:hAnsi="times"/>
        </w:rPr>
        <w:t xml:space="preserve"> </w:t>
      </w:r>
      <w:r>
        <w:rPr>
          <w:rFonts w:ascii="times" w:hAnsi="times"/>
          <w:sz w:val="20"/>
        </w:rPr>
        <w:t xml:space="preserve">has served as President of PMC (Nova Scotia) Company since June 2003, and Executive Vice President of PMC (Nova Scotia) Company from July 2001 to June 2003. Mr. Duckett was with CANPET Energy Group Inc. from 1985 to 2001, where he served in various capacities, including most recently as President, Chief Executive Officer and Chairman of the Board. </w:t>
      </w:r>
    </w:p>
    <w:p>
      <w:pPr>
        <w:pStyle w:val="TextBody"/>
        <w:rPr/>
      </w:pPr>
      <w:r>
        <w:rPr/>
        <w:t>        </w:t>
      </w:r>
      <w:r>
        <w:rPr>
          <w:rFonts w:ascii="times" w:hAnsi="times"/>
          <w:i/>
          <w:sz w:val="20"/>
        </w:rPr>
        <w:t>Mark J. Gorman</w:t>
      </w:r>
      <w:r>
        <w:rPr>
          <w:rFonts w:ascii="times" w:hAnsi="times"/>
        </w:rPr>
        <w:t xml:space="preserve"> </w:t>
      </w:r>
      <w:r>
        <w:rPr>
          <w:rFonts w:ascii="times" w:hAnsi="times"/>
          <w:sz w:val="20"/>
        </w:rPr>
        <w:t xml:space="preserve">has served as Senior Vice PresidentOperations and Business Development since August 2008. He previously served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and Frontier. </w:t>
      </w:r>
    </w:p>
    <w:p>
      <w:pPr>
        <w:pStyle w:val="TextBody"/>
        <w:rPr/>
      </w:pPr>
      <w:r>
        <w:rPr/>
        <w:t>        </w:t>
      </w:r>
      <w:r>
        <w:rPr>
          <w:rFonts w:ascii="times" w:hAnsi="times"/>
          <w:i/>
          <w:sz w:val="20"/>
        </w:rPr>
        <w:t>Alfred A. Lindseth</w:t>
      </w:r>
      <w:r>
        <w:rPr>
          <w:rFonts w:ascii="times" w:hAnsi="times"/>
        </w:rPr>
        <w:t xml:space="preserve"> </w:t>
      </w:r>
      <w:r>
        <w:rPr>
          <w:rFonts w:ascii="times" w:hAnsi="times"/>
          <w:sz w:val="20"/>
        </w:rPr>
        <w:t xml:space="preserve">has served as Senior Vice PresidentTechnology, Process &amp; Risk Management since June 2003 and as Vice PresidentAdministration from March 2001 to June 2003. He served as Risk Manager from March 2000 to March 2001. He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 </w:t>
      </w:r>
    </w:p>
    <w:p>
      <w:pPr>
        <w:pStyle w:val="TextBody"/>
        <w:jc w:val="center"/>
        <w:rPr>
          <w:rFonts w:ascii="times" w:hAnsi="times"/>
          <w:sz w:val="20"/>
        </w:rPr>
      </w:pPr>
      <w:r>
        <w:rPr>
          <w:rFonts w:ascii="times" w:hAnsi="times"/>
          <w:sz w:val="20"/>
        </w:rPr>
        <w:t>107</w:t>
      </w:r>
    </w:p>
    <w:p>
      <w:pPr>
        <w:pStyle w:val="HorizontalLine"/>
        <w:pBdr>
          <w:bottom w:val="single" w:sz="20" w:space="0" w:color="808080"/>
        </w:pBdr>
        <w:rPr/>
      </w:pPr>
      <w:r>
        <w:rPr/>
      </w:r>
      <w:r>
        <w:br w:type="page"/>
      </w:r>
    </w:p>
    <w:p>
      <w:pPr>
        <w:pStyle w:val="TextBody"/>
        <w:rPr/>
      </w:pPr>
      <w:hyperlink w:anchor="bg12101a_main_toc">
        <w:bookmarkStart w:id="152" w:name="page_ec12101_1_108"/>
        <w:bookmarkEnd w:id="152"/>
        <w:r>
          <w:rPr>
            <w:rStyle w:val="InternetLink"/>
            <w:rFonts w:ascii="times" w:hAnsi="times"/>
            <w:sz w:val="20"/>
          </w:rPr>
          <w:t>Table of Contents</w:t>
        </w:r>
      </w:hyperlink>
    </w:p>
    <w:p>
      <w:pPr>
        <w:pStyle w:val="TextBody"/>
        <w:rPr/>
      </w:pPr>
      <w:r>
        <w:rPr/>
        <w:t>        </w:t>
      </w:r>
      <w:r>
        <w:rPr>
          <w:rFonts w:ascii="times" w:hAnsi="times"/>
          <w:i/>
          <w:sz w:val="20"/>
        </w:rPr>
        <w:t>Al Swanson</w:t>
      </w:r>
      <w:r>
        <w:rPr>
          <w:rFonts w:ascii="times" w:hAnsi="times"/>
        </w:rPr>
        <w:t xml:space="preserve"> </w:t>
      </w:r>
      <w:r>
        <w:rPr>
          <w:rFonts w:ascii="times" w:hAnsi="times"/>
          <w:sz w:val="20"/>
        </w:rPr>
        <w:t xml:space="preserve">has served as Senior Vice President and Chief Financial Officer since November 2008. He previously served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w:t>
      </w:r>
    </w:p>
    <w:p>
      <w:pPr>
        <w:pStyle w:val="TextBody"/>
        <w:rPr/>
      </w:pPr>
      <w:r>
        <w:rPr/>
        <w:t>        </w:t>
      </w:r>
      <w:r>
        <w:rPr>
          <w:rFonts w:ascii="times" w:hAnsi="times"/>
          <w:i/>
          <w:sz w:val="20"/>
        </w:rPr>
        <w:t>John P. vonBerg</w:t>
      </w:r>
      <w:r>
        <w:rPr>
          <w:rFonts w:ascii="times" w:hAnsi="times"/>
        </w:rPr>
        <w:t xml:space="preserve"> </w:t>
      </w:r>
      <w:r>
        <w:rPr>
          <w:rFonts w:ascii="times" w:hAnsi="times"/>
          <w:sz w:val="20"/>
        </w:rPr>
        <w:t xml:space="preserve">has served as Senior Vice PresidentCommercial Activities since August 2008. Previously he served as Vice PresidentCommercial Activities from August 2007 until August 2008 and as Vice PresidentTrading from May 2003 until August 2007. He served as Director of these activities 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 </w:t>
      </w:r>
    </w:p>
    <w:p>
      <w:pPr>
        <w:pStyle w:val="TextBody"/>
        <w:rPr/>
      </w:pPr>
      <w:r>
        <w:rPr/>
        <w:t>        </w:t>
      </w:r>
      <w:r>
        <w:rPr>
          <w:rFonts w:ascii="times" w:hAnsi="times"/>
          <w:i/>
          <w:sz w:val="20"/>
        </w:rPr>
        <w:t>Stephen L. Bart</w:t>
      </w:r>
      <w:r>
        <w:rPr>
          <w:rFonts w:ascii="times" w:hAnsi="times"/>
        </w:rPr>
        <w:t xml:space="preserve"> </w:t>
      </w:r>
      <w:r>
        <w:rPr>
          <w:rFonts w:ascii="times" w:hAnsi="times"/>
          <w:sz w:val="20"/>
        </w:rPr>
        <w:t xml:space="preserve">has served as Vice President, Operations of PMC (Nova Scotia) Company since April 2005 and was Managing Director, LPG Operations &amp; Engineering from February to April 2005. From June 2003 to February 2005, 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 </w:t>
      </w:r>
    </w:p>
    <w:p>
      <w:pPr>
        <w:pStyle w:val="TextBody"/>
        <w:rPr/>
      </w:pPr>
      <w:r>
        <w:rPr/>
        <w:t>        </w:t>
      </w:r>
      <w:r>
        <w:rPr>
          <w:rFonts w:ascii="times" w:hAnsi="times"/>
          <w:i/>
          <w:sz w:val="20"/>
        </w:rPr>
        <w:t>David Craig</w:t>
      </w:r>
      <w:r>
        <w:rPr>
          <w:rFonts w:ascii="times" w:hAnsi="times"/>
        </w:rPr>
        <w:t xml:space="preserve"> </w:t>
      </w:r>
      <w:r>
        <w:rPr>
          <w:rFonts w:ascii="times" w:hAnsi="times"/>
          <w:sz w:val="20"/>
        </w:rPr>
        <w:t xml:space="preserve">has served as Executive Vice President and Chief Financial Officer of PMC (Nova Scotia) Company since June 2008. Prior to joining our Canadian operations, Mr. Craig 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 </w:t>
      </w:r>
    </w:p>
    <w:p>
      <w:pPr>
        <w:pStyle w:val="TextBody"/>
        <w:rPr/>
      </w:pPr>
      <w:r>
        <w:rPr/>
        <w:t>        </w:t>
      </w:r>
      <w:r>
        <w:rPr>
          <w:rFonts w:ascii="times" w:hAnsi="times"/>
          <w:i/>
          <w:sz w:val="20"/>
        </w:rPr>
        <w:t>Ralph R. Cross</w:t>
      </w:r>
      <w:r>
        <w:rPr>
          <w:rFonts w:ascii="times" w:hAnsi="times"/>
        </w:rPr>
        <w:t xml:space="preserve"> </w:t>
      </w:r>
      <w:r>
        <w:rPr>
          <w:rFonts w:ascii="times" w:hAnsi="times"/>
          <w:sz w:val="20"/>
        </w:rPr>
        <w:t xml:space="preserve">has served as Vice President of Corporate Development and Transportation Services of PMC (Nova Scotia) Company since July 2001. Mr. Cross was previously with CANPET Energy Group Inc. since 1992, where he served in various capacities, including most recently as Vice President of Business Development. </w:t>
      </w:r>
    </w:p>
    <w:p>
      <w:pPr>
        <w:pStyle w:val="TextBody"/>
        <w:rPr/>
      </w:pPr>
      <w:r>
        <w:rPr/>
        <w:t>        </w:t>
      </w:r>
      <w:r>
        <w:rPr>
          <w:rFonts w:ascii="times" w:hAnsi="times"/>
          <w:i/>
          <w:sz w:val="20"/>
        </w:rPr>
        <w:t>A. Patrick Diamond</w:t>
      </w:r>
      <w:r>
        <w:rPr>
          <w:rFonts w:ascii="times" w:hAnsi="times"/>
        </w:rPr>
        <w:t xml:space="preserve"> </w:t>
      </w:r>
      <w:r>
        <w:rPr>
          <w:rFonts w:ascii="times" w:hAnsi="times"/>
          <w:sz w:val="20"/>
        </w:rPr>
        <w:t xml:space="preserve">has served as Vice President since August 2007. He previously served as Director, Strategic Planning from July 2005 to August 2007 and as ManagerSpecial Projects from June 2001 to July 2005. In addition, he was ManagerSpecial Projects of Plains Resources from August 1999 to June 2001. Prior to joining Plains Resources, Mr. Diamond served Salomon Smith Barney in its Global Energy Investment Banking Group as an Associate from July 1997 to May 1999 and as a Financial Analyst from July 1994 to June 1997. </w:t>
      </w:r>
    </w:p>
    <w:p>
      <w:pPr>
        <w:pStyle w:val="TextBody"/>
        <w:rPr/>
      </w:pPr>
      <w:r>
        <w:rPr/>
        <w:t>        </w:t>
      </w:r>
      <w:r>
        <w:rPr>
          <w:rFonts w:ascii="times" w:hAnsi="times"/>
          <w:i/>
          <w:sz w:val="20"/>
        </w:rPr>
        <w:t>Lawrence J. Dreyfuss</w:t>
      </w:r>
      <w:r>
        <w:rPr>
          <w:rFonts w:ascii="times" w:hAnsi="times"/>
        </w:rPr>
        <w:t xml:space="preserve"> </w:t>
      </w:r>
      <w:r>
        <w:rPr>
          <w:rFonts w:ascii="times" w:hAnsi="times"/>
          <w:sz w:val="20"/>
        </w:rPr>
        <w:t xml:space="preserve">has served as Vice President, General CounselCommercial &amp; Litigation and Assistant Secretary since August 2006. Mr. Dreyfuss was Vice President, Associate General Counsel and Assistant Secretary of our general partner from February 2004 to August 2006 and Associate General Counsel and Assistant Secretary of our general partner from June 2001 to February 2004 and held a senior management position in the Law Department since May 1999. In addition, he was a Vice President of Scurlock Permian LLC from 1987 to 1999. </w:t>
      </w:r>
    </w:p>
    <w:p>
      <w:pPr>
        <w:pStyle w:val="TextBody"/>
        <w:jc w:val="center"/>
        <w:rPr>
          <w:rFonts w:ascii="times" w:hAnsi="times"/>
          <w:sz w:val="20"/>
        </w:rPr>
      </w:pPr>
      <w:r>
        <w:rPr>
          <w:rFonts w:ascii="times" w:hAnsi="times"/>
          <w:sz w:val="20"/>
        </w:rPr>
        <w:t>108</w:t>
      </w:r>
    </w:p>
    <w:p>
      <w:pPr>
        <w:pStyle w:val="HorizontalLine"/>
        <w:pBdr>
          <w:bottom w:val="single" w:sz="20" w:space="0" w:color="808080"/>
        </w:pBdr>
        <w:rPr/>
      </w:pPr>
      <w:r>
        <w:rPr/>
      </w:r>
      <w:r>
        <w:br w:type="page"/>
      </w:r>
    </w:p>
    <w:p>
      <w:pPr>
        <w:pStyle w:val="TextBody"/>
        <w:rPr/>
      </w:pPr>
      <w:hyperlink w:anchor="bg12101a_main_toc">
        <w:bookmarkStart w:id="153" w:name="page_ee12101_1_109"/>
        <w:bookmarkEnd w:id="153"/>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i/>
          <w:sz w:val="20"/>
        </w:rPr>
        <w:t>Roger D. Everett</w:t>
      </w:r>
      <w:r>
        <w:rPr>
          <w:rFonts w:ascii="times" w:hAnsi="times"/>
        </w:rPr>
        <w:t xml:space="preserve"> </w:t>
      </w:r>
      <w:r>
        <w:rPr>
          <w:rFonts w:ascii="times" w:hAnsi="times"/>
          <w:sz w:val="20"/>
        </w:rPr>
        <w:t xml:space="preserve">has served as Vice PresidentHuman Resources since November 2006 and as Director of Human Resources from August 2006 to 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 </w:t>
      </w:r>
    </w:p>
    <w:p>
      <w:pPr>
        <w:pStyle w:val="TextBody"/>
        <w:rPr/>
      </w:pPr>
      <w:r>
        <w:rPr/>
        <w:t>        </w:t>
      </w:r>
      <w:r>
        <w:rPr>
          <w:rFonts w:ascii="times" w:hAnsi="times"/>
          <w:i/>
          <w:sz w:val="20"/>
        </w:rPr>
        <w:t>James B. Fryfogle</w:t>
      </w:r>
      <w:r>
        <w:rPr>
          <w:rFonts w:ascii="times" w:hAnsi="times"/>
        </w:rPr>
        <w:t xml:space="preserve"> </w:t>
      </w:r>
      <w:r>
        <w:rPr>
          <w:rFonts w:ascii="times" w:hAnsi="times"/>
          <w:sz w:val="20"/>
        </w:rPr>
        <w:t xml:space="preserve">has served as Vice PresidentRefinery Supply since March 2005. He served as Vice PresidentLease Operations from July 2004 until March 2005. Prior to joining us in January 2004, Mr. Fryfogle served as Manager of Crude Supply and Trading for Marathon Ashland Petroleum. Mr. Fryfogle had held numerous positions of increasing responsibility with Marathon Ashland Petroleum or its affiliates or predecessors since 1975. </w:t>
      </w:r>
    </w:p>
    <w:p>
      <w:pPr>
        <w:pStyle w:val="TextBody"/>
        <w:rPr/>
      </w:pPr>
      <w:r>
        <w:rPr/>
        <w:t>        </w:t>
      </w:r>
      <w:r>
        <w:rPr>
          <w:rFonts w:ascii="times" w:hAnsi="times"/>
          <w:i/>
          <w:sz w:val="20"/>
        </w:rPr>
        <w:t>M.D. (Mike) Hallahan</w:t>
      </w:r>
      <w:r>
        <w:rPr>
          <w:rFonts w:ascii="times" w:hAnsi="times"/>
        </w:rPr>
        <w:t xml:space="preserve"> </w:t>
      </w:r>
      <w:r>
        <w:rPr>
          <w:rFonts w:ascii="times" w:hAnsi="times"/>
          <w:sz w:val="20"/>
        </w:rPr>
        <w:t xml:space="preserve">has served as Vice President, Crude Oil of PMC (Nova Scotia) Company since February 2004 and Managing Director, Facilities from July 2001 to February 2004. He was previously with CANPET Energy Group Inc. where he served in various capacities since 1996, most recently as General Manager, Facilities. </w:t>
      </w:r>
    </w:p>
    <w:p>
      <w:pPr>
        <w:pStyle w:val="TextBody"/>
        <w:rPr/>
      </w:pPr>
      <w:r>
        <w:rPr/>
        <w:t>        </w:t>
      </w:r>
      <w:r>
        <w:rPr>
          <w:rFonts w:ascii="times" w:hAnsi="times"/>
          <w:i/>
          <w:sz w:val="20"/>
        </w:rPr>
        <w:t>Bill Harradence</w:t>
      </w:r>
      <w:r>
        <w:rPr>
          <w:rFonts w:ascii="times" w:hAnsi="times"/>
        </w:rPr>
        <w:t xml:space="preserve"> </w:t>
      </w:r>
      <w:r>
        <w:rPr>
          <w:rFonts w:ascii="times" w:hAnsi="times"/>
          <w:sz w:val="20"/>
        </w:rPr>
        <w:t xml:space="preserve">has served as Vice President, Human Resources of PMC (Nova Scotia) Company since October 2007. Prior to joining PMC, Mr. Harradence served as Vice President of Human Resources and Organizational Development at IHS Energy from February 2005 until October 2007, and prior to that he led Human Resources/EH&amp;S at Aquila Canada for four years. Mr. Harradence has over 25 years of human resources experience including Amoco and Safeway. </w:t>
      </w:r>
    </w:p>
    <w:p>
      <w:pPr>
        <w:pStyle w:val="TextBody"/>
        <w:rPr/>
      </w:pPr>
      <w:r>
        <w:rPr/>
        <w:t>        </w:t>
      </w:r>
      <w:r>
        <w:rPr>
          <w:rFonts w:ascii="times" w:hAnsi="times"/>
          <w:i/>
          <w:sz w:val="20"/>
        </w:rPr>
        <w:t>Jim G. Hester</w:t>
      </w:r>
      <w:r>
        <w:rPr>
          <w:rFonts w:ascii="times" w:hAnsi="times"/>
        </w:rPr>
        <w:t xml:space="preserve"> </w:t>
      </w:r>
      <w:r>
        <w:rPr>
          <w:rFonts w:ascii="times" w:hAnsi="times"/>
          <w:sz w:val="20"/>
        </w:rPr>
        <w:t xml:space="preserve">has served as Vice PresidentAcquisitions since March 2002. Prior to joining us, Mr. Hester was Senior Vice PresidentSpecial Projects 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 </w:t>
      </w:r>
    </w:p>
    <w:p>
      <w:pPr>
        <w:pStyle w:val="TextBody"/>
        <w:rPr/>
      </w:pPr>
      <w:r>
        <w:rPr/>
        <w:t>        </w:t>
      </w:r>
      <w:r>
        <w:rPr>
          <w:rFonts w:ascii="times" w:hAnsi="times"/>
          <w:i/>
          <w:sz w:val="20"/>
        </w:rPr>
        <w:t>John Keffer</w:t>
      </w:r>
      <w:r>
        <w:rPr>
          <w:rFonts w:ascii="times" w:hAnsi="times"/>
        </w:rPr>
        <w:t xml:space="preserve"> </w:t>
      </w:r>
      <w:r>
        <w:rPr>
          <w:rFonts w:ascii="times" w:hAnsi="times"/>
          <w:sz w:val="20"/>
        </w:rPr>
        <w:t xml:space="preserve">has served as Vice PresidentTerminals since November 2006. Mr. Keffer joined Plains Marketing L.P. in October 1998 and prior to his appointment as Vice President, he served as Managing DirectorRefinery Supply, Director of Trading and Manager of Sales and Trading. Prior to joining Plains, Mr. Keffer was with Prebon Energy, an energy brokerage firm, from January 1996 through September 1998. Mr. Keffer was with the Permian Corporation/Scurlock Permian from January 1990 through December 1995, where he served in several capacities in the marketing department including Director of Crude Oil Trading. Mr. Keffer began his career with Amoco Production Company and served in various capacities beginning in June 1982. </w:t>
      </w:r>
    </w:p>
    <w:p>
      <w:pPr>
        <w:pStyle w:val="TextBody"/>
        <w:rPr/>
      </w:pPr>
      <w:r>
        <w:rPr/>
        <w:t>        </w:t>
      </w:r>
      <w:r>
        <w:rPr>
          <w:rFonts w:ascii="times" w:hAnsi="times"/>
          <w:i/>
          <w:sz w:val="20"/>
        </w:rPr>
        <w:t>Charles Kingswell-Smith</w:t>
      </w:r>
      <w:r>
        <w:rPr>
          <w:rFonts w:ascii="times" w:hAnsi="times"/>
        </w:rPr>
        <w:t xml:space="preserve"> </w:t>
      </w:r>
      <w:r>
        <w:rPr>
          <w:rFonts w:ascii="times" w:hAnsi="times"/>
          <w:sz w:val="20"/>
        </w:rPr>
        <w:t xml:space="preserve">has served as Vice President and Treasurer since August 2008. Mr. Kingswell-Smith previously served as Managing Director of GE Energy Financial Services from January 2008 to July 2008 and as Managing Director with Merrill Lynch Capital from March 2007 until January 2008. Prior to joining Merrill Lynch Capital, Mr. Kingswell-Smith spent 12 years in the energy banking business with JPMorgan Chase and BankOne. </w:t>
      </w:r>
    </w:p>
    <w:p>
      <w:pPr>
        <w:pStyle w:val="TextBody"/>
        <w:rPr/>
      </w:pPr>
      <w:r>
        <w:rPr/>
        <w:t>        </w:t>
      </w:r>
      <w:r>
        <w:rPr>
          <w:rFonts w:ascii="times" w:hAnsi="times"/>
          <w:i/>
          <w:sz w:val="20"/>
        </w:rPr>
        <w:t>Mike Mikuska</w:t>
      </w:r>
      <w:r>
        <w:rPr>
          <w:rFonts w:ascii="times" w:hAnsi="times"/>
        </w:rPr>
        <w:t xml:space="preserve"> </w:t>
      </w:r>
      <w:r>
        <w:rPr>
          <w:rFonts w:ascii="times" w:hAnsi="times"/>
          <w:sz w:val="20"/>
        </w:rPr>
        <w:t xml:space="preserve">has served as Vice President, Business Development of PMC (Nova Scotia) Company since September 2008. Mr. Mikuska has been with PMC and its predecessor CANPET Energy Group Inc. since 1995 and has served in various commercial and development roles over that time. </w:t>
      </w:r>
    </w:p>
    <w:p>
      <w:pPr>
        <w:pStyle w:val="TextBody"/>
        <w:jc w:val="center"/>
        <w:rPr>
          <w:rFonts w:ascii="times" w:hAnsi="times"/>
          <w:sz w:val="20"/>
        </w:rPr>
      </w:pPr>
      <w:r>
        <w:rPr>
          <w:rFonts w:ascii="times" w:hAnsi="times"/>
          <w:sz w:val="20"/>
        </w:rPr>
        <w:t>109</w:t>
      </w:r>
    </w:p>
    <w:p>
      <w:pPr>
        <w:pStyle w:val="HorizontalLine"/>
        <w:pBdr>
          <w:bottom w:val="single" w:sz="20" w:space="0" w:color="808080"/>
        </w:pBdr>
        <w:rPr/>
      </w:pPr>
      <w:r>
        <w:rPr/>
      </w:r>
      <w:r>
        <w:br w:type="page"/>
      </w:r>
    </w:p>
    <w:p>
      <w:pPr>
        <w:pStyle w:val="TextBody"/>
        <w:rPr/>
      </w:pPr>
      <w:hyperlink w:anchor="bg12101a_main_toc">
        <w:bookmarkStart w:id="154" w:name="page_ee12101_1_110"/>
        <w:bookmarkEnd w:id="154"/>
        <w:r>
          <w:rPr>
            <w:rStyle w:val="InternetLink"/>
            <w:rFonts w:ascii="times" w:hAnsi="times"/>
            <w:sz w:val="20"/>
          </w:rPr>
          <w:t>Table of Contents</w:t>
        </w:r>
      </w:hyperlink>
    </w:p>
    <w:p>
      <w:pPr>
        <w:pStyle w:val="TextBody"/>
        <w:rPr/>
      </w:pPr>
      <w:r>
        <w:rPr/>
        <w:t>        </w:t>
      </w:r>
      <w:r>
        <w:rPr>
          <w:rFonts w:ascii="times" w:hAnsi="times"/>
          <w:i/>
          <w:sz w:val="20"/>
        </w:rPr>
        <w:t>Tim Moore</w:t>
      </w:r>
      <w:r>
        <w:rPr>
          <w:rFonts w:ascii="times" w:hAnsi="times"/>
        </w:rPr>
        <w:t xml:space="preserve"> </w:t>
      </w:r>
      <w:r>
        <w:rPr>
          <w:rFonts w:ascii="times" w:hAnsi="times"/>
          <w:sz w:val="20"/>
        </w:rPr>
        <w:t xml:space="preserve">has served as Vice President, General Counsel and Secretary since May 2000. In addition, he was Vice President, General Counsel and Secretary of Plains Resources from May 2000 to May 2001. Prior to joining Plains Resources, he served in various positions, including General CounselCorporate, with TransTexas Gas Corporation from 1994 to 2000. He previously was a corporate attorney with the Houston office of Weil, Gotshal &amp; Manges LLP. Mr. Moore also has seven years of energy industry experience as a petroleum geologist. </w:t>
      </w:r>
    </w:p>
    <w:p>
      <w:pPr>
        <w:pStyle w:val="TextBody"/>
        <w:rPr/>
      </w:pPr>
      <w:r>
        <w:rPr/>
        <w:t>        </w:t>
      </w:r>
      <w:r>
        <w:rPr>
          <w:rFonts w:ascii="times" w:hAnsi="times"/>
          <w:i/>
          <w:sz w:val="20"/>
        </w:rPr>
        <w:t>Daniel J. Nerbonne</w:t>
      </w:r>
      <w:r>
        <w:rPr>
          <w:rFonts w:ascii="times" w:hAnsi="times"/>
        </w:rPr>
        <w:t xml:space="preserve"> </w:t>
      </w:r>
      <w:r>
        <w:rPr>
          <w:rFonts w:ascii="times" w:hAnsi="times"/>
          <w:sz w:val="20"/>
        </w:rPr>
        <w:t xml:space="preserve">has served as Vice PresidentEngineering since February 2005. Prior to joining us, Mr. Nerbonne was General Manager of Portfolio Projects for Shell Oil Products US from January 2004 to 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 </w:t>
      </w:r>
    </w:p>
    <w:p>
      <w:pPr>
        <w:pStyle w:val="TextBody"/>
        <w:rPr/>
      </w:pPr>
      <w:r>
        <w:rPr/>
        <w:t>        </w:t>
      </w:r>
      <w:r>
        <w:rPr>
          <w:rFonts w:ascii="times" w:hAnsi="times"/>
          <w:i/>
          <w:sz w:val="20"/>
        </w:rPr>
        <w:t>John F. Russell</w:t>
      </w:r>
      <w:r>
        <w:rPr>
          <w:rFonts w:ascii="times" w:hAnsi="times"/>
        </w:rPr>
        <w:t xml:space="preserve"> </w:t>
      </w:r>
      <w:r>
        <w:rPr>
          <w:rFonts w:ascii="times" w:hAnsi="times"/>
          <w:sz w:val="20"/>
        </w:rPr>
        <w:t xml:space="preserve">has served as Vice PresidentWest Coast Projects since August 2007. He served as Vice PresidentPipeline Operations from July 2004 to August 2007. Prior to joining us, Mr. Russell served as Vice President of Business Development &amp; Joint Interest for ExxonMobil Pipeline Company. Mr. Russell had held numerous positions of increasing responsibility with ExxonMobil Pipeline Company or its affiliates or predecessors since 1974. </w:t>
      </w:r>
    </w:p>
    <w:p>
      <w:pPr>
        <w:pStyle w:val="TextBody"/>
        <w:rPr/>
      </w:pPr>
      <w:r>
        <w:rPr/>
        <w:t>        </w:t>
      </w:r>
      <w:r>
        <w:rPr>
          <w:rFonts w:ascii="times" w:hAnsi="times"/>
          <w:i/>
          <w:sz w:val="20"/>
        </w:rPr>
        <w:t>Robert M. Sanford</w:t>
      </w:r>
      <w:r>
        <w:rPr>
          <w:rFonts w:ascii="times" w:hAnsi="times"/>
        </w:rPr>
        <w:t xml:space="preserve"> </w:t>
      </w:r>
      <w:r>
        <w:rPr>
          <w:rFonts w:ascii="times" w:hAnsi="times"/>
          <w:sz w:val="20"/>
        </w:rPr>
        <w:t xml:space="preserve">has served as Vice PresidentLease Supply since June 2006. He served as Managing DirectorLease Acquisitions and Trucking from July 2005 to June 2006 and as Director of South Texas and Mid Continent Business Units from April 2004 to July 2005. Mr. Sanford was with Link Energy/EOTT Energy from 1994 to April 2004, where he held various positions of increasing responsibility. </w:t>
      </w:r>
    </w:p>
    <w:p>
      <w:pPr>
        <w:pStyle w:val="TextBody"/>
        <w:rPr/>
      </w:pPr>
      <w:r>
        <w:rPr/>
        <w:t>        </w:t>
      </w:r>
      <w:r>
        <w:rPr>
          <w:rFonts w:ascii="times" w:hAnsi="times"/>
          <w:i/>
          <w:sz w:val="20"/>
        </w:rPr>
        <w:t>Tina L. Val</w:t>
      </w:r>
      <w:r>
        <w:rPr>
          <w:rFonts w:ascii="times" w:hAnsi="times"/>
        </w:rPr>
        <w:t xml:space="preserve"> </w:t>
      </w:r>
      <w:r>
        <w:rPr>
          <w:rFonts w:ascii="times" w:hAnsi="times"/>
          <w:sz w:val="20"/>
        </w:rPr>
        <w:t xml:space="preserve">has served as Vice PresidentAccounting and Chief Accounting Officer since June 2003. She served as Controller from April 2000 until she was elected to her current position. From January 1998 to January 2000, Ms. Val served as a consultant to Conoco de Venezuela S.A. She previously served as Senior Financial Analyst for Plains Resources from October 1994 to July 1997. </w:t>
      </w:r>
    </w:p>
    <w:p>
      <w:pPr>
        <w:pStyle w:val="TextBody"/>
        <w:rPr/>
      </w:pPr>
      <w:r>
        <w:rPr/>
        <w:t>        </w:t>
      </w:r>
      <w:r>
        <w:rPr>
          <w:rFonts w:ascii="times" w:hAnsi="times"/>
          <w:i/>
          <w:sz w:val="20"/>
        </w:rPr>
        <w:t>Troy E. Valenzuela</w:t>
      </w:r>
      <w:r>
        <w:rPr>
          <w:rFonts w:ascii="times" w:hAnsi="times"/>
        </w:rPr>
        <w:t xml:space="preserve"> </w:t>
      </w:r>
      <w:r>
        <w:rPr>
          <w:rFonts w:ascii="times" w:hAnsi="times"/>
          <w:sz w:val="20"/>
        </w:rPr>
        <w:t xml:space="preserve">has served as Vice PresidentEnvironmental, Health and Safety, or EH&amp;S, since July 2002, and has had oversight responsibility for the environmental, safety and regulatory compliance 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 </w:t>
      </w:r>
    </w:p>
    <w:p>
      <w:pPr>
        <w:pStyle w:val="TextBody"/>
        <w:rPr/>
      </w:pPr>
      <w:r>
        <w:rPr/>
        <w:t>        </w:t>
      </w:r>
      <w:r>
        <w:rPr>
          <w:rFonts w:ascii="times" w:hAnsi="times"/>
          <w:i/>
          <w:sz w:val="20"/>
        </w:rPr>
        <w:t>Sandi Wingert</w:t>
      </w:r>
      <w:r>
        <w:rPr>
          <w:rFonts w:ascii="times" w:hAnsi="times"/>
        </w:rPr>
        <w:t xml:space="preserve"> </w:t>
      </w:r>
      <w:r>
        <w:rPr>
          <w:rFonts w:ascii="times" w:hAnsi="times"/>
          <w:sz w:val="20"/>
        </w:rPr>
        <w:t xml:space="preserve">has served as Vice President, Accounting of PMC (Nova Scotia) Company since February 2008. She has been with PMC and its predecessor CANPET Energy Group Inc. for eight years acting as Controller. Prior to joining our Canadian operations, Sandi held various accounting roles with Koch Petroleum and Ernst &amp; Young. </w:t>
      </w:r>
    </w:p>
    <w:p>
      <w:pPr>
        <w:pStyle w:val="TextBody"/>
        <w:rPr/>
      </w:pPr>
      <w:r>
        <w:rPr/>
        <w:t>        </w:t>
      </w:r>
      <w:r>
        <w:rPr>
          <w:rFonts w:ascii="times" w:hAnsi="times"/>
          <w:i/>
          <w:sz w:val="20"/>
        </w:rPr>
        <w:t>David E. Wright</w:t>
      </w:r>
      <w:r>
        <w:rPr>
          <w:rFonts w:ascii="times" w:hAnsi="times"/>
        </w:rPr>
        <w:t xml:space="preserve"> </w:t>
      </w:r>
      <w:r>
        <w:rPr>
          <w:rFonts w:ascii="times" w:hAnsi="times"/>
          <w:sz w:val="20"/>
        </w:rPr>
        <w:t xml:space="preserve">has served as Vice President since November 2006. Prior to joining Plains, he served as Executive Vice President, Corporate Development for Pacific Energy Partners, L.P. from February 2005 and as Vice President, Corporate Development and Marketing from December 2001. Mr. Wright also served as Vice President, Distribution West for Tosco Refining Company from March 1997 to June 2001, and as Vice President, Pipelines for GATX Terminals Corporation from October 1995 to March 1997. </w:t>
      </w:r>
    </w:p>
    <w:p>
      <w:pPr>
        <w:pStyle w:val="TextBody"/>
        <w:rPr/>
      </w:pPr>
      <w:r>
        <w:rPr/>
        <w:t>        </w:t>
      </w:r>
      <w:r>
        <w:rPr>
          <w:rFonts w:ascii="times" w:hAnsi="times"/>
          <w:i/>
          <w:sz w:val="20"/>
        </w:rPr>
        <w:t>Ron F. Wunder</w:t>
      </w:r>
      <w:r>
        <w:rPr>
          <w:rFonts w:ascii="times" w:hAnsi="times"/>
        </w:rPr>
        <w:t xml:space="preserve"> </w:t>
      </w:r>
      <w:r>
        <w:rPr>
          <w:rFonts w:ascii="times" w:hAnsi="times"/>
          <w:sz w:val="20"/>
        </w:rPr>
        <w:t xml:space="preserve">has served as Vice President, LPG of PMC (Nova Scotia) Company since February 2004 and as Managing Director, Crude Oil from July 2001 to February 2004. He was previously with CANPET Energy Group Inc. since 1992, where he served in various capacities, including most recently as General Manager, Crude Oil. </w:t>
      </w:r>
    </w:p>
    <w:p>
      <w:pPr>
        <w:pStyle w:val="TextBody"/>
        <w:jc w:val="center"/>
        <w:rPr>
          <w:rFonts w:ascii="times" w:hAnsi="times"/>
          <w:sz w:val="20"/>
        </w:rPr>
      </w:pPr>
      <w:r>
        <w:rPr>
          <w:rFonts w:ascii="times" w:hAnsi="times"/>
          <w:sz w:val="20"/>
        </w:rPr>
        <w:t>110</w:t>
      </w:r>
    </w:p>
    <w:p>
      <w:pPr>
        <w:pStyle w:val="HorizontalLine"/>
        <w:pBdr>
          <w:bottom w:val="single" w:sz="20" w:space="0" w:color="808080"/>
        </w:pBdr>
        <w:rPr/>
      </w:pPr>
      <w:r>
        <w:rPr/>
      </w:r>
      <w:r>
        <w:br w:type="page"/>
      </w:r>
    </w:p>
    <w:p>
      <w:pPr>
        <w:pStyle w:val="TextBody"/>
        <w:rPr/>
      </w:pPr>
      <w:hyperlink w:anchor="bg12101a_main_toc">
        <w:bookmarkStart w:id="155" w:name="page_ee12101_1_111"/>
        <w:bookmarkEnd w:id="155"/>
        <w:r>
          <w:rPr>
            <w:rStyle w:val="InternetLink"/>
            <w:rFonts w:ascii="times" w:hAnsi="times"/>
            <w:sz w:val="20"/>
          </w:rPr>
          <w:t>Table of Contents</w:t>
        </w:r>
      </w:hyperlink>
    </w:p>
    <w:p>
      <w:pPr>
        <w:pStyle w:val="TextBody"/>
        <w:rPr/>
      </w:pPr>
      <w:r>
        <w:rPr/>
        <w:t>        </w:t>
      </w:r>
      <w:r>
        <w:rPr>
          <w:rFonts w:ascii="times" w:hAnsi="times"/>
          <w:i/>
          <w:sz w:val="20"/>
        </w:rPr>
        <w:t>W. Lance Conn</w:t>
      </w:r>
      <w:r>
        <w:rPr>
          <w:rFonts w:ascii="times" w:hAnsi="times"/>
        </w:rPr>
        <w:t xml:space="preserve"> </w:t>
      </w:r>
      <w:r>
        <w:rPr>
          <w:rFonts w:ascii="times" w:hAnsi="times"/>
          <w:sz w:val="20"/>
        </w:rPr>
        <w:t xml:space="preserve">has served as a director of our general partner since November 2008. Since July 2004, Mr. Conn has served as the President of Vulcan Capital, the investment group of Vulcan Inc., the investment and project management company that oversees a diverse multi-billion dollar portfolio of investments by Paul G. Allen, where Mr. Conn has served as Executive Vice President for Investment Management. Mr. Conn also sits on the boards of Charter Communications Inc., Vulcan Energy GP Holdings Inc., Vulcan Energy Corporation, PAA/Vulcan and Digeo Inc., and is a former director of Oxygen Media. He also serves as a director on the National Fish and Wildlife Foundation, a non-profit corporation. He serves as an advisory director for Makena Capital Management and an advisor to Global Endowment Management. Prior to joining Vulcan, Mr. Conn worked for America Online, where he served in various senior business and corporate development roles in the United States and Europe. Prior to AOL, Mr. Conn was an attorney with the Shaw Pittman law firm in Washington, D.C. Mr. Conn holds a J.D. from the University of Virginia, a master's degree in history from the University of Mississippi and an A.B. in history from Princeton University. </w:t>
      </w:r>
    </w:p>
    <w:p>
      <w:pPr>
        <w:pStyle w:val="TextBody"/>
        <w:rPr/>
      </w:pPr>
      <w:r>
        <w:rPr/>
        <w:t>        </w:t>
      </w:r>
      <w:r>
        <w:rPr>
          <w:rFonts w:ascii="times" w:hAnsi="times"/>
          <w:i/>
          <w:sz w:val="20"/>
        </w:rPr>
        <w:t>Everardo Goyanes</w:t>
      </w:r>
      <w:r>
        <w:rPr>
          <w:rFonts w:ascii="times" w:hAnsi="times"/>
        </w:rPr>
        <w:t xml:space="preserve"> </w:t>
      </w:r>
      <w:r>
        <w:rPr>
          <w:rFonts w:ascii="times" w:hAnsi="times"/>
          <w:sz w:val="20"/>
        </w:rPr>
        <w:t xml:space="preserve">has served as a director of our general partner or former general partner since May 1999. Mr. Goyanes has been President and Chief Executive Officer of Liberty Energy Holdings, LLC (an energy investment firm) since May 2000.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1969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w:t>
      </w:r>
    </w:p>
    <w:p>
      <w:pPr>
        <w:pStyle w:val="TextBody"/>
        <w:rPr/>
      </w:pPr>
      <w:r>
        <w:rPr/>
        <w:t>        </w:t>
      </w:r>
      <w:r>
        <w:rPr>
          <w:rFonts w:ascii="times" w:hAnsi="times"/>
          <w:i/>
          <w:sz w:val="20"/>
        </w:rPr>
        <w:t>Gary R. Petersen</w:t>
      </w:r>
      <w:r>
        <w:rPr>
          <w:rFonts w:ascii="times" w:hAnsi="times"/>
        </w:rPr>
        <w:t xml:space="preserve"> </w:t>
      </w:r>
      <w:r>
        <w:rPr>
          <w:rFonts w:ascii="times" w:hAnsi="times"/>
          <w:sz w:val="20"/>
        </w:rPr>
        <w:t xml:space="preserve">has served as a director of our general partner since June 2001. Mr. Petersen is Senior Managing Director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Mr. Petersen holds MBA and BBA degrees from Texas Tech University. </w:t>
      </w:r>
    </w:p>
    <w:p>
      <w:pPr>
        <w:pStyle w:val="TextBody"/>
        <w:rPr/>
      </w:pPr>
      <w:r>
        <w:rPr/>
        <w:t>        </w:t>
      </w:r>
      <w:r>
        <w:rPr>
          <w:rFonts w:ascii="times" w:hAnsi="times"/>
          <w:i/>
          <w:sz w:val="20"/>
        </w:rPr>
        <w:t>Robert V. Sinnott</w:t>
      </w:r>
      <w:r>
        <w:rPr>
          <w:rFonts w:ascii="times" w:hAnsi="times"/>
        </w:rPr>
        <w:t xml:space="preserve"> </w:t>
      </w:r>
      <w:r>
        <w:rPr>
          <w:rFonts w:ascii="times" w:hAnsi="times"/>
          <w:sz w:val="20"/>
        </w:rPr>
        <w:t xml:space="preserve">has served as a director of our general partner or former general partner since September 1998. Mr. Sinnott is President, Chief Investment Officer and Senior Managing Director of energy investments of Kayne Anderson Capital Advisors, L.P. (an investment management firm). He also served as a Managing Director from 1992 to 1996 and as a Senior Managing Director from 1996 until assuming his current role in 2005. He is also President of Kayne Anderson Investment Management, Inc., the general partner of Kayne Anderson Capital Advisors, L.P. and he is a director of Kayne Anderson Energy Development Company. He was Vice President and Senior Securities Officer of the Investment Banking Division of Citibank from 1986 to 1992. Mr. Sinnott received a BA from the University of Virginia and an MBA from Harvard. </w:t>
      </w:r>
    </w:p>
    <w:p>
      <w:pPr>
        <w:pStyle w:val="TextBody"/>
        <w:rPr/>
      </w:pPr>
      <w:r>
        <w:rPr/>
        <w:t>        </w:t>
      </w:r>
      <w:r>
        <w:rPr>
          <w:rFonts w:ascii="times" w:hAnsi="times"/>
          <w:i/>
          <w:sz w:val="20"/>
        </w:rPr>
        <w:t>Arthur L. Smith</w:t>
      </w:r>
      <w:r>
        <w:rPr>
          <w:rFonts w:ascii="times" w:hAnsi="times"/>
        </w:rPr>
        <w:t xml:space="preserve"> </w:t>
      </w:r>
      <w:r>
        <w:rPr>
          <w:rFonts w:ascii="times" w:hAnsi="times"/>
          <w:sz w:val="20"/>
        </w:rPr>
        <w:t xml:space="preserve">has served as a director of our general partner or former general partner since February 1999. Mr. Smith is President and Managing Member of Triple Double Advisors, LLC, an investment advisory firm focused on the energy industry. Mr. Smith was Chairman and CEO of John S. Herold, Inc. (a petroleum research and consulting firm) from 1984 to 2007. From 1976 to 1984, Mr. Smith was a securities analyst with Argus Research Corp., The First Boston Corporation and Oppenheimer &amp; Co., Inc. Mr. Smith holds the CFA designation. He serves on the board of non-profit Dress for Success Houston and the Board of Visitors for the Nicholas School of the Environment and </w:t>
      </w:r>
    </w:p>
    <w:p>
      <w:pPr>
        <w:pStyle w:val="TextBody"/>
        <w:jc w:val="center"/>
        <w:rPr>
          <w:rFonts w:ascii="times" w:hAnsi="times"/>
          <w:sz w:val="20"/>
        </w:rPr>
      </w:pPr>
      <w:r>
        <w:rPr>
          <w:rFonts w:ascii="times" w:hAnsi="times"/>
          <w:sz w:val="20"/>
        </w:rPr>
        <w:t>111</w:t>
      </w:r>
    </w:p>
    <w:p>
      <w:pPr>
        <w:pStyle w:val="HorizontalLine"/>
        <w:pBdr>
          <w:bottom w:val="single" w:sz="20" w:space="0" w:color="808080"/>
        </w:pBdr>
        <w:rPr/>
      </w:pPr>
      <w:r>
        <w:rPr/>
      </w:r>
      <w:r>
        <w:br w:type="page"/>
      </w:r>
    </w:p>
    <w:p>
      <w:pPr>
        <w:pStyle w:val="TextBody"/>
        <w:rPr/>
      </w:pPr>
      <w:hyperlink w:anchor="bg12101a_main_toc">
        <w:bookmarkStart w:id="156" w:name="page_ee12101_1_112"/>
        <w:bookmarkEnd w:id="156"/>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Earth Sciences at Duke University. He is a director of Pioneer Natural Resources GP LLC, the general partner of Pioneer Southwest Energy Partners, L.P. Mr. Smith received a BA from Duke University and an MBA from NYU's Stern School of Business. </w:t>
      </w:r>
    </w:p>
    <w:p>
      <w:pPr>
        <w:pStyle w:val="TextBody"/>
        <w:rPr/>
      </w:pPr>
      <w:r>
        <w:rPr/>
        <w:t>        </w:t>
      </w:r>
      <w:r>
        <w:rPr>
          <w:rFonts w:ascii="times" w:hAnsi="times"/>
          <w:i/>
          <w:sz w:val="20"/>
        </w:rPr>
        <w:t>J. Taft Symonds</w:t>
      </w:r>
      <w:r>
        <w:rPr>
          <w:rFonts w:ascii="times" w:hAnsi="times"/>
        </w:rPr>
        <w:t xml:space="preserve"> </w:t>
      </w:r>
      <w:r>
        <w:rPr>
          <w:rFonts w:ascii="times" w:hAnsi="times"/>
          <w:sz w:val="20"/>
        </w:rPr>
        <w:t xml:space="preserve">has served as a director of our general partner since June 2001. Mr. Symonds is Chairman of the Board of Symonds Trust Co. Ltd.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is Chairman of the Houston Arboretum and Nature Center and serves as a director of Howard Supply Company LLC and Schilling Robotics LLC. Mr. Symonds received a BA from Stanford University and an MBA from Harvard. </w:t>
      </w:r>
    </w:p>
    <w:p>
      <w:pPr>
        <w:pStyle w:val="TextBody"/>
        <w:rPr>
          <w:rFonts w:ascii="times" w:hAnsi="times"/>
          <w:b/>
          <w:sz w:val="20"/>
        </w:rPr>
      </w:pPr>
      <w:r>
        <w:rPr>
          <w:rFonts w:ascii="times" w:hAnsi="times"/>
          <w:b/>
          <w:sz w:val="20"/>
        </w:rPr>
        <w:t xml:space="preserve">Section 16(a) Beneficial Ownership Reporting Compliance </w:t>
      </w:r>
    </w:p>
    <w:p>
      <w:pPr>
        <w:pStyle w:val="TextBody"/>
        <w:rPr/>
      </w:pPr>
      <w:r>
        <w:rPr/>
        <w:t>        </w:t>
      </w:r>
      <w:r>
        <w:rPr>
          <w:rFonts w:ascii="times" w:hAnsi="times"/>
          <w:sz w:val="20"/>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times" w:hAnsi="times"/>
          <w:i/>
          <w:sz w:val="20"/>
        </w:rPr>
        <w:t>http://www.paalp.com.</w:t>
      </w:r>
    </w:p>
    <w:p>
      <w:pPr>
        <w:pStyle w:val="TextBody"/>
        <w:rPr/>
      </w:pPr>
      <w:r>
        <w:rPr/>
        <w:t>        </w:t>
      </w:r>
      <w:r>
        <w:rPr>
          <w:rFonts w:ascii="times" w:hAnsi="times"/>
          <w:sz w:val="20"/>
        </w:rPr>
        <w:t xml:space="preserve">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2008. </w:t>
      </w:r>
    </w:p>
    <w:p>
      <w:pPr>
        <w:pStyle w:val="TextBody"/>
        <w:rPr>
          <w:rFonts w:ascii="times" w:hAnsi="times"/>
        </w:rPr>
      </w:pPr>
      <w:bookmarkStart w:id="157" w:name="toc_ee12101_1"/>
      <w:bookmarkStart w:id="158" w:name="ee12101_item_11._executive_compensation"/>
      <w:bookmarkEnd w:id="157"/>
      <w:bookmarkEnd w:id="158"/>
      <w:r>
        <w:rPr>
          <w:rFonts w:ascii="times" w:hAnsi="times"/>
          <w:b/>
          <w:sz w:val="20"/>
        </w:rPr>
        <w:t>Item 11.    </w:t>
      </w:r>
      <w:r>
        <w:rPr>
          <w:rFonts w:ascii="times" w:hAnsi="times"/>
          <w:b/>
          <w:i/>
          <w:sz w:val="20"/>
        </w:rPr>
        <w:t xml:space="preserve">Executive Compensation </w:t>
      </w:r>
    </w:p>
    <w:p>
      <w:pPr>
        <w:pStyle w:val="TextBody"/>
        <w:rPr>
          <w:rFonts w:ascii="times" w:hAnsi="times"/>
          <w:b/>
          <w:sz w:val="20"/>
        </w:rPr>
      </w:pPr>
      <w:r>
        <w:rPr>
          <w:rFonts w:ascii="times" w:hAnsi="times"/>
          <w:b/>
          <w:sz w:val="20"/>
        </w:rPr>
        <w:t xml:space="preserve">Compensation Discussion and Analysis </w:t>
      </w:r>
    </w:p>
    <w:p>
      <w:pPr>
        <w:pStyle w:val="TextBody"/>
        <w:rPr>
          <w:rFonts w:ascii="times" w:hAnsi="times"/>
          <w:b/>
          <w:i/>
          <w:sz w:val="20"/>
        </w:rPr>
      </w:pPr>
      <w:r>
        <w:rPr>
          <w:rFonts w:ascii="times" w:hAnsi="times"/>
          <w:b/>
          <w:i/>
          <w:sz w:val="20"/>
        </w:rPr>
        <w:t xml:space="preserve">Background </w:t>
      </w:r>
    </w:p>
    <w:p>
      <w:pPr>
        <w:pStyle w:val="TextBody"/>
        <w:rPr/>
      </w:pPr>
      <w:r>
        <w:rPr/>
        <w:t>        </w:t>
      </w:r>
      <w:r>
        <w:rPr>
          <w:rFonts w:ascii="times" w:hAnsi="times"/>
          <w:sz w:val="20"/>
        </w:rPr>
        <w:t xml:space="preserve">All of our officers and employees (other than Canadian personnel) are employed by Plains All American GP LLC. Our Canadian personnel are employed by PMC (Nova Scotia) Company, which is a wholly owned subsidiary. Under our partnership agreement, we are required to reimburse our general partner and its affiliates for all employment related costs, including compensation for executive officers, other than expenses related to the Class B units of Plains AAP, L.P. </w:t>
      </w:r>
    </w:p>
    <w:p>
      <w:pPr>
        <w:pStyle w:val="TextBody"/>
        <w:rPr>
          <w:rFonts w:ascii="times" w:hAnsi="times"/>
          <w:b/>
          <w:i/>
          <w:sz w:val="20"/>
        </w:rPr>
      </w:pPr>
      <w:r>
        <w:rPr>
          <w:rFonts w:ascii="times" w:hAnsi="times"/>
          <w:b/>
          <w:i/>
          <w:sz w:val="20"/>
        </w:rPr>
        <w:t xml:space="preserve">Objectives </w:t>
      </w:r>
    </w:p>
    <w:p>
      <w:pPr>
        <w:pStyle w:val="TextBody"/>
        <w:rPr/>
      </w:pPr>
      <w:r>
        <w:rPr/>
        <w:t>        </w:t>
      </w:r>
      <w:r>
        <w:rPr>
          <w:rFonts w:ascii="times" w:hAnsi="times"/>
          <w:sz w:val="20"/>
        </w:rPr>
        <w:t xml:space="preserve">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unitholders,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w:t>
      </w:r>
    </w:p>
    <w:p>
      <w:pPr>
        <w:pStyle w:val="TextBody"/>
        <w:jc w:val="center"/>
        <w:rPr>
          <w:rFonts w:ascii="times" w:hAnsi="times"/>
          <w:sz w:val="20"/>
        </w:rPr>
      </w:pPr>
      <w:r>
        <w:rPr>
          <w:rFonts w:ascii="times" w:hAnsi="times"/>
          <w:sz w:val="20"/>
        </w:rPr>
        <w:t>112</w:t>
      </w:r>
    </w:p>
    <w:p>
      <w:pPr>
        <w:pStyle w:val="HorizontalLine"/>
        <w:pBdr>
          <w:bottom w:val="single" w:sz="20" w:space="0" w:color="808080"/>
        </w:pBdr>
        <w:rPr/>
      </w:pPr>
      <w:r>
        <w:rPr/>
      </w:r>
      <w:r>
        <w:br w:type="page"/>
      </w:r>
    </w:p>
    <w:p>
      <w:pPr>
        <w:pStyle w:val="TextBody"/>
        <w:rPr/>
      </w:pPr>
      <w:hyperlink w:anchor="bg12101a_main_toc">
        <w:bookmarkStart w:id="159" w:name="page_ee12101_1_113"/>
        <w:bookmarkEnd w:id="159"/>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based on their relative contribution to achieving or exceeding annual goals and the determination of specific individuals' long-term incentive awards is 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 </w:t>
      </w:r>
    </w:p>
    <w:p>
      <w:pPr>
        <w:pStyle w:val="TextBody"/>
        <w:rPr>
          <w:rFonts w:ascii="times" w:hAnsi="times"/>
          <w:b/>
          <w:i/>
          <w:sz w:val="20"/>
        </w:rPr>
      </w:pPr>
      <w:r>
        <w:rPr>
          <w:rFonts w:ascii="times" w:hAnsi="times"/>
          <w:b/>
          <w:i/>
          <w:sz w:val="20"/>
        </w:rPr>
        <w:t xml:space="preserve">Elements of Compensation </w:t>
      </w:r>
    </w:p>
    <w:p>
      <w:pPr>
        <w:pStyle w:val="TextBody"/>
        <w:rPr/>
      </w:pPr>
      <w:r>
        <w:rPr/>
        <w:t>        </w:t>
      </w:r>
      <w:r>
        <w:rPr>
          <w:rFonts w:ascii="times" w:hAnsi="times"/>
          <w:i/>
          <w:sz w:val="20"/>
        </w:rPr>
        <w:t>Salary.</w:t>
      </w:r>
      <w:r>
        <w:rPr>
          <w:rFonts w:ascii="times" w:hAnsi="times"/>
        </w:rPr>
        <w:t>    </w:t>
      </w:r>
      <w:r>
        <w:rPr>
          <w:rFonts w:ascii="times" w:hAnsi="times"/>
          <w:sz w:val="20"/>
        </w:rPr>
        <w:t xml:space="preserve">We do not "benchmark" our salary or bonus amounts. In practice, we believe our salaries are generally competitive with the narrower universe of large-cap MLP peers, but are moderate relative to the broad spectrum of energy industry competitors for similar talent. </w:t>
      </w:r>
    </w:p>
    <w:p>
      <w:pPr>
        <w:pStyle w:val="TextBody"/>
        <w:rPr/>
      </w:pPr>
      <w:r>
        <w:rPr/>
        <w:t>        </w:t>
      </w:r>
      <w:r>
        <w:rPr>
          <w:rFonts w:ascii="times" w:hAnsi="times"/>
          <w:i/>
          <w:sz w:val="20"/>
        </w:rPr>
        <w:t>Cash Bonuses.</w:t>
      </w:r>
      <w:r>
        <w:rPr>
          <w:rFonts w:ascii="times" w:hAnsi="times"/>
        </w:rPr>
        <w:t>    </w:t>
      </w:r>
      <w:r>
        <w:rPr>
          <w:rFonts w:ascii="times" w:hAnsi="times"/>
          <w:sz w:val="20"/>
        </w:rPr>
        <w:t xml:space="preserve">Our cash bonuses consist of annual discretionary bonuses in which all of our current domestic Named Executive Officers potentially participate and a formula-based quarterly bonus program in which Mr. vonBerg was eligible to participate in 2008, 2007 and 2006. Mr. Kramer will also be eligible to participate in this program beginning in 2009. Mr. Duckett participates in a formula-based quarterly and annual bonus program specific to activities managed by our Canadian personnel. </w:t>
      </w:r>
    </w:p>
    <w:p>
      <w:pPr>
        <w:pStyle w:val="TextBody"/>
        <w:rPr/>
      </w:pPr>
      <w:r>
        <w:rPr/>
        <w:t>        </w:t>
      </w:r>
      <w:r>
        <w:rPr>
          <w:rFonts w:ascii="times" w:hAnsi="times"/>
          <w:i/>
          <w:sz w:val="20"/>
        </w:rPr>
        <w:t>Long-Term Incentive Awards.</w:t>
      </w:r>
      <w:r>
        <w:rPr>
          <w:rFonts w:ascii="times" w:hAnsi="times"/>
        </w:rPr>
        <w:t>    </w:t>
      </w:r>
      <w:r>
        <w:rPr>
          <w:rFonts w:ascii="times" w:hAnsi="times"/>
          <w:sz w:val="20"/>
        </w:rPr>
        <w:t xml:space="preserve">The primary long-term measure of our performance is our ability to increase our sustainable quarterly distribution to our unitholders. Historically, we have used performance indexed phantom unit grants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six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 </w:t>
      </w:r>
    </w:p>
    <w:p>
      <w:pPr>
        <w:pStyle w:val="TextBody"/>
        <w:rPr/>
      </w:pPr>
      <w:r>
        <w:rPr/>
        <w:t>        </w:t>
      </w:r>
      <w:r>
        <w:rPr>
          <w:rFonts w:ascii="times" w:hAnsi="times"/>
          <w:sz w:val="20"/>
        </w:rPr>
        <w:t xml:space="preserve">In 2007, the owners of Plains AAP, L.P. authorized the creation of "Class B" units of Plains AAP, L.P. and authorized GP LLC's compensation committee to issue grants of Class B units to create additional long-term incentives for our management. The entire economic burden of the Class B units, which are equity classified, is borne solely by Plains AAP, L.P. and does not impact our cash or units outstanding. </w:t>
      </w:r>
    </w:p>
    <w:p>
      <w:pPr>
        <w:pStyle w:val="TextBody"/>
        <w:rPr/>
      </w:pPr>
      <w:r>
        <w:rPr/>
        <w:t>        </w:t>
      </w:r>
      <w:r>
        <w:rPr>
          <w:rFonts w:ascii="times" w:hAnsi="times"/>
          <w:sz w:val="20"/>
        </w:rPr>
        <w:t xml:space="preserve">The Class B units are subject to restrictions on transfer and generally become incrementally "earned" (entitled to participate in distributions) upon achievement of certain performance thresholds. As of February 10, 2009, 25% of the outstanding Class B units had been earned. </w:t>
      </w:r>
    </w:p>
    <w:p>
      <w:pPr>
        <w:pStyle w:val="TextBody"/>
        <w:rPr/>
      </w:pPr>
      <w:r>
        <w:rPr/>
        <w:t>        </w:t>
      </w:r>
      <w:r>
        <w:rPr>
          <w:rFonts w:ascii="times" w:hAnsi="times"/>
          <w:sz w:val="20"/>
        </w:rPr>
        <w:t xml:space="preserve">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(subject to certain exceptions) prior to January 1, 2016. A portion of unvested Class B units </w:t>
      </w:r>
    </w:p>
    <w:p>
      <w:pPr>
        <w:pStyle w:val="TextBody"/>
        <w:jc w:val="center"/>
        <w:rPr>
          <w:rFonts w:ascii="times" w:hAnsi="times"/>
          <w:sz w:val="20"/>
        </w:rPr>
      </w:pPr>
      <w:r>
        <w:rPr>
          <w:rFonts w:ascii="times" w:hAnsi="times"/>
          <w:sz w:val="20"/>
        </w:rPr>
        <w:t>113</w:t>
      </w:r>
    </w:p>
    <w:p>
      <w:pPr>
        <w:pStyle w:val="HorizontalLine"/>
        <w:pBdr>
          <w:bottom w:val="single" w:sz="20" w:space="0" w:color="808080"/>
        </w:pBdr>
        <w:rPr/>
      </w:pPr>
      <w:r>
        <w:rPr/>
      </w:r>
      <w:r>
        <w:br w:type="page"/>
      </w:r>
    </w:p>
    <w:p>
      <w:pPr>
        <w:pStyle w:val="TextBody"/>
        <w:rPr/>
      </w:pPr>
      <w:hyperlink w:anchor="bg12101a_main_toc">
        <w:bookmarkStart w:id="160" w:name="page_ee12101_1_114"/>
        <w:bookmarkEnd w:id="160"/>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will vest (no longer be subject to the call right) upon a change of control. All earned Class B units will also vest if they remain outstanding as of January 1, 2016 or Plains AAP, L.P. elects not to timely exercise its call right. See Item 13. "Certain Relationships and Related Transactions, and Director IndependenceTransactions with Related PersonsOur General PartnerClass B Units of Plains AAP, L.P." </w:t>
      </w:r>
    </w:p>
    <w:p>
      <w:pPr>
        <w:pStyle w:val="TextBody"/>
        <w:rPr>
          <w:rFonts w:ascii="times" w:hAnsi="times"/>
          <w:b/>
          <w:i/>
          <w:sz w:val="20"/>
        </w:rPr>
      </w:pPr>
      <w:r>
        <w:rPr>
          <w:rFonts w:ascii="times" w:hAnsi="times"/>
          <w:b/>
          <w:i/>
          <w:sz w:val="20"/>
        </w:rPr>
        <w:t xml:space="preserve">Relation of Compensation Elements to Compensation Objectives </w:t>
      </w:r>
    </w:p>
    <w:p>
      <w:pPr>
        <w:pStyle w:val="TextBody"/>
        <w:rPr/>
      </w:pPr>
      <w:r>
        <w:rPr/>
        <w:t>        </w:t>
      </w:r>
      <w:r>
        <w:rPr>
          <w:rFonts w:ascii="times" w:hAnsi="times"/>
          <w:sz w:val="20"/>
        </w:rPr>
        <w:t xml:space="preserve">Our compensation program is designed to motivate, reward and retain our executive officers. Cash bonuses serve as a near-term motivation and reward for achieving the annual goals established at the beginning of each year. Phantom unit awards (and associated DERs) and Class B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Class B units subject to Plains AAP, L.P.'s call right, serve as near-term retention tools. Longer-term retention is facilitated by the minimum service periods of up to five years associated with phantom unit awards, the long-term (January 2016) vesting profile of the Class B units and, in the case of certain executives directly involved in activities that generate partnership earnings, annual bonuses that are payable over a three-year period. To facilitate Plains All American GP LLC's compensation committee in reviewing and making recommendations, a compensation "tally sheet" is prepared by Plains All American GP LLC's CEO and General Counsel and provided to the compensation committee. </w:t>
      </w:r>
    </w:p>
    <w:p>
      <w:pPr>
        <w:pStyle w:val="TextBody"/>
        <w:rPr/>
      </w:pPr>
      <w:r>
        <w:rPr/>
        <w:t>        </w:t>
      </w:r>
      <w:r>
        <w:rPr>
          <w:rFonts w:ascii="times" w:hAnsi="times"/>
          <w:sz w:val="20"/>
        </w:rPr>
        <w:t xml:space="preserve">Whenever compensation is used as an incentive for performance, there is the potential that management might be motivated to take unnecessary or excessive risks to reach the performance thresholds. This potential is more pronounced with short-term incentives, particularly when the measure of performance is unsustainable or inconsistent with longer-term goals. Conversely, long-term incentives blended with consistent short-term rewards lessen the potential for misdirected motivation. </w:t>
      </w:r>
    </w:p>
    <w:p>
      <w:pPr>
        <w:pStyle w:val="TextBody"/>
        <w:rPr/>
      </w:pPr>
      <w:r>
        <w:rPr/>
        <w:t>        </w:t>
      </w:r>
      <w:r>
        <w:rPr>
          <w:rFonts w:ascii="times" w:hAnsi="times"/>
          <w:sz w:val="20"/>
        </w:rPr>
        <w:t xml:space="preserve">We stress performance-based compensation elements to attempt to create a performance-driven environment in which our executive officers are (i) 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the board in applying the elements of compensation (as discussed in more detail below) provide an adequate level of oversight with respect to the degree of risk being taken by management to achieve short-term performance goals. </w:t>
      </w:r>
    </w:p>
    <w:p>
      <w:pPr>
        <w:pStyle w:val="TextBody"/>
        <w:rPr/>
      </w:pPr>
      <w:r>
        <w:rPr/>
        <w:t>        </w:t>
      </w:r>
      <w:r>
        <w:rPr>
          <w:rFonts w:ascii="times" w:hAnsi="times"/>
          <w:sz w:val="20"/>
        </w:rPr>
        <w:t xml:space="preserve">We believe our compensation program has been instrumental in our achievement of stated objectives. Over the five-year period ended December 31, 2008, our annual distribution per common unit has grown at a compound annual rate of 9.7% and the total return realized by our unitholders for that period averaged approximately 8.2%. During this period, we have enjoyed a very high rate of retention among executive officers. </w:t>
      </w:r>
    </w:p>
    <w:p>
      <w:pPr>
        <w:pStyle w:val="TextBody"/>
        <w:rPr>
          <w:rFonts w:ascii="times" w:hAnsi="times"/>
          <w:b/>
          <w:i/>
          <w:sz w:val="20"/>
        </w:rPr>
      </w:pPr>
      <w:r>
        <w:rPr>
          <w:rFonts w:ascii="times" w:hAnsi="times"/>
          <w:b/>
          <w:i/>
          <w:sz w:val="20"/>
        </w:rPr>
        <w:t xml:space="preserve">Application of Compensation Elements </w:t>
      </w:r>
    </w:p>
    <w:p>
      <w:pPr>
        <w:pStyle w:val="TextBody"/>
        <w:rPr/>
      </w:pPr>
      <w:r>
        <w:rPr/>
        <w:t>        </w:t>
      </w:r>
      <w:r>
        <w:rPr>
          <w:rFonts w:ascii="times" w:hAnsi="times"/>
          <w:i/>
          <w:sz w:val="20"/>
        </w:rPr>
        <w:t>Salary.</w:t>
      </w:r>
      <w:r>
        <w:rPr>
          <w:rFonts w:ascii="times" w:hAnsi="times"/>
        </w:rPr>
        <w:t>    </w:t>
      </w:r>
      <w:r>
        <w:rPr>
          <w:rFonts w:ascii="times" w:hAnsi="times"/>
          <w:sz w:val="20"/>
        </w:rPr>
        <w:t xml:space="preserve">We do not make systematic annual adjustments to the salaries of our Named Executive Officers. Instead, when indicated as a result of adding new senior management members to keep pace </w:t>
      </w:r>
    </w:p>
    <w:p>
      <w:pPr>
        <w:pStyle w:val="TextBody"/>
        <w:jc w:val="center"/>
        <w:rPr>
          <w:rFonts w:ascii="times" w:hAnsi="times"/>
          <w:sz w:val="20"/>
        </w:rPr>
      </w:pPr>
      <w:r>
        <w:rPr>
          <w:rFonts w:ascii="times" w:hAnsi="times"/>
          <w:sz w:val="20"/>
        </w:rPr>
        <w:t>114</w:t>
      </w:r>
    </w:p>
    <w:p>
      <w:pPr>
        <w:pStyle w:val="HorizontalLine"/>
        <w:pBdr>
          <w:bottom w:val="single" w:sz="20" w:space="0" w:color="808080"/>
        </w:pBdr>
        <w:rPr/>
      </w:pPr>
      <w:r>
        <w:rPr/>
      </w:r>
      <w:r>
        <w:br w:type="page"/>
      </w:r>
    </w:p>
    <w:p>
      <w:pPr>
        <w:pStyle w:val="TextBody"/>
        <w:rPr/>
      </w:pPr>
      <w:hyperlink w:anchor="bg12101a_main_toc">
        <w:bookmarkStart w:id="161" w:name="page_ee12101_1_115"/>
        <w:bookmarkEnd w:id="16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 our overall growth, necessary salary adjustments are made to maintain hierarchical relationships between senior management levels and the new senior management members. Since the date of our initial public offering (or date of employment, if later) through December 31, 2008, Messrs. Armstrong and Pefanis have each received one salary adjustment, Mr. Kramer received two salary adjustments, Mr. Duckett has received small salary adjustments in line with other Canadian personnel, Mr. vonBerg has received no salary adjustment and Mr. Swanson received three salary adjustments. </w:t>
      </w:r>
    </w:p>
    <w:p>
      <w:pPr>
        <w:pStyle w:val="TextBody"/>
        <w:rPr/>
      </w:pPr>
      <w:r>
        <w:rPr/>
        <w:t>        </w:t>
      </w:r>
      <w:r>
        <w:rPr>
          <w:rFonts w:ascii="times" w:hAnsi="times"/>
          <w:i/>
          <w:sz w:val="20"/>
        </w:rPr>
        <w:t>Annual Discretionary Bonuses.</w:t>
      </w:r>
      <w:r>
        <w:rPr>
          <w:rFonts w:ascii="times" w:hAnsi="times"/>
        </w:rPr>
        <w:t>    </w:t>
      </w:r>
      <w:r>
        <w:rPr>
          <w:rFonts w:ascii="times" w:hAnsi="times"/>
          <w:sz w:val="20"/>
        </w:rPr>
        <w:t xml:space="preserve">Annual discretionary bonuses are determined based on our performance relative to our annual plan forecast and public guidance, our distribution growth targets and other quantitative and qualitative goals established at the beginning of each year. Such annual objectives are discussed and reviewed with the board of directors in conjunction with the review and authorization of the annual plan. </w:t>
      </w:r>
    </w:p>
    <w:p>
      <w:pPr>
        <w:pStyle w:val="TextBody"/>
        <w:rPr/>
      </w:pPr>
      <w:r>
        <w:rPr/>
        <w:t>        </w:t>
      </w:r>
      <w:r>
        <w:rPr>
          <w:rFonts w:ascii="times" w:hAnsi="times"/>
          <w:sz w:val="20"/>
        </w:rPr>
        <w:t xml:space="preserve">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 </w:t>
      </w:r>
    </w:p>
    <w:p>
      <w:pPr>
        <w:pStyle w:val="TextBody"/>
        <w:rPr/>
      </w:pPr>
      <w:r>
        <w:rPr/>
        <w:t>        </w:t>
      </w:r>
      <w:r>
        <w:rPr>
          <w:rFonts w:ascii="times" w:hAnsi="times"/>
          <w:sz w:val="20"/>
        </w:rPr>
        <w:t xml:space="preserve">The resulting document and supporting detail is submitted to the board of directors of Plains All American GP LLC for review and comment. Based on the conclusions set forth in the annual performance review, the CEO submits recommendations to the compensation committee for bonuses to our Named Executive Officers, taking into account the relative contribution of the individual officer. Except as described below for Mr. Duckett,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 </w:t>
      </w:r>
    </w:p>
    <w:p>
      <w:pPr>
        <w:pStyle w:val="TextBody"/>
        <w:rPr/>
      </w:pPr>
      <w:r>
        <w:rPr/>
        <w:t>        </w:t>
      </w:r>
      <w:r>
        <w:rPr>
          <w:rFonts w:ascii="times" w:hAnsi="times"/>
          <w:sz w:val="20"/>
        </w:rPr>
        <w:t xml:space="preserve">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instances, the CEO (and more recently the President as well) has requested that the bonus amount recommended by the compensation committee be reduced to maintain a closer relationship to bonuses awarded to the other Named Executive Officers. As a result,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consensus on the appropriate bonus amount for the CEO. The preliminary draft is then revised to include any changes or adjustments, as well as an </w:t>
      </w:r>
    </w:p>
    <w:p>
      <w:pPr>
        <w:pStyle w:val="TextBody"/>
        <w:jc w:val="center"/>
        <w:rPr>
          <w:rFonts w:ascii="times" w:hAnsi="times"/>
          <w:sz w:val="20"/>
        </w:rPr>
      </w:pPr>
      <w:r>
        <w:rPr>
          <w:rFonts w:ascii="times" w:hAnsi="times"/>
          <w:sz w:val="20"/>
        </w:rPr>
        <w:t>115</w:t>
      </w:r>
    </w:p>
    <w:p>
      <w:pPr>
        <w:pStyle w:val="HorizontalLine"/>
        <w:pBdr>
          <w:bottom w:val="single" w:sz="20" w:space="0" w:color="808080"/>
        </w:pBdr>
        <w:rPr/>
      </w:pPr>
      <w:r>
        <w:rPr/>
      </w:r>
      <w:r>
        <w:br w:type="page"/>
      </w:r>
    </w:p>
    <w:p>
      <w:pPr>
        <w:pStyle w:val="TextBody"/>
        <w:rPr/>
      </w:pPr>
      <w:hyperlink w:anchor="bg12101a_main_toc">
        <w:bookmarkStart w:id="162" w:name="page_ee12101_1_116"/>
        <w:bookmarkEnd w:id="162"/>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amount for the CEO, in the formal submittal to the compensation committee for review and recommendation to the board. </w:t>
      </w:r>
    </w:p>
    <w:p>
      <w:pPr>
        <w:pStyle w:val="TextBody"/>
        <w:rPr/>
      </w:pPr>
      <w:r>
        <w:rPr/>
        <w:t>        </w:t>
      </w:r>
      <w:r>
        <w:rPr>
          <w:rFonts w:ascii="times" w:hAnsi="times"/>
          <w:i/>
          <w:sz w:val="20"/>
        </w:rPr>
        <w:t>U.S. Bonus based on Adjusted EBITDA.</w:t>
      </w:r>
      <w:r>
        <w:rPr>
          <w:rFonts w:ascii="times" w:hAnsi="times"/>
        </w:rPr>
        <w:t>    </w:t>
      </w:r>
      <w:r>
        <w:rPr>
          <w:rFonts w:ascii="times" w:hAnsi="times"/>
          <w:sz w:val="20"/>
        </w:rPr>
        <w:t xml:space="preserve">Mr. vonBerg and certain other members of our U.S. based senior management team are directly involved in activities that generate partnership earnings. These individuals, along with other employees in our marketing and business development groups participate in a quarterly bonus pool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Allocation of quarterly bonus amounts among all participants based on relative contribution is recommended to or by Mr. Pefanis and reviewed, modified and approved by Mr. Armstrong, as appropriate. Messrs. Pefanis and Armstrong do not participate in the quarterly bonus. The quarterly bonus amount for Mr. vonBerg is taken into consideration in determining the recommended annual discretionary bonus submitted by the CEO to the compensation committee. </w:t>
      </w:r>
    </w:p>
    <w:p>
      <w:pPr>
        <w:pStyle w:val="TextBody"/>
        <w:rPr/>
      </w:pPr>
      <w:r>
        <w:rPr/>
        <w:t>        </w:t>
      </w:r>
      <w:r>
        <w:rPr>
          <w:rFonts w:ascii="times" w:hAnsi="times"/>
          <w:i/>
          <w:sz w:val="20"/>
        </w:rPr>
        <w:t>Annual Bonus and Quarterly Bonus based on Adjusted EBITDA (Canada).</w:t>
      </w:r>
      <w:r>
        <w:rPr>
          <w:rFonts w:ascii="times" w:hAnsi="times"/>
        </w:rPr>
        <w:t>    </w:t>
      </w:r>
      <w:r>
        <w:rPr>
          <w:rFonts w:ascii="times" w:hAnsi="times"/>
          <w:sz w:val="20"/>
        </w:rPr>
        <w:t xml:space="preserve">Substantially all of the personnel employed by PMC (Nova Scotia) Company (including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program.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 </w:t>
      </w:r>
    </w:p>
    <w:p>
      <w:pPr>
        <w:pStyle w:val="TextBody"/>
        <w:rPr/>
      </w:pPr>
      <w:r>
        <w:rPr/>
        <w:t>        </w:t>
      </w:r>
      <w:r>
        <w:rPr>
          <w:rFonts w:ascii="times" w:hAnsi="times"/>
          <w:i/>
          <w:sz w:val="20"/>
        </w:rPr>
        <w:t>Long-Term Incentive Awards.</w:t>
      </w:r>
      <w:r>
        <w:rPr>
          <w:rFonts w:ascii="times" w:hAnsi="times"/>
        </w:rPr>
        <w:t>    </w:t>
      </w:r>
      <w:r>
        <w:rPr>
          <w:rFonts w:ascii="times" w:hAnsi="times"/>
          <w:sz w:val="20"/>
        </w:rPr>
        <w:t xml:space="preserve">We do not make systematic annual phantom unit awards to our Named Executive Officers. Instead, our objective is to time the granting of awards such that as performance thresholds are met for existing awards, additional long-term incentives are created. Thus, performance is rewarded by relatively greater frequency of awards and lack of performance by relatively lesser frequency of awards. Generally, we believe that a three- to four-year grant cycle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 </w:t>
      </w:r>
    </w:p>
    <w:p>
      <w:pPr>
        <w:pStyle w:val="TextBody"/>
        <w:rPr/>
      </w:pPr>
      <w:r>
        <w:rPr/>
        <w:t>        </w:t>
      </w:r>
      <w:r>
        <w:rPr>
          <w:rFonts w:ascii="times" w:hAnsi="times"/>
          <w:sz w:val="20"/>
        </w:rPr>
        <w:t xml:space="preserve">As an additional means of providing longer-term, performance-based officer incentives that require extended periods of employment to realize the full benefit, in 2007 the owners of Plains AAP, L.P. authorized the creation of "Class B" units of Plains AAP, L.P., which the compensation committee of GP LLC is authorized to administer. See "Elements of CompensationLong-Term Incentives." These Class B units are limited to 200,000 authorized units, of which approximately 154,000 were issued as of December 31, 2008 pursuant to individual restricted units agreements between Plains AAP, L.P. and certain members of management. As of December 31, 2008 our Named Executive Officers held 111,000 of the restricted Class B units. The remaining available Class B units are </w:t>
      </w:r>
    </w:p>
    <w:p>
      <w:pPr>
        <w:pStyle w:val="TextBody"/>
        <w:jc w:val="center"/>
        <w:rPr>
          <w:rFonts w:ascii="times" w:hAnsi="times"/>
          <w:sz w:val="20"/>
        </w:rPr>
      </w:pPr>
      <w:r>
        <w:rPr>
          <w:rFonts w:ascii="times" w:hAnsi="times"/>
          <w:sz w:val="20"/>
        </w:rPr>
        <w:t>116</w:t>
      </w:r>
    </w:p>
    <w:p>
      <w:pPr>
        <w:pStyle w:val="HorizontalLine"/>
        <w:pBdr>
          <w:bottom w:val="single" w:sz="20" w:space="0" w:color="808080"/>
        </w:pBdr>
        <w:rPr/>
      </w:pPr>
      <w:r>
        <w:rPr/>
      </w:r>
      <w:r>
        <w:br w:type="page"/>
      </w:r>
    </w:p>
    <w:p>
      <w:pPr>
        <w:pStyle w:val="TextBody"/>
        <w:rPr/>
      </w:pPr>
      <w:hyperlink w:anchor="bg12101a_main_toc">
        <w:bookmarkStart w:id="163" w:name="page_ee12101_1_117"/>
        <w:bookmarkEnd w:id="163"/>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administered at the discretion of the compensation committee and may be awarded upon advancement, exceptional performance or other change in circumstance of an existing member of management, or upon the addition of a new individual to the management team. </w:t>
      </w:r>
    </w:p>
    <w:p>
      <w:pPr>
        <w:pStyle w:val="TextBody"/>
        <w:rPr>
          <w:rFonts w:ascii="times" w:hAnsi="times"/>
          <w:b/>
          <w:i/>
          <w:sz w:val="20"/>
        </w:rPr>
      </w:pPr>
      <w:r>
        <w:rPr>
          <w:rFonts w:ascii="times" w:hAnsi="times"/>
          <w:b/>
          <w:i/>
          <w:sz w:val="20"/>
        </w:rPr>
        <w:t xml:space="preserve">Application in 2008 </w:t>
      </w:r>
    </w:p>
    <w:p>
      <w:pPr>
        <w:pStyle w:val="TextBody"/>
        <w:rPr/>
      </w:pPr>
      <w:r>
        <w:rPr/>
        <w:t>        </w:t>
      </w:r>
      <w:r>
        <w:rPr>
          <w:rFonts w:ascii="times" w:hAnsi="times"/>
          <w:sz w:val="20"/>
        </w:rPr>
        <w:t xml:space="preserve">At the beginning of 2008, we established four public goals with paraphrased versions of two of these goals overlapping with two of our five internal goals. As a result, we entered 2008 with seven distinct goals for the year. </w:t>
      </w:r>
    </w:p>
    <w:p>
      <w:pPr>
        <w:pStyle w:val="TextBody"/>
        <w:rPr/>
      </w:pPr>
      <w:r>
        <w:rPr/>
        <w:t>        </w:t>
      </w:r>
      <w:r>
        <w:rPr>
          <w:rFonts w:ascii="times" w:hAnsi="times"/>
          <w:sz w:val="20"/>
        </w:rPr>
        <w:t xml:space="preserve">The four public goals for the year were to: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Deliver baseline operating and financial performance in line with guidance;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Successfully execute our 2008 capital program and set the stage for 7% to 10% adjusted EBITDA growth in 2009;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Pursue an average of $200 to $300 million of strategic and accretive acquisitions; and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 year-over-year distributions in 2008 by $0.20 - $0.25 per unit. In connection with closing the Rainbow acquisition in May 2008, the year-over-year distribution growth target range was increased to $0.25 - $0.30 per unit (equivalent to a November 2008 annualized distribution of $3.61 to $3.66 per unit). </w:t>
      </w:r>
    </w:p>
    <w:p>
      <w:pPr>
        <w:pStyle w:val="TextBody"/>
        <w:rPr>
          <w:rFonts w:ascii="times" w:hAnsi="times"/>
          <w:sz w:val="20"/>
        </w:rPr>
      </w:pPr>
      <w:r>
        <w:rPr>
          <w:rFonts w:ascii="times" w:hAnsi="times"/>
          <w:sz w:val="20"/>
        </w:rPr>
        <w:t xml:space="preserve">Our three internal qualitative goals included (i) the continued expansion of our asset integrity management program with respect to assets not covered by regulatory mandate, (ii) maintaining and improving organizational communication, and (iii) preparing the organization for future growth. </w:t>
      </w:r>
    </w:p>
    <w:p>
      <w:pPr>
        <w:pStyle w:val="TextBody"/>
        <w:rPr/>
      </w:pPr>
      <w:r>
        <w:rPr/>
        <w:t>        </w:t>
      </w:r>
      <w:r>
        <w:rPr>
          <w:rFonts w:ascii="times" w:hAnsi="times"/>
          <w:sz w:val="20"/>
        </w:rPr>
        <w:t xml:space="preserve">In general, we met or exceeded these seven goals, but performance relative to execution of our 2008 capital program included one notable exception (discussed in paragraph 2. below). </w:t>
      </w:r>
    </w:p>
    <w:p>
      <w:pPr>
        <w:pStyle w:val="TextBody"/>
        <w:rPr/>
      </w:pPr>
      <w:r>
        <w:rPr/>
        <w:t>        </w:t>
      </w:r>
      <w:r>
        <w:rPr>
          <w:rFonts w:ascii="times" w:hAnsi="times"/>
          <w:sz w:val="20"/>
        </w:rPr>
        <w:t xml:space="preserve">With respect to our four public goals: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Excluding the unforecasted contribution from acquisitions completed during the year, our adjusted EBITDA was in line with the midpoint of the original guidance for 2008 and performance from acquisitions completed during the year was in line with updated guidance;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We began the year with a $330 million capital program that was expanded during the year to $470 million. The vast majority of these projects were timely completed and in line with cost forecast, but one pipeline construction project encountered significant difficulties resulting in a delay and a measurable cost overrun. Financial and operating guidance furnished for 2009 is in line with targeted growth objectives;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We completed two strategic and complementary acquisitions totaling approximately $735 million. Excluding the Pacific acquisition completed in 2006, our three year average acquisition expenditures total approximately $487 million per year; and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We paid approximately $3.50 per unit in distributions during 2008, a $0.22 per unit increase over the $3.28 paid per unit in 2007. Our November 2008 annualized distribution rate was $3.57 per unit, which represented a 6.3% increase over the November 2007 annualized rate of $3.36 per unit. This increase is within the targeted 5% to 8% range established at the beginning of 2008, but is below the increased range targeted in connection with the Rainbow acquisition. The November distribution reflects management's decision to balance the near-term benefits of distribution growth with the long-term benefits of retaining excess cash flow during challenging financial times for capital formation. </w:t>
      </w:r>
    </w:p>
    <w:p>
      <w:pPr>
        <w:pStyle w:val="TextBody"/>
        <w:jc w:val="center"/>
        <w:rPr>
          <w:rFonts w:ascii="times" w:hAnsi="times"/>
          <w:sz w:val="20"/>
        </w:rPr>
      </w:pPr>
      <w:r>
        <w:rPr>
          <w:rFonts w:ascii="times" w:hAnsi="times"/>
          <w:sz w:val="20"/>
        </w:rPr>
        <w:t>117</w:t>
      </w:r>
    </w:p>
    <w:p>
      <w:pPr>
        <w:pStyle w:val="HorizontalLine"/>
        <w:pBdr>
          <w:bottom w:val="single" w:sz="20" w:space="0" w:color="808080"/>
        </w:pBdr>
        <w:rPr/>
      </w:pPr>
      <w:r>
        <w:rPr/>
      </w:r>
      <w:r>
        <w:br w:type="page"/>
      </w:r>
    </w:p>
    <w:p>
      <w:pPr>
        <w:pStyle w:val="TextBody"/>
        <w:rPr/>
      </w:pPr>
      <w:hyperlink w:anchor="bg12101a_main_toc">
        <w:bookmarkStart w:id="164" w:name="page_eg12101_1_118"/>
        <w:bookmarkEnd w:id="164"/>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During 2008, we continued to expand, implement and develop our integrity management. Many actions were taken in 2008 to improve communication throughout the organization and special efforts were made during the year to timely address headline issues regarding the turmoil in the financial markets, events affecting certain of our competitors and our relative positioning. We also continued to define and develop succession plans, added important members to the senior management team and successfully managed through several planned and unplanned changes at the senior management level. </w:t>
      </w:r>
    </w:p>
    <w:p>
      <w:pPr>
        <w:pStyle w:val="TextBody"/>
        <w:rPr/>
      </w:pPr>
      <w:r>
        <w:rPr/>
        <w:t>        </w:t>
      </w:r>
      <w:r>
        <w:rPr>
          <w:rFonts w:ascii="times" w:hAnsi="times"/>
          <w:sz w:val="20"/>
        </w:rPr>
        <w:t xml:space="preserve">For 2008, the elements of compensation were applied as follows: </w:t>
      </w:r>
    </w:p>
    <w:p>
      <w:pPr>
        <w:pStyle w:val="TextBody"/>
        <w:rPr/>
      </w:pPr>
      <w:r>
        <w:rPr/>
        <w:t>        </w:t>
      </w:r>
      <w:r>
        <w:rPr>
          <w:rFonts w:ascii="times" w:hAnsi="times"/>
          <w:i/>
          <w:sz w:val="20"/>
        </w:rPr>
        <w:t>Salary.</w:t>
      </w:r>
      <w:r>
        <w:rPr>
          <w:rFonts w:ascii="times" w:hAnsi="times"/>
        </w:rPr>
        <w:t>    </w:t>
      </w:r>
      <w:r>
        <w:rPr>
          <w:rFonts w:ascii="times" w:hAnsi="times"/>
          <w:sz w:val="20"/>
        </w:rPr>
        <w:t xml:space="preserve">No salary adjustments for Named Executive Officers were recommended or made in 2008. See "Narrative Disclosure to Summary Compensation Table and Grants of Plan-Based Awards Table." </w:t>
      </w:r>
    </w:p>
    <w:p>
      <w:pPr>
        <w:pStyle w:val="TextBody"/>
        <w:rPr/>
      </w:pPr>
      <w:r>
        <w:rPr/>
        <w:t>        </w:t>
      </w:r>
      <w:r>
        <w:rPr>
          <w:rFonts w:ascii="times" w:hAnsi="times"/>
          <w:i/>
          <w:sz w:val="20"/>
        </w:rPr>
        <w:t>Cash Bonuses.</w:t>
      </w:r>
      <w:r>
        <w:rPr>
          <w:rFonts w:ascii="times" w:hAnsi="times"/>
        </w:rPr>
        <w:t>    </w:t>
      </w:r>
      <w:r>
        <w:rPr>
          <w:rFonts w:ascii="times" w:hAnsi="times"/>
          <w:sz w:val="20"/>
        </w:rPr>
        <w:t xml:space="preserve">Based on the CEO's annual performance review and the individual performance of each of our Named Executive Officers, the compensation committee recommended to the board of directors and the board of directors approved the annual bonuses reflected in the Summary Compensation Table and notes thereto. Such amounts take into account the performance relative to each of the seven goals established for 2008; the absence of shortfalls relative to expectations, save and except for the delay and cost overrun on one pipeline construction project;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They also reflect performance relative to the three internal goals discussed above.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47% in annual bonus and 53% in quarterly bonus. The bonus amounts for Named Executive Officers in 2008 are generally lower than those earned in either 2007 or 2006, reflecting the assessment that although the Partnership achieved its goals in all three years, the level of over-performance in 2008 was less than that generated in the prior two years. </w:t>
      </w:r>
    </w:p>
    <w:p>
      <w:pPr>
        <w:pStyle w:val="TextBody"/>
        <w:rPr/>
      </w:pPr>
      <w:r>
        <w:rPr/>
        <w:t>        </w:t>
      </w:r>
      <w:r>
        <w:rPr>
          <w:rFonts w:ascii="times" w:hAnsi="times"/>
          <w:i/>
          <w:sz w:val="20"/>
        </w:rPr>
        <w:t>Long-Term Incentive Awards.</w:t>
      </w:r>
      <w:r>
        <w:rPr>
          <w:rFonts w:ascii="times" w:hAnsi="times"/>
        </w:rPr>
        <w:t>    </w:t>
      </w:r>
      <w:r>
        <w:rPr>
          <w:rFonts w:ascii="times" w:hAnsi="times"/>
          <w:sz w:val="20"/>
        </w:rPr>
        <w:t xml:space="preserve">There were no grants of long-term incentive awards to Named Executive Officers in 2008. See "Narrative Disclosure to Summary Compensation Table and Grants of Plan-Based Awards Table." </w:t>
      </w:r>
    </w:p>
    <w:p>
      <w:pPr>
        <w:pStyle w:val="TextBody"/>
        <w:rPr>
          <w:rFonts w:ascii="times" w:hAnsi="times"/>
          <w:b/>
          <w:i/>
          <w:sz w:val="20"/>
        </w:rPr>
      </w:pPr>
      <w:r>
        <w:rPr>
          <w:rFonts w:ascii="times" w:hAnsi="times"/>
          <w:b/>
          <w:i/>
          <w:sz w:val="20"/>
        </w:rPr>
        <w:t xml:space="preserve">Other Compensation Related Matters </w:t>
      </w:r>
    </w:p>
    <w:p>
      <w:pPr>
        <w:pStyle w:val="TextBody"/>
        <w:rPr/>
      </w:pPr>
      <w:r>
        <w:rPr/>
        <w:t>        </w:t>
      </w:r>
      <w:r>
        <w:rPr>
          <w:rFonts w:ascii="times" w:hAnsi="times"/>
          <w:i/>
          <w:sz w:val="20"/>
        </w:rPr>
        <w:t>Equity Ownership in PAA.</w:t>
      </w:r>
      <w:r>
        <w:rPr>
          <w:rFonts w:ascii="times" w:hAnsi="times"/>
        </w:rPr>
        <w:t>    </w:t>
      </w:r>
      <w:r>
        <w:rPr>
          <w:rFonts w:ascii="times" w:hAnsi="times"/>
          <w:sz w:val="20"/>
        </w:rPr>
        <w:t xml:space="preserve">As of December 31, 2008, our Named Executive Officers collectively owned substantial equity in the Partnership. Although 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In the aggregate, as of December 31, 2008, our Named Executive Officers beneficially owned, in the aggregate, approximately 756,072 of our common units (excluding any unvested equity awards), an approximately 2.8% indirect ownership interest in our general partner and IDRs, and 111,000 Class B units of Plains AAP, L.P. Based on the market price of our common units at December 31, 2008 and an implied valuation for their collective general partner and IDR interests using similar valuation metrics, the value of the equity ownership of these individuals was significantly greater than the combined aggregate salaries and bonuses for 2008. </w:t>
      </w:r>
    </w:p>
    <w:p>
      <w:pPr>
        <w:pStyle w:val="TextBody"/>
        <w:rPr/>
      </w:pPr>
      <w:r>
        <w:rPr/>
        <w:t>        </w:t>
      </w:r>
      <w:r>
        <w:rPr>
          <w:rFonts w:ascii="times" w:hAnsi="times"/>
          <w:i/>
          <w:sz w:val="20"/>
        </w:rPr>
        <w:t>Recovery of Prior Awards.</w:t>
      </w:r>
      <w:r>
        <w:rPr>
          <w:rFonts w:ascii="times" w:hAnsi="times"/>
        </w:rPr>
        <w:t>    </w:t>
      </w:r>
      <w:r>
        <w:rPr>
          <w:rFonts w:ascii="times" w:hAnsi="times"/>
          <w:sz w:val="20"/>
        </w:rPr>
        <w:t xml:space="preserve">Except as provided by applicable laws and regulations, we do not have a policy with respect to adjustment or recovery of awards or payments if relevant company performance measures upon which previous awards were based are restated or otherwise adjusted in a manner that would reduce the size of such award or payment. </w:t>
      </w:r>
    </w:p>
    <w:p>
      <w:pPr>
        <w:pStyle w:val="TextBody"/>
        <w:jc w:val="center"/>
        <w:rPr>
          <w:rFonts w:ascii="times" w:hAnsi="times"/>
          <w:sz w:val="20"/>
        </w:rPr>
      </w:pPr>
      <w:r>
        <w:rPr>
          <w:rFonts w:ascii="times" w:hAnsi="times"/>
          <w:sz w:val="20"/>
        </w:rPr>
        <w:t>118</w:t>
      </w:r>
    </w:p>
    <w:p>
      <w:pPr>
        <w:pStyle w:val="HorizontalLine"/>
        <w:pBdr>
          <w:bottom w:val="single" w:sz="20" w:space="0" w:color="808080"/>
        </w:pBdr>
        <w:rPr/>
      </w:pPr>
      <w:r>
        <w:rPr/>
      </w:r>
      <w:r>
        <w:br w:type="page"/>
      </w:r>
    </w:p>
    <w:p>
      <w:pPr>
        <w:pStyle w:val="TextBody"/>
        <w:rPr/>
      </w:pPr>
      <w:hyperlink w:anchor="bg12101a_main_toc">
        <w:bookmarkStart w:id="165" w:name="page_eg12101_1_119"/>
        <w:bookmarkEnd w:id="165"/>
        <w:r>
          <w:rPr>
            <w:rStyle w:val="InternetLink"/>
            <w:rFonts w:ascii="times" w:hAnsi="times"/>
            <w:sz w:val="20"/>
          </w:rPr>
          <w:t>Table of Contents</w:t>
        </w:r>
      </w:hyperlink>
    </w:p>
    <w:p>
      <w:pPr>
        <w:pStyle w:val="TextBody"/>
        <w:rPr/>
      </w:pPr>
      <w:r>
        <w:rPr/>
        <w:t>        </w:t>
      </w:r>
      <w:r>
        <w:rPr>
          <w:rFonts w:ascii="times" w:hAnsi="times"/>
          <w:i/>
          <w:sz w:val="20"/>
        </w:rPr>
        <w:t>Section 162(m).</w:t>
      </w:r>
      <w:r>
        <w:rPr>
          <w:rFonts w:ascii="times" w:hAnsi="times"/>
        </w:rPr>
        <w:t>    </w:t>
      </w:r>
      <w:r>
        <w:rPr>
          <w:rFonts w:ascii="times" w:hAnsi="times"/>
          <w:sz w:val="20"/>
        </w:rPr>
        <w:t xml:space="preserve">With respect to the deduction limitations under Section 162(m) of the Code, we are a limited partnership and do not meet the definition of a "corporation" under Section 162(m). </w:t>
      </w:r>
    </w:p>
    <w:p>
      <w:pPr>
        <w:pStyle w:val="TextBody"/>
        <w:rPr/>
      </w:pPr>
      <w:r>
        <w:rPr/>
        <w:t>        </w:t>
      </w:r>
      <w:r>
        <w:rPr>
          <w:rFonts w:ascii="times" w:hAnsi="times"/>
          <w:i/>
          <w:sz w:val="20"/>
        </w:rPr>
        <w:t>Change in Control Triggers.</w:t>
      </w:r>
      <w:r>
        <w:rPr>
          <w:rFonts w:ascii="times" w:hAnsi="times"/>
        </w:rPr>
        <w:t>    </w:t>
      </w:r>
      <w:r>
        <w:rPr>
          <w:rFonts w:ascii="times" w:hAnsi="times"/>
          <w:sz w:val="20"/>
        </w:rPr>
        <w:t xml:space="preserve">The employment agreements for Messrs. Armstrong and Pefanis, the long-term incentive plan grants to our Named Executive Officers, and the Class B restricted units agreements include severance payment provisions or accelerated vesting triggered upon a change of control, as defined in the respective agreement. In the case of the long-term incentive plan grants, the provision becomes operative only if the change in control is accompanied by a change in status (such as the termination of employment by Plains All American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a sale transaction in August 2005 that would have constituted a change in control. The Class B restricted units agreements generally call for vesting upon a change in control of any units that have already been earned, plus the next increment of units that could be earned at the next distribution threshold. Any remaining Class B restricted units would be forfeited (unless waived at the discretion of the general partner or acquirer as the case may be). See "Employment Contracts" and "Potential Payments upon Termination or Change-in-Control." </w:t>
      </w:r>
    </w:p>
    <w:p>
      <w:pPr>
        <w:pStyle w:val="TextBody"/>
        <w:jc w:val="center"/>
        <w:rPr>
          <w:rFonts w:ascii="times" w:hAnsi="times"/>
          <w:sz w:val="20"/>
        </w:rPr>
      </w:pPr>
      <w:r>
        <w:rPr>
          <w:rFonts w:ascii="times" w:hAnsi="times"/>
          <w:sz w:val="20"/>
        </w:rPr>
        <w:t>119</w:t>
      </w:r>
    </w:p>
    <w:p>
      <w:pPr>
        <w:pStyle w:val="HorizontalLine"/>
        <w:pBdr>
          <w:bottom w:val="single" w:sz="20" w:space="0" w:color="808080"/>
        </w:pBdr>
        <w:rPr/>
      </w:pPr>
      <w:r>
        <w:rPr/>
      </w:r>
      <w:r>
        <w:br w:type="page"/>
      </w:r>
    </w:p>
    <w:p>
      <w:pPr>
        <w:pStyle w:val="TextBody"/>
        <w:rPr/>
      </w:pPr>
      <w:hyperlink w:anchor="bg12101a_main_toc">
        <w:bookmarkStart w:id="166" w:name="page_eg12101_1_120"/>
        <w:bookmarkEnd w:id="166"/>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Summary Compensation Table </w:t>
      </w:r>
    </w:p>
    <w:p>
      <w:pPr>
        <w:pStyle w:val="TextBody"/>
        <w:rPr/>
      </w:pPr>
      <w:r>
        <w:rPr/>
        <w:t>        </w:t>
      </w:r>
      <w:r>
        <w:rPr>
          <w:rFonts w:ascii="times" w:hAnsi="times"/>
          <w:sz w:val="20"/>
        </w:rPr>
        <w:t xml:space="preserve">The following table sets forth certain compensation information for our Chief Executive Officer, our current Chief Financial Officer, the three other most highly compensated executive officers in 2008 and our former Chief Financial Officer (our "Named Executive Officers"). We reimburse our general partner and its affiliates for expenses incurred on our behalf, including the costs of officer compensation (excluding the costs of the obligations represented by the Class B units). </w:t>
      </w:r>
    </w:p>
    <w:tbl>
      <w:tblPr>
        <w:tblW w:w="8640" w:type="dxa"/>
        <w:jc w:val="center"/>
        <w:tblInd w:w="0" w:type="dxa"/>
        <w:tblCellMar>
          <w:top w:w="0" w:type="dxa"/>
          <w:left w:w="0" w:type="dxa"/>
          <w:bottom w:w="0" w:type="dxa"/>
          <w:right w:w="0" w:type="dxa"/>
        </w:tblCellMar>
      </w:tblPr>
      <w:tblGrid>
        <w:gridCol w:w="150"/>
        <w:gridCol w:w="2355"/>
        <w:gridCol w:w="180"/>
        <w:gridCol w:w="60"/>
        <w:gridCol w:w="440"/>
        <w:gridCol w:w="210"/>
        <w:gridCol w:w="60"/>
        <w:gridCol w:w="695"/>
        <w:gridCol w:w="210"/>
        <w:gridCol w:w="60"/>
        <w:gridCol w:w="845"/>
        <w:gridCol w:w="210"/>
        <w:gridCol w:w="60"/>
        <w:gridCol w:w="845"/>
        <w:gridCol w:w="210"/>
        <w:gridCol w:w="80"/>
        <w:gridCol w:w="795"/>
        <w:gridCol w:w="210"/>
        <w:gridCol w:w="60"/>
        <w:gridCol w:w="845"/>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235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50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and Principal Position </w:t>
            </w:r>
          </w:p>
        </w:tc>
        <w:tc>
          <w:tcPr>
            <w:tcW w:w="180" w:type="dxa"/>
            <w:tcBorders/>
            <w:shd w:fill="auto" w:val="clear"/>
            <w:vAlign w:val="bottom"/>
          </w:tcPr>
          <w:p>
            <w:pPr>
              <w:pStyle w:val="TableHeading"/>
              <w:suppressLineNumbers/>
              <w:spacing w:before="0" w:after="283"/>
              <w:jc w:val="center"/>
              <w:rPr/>
            </w:pPr>
            <w:r>
              <w:rPr/>
              <w:t> </w:t>
            </w:r>
          </w:p>
        </w:tc>
        <w:tc>
          <w:tcPr>
            <w:tcW w:w="5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w:t>
            </w:r>
          </w:p>
        </w:tc>
        <w:tc>
          <w:tcPr>
            <w:tcW w:w="210" w:type="dxa"/>
            <w:tcBorders/>
            <w:shd w:fill="auto" w:val="clear"/>
            <w:vAlign w:val="bottom"/>
          </w:tcPr>
          <w:p>
            <w:pPr>
              <w:pStyle w:val="TableHeading"/>
              <w:suppressLineNumbers/>
              <w:spacing w:before="0" w:after="283"/>
              <w:jc w:val="center"/>
              <w:rPr/>
            </w:pPr>
            <w:r>
              <w:rPr/>
              <w:t> </w:t>
            </w:r>
          </w:p>
        </w:tc>
        <w:tc>
          <w:tcPr>
            <w:tcW w:w="7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Salary</w:t>
              <w:br/>
              <w:t xml:space="preserve">($) </w:t>
            </w:r>
          </w:p>
        </w:tc>
        <w:tc>
          <w:tcPr>
            <w:tcW w:w="210" w:type="dxa"/>
            <w:tcBorders/>
            <w:shd w:fill="auto" w:val="clear"/>
            <w:vAlign w:val="bottom"/>
          </w:tcPr>
          <w:p>
            <w:pPr>
              <w:pStyle w:val="TableHeading"/>
              <w:suppressLineNumbers/>
              <w:spacing w:before="0" w:after="283"/>
              <w:jc w:val="center"/>
              <w:rPr/>
            </w:pPr>
            <w:r>
              <w:rPr/>
              <w:t> </w:t>
            </w:r>
          </w:p>
        </w:tc>
        <w:tc>
          <w:tcPr>
            <w:tcW w:w="9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Bonus</w:t>
              <w:br/>
              <w:t xml:space="preserve">($) </w:t>
            </w:r>
          </w:p>
        </w:tc>
        <w:tc>
          <w:tcPr>
            <w:tcW w:w="210" w:type="dxa"/>
            <w:tcBorders/>
            <w:shd w:fill="auto" w:val="clear"/>
            <w:vAlign w:val="bottom"/>
          </w:tcPr>
          <w:p>
            <w:pPr>
              <w:pStyle w:val="TableHeading"/>
              <w:suppressLineNumbers/>
              <w:spacing w:before="0" w:after="283"/>
              <w:jc w:val="center"/>
              <w:rPr/>
            </w:pPr>
            <w:r>
              <w:rPr/>
              <w:t> </w:t>
            </w:r>
          </w:p>
        </w:tc>
        <w:tc>
          <w:tcPr>
            <w:tcW w:w="9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Stock Awards</w:t>
              <w:br/>
              <w:t>($)</w:t>
            </w:r>
            <w:r>
              <w:rPr>
                <w:rFonts w:ascii="times" w:hAnsi="times"/>
                <w:b/>
                <w:position w:val="5"/>
                <w:sz w:val="11"/>
                <w:sz w:val="14"/>
              </w:rPr>
              <w:t>(1)</w:t>
            </w:r>
            <w:r>
              <w:rPr>
                <w:rFonts w:ascii="times" w:hAnsi="times"/>
                <w:b/>
                <w:sz w:val="14"/>
              </w:rPr>
              <w:t xml:space="preserve"> </w:t>
            </w:r>
          </w:p>
        </w:tc>
        <w:tc>
          <w:tcPr>
            <w:tcW w:w="210" w:type="dxa"/>
            <w:tcBorders/>
            <w:shd w:fill="auto" w:val="clear"/>
            <w:vAlign w:val="bottom"/>
          </w:tcPr>
          <w:p>
            <w:pPr>
              <w:pStyle w:val="TableHeading"/>
              <w:suppressLineNumbers/>
              <w:spacing w:before="0" w:after="283"/>
              <w:jc w:val="center"/>
              <w:rPr/>
            </w:pPr>
            <w:r>
              <w:rPr/>
              <w:t> </w:t>
            </w:r>
          </w:p>
        </w:tc>
        <w:tc>
          <w:tcPr>
            <w:tcW w:w="8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All Other</w:t>
              <w:br/>
              <w:t>Compensation</w:t>
              <w:br/>
              <w:t>($)</w:t>
            </w:r>
            <w:r>
              <w:rPr>
                <w:rFonts w:ascii="times" w:hAnsi="times"/>
                <w:b/>
                <w:position w:val="5"/>
                <w:sz w:val="11"/>
                <w:sz w:val="14"/>
              </w:rPr>
              <w:t>(2)</w:t>
            </w:r>
            <w:r>
              <w:rPr>
                <w:rFonts w:ascii="times" w:hAnsi="times"/>
                <w:b/>
                <w:sz w:val="14"/>
              </w:rPr>
              <w:t xml:space="preserve"> </w:t>
            </w:r>
          </w:p>
        </w:tc>
        <w:tc>
          <w:tcPr>
            <w:tcW w:w="210" w:type="dxa"/>
            <w:tcBorders/>
            <w:shd w:fill="auto" w:val="clear"/>
            <w:vAlign w:val="bottom"/>
          </w:tcPr>
          <w:p>
            <w:pPr>
              <w:pStyle w:val="TableHeading"/>
              <w:suppressLineNumbers/>
              <w:spacing w:before="0" w:after="283"/>
              <w:jc w:val="center"/>
              <w:rPr/>
            </w:pPr>
            <w:r>
              <w:rPr/>
              <w:t> </w:t>
            </w:r>
          </w:p>
        </w:tc>
        <w:tc>
          <w:tcPr>
            <w:tcW w:w="9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w:t>
              <w:b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250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Greg L. Armstrong</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2008</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375,000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2,900,000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3,298,793</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t>14,775</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6,588,568</w:t>
            </w:r>
          </w:p>
        </w:tc>
        <w:tc>
          <w:tcPr>
            <w:tcW w:w="60" w:type="dxa"/>
            <w:tcBorders/>
            <w:shd w:fill="CCEE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355" w:type="dxa"/>
            <w:tcBorders/>
            <w:shd w:fill="CCEEFF" w:val="clear"/>
          </w:tcPr>
          <w:p>
            <w:pPr>
              <w:pStyle w:val="TableContents"/>
              <w:spacing w:before="0" w:after="283"/>
              <w:ind w:left="200" w:right="0" w:hanging="200"/>
              <w:rPr>
                <w:rFonts w:ascii="times" w:hAnsi="times"/>
                <w:sz w:val="20"/>
              </w:rPr>
            </w:pPr>
            <w:r>
              <w:rPr>
                <w:rFonts w:ascii="times" w:hAnsi="times"/>
                <w:sz w:val="20"/>
              </w:rPr>
              <w:t>Chairman and CEO</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2007</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375,000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3,400,000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5,660,135</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t>14,430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9,449,565</w:t>
            </w:r>
          </w:p>
        </w:tc>
        <w:tc>
          <w:tcPr>
            <w:tcW w:w="60" w:type="dxa"/>
            <w:tcBorders/>
            <w:shd w:fill="CCEEFF" w:val="clear"/>
          </w:tcPr>
          <w:p>
            <w:pPr>
              <w:pStyle w:val="TableContents"/>
              <w:spacing w:before="0" w:after="283"/>
              <w:rPr/>
            </w:pPr>
            <w:r>
              <w:rPr/>
              <w:t> </w:t>
            </w:r>
          </w:p>
        </w:tc>
      </w:tr>
      <w:tr>
        <w:trPr/>
        <w:tc>
          <w:tcPr>
            <w:tcW w:w="2505" w:type="dxa"/>
            <w:gridSpan w:val="2"/>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2006</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375,000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3,750,000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5,184,222</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t>15,930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9,325,152</w:t>
            </w:r>
          </w:p>
        </w:tc>
        <w:tc>
          <w:tcPr>
            <w:tcW w:w="60" w:type="dxa"/>
            <w:tcBorders/>
            <w:shd w:fill="CCEEFF" w:val="clear"/>
          </w:tcPr>
          <w:p>
            <w:pPr>
              <w:pStyle w:val="TableContents"/>
              <w:spacing w:before="0" w:after="283"/>
              <w:rPr/>
            </w:pPr>
            <w:r>
              <w:rPr/>
              <w:t> </w:t>
            </w:r>
          </w:p>
        </w:tc>
      </w:tr>
      <w:tr>
        <w:trPr/>
        <w:tc>
          <w:tcPr>
            <w:tcW w:w="2505" w:type="dxa"/>
            <w:gridSpan w:val="2"/>
            <w:tcBorders/>
            <w:shd w:fill="auto" w:val="clear"/>
          </w:tcPr>
          <w:p>
            <w:pPr>
              <w:pStyle w:val="TableContents"/>
              <w:spacing w:before="220" w:after="283"/>
              <w:ind w:left="200" w:right="0" w:hanging="200"/>
              <w:rPr>
                <w:rFonts w:ascii="times" w:hAnsi="times"/>
                <w:sz w:val="20"/>
              </w:rPr>
            </w:pPr>
            <w:r>
              <w:rPr>
                <w:rFonts w:ascii="times" w:hAnsi="times"/>
                <w:sz w:val="20"/>
              </w:rPr>
              <w:t>Harry N. Pefanis</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right"/>
              <w:rPr>
                <w:rFonts w:ascii="times" w:hAnsi="times"/>
                <w:sz w:val="20"/>
              </w:rPr>
            </w:pPr>
            <w:r>
              <w:rPr>
                <w:rFonts w:ascii="times" w:hAnsi="times"/>
                <w:sz w:val="20"/>
              </w:rPr>
              <w:br/>
              <w:t>2008</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jc w:val="right"/>
              <w:rPr>
                <w:rFonts w:ascii="times" w:hAnsi="times"/>
                <w:sz w:val="20"/>
              </w:rPr>
            </w:pPr>
            <w:r>
              <w:rPr>
                <w:rFonts w:ascii="times" w:hAnsi="times"/>
                <w:sz w:val="20"/>
              </w:rPr>
              <w:br/>
              <w:t>300,000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2,800,000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2,447,340</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jc w:val="right"/>
              <w:rPr>
                <w:rFonts w:ascii="times" w:hAnsi="times"/>
                <w:sz w:val="20"/>
              </w:rPr>
            </w:pPr>
            <w:r>
              <w:rPr>
                <w:rFonts w:ascii="times" w:hAnsi="times"/>
                <w:sz w:val="20"/>
              </w:rPr>
              <w:br/>
              <w:t>14,775</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5,562,115</w:t>
            </w:r>
          </w:p>
        </w:tc>
        <w:tc>
          <w:tcPr>
            <w:tcW w:w="60" w:type="dxa"/>
            <w:tcBorders/>
            <w:shd w:fill="auto" w:val="clear"/>
          </w:tcPr>
          <w:p>
            <w:pPr>
              <w:pStyle w:val="TableContents"/>
              <w:spacing w:before="0" w:after="283"/>
              <w:rPr/>
            </w:pPr>
            <w:r>
              <w:rPr/>
              <w:t> </w:t>
            </w:r>
          </w:p>
        </w:tc>
      </w:tr>
      <w:tr>
        <w:trPr/>
        <w:tc>
          <w:tcPr>
            <w:tcW w:w="150" w:type="dxa"/>
            <w:tcBorders/>
            <w:shd w:fill="auto" w:val="clear"/>
          </w:tcPr>
          <w:p>
            <w:pPr>
              <w:pStyle w:val="TableContents"/>
              <w:spacing w:before="0" w:after="283"/>
              <w:rPr/>
            </w:pPr>
            <w:r>
              <w:rPr/>
              <w:t> </w:t>
            </w:r>
          </w:p>
        </w:tc>
        <w:tc>
          <w:tcPr>
            <w:tcW w:w="2355" w:type="dxa"/>
            <w:tcBorders/>
            <w:shd w:fill="auto" w:val="clear"/>
          </w:tcPr>
          <w:p>
            <w:pPr>
              <w:pStyle w:val="TableContents"/>
              <w:spacing w:before="0" w:after="283"/>
              <w:ind w:left="200" w:right="0" w:hanging="200"/>
              <w:rPr>
                <w:rFonts w:ascii="times" w:hAnsi="times"/>
                <w:sz w:val="20"/>
              </w:rPr>
            </w:pPr>
            <w:r>
              <w:rPr>
                <w:rFonts w:ascii="times" w:hAnsi="times"/>
                <w:sz w:val="20"/>
              </w:rPr>
              <w:t>President and Chief Operating</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right"/>
              <w:rPr>
                <w:rFonts w:ascii="times" w:hAnsi="times"/>
                <w:sz w:val="20"/>
              </w:rPr>
            </w:pPr>
            <w:r>
              <w:rPr>
                <w:rFonts w:ascii="times" w:hAnsi="times"/>
                <w:sz w:val="20"/>
              </w:rPr>
              <w:t>2007</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jc w:val="right"/>
              <w:rPr>
                <w:rFonts w:ascii="times" w:hAnsi="times"/>
                <w:sz w:val="20"/>
              </w:rPr>
            </w:pPr>
            <w:r>
              <w:rPr>
                <w:rFonts w:ascii="times" w:hAnsi="times"/>
                <w:sz w:val="20"/>
              </w:rPr>
              <w:t>300,000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3,200,000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3,854,810</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jc w:val="right"/>
              <w:rPr>
                <w:rFonts w:ascii="times" w:hAnsi="times"/>
                <w:sz w:val="20"/>
              </w:rPr>
            </w:pPr>
            <w:r>
              <w:rPr>
                <w:rFonts w:ascii="times" w:hAnsi="times"/>
                <w:sz w:val="20"/>
              </w:rPr>
              <w:t>14,430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7,369,240</w:t>
            </w:r>
          </w:p>
        </w:tc>
        <w:tc>
          <w:tcPr>
            <w:tcW w:w="60" w:type="dxa"/>
            <w:tcBorders/>
            <w:shd w:fill="auto" w:val="clear"/>
          </w:tcPr>
          <w:p>
            <w:pPr>
              <w:pStyle w:val="TableContents"/>
              <w:spacing w:before="0" w:after="283"/>
              <w:rPr/>
            </w:pPr>
            <w:r>
              <w:rPr/>
              <w:t> </w:t>
            </w:r>
          </w:p>
        </w:tc>
      </w:tr>
      <w:tr>
        <w:trPr/>
        <w:tc>
          <w:tcPr>
            <w:tcW w:w="150" w:type="dxa"/>
            <w:tcBorders/>
            <w:shd w:fill="auto" w:val="clear"/>
          </w:tcPr>
          <w:p>
            <w:pPr>
              <w:pStyle w:val="TableContents"/>
              <w:spacing w:before="0" w:after="283"/>
              <w:rPr/>
            </w:pPr>
            <w:r>
              <w:rPr/>
              <w:t> </w:t>
            </w:r>
          </w:p>
        </w:tc>
        <w:tc>
          <w:tcPr>
            <w:tcW w:w="2355" w:type="dxa"/>
            <w:tcBorders/>
            <w:shd w:fill="auto" w:val="clear"/>
          </w:tcPr>
          <w:p>
            <w:pPr>
              <w:pStyle w:val="TableContents"/>
              <w:spacing w:before="0" w:after="283"/>
              <w:ind w:left="200" w:right="0" w:hanging="200"/>
              <w:rPr>
                <w:rFonts w:ascii="times" w:hAnsi="times"/>
                <w:sz w:val="20"/>
              </w:rPr>
            </w:pPr>
            <w:r>
              <w:rPr>
                <w:rFonts w:ascii="times" w:hAnsi="times"/>
                <w:sz w:val="20"/>
              </w:rPr>
              <w:t>Officer</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right"/>
              <w:rPr>
                <w:rFonts w:ascii="times" w:hAnsi="times"/>
                <w:sz w:val="20"/>
              </w:rPr>
            </w:pPr>
            <w:r>
              <w:rPr>
                <w:rFonts w:ascii="times" w:hAnsi="times"/>
                <w:sz w:val="20"/>
              </w:rPr>
              <w:t>2006</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jc w:val="right"/>
              <w:rPr>
                <w:rFonts w:ascii="times" w:hAnsi="times"/>
                <w:sz w:val="20"/>
              </w:rPr>
            </w:pPr>
            <w:r>
              <w:rPr>
                <w:rFonts w:ascii="times" w:hAnsi="times"/>
                <w:sz w:val="20"/>
              </w:rPr>
              <w:t>300,000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3,400,000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3,456,148</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jc w:val="right"/>
              <w:rPr>
                <w:rFonts w:ascii="times" w:hAnsi="times"/>
                <w:sz w:val="20"/>
              </w:rPr>
            </w:pPr>
            <w:r>
              <w:rPr>
                <w:rFonts w:ascii="times" w:hAnsi="times"/>
                <w:sz w:val="20"/>
              </w:rPr>
              <w:t>15,930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7,172,078</w:t>
            </w:r>
          </w:p>
        </w:tc>
        <w:tc>
          <w:tcPr>
            <w:tcW w:w="60" w:type="dxa"/>
            <w:tcBorders/>
            <w:shd w:fill="auto" w:val="clear"/>
          </w:tcPr>
          <w:p>
            <w:pPr>
              <w:pStyle w:val="TableContents"/>
              <w:spacing w:before="0" w:after="283"/>
              <w:rPr/>
            </w:pPr>
            <w:r>
              <w:rPr/>
              <w:t> </w:t>
            </w:r>
          </w:p>
        </w:tc>
      </w:tr>
      <w:tr>
        <w:trPr/>
        <w:tc>
          <w:tcPr>
            <w:tcW w:w="2505" w:type="dxa"/>
            <w:gridSpan w:val="2"/>
            <w:tcBorders/>
            <w:shd w:fill="CCEEFF" w:val="clear"/>
          </w:tcPr>
          <w:p>
            <w:pPr>
              <w:pStyle w:val="TableContents"/>
              <w:spacing w:before="220" w:after="283"/>
              <w:ind w:left="200" w:right="0" w:hanging="200"/>
              <w:rPr>
                <w:rFonts w:ascii="times" w:hAnsi="times"/>
                <w:sz w:val="20"/>
              </w:rPr>
            </w:pPr>
            <w:r>
              <w:rPr>
                <w:rFonts w:ascii="times" w:hAnsi="times"/>
                <w:sz w:val="20"/>
              </w:rPr>
              <w:t>Phillip D. Kramer</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br/>
              <w:t>2008</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br/>
              <w:t>250,000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br/>
              <w:t>700,000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br/>
              <w:t>135,152</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br/>
              <w:t>14,775</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br/>
              <w:t>1,099,927</w:t>
            </w:r>
          </w:p>
        </w:tc>
        <w:tc>
          <w:tcPr>
            <w:tcW w:w="60" w:type="dxa"/>
            <w:tcBorders/>
            <w:shd w:fill="CCEE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355" w:type="dxa"/>
            <w:tcBorders/>
            <w:shd w:fill="CCEEFF" w:val="clear"/>
          </w:tcPr>
          <w:p>
            <w:pPr>
              <w:pStyle w:val="TableContents"/>
              <w:spacing w:before="0" w:after="283"/>
              <w:ind w:left="200" w:right="0" w:hanging="200"/>
              <w:rPr>
                <w:rFonts w:ascii="times" w:hAnsi="times"/>
                <w:sz w:val="20"/>
              </w:rPr>
            </w:pPr>
            <w:r>
              <w:rPr>
                <w:rFonts w:ascii="times" w:hAnsi="times"/>
                <w:sz w:val="20"/>
              </w:rPr>
              <w:t>Executive Vice President*</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2007</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250,000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850,000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1,651,155</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t>14,430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2,765,585</w:t>
            </w:r>
          </w:p>
        </w:tc>
        <w:tc>
          <w:tcPr>
            <w:tcW w:w="60" w:type="dxa"/>
            <w:tcBorders/>
            <w:shd w:fill="CCEEFF" w:val="clear"/>
          </w:tcPr>
          <w:p>
            <w:pPr>
              <w:pStyle w:val="TableContents"/>
              <w:spacing w:before="0" w:after="283"/>
              <w:rPr/>
            </w:pPr>
            <w:r>
              <w:rPr/>
              <w:t> </w:t>
            </w:r>
          </w:p>
        </w:tc>
      </w:tr>
      <w:tr>
        <w:trPr/>
        <w:tc>
          <w:tcPr>
            <w:tcW w:w="2505" w:type="dxa"/>
            <w:gridSpan w:val="2"/>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2006</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250,000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1,000,000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1,876,043</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t>15,930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3,141,973</w:t>
            </w:r>
          </w:p>
        </w:tc>
        <w:tc>
          <w:tcPr>
            <w:tcW w:w="60" w:type="dxa"/>
            <w:tcBorders/>
            <w:shd w:fill="CCEEFF" w:val="clear"/>
          </w:tcPr>
          <w:p>
            <w:pPr>
              <w:pStyle w:val="TableContents"/>
              <w:spacing w:before="0" w:after="283"/>
              <w:rPr/>
            </w:pPr>
            <w:r>
              <w:rPr/>
              <w:t> </w:t>
            </w:r>
          </w:p>
        </w:tc>
      </w:tr>
      <w:tr>
        <w:trPr/>
        <w:tc>
          <w:tcPr>
            <w:tcW w:w="2505" w:type="dxa"/>
            <w:gridSpan w:val="2"/>
            <w:tcBorders/>
            <w:shd w:fill="auto" w:val="clear"/>
          </w:tcPr>
          <w:p>
            <w:pPr>
              <w:pStyle w:val="TableContents"/>
              <w:spacing w:before="220" w:after="283"/>
              <w:ind w:left="200" w:right="0" w:hanging="200"/>
              <w:rPr>
                <w:rFonts w:ascii="times" w:hAnsi="times"/>
                <w:sz w:val="20"/>
              </w:rPr>
            </w:pPr>
            <w:r>
              <w:rPr>
                <w:rFonts w:ascii="times" w:hAnsi="times"/>
                <w:sz w:val="20"/>
              </w:rPr>
              <w:t>W. David Duckett</w:t>
            </w:r>
            <w:r>
              <w:rPr>
                <w:rFonts w:ascii="times" w:hAnsi="times"/>
                <w:position w:val="7"/>
                <w:sz w:val="16"/>
                <w:sz w:val="20"/>
              </w:rPr>
              <w:t>(3)</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right"/>
              <w:rPr>
                <w:rFonts w:ascii="times" w:hAnsi="times"/>
                <w:sz w:val="20"/>
              </w:rPr>
            </w:pPr>
            <w:r>
              <w:rPr>
                <w:rFonts w:ascii="times" w:hAnsi="times"/>
                <w:sz w:val="20"/>
              </w:rPr>
              <w:br/>
              <w:t>2008</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jc w:val="right"/>
              <w:rPr>
                <w:rFonts w:ascii="times" w:hAnsi="times"/>
                <w:sz w:val="20"/>
              </w:rPr>
            </w:pPr>
            <w:r>
              <w:rPr>
                <w:rFonts w:ascii="times" w:hAnsi="times"/>
                <w:sz w:val="20"/>
              </w:rPr>
              <w:br/>
              <w:t>268,095</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2,915,424</w:t>
            </w:r>
          </w:p>
        </w:tc>
        <w:tc>
          <w:tcPr>
            <w:tcW w:w="210" w:type="dxa"/>
            <w:tcBorders/>
            <w:shd w:fill="auto" w:val="clear"/>
          </w:tcPr>
          <w:p>
            <w:pPr>
              <w:pStyle w:val="TableContents"/>
              <w:spacing w:before="0" w:after="283"/>
              <w:rPr>
                <w:rFonts w:ascii="times" w:hAnsi="times"/>
                <w:sz w:val="20"/>
              </w:rPr>
            </w:pPr>
            <w:r>
              <w:rPr>
                <w:rFonts w:ascii="times" w:hAnsi="times"/>
                <w:sz w:val="20"/>
              </w:rPr>
              <w:br/>
            </w:r>
            <w:r>
              <w:rPr>
                <w:rFonts w:ascii="times" w:hAnsi="times"/>
                <w:position w:val="7"/>
                <w:sz w:val="16"/>
                <w:sz w:val="20"/>
              </w:rPr>
              <w:t>(3)</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1,787,827</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jc w:val="right"/>
              <w:rPr>
                <w:rFonts w:ascii="times" w:hAnsi="times"/>
                <w:sz w:val="20"/>
              </w:rPr>
            </w:pPr>
            <w:r>
              <w:rPr>
                <w:rFonts w:ascii="times" w:hAnsi="times"/>
                <w:sz w:val="20"/>
              </w:rPr>
              <w:br/>
              <w:t>88,831</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5,060,177</w:t>
            </w:r>
          </w:p>
        </w:tc>
        <w:tc>
          <w:tcPr>
            <w:tcW w:w="60" w:type="dxa"/>
            <w:tcBorders/>
            <w:shd w:fill="auto" w:val="clear"/>
          </w:tcPr>
          <w:p>
            <w:pPr>
              <w:pStyle w:val="TableContents"/>
              <w:spacing w:before="0" w:after="283"/>
              <w:rPr/>
            </w:pPr>
            <w:r>
              <w:rPr/>
              <w:t> </w:t>
            </w:r>
          </w:p>
        </w:tc>
      </w:tr>
      <w:tr>
        <w:trPr/>
        <w:tc>
          <w:tcPr>
            <w:tcW w:w="150" w:type="dxa"/>
            <w:tcBorders/>
            <w:shd w:fill="auto" w:val="clear"/>
          </w:tcPr>
          <w:p>
            <w:pPr>
              <w:pStyle w:val="TableContents"/>
              <w:spacing w:before="0" w:after="283"/>
              <w:rPr/>
            </w:pPr>
            <w:r>
              <w:rPr/>
              <w:t> </w:t>
            </w:r>
          </w:p>
        </w:tc>
        <w:tc>
          <w:tcPr>
            <w:tcW w:w="2355" w:type="dxa"/>
            <w:tcBorders/>
            <w:shd w:fill="auto" w:val="clear"/>
          </w:tcPr>
          <w:p>
            <w:pPr>
              <w:pStyle w:val="TableContents"/>
              <w:spacing w:before="0" w:after="283"/>
              <w:ind w:left="200" w:right="0" w:hanging="200"/>
              <w:rPr>
                <w:rFonts w:ascii="times" w:hAnsi="times"/>
                <w:sz w:val="20"/>
              </w:rPr>
            </w:pPr>
            <w:r>
              <w:rPr>
                <w:rFonts w:ascii="times" w:hAnsi="times"/>
                <w:sz w:val="20"/>
              </w:rPr>
              <w:t>PresidentPMC (Nova Scotia)</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right"/>
              <w:rPr>
                <w:rFonts w:ascii="times" w:hAnsi="times"/>
                <w:sz w:val="20"/>
              </w:rPr>
            </w:pPr>
            <w:r>
              <w:rPr>
                <w:rFonts w:ascii="times" w:hAnsi="times"/>
                <w:sz w:val="20"/>
              </w:rPr>
              <w:t>2007</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jc w:val="right"/>
              <w:rPr>
                <w:rFonts w:ascii="times" w:hAnsi="times"/>
                <w:sz w:val="20"/>
              </w:rPr>
            </w:pPr>
            <w:r>
              <w:rPr>
                <w:rFonts w:ascii="times" w:hAnsi="times"/>
                <w:sz w:val="20"/>
              </w:rPr>
              <w:t>266,960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3,028,488</w:t>
            </w:r>
          </w:p>
        </w:tc>
        <w:tc>
          <w:tcPr>
            <w:tcW w:w="210" w:type="dxa"/>
            <w:tcBorders/>
            <w:shd w:fill="auto"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2,228,516</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jc w:val="right"/>
              <w:rPr>
                <w:rFonts w:ascii="times" w:hAnsi="times"/>
                <w:sz w:val="20"/>
              </w:rPr>
            </w:pPr>
            <w:r>
              <w:rPr>
                <w:rFonts w:ascii="times" w:hAnsi="times"/>
                <w:sz w:val="20"/>
              </w:rPr>
              <w:t>93,501</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5,617,465</w:t>
            </w:r>
          </w:p>
        </w:tc>
        <w:tc>
          <w:tcPr>
            <w:tcW w:w="60" w:type="dxa"/>
            <w:tcBorders/>
            <w:shd w:fill="auto" w:val="clear"/>
          </w:tcPr>
          <w:p>
            <w:pPr>
              <w:pStyle w:val="TableContents"/>
              <w:spacing w:before="0" w:after="283"/>
              <w:rPr/>
            </w:pPr>
            <w:r>
              <w:rPr/>
              <w:t> </w:t>
            </w:r>
          </w:p>
        </w:tc>
      </w:tr>
      <w:tr>
        <w:trPr/>
        <w:tc>
          <w:tcPr>
            <w:tcW w:w="150" w:type="dxa"/>
            <w:tcBorders/>
            <w:shd w:fill="auto" w:val="clear"/>
          </w:tcPr>
          <w:p>
            <w:pPr>
              <w:pStyle w:val="TableContents"/>
              <w:spacing w:before="0" w:after="283"/>
              <w:rPr/>
            </w:pPr>
            <w:r>
              <w:rPr/>
              <w:t> </w:t>
            </w:r>
          </w:p>
        </w:tc>
        <w:tc>
          <w:tcPr>
            <w:tcW w:w="2355" w:type="dxa"/>
            <w:tcBorders/>
            <w:shd w:fill="auto" w:val="clear"/>
          </w:tcPr>
          <w:p>
            <w:pPr>
              <w:pStyle w:val="TableContents"/>
              <w:spacing w:before="0" w:after="283"/>
              <w:ind w:left="200" w:right="0" w:hanging="200"/>
              <w:rPr>
                <w:rFonts w:ascii="times" w:hAnsi="times"/>
                <w:sz w:val="20"/>
              </w:rPr>
            </w:pPr>
            <w:r>
              <w:rPr>
                <w:rFonts w:ascii="times" w:hAnsi="times"/>
                <w:sz w:val="20"/>
              </w:rPr>
              <w:t>Company</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right"/>
              <w:rPr>
                <w:rFonts w:ascii="times" w:hAnsi="times"/>
                <w:sz w:val="20"/>
              </w:rPr>
            </w:pPr>
            <w:r>
              <w:rPr>
                <w:rFonts w:ascii="times" w:hAnsi="times"/>
                <w:sz w:val="20"/>
              </w:rPr>
              <w:t>2006</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jc w:val="right"/>
              <w:rPr>
                <w:rFonts w:ascii="times" w:hAnsi="times"/>
                <w:sz w:val="20"/>
              </w:rPr>
            </w:pPr>
            <w:r>
              <w:rPr>
                <w:rFonts w:ascii="times" w:hAnsi="times"/>
                <w:sz w:val="20"/>
              </w:rPr>
              <w:t>251,302</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2,063,109</w:t>
            </w:r>
          </w:p>
        </w:tc>
        <w:tc>
          <w:tcPr>
            <w:tcW w:w="210" w:type="dxa"/>
            <w:tcBorders/>
            <w:shd w:fill="auto"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2,203,918</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jc w:val="right"/>
              <w:rPr>
                <w:rFonts w:ascii="times" w:hAnsi="times"/>
                <w:sz w:val="20"/>
              </w:rPr>
            </w:pPr>
            <w:r>
              <w:rPr>
                <w:rFonts w:ascii="times" w:hAnsi="times"/>
                <w:sz w:val="20"/>
              </w:rPr>
              <w:t>63,349</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t>4,581,678</w:t>
            </w:r>
          </w:p>
        </w:tc>
        <w:tc>
          <w:tcPr>
            <w:tcW w:w="60" w:type="dxa"/>
            <w:tcBorders/>
            <w:shd w:fill="auto" w:val="clear"/>
          </w:tcPr>
          <w:p>
            <w:pPr>
              <w:pStyle w:val="TableContents"/>
              <w:spacing w:before="0" w:after="283"/>
              <w:rPr/>
            </w:pPr>
            <w:r>
              <w:rPr/>
              <w:t> </w:t>
            </w:r>
          </w:p>
        </w:tc>
      </w:tr>
      <w:tr>
        <w:trPr/>
        <w:tc>
          <w:tcPr>
            <w:tcW w:w="2505" w:type="dxa"/>
            <w:gridSpan w:val="2"/>
            <w:tcBorders/>
            <w:shd w:fill="CCEEFF" w:val="clear"/>
          </w:tcPr>
          <w:p>
            <w:pPr>
              <w:pStyle w:val="TableContents"/>
              <w:spacing w:before="220" w:after="283"/>
              <w:ind w:left="200" w:right="0" w:hanging="200"/>
              <w:rPr>
                <w:rFonts w:ascii="times" w:hAnsi="times"/>
                <w:sz w:val="20"/>
              </w:rPr>
            </w:pPr>
            <w:r>
              <w:rPr>
                <w:rFonts w:ascii="times" w:hAnsi="times"/>
                <w:sz w:val="20"/>
              </w:rPr>
              <w:t>John P. vonBerg</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br/>
              <w:t>2008</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br/>
              <w:t>200,000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br/>
              <w:t>2,740,000</w:t>
            </w:r>
          </w:p>
        </w:tc>
        <w:tc>
          <w:tcPr>
            <w:tcW w:w="210" w:type="dxa"/>
            <w:tcBorders/>
            <w:shd w:fill="CCEEFF" w:val="clear"/>
          </w:tcPr>
          <w:p>
            <w:pPr>
              <w:pStyle w:val="TableContents"/>
              <w:spacing w:before="0" w:after="283"/>
              <w:rPr>
                <w:rFonts w:ascii="times" w:hAnsi="times"/>
                <w:sz w:val="20"/>
              </w:rPr>
            </w:pPr>
            <w:r>
              <w:rPr>
                <w:rFonts w:ascii="times" w:hAnsi="times"/>
                <w:sz w:val="20"/>
              </w:rPr>
              <w:br/>
            </w:r>
            <w:r>
              <w:rPr>
                <w:rFonts w:ascii="times" w:hAnsi="times"/>
                <w:position w:val="7"/>
                <w:sz w:val="16"/>
                <w:sz w:val="20"/>
              </w:rPr>
              <w:t>(4)</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br/>
              <w:t>1,258,096</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br/>
              <w:t>14,580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br/>
              <w:t>4,212,676</w:t>
            </w:r>
          </w:p>
        </w:tc>
        <w:tc>
          <w:tcPr>
            <w:tcW w:w="60" w:type="dxa"/>
            <w:tcBorders/>
            <w:shd w:fill="CCEE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355" w:type="dxa"/>
            <w:tcBorders/>
            <w:shd w:fill="CCEEFF" w:val="clear"/>
          </w:tcPr>
          <w:p>
            <w:pPr>
              <w:pStyle w:val="TableContents"/>
              <w:spacing w:before="0" w:after="283"/>
              <w:ind w:left="200" w:right="0" w:hanging="200"/>
              <w:rPr>
                <w:rFonts w:ascii="times" w:hAnsi="times"/>
                <w:sz w:val="20"/>
              </w:rPr>
            </w:pPr>
            <w:r>
              <w:rPr>
                <w:rFonts w:ascii="times" w:hAnsi="times"/>
                <w:sz w:val="20"/>
              </w:rPr>
              <w:t>Senior Vice President</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2007</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200,000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2,765,000</w:t>
            </w:r>
          </w:p>
        </w:tc>
        <w:tc>
          <w:tcPr>
            <w:tcW w:w="21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1,780,055</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t>14,244</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4,759,299</w:t>
            </w:r>
          </w:p>
        </w:tc>
        <w:tc>
          <w:tcPr>
            <w:tcW w:w="60" w:type="dxa"/>
            <w:tcBorders/>
            <w:shd w:fill="CCEE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355" w:type="dxa"/>
            <w:tcBorders/>
            <w:shd w:fill="CCEEFF" w:val="clear"/>
          </w:tcPr>
          <w:p>
            <w:pPr>
              <w:pStyle w:val="TableContents"/>
              <w:spacing w:before="0" w:after="283"/>
              <w:ind w:left="200" w:right="0" w:hanging="200"/>
              <w:rPr>
                <w:rFonts w:ascii="times" w:hAnsi="times"/>
                <w:sz w:val="20"/>
              </w:rPr>
            </w:pPr>
            <w:r>
              <w:rPr>
                <w:rFonts w:ascii="times" w:hAnsi="times"/>
                <w:sz w:val="20"/>
              </w:rPr>
              <w:t>Commercial Activities</w:t>
            </w:r>
          </w:p>
        </w:tc>
        <w:tc>
          <w:tcPr>
            <w:tcW w:w="18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2006</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200,000</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2,934,700</w:t>
            </w:r>
          </w:p>
        </w:tc>
        <w:tc>
          <w:tcPr>
            <w:tcW w:w="21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1,575,530</w:t>
            </w:r>
          </w:p>
        </w:tc>
        <w:tc>
          <w:tcPr>
            <w:tcW w:w="21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c>
          <w:tcPr>
            <w:tcW w:w="795" w:type="dxa"/>
            <w:tcBorders/>
            <w:shd w:fill="CCEEFF" w:val="clear"/>
          </w:tcPr>
          <w:p>
            <w:pPr>
              <w:pStyle w:val="TableContents"/>
              <w:spacing w:before="0" w:after="283"/>
              <w:jc w:val="right"/>
              <w:rPr>
                <w:rFonts w:ascii="times" w:hAnsi="times"/>
                <w:sz w:val="20"/>
              </w:rPr>
            </w:pPr>
            <w:r>
              <w:rPr>
                <w:rFonts w:ascii="times" w:hAnsi="times"/>
                <w:sz w:val="20"/>
              </w:rPr>
              <w:t>15,744</w:t>
            </w:r>
          </w:p>
        </w:tc>
        <w:tc>
          <w:tcPr>
            <w:tcW w:w="21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45" w:type="dxa"/>
            <w:tcBorders/>
            <w:shd w:fill="CCEEFF" w:val="clear"/>
          </w:tcPr>
          <w:p>
            <w:pPr>
              <w:pStyle w:val="TableContents"/>
              <w:spacing w:before="0" w:after="283"/>
              <w:jc w:val="right"/>
              <w:rPr>
                <w:rFonts w:ascii="times" w:hAnsi="times"/>
                <w:sz w:val="20"/>
              </w:rPr>
            </w:pPr>
            <w:r>
              <w:rPr>
                <w:rFonts w:ascii="times" w:hAnsi="times"/>
                <w:sz w:val="20"/>
              </w:rPr>
              <w:t>4,725,974</w:t>
            </w:r>
          </w:p>
        </w:tc>
        <w:tc>
          <w:tcPr>
            <w:tcW w:w="60" w:type="dxa"/>
            <w:tcBorders/>
            <w:shd w:fill="CCEEFF" w:val="clear"/>
          </w:tcPr>
          <w:p>
            <w:pPr>
              <w:pStyle w:val="TableContents"/>
              <w:spacing w:before="0" w:after="283"/>
              <w:rPr/>
            </w:pPr>
            <w:r>
              <w:rPr/>
              <w:t> </w:t>
            </w:r>
          </w:p>
        </w:tc>
      </w:tr>
      <w:tr>
        <w:trPr/>
        <w:tc>
          <w:tcPr>
            <w:tcW w:w="2505" w:type="dxa"/>
            <w:gridSpan w:val="2"/>
            <w:tcBorders/>
            <w:shd w:fill="auto" w:val="clear"/>
          </w:tcPr>
          <w:p>
            <w:pPr>
              <w:pStyle w:val="TableContents"/>
              <w:spacing w:before="220" w:after="283"/>
              <w:ind w:left="200" w:right="0" w:hanging="200"/>
              <w:rPr>
                <w:rFonts w:ascii="times" w:hAnsi="times"/>
                <w:sz w:val="20"/>
              </w:rPr>
            </w:pPr>
            <w:r>
              <w:rPr>
                <w:rFonts w:ascii="times" w:hAnsi="times"/>
                <w:sz w:val="20"/>
              </w:rPr>
              <w:t>Al Swanson</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right"/>
              <w:rPr>
                <w:rFonts w:ascii="times" w:hAnsi="times"/>
                <w:sz w:val="20"/>
              </w:rPr>
            </w:pPr>
            <w:r>
              <w:rPr>
                <w:rFonts w:ascii="times" w:hAnsi="times"/>
                <w:sz w:val="20"/>
              </w:rPr>
              <w:br/>
              <w:t>2008</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jc w:val="right"/>
              <w:rPr>
                <w:rFonts w:ascii="times" w:hAnsi="times"/>
                <w:sz w:val="20"/>
              </w:rPr>
            </w:pPr>
            <w:r>
              <w:rPr>
                <w:rFonts w:ascii="times" w:hAnsi="times"/>
                <w:sz w:val="20"/>
              </w:rPr>
              <w:br/>
              <w:t>180,000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700,000</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997,345</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jc w:val="right"/>
              <w:rPr>
                <w:rFonts w:ascii="times" w:hAnsi="times"/>
                <w:sz w:val="20"/>
              </w:rPr>
            </w:pPr>
            <w:r>
              <w:rPr>
                <w:rFonts w:ascii="times" w:hAnsi="times"/>
                <w:sz w:val="20"/>
              </w:rPr>
              <w:br/>
              <w:t>14,502</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jc w:val="right"/>
              <w:rPr>
                <w:rFonts w:ascii="times" w:hAnsi="times"/>
                <w:sz w:val="20"/>
              </w:rPr>
            </w:pPr>
            <w:r>
              <w:rPr>
                <w:rFonts w:ascii="times" w:hAnsi="times"/>
                <w:sz w:val="20"/>
              </w:rPr>
              <w:br/>
              <w:t>1,891,847</w:t>
            </w:r>
          </w:p>
        </w:tc>
        <w:tc>
          <w:tcPr>
            <w:tcW w:w="60" w:type="dxa"/>
            <w:tcBorders/>
            <w:shd w:fill="auto" w:val="clear"/>
          </w:tcPr>
          <w:p>
            <w:pPr>
              <w:pStyle w:val="TableContents"/>
              <w:spacing w:before="0" w:after="283"/>
              <w:rPr/>
            </w:pPr>
            <w:r>
              <w:rPr/>
              <w:t> </w:t>
            </w:r>
          </w:p>
        </w:tc>
      </w:tr>
      <w:tr>
        <w:trPr/>
        <w:tc>
          <w:tcPr>
            <w:tcW w:w="150" w:type="dxa"/>
            <w:tcBorders/>
            <w:shd w:fill="auto" w:val="clear"/>
          </w:tcPr>
          <w:p>
            <w:pPr>
              <w:pStyle w:val="TableContents"/>
              <w:spacing w:before="0" w:after="283"/>
              <w:rPr/>
            </w:pPr>
            <w:r>
              <w:rPr/>
              <w:t> </w:t>
            </w:r>
          </w:p>
        </w:tc>
        <w:tc>
          <w:tcPr>
            <w:tcW w:w="2355" w:type="dxa"/>
            <w:tcBorders/>
            <w:shd w:fill="auto" w:val="clear"/>
          </w:tcPr>
          <w:p>
            <w:pPr>
              <w:pStyle w:val="TableContents"/>
              <w:spacing w:before="0" w:after="283"/>
              <w:ind w:left="200" w:right="0" w:hanging="200"/>
              <w:rPr>
                <w:rFonts w:ascii="times" w:hAnsi="times"/>
                <w:sz w:val="20"/>
              </w:rPr>
            </w:pPr>
            <w:r>
              <w:rPr>
                <w:rFonts w:ascii="times" w:hAnsi="times"/>
                <w:sz w:val="20"/>
              </w:rPr>
              <w:t>Senior Vice President and</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r>
      <w:tr>
        <w:trPr/>
        <w:tc>
          <w:tcPr>
            <w:tcW w:w="150" w:type="dxa"/>
            <w:tcBorders/>
            <w:shd w:fill="auto" w:val="clear"/>
          </w:tcPr>
          <w:p>
            <w:pPr>
              <w:pStyle w:val="TableContents"/>
              <w:spacing w:before="0" w:after="283"/>
              <w:rPr/>
            </w:pPr>
            <w:r>
              <w:rPr/>
              <w:t> </w:t>
            </w:r>
          </w:p>
        </w:tc>
        <w:tc>
          <w:tcPr>
            <w:tcW w:w="2355" w:type="dxa"/>
            <w:tcBorders/>
            <w:shd w:fill="auto" w:val="clear"/>
          </w:tcPr>
          <w:p>
            <w:pPr>
              <w:pStyle w:val="TableContents"/>
              <w:spacing w:before="0" w:after="283"/>
              <w:ind w:left="200" w:right="0" w:hanging="200"/>
              <w:rPr>
                <w:rFonts w:ascii="times" w:hAnsi="times"/>
                <w:sz w:val="20"/>
              </w:rPr>
            </w:pPr>
            <w:r>
              <w:rPr>
                <w:rFonts w:ascii="times" w:hAnsi="times"/>
                <w:sz w:val="20"/>
              </w:rPr>
              <w:t>Chief Financial Officer*</w:t>
            </w:r>
          </w:p>
        </w:tc>
        <w:tc>
          <w:tcPr>
            <w:tcW w:w="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69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79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4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Effective November 15, 2008, Mr. Swanson was promoted to Senior Vice President and Chief Financial Officer. In connection with relinquishing his role as Chief Financial Officer, Mr. Kramer assumed responsibility for certain of our commercial activities. </w:t>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Dollar amounts represent the compensation expense recognized in each fiscal period with respect to outstanding phantom unit grants under our LTIP and outstanding Class B units, whether or not granted during the applicable period. See Note 10 to our Consolidated Financial Statements for a discussion of the assumptions made in determining these amounts. For the 2006 period, as of the end of the year substantially all of the performance thresholds for earning the phantom units represented by the amounts indicated had been met; however, none of the amounts included in the 2006 period were vested as of such date as they contain ongoing service requirements and, subject to meeting those requirements, vested or will vest in various increments in 2007, 2008, 2009 and 2010. For the 2007 period, as of the end of the year all of the performance thresholds for earning the phantom units granted prior to fiscal year 2007 had been met; however, as described above, only a portion of the service period requirements were satisfied during fiscal years 2007 and 2008. For phantom units granted in 2007, the performance threshold for the first one-third vesting was deemed probable of occurrence as of the end of 2007; however, the earliest vesting of such units would be in 2011. Amounts in this column also include compensation expense recorded on our financial statements associated with the Class B units. The entire economic burden of the Class B units, which are equity classified, is borne solely by Plains AAP, L.P. and does not impact our cash or units outstanding. We recognize the grant date fair value of the Class B units as compensation expense over the service period. The expense is also reflected as a capital contribution and thus, results in a corresponding credit to Partners' Capital in our Consolidated Financial Statements. Recognition of expense for all performance-based long-term incentives is required once an assessment has been made that the likelihood of achievement of a performance threshold is probable. For the Class B units, such expense amount is based on the fair market value of the associated interest at the date of grant, proportionate to the relevant </w:t>
      </w:r>
    </w:p>
    <w:p>
      <w:pPr>
        <w:pStyle w:val="TextBody"/>
        <w:jc w:val="center"/>
        <w:rPr>
          <w:rFonts w:ascii="times" w:hAnsi="times"/>
          <w:sz w:val="20"/>
        </w:rPr>
      </w:pPr>
      <w:r>
        <w:rPr>
          <w:rFonts w:ascii="times" w:hAnsi="times"/>
          <w:sz w:val="20"/>
        </w:rPr>
        <w:t>120</w:t>
      </w:r>
    </w:p>
    <w:p>
      <w:pPr>
        <w:pStyle w:val="HorizontalLine"/>
        <w:pBdr>
          <w:bottom w:val="single" w:sz="20" w:space="0" w:color="808080"/>
        </w:pBdr>
        <w:rPr/>
      </w:pPr>
      <w:r>
        <w:rPr/>
      </w:r>
      <w:r>
        <w:br w:type="page"/>
      </w:r>
    </w:p>
    <w:p>
      <w:pPr>
        <w:pStyle w:val="TextBody"/>
        <w:rPr/>
      </w:pPr>
      <w:hyperlink w:anchor="bg12101a_main_toc">
        <w:bookmarkStart w:id="167" w:name="page_eg12101_1_121"/>
        <w:bookmarkEnd w:id="167"/>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service period incurred through the end of the period reported and any balance will be amortized over the remaining service period through the achievement of such performance threshold. The analysis is the same for LTIPs, except that the expense amount is based on the market value of an underlying common unit on the last business day of the reporting period.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Plains All American GP LLC matches 100% of employees' contributions to its 401(k) plan in cash, subject to certain limitations in the plan. All Other Compensation for each of Messrs. Armstrong, Pefanis, Kramer, vonBerg and Swanson includes $13,800 in such contributions for 2008. The remaining amount for each represents premium payments on behalf of such Named Executive Officer for group term life insurance. All Other Compensation for Mr. Duckett includes, for 2008, employer contributions to the PMC (Nova Scotia) Company savings plan of $34,852, group term life insurance premiums of $17,345, automobile lease payments of $31,478 and club dues.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Salary, bonus and all other compensation amounts for Mr. Duckett are presented in U.S. dollar equivalent based on the exchange rates in effect on the dates payments were made or approved.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Includes quarterly bonuses aggregating $1,440,000, $1,765,000 and $1,834,700 and annual bonuses of $1,300,000, $1,000,000 and $1,100,000 in 2008, 2007 and 2006, respectively. The annual bonuses are payable 60% at the time of award and 20% in each of the two succeeding years. </w:t>
      </w:r>
    </w:p>
    <w:p>
      <w:pPr>
        <w:pStyle w:val="TextBody"/>
        <w:rPr>
          <w:rFonts w:ascii="times" w:hAnsi="times"/>
          <w:b/>
          <w:sz w:val="20"/>
        </w:rPr>
      </w:pPr>
      <w:r>
        <w:rPr>
          <w:rFonts w:ascii="times" w:hAnsi="times"/>
          <w:b/>
          <w:sz w:val="20"/>
        </w:rPr>
        <w:t xml:space="preserve">Grants of Plan-Based Awards Table </w:t>
      </w:r>
    </w:p>
    <w:p>
      <w:pPr>
        <w:pStyle w:val="TextBody"/>
        <w:rPr/>
      </w:pPr>
      <w:r>
        <w:rPr/>
        <w:t>        </w:t>
      </w:r>
      <w:r>
        <w:rPr>
          <w:rFonts w:ascii="times" w:hAnsi="times"/>
          <w:sz w:val="20"/>
        </w:rPr>
        <w:t xml:space="preserve">There were no grants of plan-based awards to our Named Executive Officers during the fiscal year ended December 31, 2008. </w:t>
      </w:r>
    </w:p>
    <w:p>
      <w:pPr>
        <w:pStyle w:val="TextBody"/>
        <w:rPr>
          <w:rFonts w:ascii="times" w:hAnsi="times"/>
          <w:b/>
          <w:sz w:val="20"/>
        </w:rPr>
      </w:pPr>
      <w:r>
        <w:rPr>
          <w:rFonts w:ascii="times" w:hAnsi="times"/>
          <w:b/>
          <w:sz w:val="20"/>
        </w:rPr>
        <w:t xml:space="preserve">Narrative Disclosure to Summary Compensation Table and Grants of Plan-Based Awards Table </w:t>
      </w:r>
    </w:p>
    <w:p>
      <w:pPr>
        <w:pStyle w:val="TextBody"/>
        <w:rPr/>
      </w:pPr>
      <w:r>
        <w:rPr/>
        <w:t>        </w:t>
      </w:r>
      <w:r>
        <w:rPr>
          <w:rFonts w:ascii="times" w:hAnsi="times"/>
          <w:sz w:val="20"/>
        </w:rPr>
        <w:t xml:space="preserve">A discussion of 2008 salaries and bonuses is included in "Compensation Discussion and Analysis." The following is a discussion of other material factors necessary to an understanding of the information disclosed in the Summary Compensation Table and under "Grants of Plan-Based Awards Table" above. </w:t>
      </w:r>
    </w:p>
    <w:p>
      <w:pPr>
        <w:pStyle w:val="TextBody"/>
        <w:rPr/>
      </w:pPr>
      <w:r>
        <w:rPr/>
        <w:t>        </w:t>
      </w:r>
      <w:r>
        <w:rPr>
          <w:rFonts w:ascii="times" w:hAnsi="times"/>
          <w:i/>
          <w:sz w:val="20"/>
        </w:rPr>
        <w:t>Salary</w:t>
      </w:r>
      <w:r>
        <w:rPr>
          <w:rFonts w:ascii="times" w:hAnsi="times"/>
          <w:sz w:val="20"/>
        </w:rPr>
        <w:t xml:space="preserve">As discussed in this Item 11, we do not make systematic annual adjustments to the salaries of our Named Executive Officers. In that regard, no salary adjustments were made for any of our Named Executive Officers in 2008. In February 2009, the annual salary of each of Mr. vonBerg and Mr. Swanson was increased to $250,000. </w:t>
      </w:r>
    </w:p>
    <w:p>
      <w:pPr>
        <w:pStyle w:val="TextBody"/>
        <w:rPr/>
      </w:pPr>
      <w:r>
        <w:rPr/>
        <w:t>        </w:t>
      </w:r>
      <w:r>
        <w:rPr>
          <w:rFonts w:ascii="times" w:hAnsi="times"/>
          <w:i/>
          <w:sz w:val="20"/>
        </w:rPr>
        <w:t>Grants of Plan-Based Awards</w:t>
      </w:r>
      <w:r>
        <w:rPr>
          <w:rFonts w:ascii="times" w:hAnsi="times"/>
          <w:sz w:val="20"/>
        </w:rPr>
        <w:t xml:space="preserve">As noted above, there were no grants of plan-based awards to our Named Executive Officers during the fiscal year ended December 31, 2008. In February 2009, Mr. Swanson was awarded 35,000 phantom units under our LTIP. Also in February 2009, Mr. Kramer was awarded 7,000 Class B restricted units of Plains AAP, L.P. </w:t>
      </w:r>
    </w:p>
    <w:p>
      <w:pPr>
        <w:pStyle w:val="TextBody"/>
        <w:rPr>
          <w:rFonts w:ascii="times" w:hAnsi="times"/>
          <w:b/>
          <w:sz w:val="20"/>
        </w:rPr>
      </w:pPr>
      <w:r>
        <w:rPr>
          <w:rFonts w:ascii="times" w:hAnsi="times"/>
          <w:b/>
          <w:sz w:val="20"/>
        </w:rPr>
        <w:t xml:space="preserve">Employment Contracts </w:t>
      </w:r>
    </w:p>
    <w:p>
      <w:pPr>
        <w:pStyle w:val="TextBody"/>
        <w:rPr/>
      </w:pPr>
      <w:r>
        <w:rPr/>
        <w:t>        </w:t>
      </w:r>
      <w:r>
        <w:rPr>
          <w:rFonts w:ascii="times" w:hAnsi="times"/>
          <w:sz w:val="20"/>
        </w:rPr>
        <w:t xml:space="preserve">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w:t>
      </w:r>
    </w:p>
    <w:p>
      <w:pPr>
        <w:pStyle w:val="TextBody"/>
        <w:rPr/>
      </w:pPr>
      <w:r>
        <w:rPr/>
        <w:t>        </w:t>
      </w:r>
      <w:r>
        <w:rPr>
          <w:rFonts w:ascii="times" w:hAnsi="times"/>
          <w:sz w:val="20"/>
        </w:rPr>
        <w:t xml:space="preserve">Mr. Pefanis is employed as President and Chief Operating Officer. The initial three-year term of Mr. Pefanis' employment agreement commenced on June 30, 2001, and is automatically extended for </w:t>
      </w:r>
    </w:p>
    <w:p>
      <w:pPr>
        <w:pStyle w:val="TextBody"/>
        <w:jc w:val="center"/>
        <w:rPr>
          <w:rFonts w:ascii="times" w:hAnsi="times"/>
          <w:sz w:val="20"/>
        </w:rPr>
      </w:pPr>
      <w:r>
        <w:rPr>
          <w:rFonts w:ascii="times" w:hAnsi="times"/>
          <w:sz w:val="20"/>
        </w:rPr>
        <w:t>121</w:t>
      </w:r>
    </w:p>
    <w:p>
      <w:pPr>
        <w:pStyle w:val="HorizontalLine"/>
        <w:pBdr>
          <w:bottom w:val="single" w:sz="20" w:space="0" w:color="808080"/>
        </w:pBdr>
        <w:rPr/>
      </w:pPr>
      <w:r>
        <w:rPr/>
      </w:r>
      <w:r>
        <w:br w:type="page"/>
      </w:r>
    </w:p>
    <w:p>
      <w:pPr>
        <w:pStyle w:val="TextBody"/>
        <w:rPr/>
      </w:pPr>
      <w:hyperlink w:anchor="bg12101a_main_toc">
        <w:bookmarkStart w:id="168" w:name="page_eg12101_1_122"/>
        <w:bookmarkEnd w:id="168"/>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 </w:t>
      </w:r>
    </w:p>
    <w:p>
      <w:pPr>
        <w:pStyle w:val="TextBody"/>
        <w:rPr/>
      </w:pPr>
      <w:r>
        <w:rPr/>
        <w:t>        </w:t>
      </w:r>
      <w:r>
        <w:rPr>
          <w:rFonts w:ascii="times" w:hAnsi="times"/>
          <w:sz w:val="20"/>
        </w:rPr>
        <w:t xml:space="preserve">See "Compensation Discussion and Analysis" for a discussion of how we use salary and bonus to achieve compensation objectives. See "Potential Payments upon Termination or Change-In-Control" for a discussion of the provisions in Messrs. Armstrong's and Pefanis' employment agreements related to termination, change of control and related payment obligations. </w:t>
      </w:r>
    </w:p>
    <w:p>
      <w:pPr>
        <w:pStyle w:val="TextBody"/>
        <w:rPr>
          <w:rFonts w:ascii="times" w:hAnsi="times"/>
          <w:b/>
          <w:sz w:val="20"/>
        </w:rPr>
      </w:pPr>
      <w:r>
        <w:rPr>
          <w:rFonts w:ascii="times" w:hAnsi="times"/>
          <w:b/>
          <w:sz w:val="20"/>
        </w:rPr>
        <w:t xml:space="preserve">Outstanding Equity Awards at Fiscal Year-End </w:t>
      </w:r>
    </w:p>
    <w:p>
      <w:pPr>
        <w:pStyle w:val="TextBody"/>
        <w:rPr/>
      </w:pPr>
      <w:r>
        <w:rPr/>
        <w:t>        </w:t>
      </w:r>
      <w:r>
        <w:rPr>
          <w:rFonts w:ascii="times" w:hAnsi="times"/>
          <w:sz w:val="20"/>
        </w:rPr>
        <w:t xml:space="preserve">The following table sets forth certain information with respect to outstanding equity awards at December 31, 2008 with respect to our Named Executive Officers: </w:t>
      </w:r>
    </w:p>
    <w:tbl>
      <w:tblPr>
        <w:tblW w:w="9087" w:type="dxa"/>
        <w:jc w:val="center"/>
        <w:tblInd w:w="0" w:type="dxa"/>
        <w:tblCellMar>
          <w:top w:w="0" w:type="dxa"/>
          <w:left w:w="0" w:type="dxa"/>
          <w:bottom w:w="0" w:type="dxa"/>
          <w:right w:w="0" w:type="dxa"/>
        </w:tblCellMar>
      </w:tblPr>
      <w:tblGrid>
        <w:gridCol w:w="1200"/>
        <w:gridCol w:w="90"/>
        <w:gridCol w:w="92"/>
        <w:gridCol w:w="662"/>
        <w:gridCol w:w="110"/>
        <w:gridCol w:w="287"/>
        <w:gridCol w:w="602"/>
        <w:gridCol w:w="90"/>
        <w:gridCol w:w="240"/>
        <w:gridCol w:w="500"/>
        <w:gridCol w:w="90"/>
        <w:gridCol w:w="139"/>
        <w:gridCol w:w="406"/>
        <w:gridCol w:w="90"/>
        <w:gridCol w:w="107"/>
        <w:gridCol w:w="573"/>
        <w:gridCol w:w="90"/>
        <w:gridCol w:w="90"/>
        <w:gridCol w:w="755"/>
        <w:gridCol w:w="110"/>
        <w:gridCol w:w="68"/>
        <w:gridCol w:w="686"/>
        <w:gridCol w:w="90"/>
        <w:gridCol w:w="93"/>
        <w:gridCol w:w="782"/>
        <w:gridCol w:w="110"/>
        <w:gridCol w:w="78"/>
        <w:gridCol w:w="797"/>
        <w:gridCol w:w="60"/>
      </w:tblGrid>
      <w:tr>
        <w:trPr/>
        <w:tc>
          <w:tcPr>
            <w:tcW w:w="1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200" w:type="dxa"/>
            <w:tcBorders/>
            <w:shd w:fill="auto" w:val="clear"/>
            <w:vAlign w:val="bottom"/>
          </w:tcPr>
          <w:p>
            <w:pPr>
              <w:pStyle w:val="TableHeading"/>
              <w:spacing w:before="0" w:after="283"/>
              <w:jc w:val="left"/>
              <w:rPr/>
            </w:pPr>
            <w:r>
              <w:rPr/>
              <w:t> </w:t>
            </w:r>
          </w:p>
        </w:tc>
        <w:tc>
          <w:tcPr>
            <w:tcW w:w="90" w:type="dxa"/>
            <w:tcBorders/>
            <w:shd w:fill="auto" w:val="clear"/>
            <w:vAlign w:val="bottom"/>
          </w:tcPr>
          <w:p>
            <w:pPr>
              <w:pStyle w:val="TableHeading"/>
              <w:suppressLineNumbers/>
              <w:spacing w:before="0" w:after="283"/>
              <w:jc w:val="center"/>
              <w:rPr/>
            </w:pPr>
            <w:r>
              <w:rPr/>
              <w:t> </w:t>
            </w:r>
          </w:p>
        </w:tc>
        <w:tc>
          <w:tcPr>
            <w:tcW w:w="3988"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Option Awards </w:t>
            </w:r>
          </w:p>
        </w:tc>
        <w:tc>
          <w:tcPr>
            <w:tcW w:w="90" w:type="dxa"/>
            <w:tcBorders/>
            <w:shd w:fill="auto" w:val="clear"/>
            <w:vAlign w:val="bottom"/>
          </w:tcPr>
          <w:p>
            <w:pPr>
              <w:pStyle w:val="TableHeading"/>
              <w:suppressLineNumbers/>
              <w:spacing w:before="0" w:after="283"/>
              <w:jc w:val="center"/>
              <w:rPr/>
            </w:pPr>
            <w:r>
              <w:rPr/>
              <w:t> </w:t>
            </w:r>
          </w:p>
        </w:tc>
        <w:tc>
          <w:tcPr>
            <w:tcW w:w="3659"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 Awards </w:t>
            </w:r>
          </w:p>
        </w:tc>
        <w:tc>
          <w:tcPr>
            <w:tcW w:w="60" w:type="dxa"/>
            <w:tcBorders/>
            <w:shd w:fill="auto" w:val="clear"/>
            <w:vAlign w:val="bottom"/>
          </w:tcPr>
          <w:p>
            <w:pPr>
              <w:pStyle w:val="TableHeading"/>
              <w:suppressLineNumbers/>
              <w:spacing w:before="0" w:after="283"/>
              <w:jc w:val="center"/>
              <w:rPr/>
            </w:pPr>
            <w:r>
              <w:rPr/>
              <w:t> </w:t>
            </w:r>
          </w:p>
        </w:tc>
      </w:tr>
      <w:tr>
        <w:trPr/>
        <w:tc>
          <w:tcPr>
            <w:tcW w:w="120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90"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Securities</w:t>
              <w:br/>
              <w:t>Underlying</w:t>
              <w:br/>
              <w:t>Unexercised</w:t>
              <w:br/>
              <w:t>Options (#)</w:t>
              <w:br/>
              <w:t xml:space="preserve">Exercisable </w:t>
            </w:r>
          </w:p>
        </w:tc>
        <w:tc>
          <w:tcPr>
            <w:tcW w:w="110" w:type="dxa"/>
            <w:tcBorders/>
            <w:shd w:fill="auto" w:val="clear"/>
            <w:vAlign w:val="bottom"/>
          </w:tcPr>
          <w:p>
            <w:pPr>
              <w:pStyle w:val="TableHeading"/>
              <w:suppressLineNumbers/>
              <w:spacing w:before="0" w:after="283"/>
              <w:jc w:val="center"/>
              <w:rPr/>
            </w:pPr>
            <w:r>
              <w:rPr/>
              <w:t> </w:t>
            </w:r>
          </w:p>
        </w:tc>
        <w:tc>
          <w:tcPr>
            <w:tcW w:w="88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Securities</w:t>
              <w:br/>
              <w:t>Underlying</w:t>
              <w:br/>
              <w:t>Unexercised</w:t>
              <w:br/>
              <w:t>Options (#)</w:t>
              <w:br/>
              <w:t xml:space="preserve">Unexercisable </w:t>
            </w:r>
          </w:p>
        </w:tc>
        <w:tc>
          <w:tcPr>
            <w:tcW w:w="90" w:type="dxa"/>
            <w:tcBorders/>
            <w:shd w:fill="auto" w:val="clear"/>
            <w:vAlign w:val="bottom"/>
          </w:tcPr>
          <w:p>
            <w:pPr>
              <w:pStyle w:val="TableHeading"/>
              <w:suppressLineNumbers/>
              <w:spacing w:before="0" w:after="283"/>
              <w:jc w:val="center"/>
              <w:rPr/>
            </w:pPr>
            <w:r>
              <w:rPr/>
              <w:t> </w:t>
            </w:r>
          </w:p>
        </w:tc>
        <w:tc>
          <w:tcPr>
            <w:tcW w:w="7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Equity</w:t>
              <w:br/>
              <w:t>Incentive</w:t>
              <w:br/>
              <w:t>Plan</w:t>
              <w:br/>
              <w:t>Awards:</w:t>
              <w:br/>
              <w:t>Number of</w:t>
              <w:br/>
              <w:t>Securities</w:t>
              <w:br/>
              <w:t>Underlying</w:t>
              <w:br/>
              <w:t>Unexercised</w:t>
              <w:br/>
              <w:t>Unearned</w:t>
              <w:br/>
              <w:t xml:space="preserve">Options (#) </w:t>
            </w:r>
          </w:p>
        </w:tc>
        <w:tc>
          <w:tcPr>
            <w:tcW w:w="90" w:type="dxa"/>
            <w:tcBorders/>
            <w:shd w:fill="auto" w:val="clear"/>
            <w:vAlign w:val="bottom"/>
          </w:tcPr>
          <w:p>
            <w:pPr>
              <w:pStyle w:val="TableHeading"/>
              <w:suppressLineNumbers/>
              <w:spacing w:before="0" w:after="283"/>
              <w:jc w:val="center"/>
              <w:rPr/>
            </w:pPr>
            <w:r>
              <w:rPr/>
              <w:t> </w:t>
            </w:r>
          </w:p>
        </w:tc>
        <w:tc>
          <w:tcPr>
            <w:tcW w:w="5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Option</w:t>
              <w:br/>
              <w:t>Exercise</w:t>
              <w:br/>
              <w:t xml:space="preserve">Price ($) </w:t>
            </w:r>
          </w:p>
        </w:tc>
        <w:tc>
          <w:tcPr>
            <w:tcW w:w="90" w:type="dxa"/>
            <w:tcBorders/>
            <w:shd w:fill="auto" w:val="clear"/>
            <w:vAlign w:val="bottom"/>
          </w:tcPr>
          <w:p>
            <w:pPr>
              <w:pStyle w:val="TableHeading"/>
              <w:suppressLineNumbers/>
              <w:spacing w:before="0" w:after="283"/>
              <w:jc w:val="center"/>
              <w:rPr/>
            </w:pPr>
            <w:r>
              <w:rPr/>
              <w:t> </w:t>
            </w:r>
          </w:p>
        </w:tc>
        <w:tc>
          <w:tcPr>
            <w:tcW w:w="6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Option</w:t>
              <w:br/>
              <w:t>Expiration</w:t>
              <w:br/>
              <w:t xml:space="preserve">Date </w:t>
            </w:r>
          </w:p>
        </w:tc>
        <w:tc>
          <w:tcPr>
            <w:tcW w:w="90" w:type="dxa"/>
            <w:tcBorders/>
            <w:shd w:fill="auto" w:val="clear"/>
            <w:vAlign w:val="bottom"/>
          </w:tcPr>
          <w:p>
            <w:pPr>
              <w:pStyle w:val="TableHeading"/>
              <w:suppressLineNumbers/>
              <w:spacing w:before="0" w:after="283"/>
              <w:jc w:val="center"/>
              <w:rPr/>
            </w:pPr>
            <w:r>
              <w:rPr/>
              <w:t> </w:t>
            </w:r>
          </w:p>
        </w:tc>
        <w:tc>
          <w:tcPr>
            <w:tcW w:w="8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Shares or</w:t>
              <w:br/>
              <w:t>Units of Stock</w:t>
              <w:br/>
              <w:t>That Have</w:t>
              <w:br/>
              <w:t>Not</w:t>
              <w:br/>
              <w:t xml:space="preserve">Vested (#) </w:t>
            </w:r>
          </w:p>
        </w:tc>
        <w:tc>
          <w:tcPr>
            <w:tcW w:w="110"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Market</w:t>
              <w:br/>
              <w:t>Value of</w:t>
              <w:br/>
              <w:t>Shares or</w:t>
              <w:br/>
              <w:t>Units of</w:t>
              <w:br/>
              <w:t>Stock That</w:t>
              <w:br/>
              <w:t>Have Not</w:t>
              <w:br/>
              <w:t>Vested ($)</w:t>
            </w:r>
            <w:r>
              <w:rPr>
                <w:rFonts w:ascii="times" w:hAnsi="times"/>
                <w:b/>
                <w:position w:val="5"/>
                <w:sz w:val="11"/>
                <w:sz w:val="14"/>
              </w:rPr>
              <w:t>(1)</w:t>
            </w:r>
            <w:r>
              <w:rPr>
                <w:rFonts w:ascii="times" w:hAnsi="times"/>
                <w:b/>
                <w:sz w:val="14"/>
              </w:rPr>
              <w:t xml:space="preserve"> </w:t>
            </w:r>
          </w:p>
        </w:tc>
        <w:tc>
          <w:tcPr>
            <w:tcW w:w="90" w:type="dxa"/>
            <w:tcBorders/>
            <w:shd w:fill="auto" w:val="clear"/>
            <w:vAlign w:val="bottom"/>
          </w:tcPr>
          <w:p>
            <w:pPr>
              <w:pStyle w:val="TableHeading"/>
              <w:suppressLineNumbers/>
              <w:spacing w:before="0" w:after="283"/>
              <w:jc w:val="center"/>
              <w:rPr/>
            </w:pPr>
            <w:r>
              <w:rPr/>
              <w:t> </w:t>
            </w:r>
          </w:p>
        </w:tc>
        <w:tc>
          <w:tcPr>
            <w:tcW w:w="8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Equity</w:t>
              <w:br/>
              <w:t>Incentive Plan</w:t>
              <w:br/>
              <w:t>Awards:</w:t>
              <w:br/>
              <w:t>Number of</w:t>
              <w:br/>
              <w:t>Unearned</w:t>
              <w:br/>
              <w:t>Shares, Units</w:t>
              <w:br/>
              <w:t>or Other</w:t>
              <w:br/>
              <w:t>Rights That</w:t>
              <w:br/>
              <w:t>Have Not</w:t>
              <w:br/>
              <w:t xml:space="preserve">Vested (#) </w:t>
            </w:r>
          </w:p>
        </w:tc>
        <w:tc>
          <w:tcPr>
            <w:tcW w:w="110" w:type="dxa"/>
            <w:tcBorders/>
            <w:shd w:fill="auto" w:val="clear"/>
            <w:vAlign w:val="bottom"/>
          </w:tcPr>
          <w:p>
            <w:pPr>
              <w:pStyle w:val="TableHeading"/>
              <w:suppressLineNumbers/>
              <w:spacing w:before="0" w:after="283"/>
              <w:jc w:val="center"/>
              <w:rPr/>
            </w:pPr>
            <w:r>
              <w:rPr/>
              <w:t> </w:t>
            </w:r>
          </w:p>
        </w:tc>
        <w:tc>
          <w:tcPr>
            <w:tcW w:w="8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Equity</w:t>
              <w:br/>
              <w:t>Incentive Plan</w:t>
              <w:br/>
              <w:t>Awards:</w:t>
              <w:br/>
              <w:t>Market or</w:t>
              <w:br/>
              <w:t>Payout Value</w:t>
              <w:br/>
              <w:t>of Unearned</w:t>
              <w:br/>
              <w:t>Shares, Units</w:t>
              <w:br/>
              <w:t>or Other</w:t>
              <w:br/>
              <w:t>Rights That</w:t>
              <w:br/>
              <w:t>Have Not</w:t>
              <w:br/>
              <w:t>Vested ($)</w:t>
            </w:r>
            <w:r>
              <w:rPr>
                <w:rFonts w:ascii="times" w:hAnsi="times"/>
                <w:b/>
                <w:position w:val="5"/>
                <w:sz w:val="11"/>
                <w:sz w:val="14"/>
              </w:rPr>
              <w:t>(1)</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1200" w:type="dxa"/>
            <w:tcBorders/>
            <w:shd w:fill="CCEEFF" w:val="clear"/>
          </w:tcPr>
          <w:p>
            <w:pPr>
              <w:pStyle w:val="TableContents"/>
              <w:spacing w:before="0" w:after="283"/>
              <w:ind w:left="140" w:right="0" w:hanging="140"/>
              <w:rPr>
                <w:rFonts w:ascii="times" w:hAnsi="times"/>
                <w:sz w:val="14"/>
              </w:rPr>
            </w:pPr>
            <w:r>
              <w:rPr>
                <w:rFonts w:ascii="times" w:hAnsi="times"/>
                <w:sz w:val="14"/>
              </w:rPr>
              <w:t>Greg L. Armstrong</w:t>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t>37,500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(2)</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jc w:val="right"/>
              <w:rPr>
                <w:rFonts w:ascii="times" w:hAnsi="times"/>
                <w:sz w:val="14"/>
              </w:rPr>
            </w:pPr>
            <w:r>
              <w:rPr>
                <w:rFonts w:ascii="times" w:hAnsi="times"/>
                <w:sz w:val="14"/>
              </w:rPr>
              <w:t>$</w:t>
            </w:r>
          </w:p>
        </w:tc>
        <w:tc>
          <w:tcPr>
            <w:tcW w:w="406" w:type="dxa"/>
            <w:tcBorders/>
            <w:shd w:fill="CCEEFF" w:val="clear"/>
          </w:tcPr>
          <w:p>
            <w:pPr>
              <w:pStyle w:val="TableContents"/>
              <w:spacing w:before="0" w:after="283"/>
              <w:jc w:val="right"/>
              <w:rPr>
                <w:rFonts w:ascii="times" w:hAnsi="times"/>
                <w:sz w:val="14"/>
              </w:rPr>
            </w:pPr>
            <w:r>
              <w:rPr>
                <w:rFonts w:ascii="times" w:hAnsi="times"/>
                <w:sz w:val="14"/>
              </w:rPr>
              <w:t>6.13</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t>6/07/2011</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t>210,000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(3)</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t>7,284,900</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t></w:t>
            </w:r>
          </w:p>
        </w:tc>
        <w:tc>
          <w:tcPr>
            <w:tcW w:w="110" w:type="dxa"/>
            <w:tcBorders/>
            <w:shd w:fill="CCEEFF" w:val="clear"/>
          </w:tcPr>
          <w:p>
            <w:pPr>
              <w:pStyle w:val="TableContents"/>
              <w:spacing w:before="0" w:after="283"/>
              <w:rPr/>
            </w:pPr>
            <w:r>
              <w:rPr/>
              <w:t> </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t></w:t>
            </w:r>
          </w:p>
        </w:tc>
        <w:tc>
          <w:tcPr>
            <w:tcW w:w="60" w:type="dxa"/>
            <w:tcBorders/>
            <w:shd w:fill="CCEEFF" w:val="clear"/>
          </w:tcPr>
          <w:p>
            <w:pPr>
              <w:pStyle w:val="TableContents"/>
              <w:spacing w:before="0" w:after="283"/>
              <w:rPr/>
            </w:pPr>
            <w:r>
              <w:rPr/>
              <w:t> </w:t>
            </w:r>
          </w:p>
        </w:tc>
      </w:tr>
      <w:tr>
        <w:trPr/>
        <w:tc>
          <w:tcPr>
            <w:tcW w:w="1200" w:type="dxa"/>
            <w:tcBorders/>
            <w:shd w:fill="CCEEFF" w:val="clear"/>
          </w:tcPr>
          <w:p>
            <w:pPr>
              <w:pStyle w:val="TableContents"/>
              <w:spacing w:before="0" w:after="283"/>
              <w:ind w:left="140" w:right="0" w:hanging="140"/>
              <w:rPr>
                <w:sz w:val="4"/>
                <w:szCs w:val="4"/>
              </w:rPr>
            </w:pPr>
            <w:r>
              <w:rPr>
                <w:sz w:val="4"/>
                <w:szCs w:val="4"/>
              </w:rPr>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t></w:t>
            </w:r>
          </w:p>
        </w:tc>
        <w:tc>
          <w:tcPr>
            <w:tcW w:w="110" w:type="dxa"/>
            <w:tcBorders/>
            <w:shd w:fill="CCEEFF" w:val="clear"/>
          </w:tcPr>
          <w:p>
            <w:pPr>
              <w:pStyle w:val="TableContents"/>
              <w:spacing w:before="0" w:after="283"/>
              <w:rPr/>
            </w:pPr>
            <w:r>
              <w:rPr/>
              <w:t> </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rPr/>
            </w:pPr>
            <w:r>
              <w:rPr/>
              <w:t> </w:t>
            </w:r>
          </w:p>
        </w:tc>
        <w:tc>
          <w:tcPr>
            <w:tcW w:w="406"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t>60,000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t>2,081,400</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t>120,000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t>4,162,800</w:t>
            </w:r>
          </w:p>
        </w:tc>
        <w:tc>
          <w:tcPr>
            <w:tcW w:w="60" w:type="dxa"/>
            <w:tcBorders/>
            <w:shd w:fill="CCEEFF" w:val="clear"/>
          </w:tcPr>
          <w:p>
            <w:pPr>
              <w:pStyle w:val="TableContents"/>
              <w:spacing w:before="0" w:after="283"/>
              <w:rPr/>
            </w:pPr>
            <w:r>
              <w:rPr/>
              <w:t> </w:t>
            </w:r>
          </w:p>
        </w:tc>
      </w:tr>
      <w:tr>
        <w:trPr/>
        <w:tc>
          <w:tcPr>
            <w:tcW w:w="1200" w:type="dxa"/>
            <w:tcBorders/>
            <w:shd w:fill="CCEEFF" w:val="clear"/>
          </w:tcPr>
          <w:p>
            <w:pPr>
              <w:pStyle w:val="TableContents"/>
              <w:spacing w:before="0" w:after="283"/>
              <w:ind w:left="140" w:right="0" w:hanging="140"/>
              <w:rPr>
                <w:sz w:val="4"/>
                <w:szCs w:val="4"/>
              </w:rPr>
            </w:pPr>
            <w:r>
              <w:rPr>
                <w:sz w:val="4"/>
                <w:szCs w:val="4"/>
              </w:rPr>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t></w:t>
            </w:r>
          </w:p>
        </w:tc>
        <w:tc>
          <w:tcPr>
            <w:tcW w:w="110" w:type="dxa"/>
            <w:tcBorders/>
            <w:shd w:fill="CCEEFF" w:val="clear"/>
          </w:tcPr>
          <w:p>
            <w:pPr>
              <w:pStyle w:val="TableContents"/>
              <w:spacing w:before="0" w:after="283"/>
              <w:rPr/>
            </w:pPr>
            <w:r>
              <w:rPr/>
              <w:t> </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rPr/>
            </w:pPr>
            <w:r>
              <w:rPr/>
              <w:t> </w:t>
            </w:r>
          </w:p>
        </w:tc>
        <w:tc>
          <w:tcPr>
            <w:tcW w:w="406"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t>10,000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t>2,772,400</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t>30,000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t>5,985,600</w:t>
            </w:r>
          </w:p>
        </w:tc>
        <w:tc>
          <w:tcPr>
            <w:tcW w:w="60" w:type="dxa"/>
            <w:tcBorders/>
            <w:shd w:fill="CCEEFF" w:val="clear"/>
          </w:tcPr>
          <w:p>
            <w:pPr>
              <w:pStyle w:val="TableContents"/>
              <w:spacing w:before="0" w:after="283"/>
              <w:rPr/>
            </w:pPr>
            <w:r>
              <w:rPr/>
              <w:t> </w:t>
            </w:r>
          </w:p>
        </w:tc>
      </w:tr>
      <w:tr>
        <w:trPr/>
        <w:tc>
          <w:tcPr>
            <w:tcW w:w="1200" w:type="dxa"/>
            <w:tcBorders/>
            <w:shd w:fill="auto" w:val="clear"/>
          </w:tcPr>
          <w:p>
            <w:pPr>
              <w:pStyle w:val="TableContents"/>
              <w:spacing w:before="180" w:after="283"/>
              <w:ind w:left="140" w:right="0" w:hanging="140"/>
              <w:rPr>
                <w:rFonts w:ascii="times" w:hAnsi="times"/>
                <w:sz w:val="14"/>
              </w:rPr>
            </w:pPr>
            <w:r>
              <w:rPr>
                <w:rFonts w:ascii="times" w:hAnsi="times"/>
                <w:sz w:val="14"/>
              </w:rPr>
              <w:t>Harry N. Pefanis</w:t>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br/>
              <w:t>27,500</w:t>
            </w:r>
          </w:p>
        </w:tc>
        <w:tc>
          <w:tcPr>
            <w:tcW w:w="110" w:type="dxa"/>
            <w:tcBorders/>
            <w:shd w:fill="auto" w:val="clear"/>
          </w:tcPr>
          <w:p>
            <w:pPr>
              <w:pStyle w:val="TableContents"/>
              <w:spacing w:before="0" w:after="283"/>
              <w:rPr>
                <w:rFonts w:ascii="times" w:hAnsi="times"/>
                <w:sz w:val="14"/>
              </w:rPr>
            </w:pPr>
            <w:r>
              <w:rPr>
                <w:rFonts w:ascii="times" w:hAnsi="times"/>
                <w:sz w:val="14"/>
              </w:rPr>
              <w:br/>
            </w:r>
            <w:r>
              <w:rPr>
                <w:rFonts w:ascii="times" w:hAnsi="times"/>
                <w:position w:val="5"/>
                <w:sz w:val="11"/>
                <w:sz w:val="14"/>
              </w:rPr>
              <w:t>(2)</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jc w:val="right"/>
              <w:rPr>
                <w:rFonts w:ascii="times" w:hAnsi="times"/>
                <w:sz w:val="14"/>
              </w:rPr>
            </w:pPr>
            <w:r>
              <w:rPr>
                <w:rFonts w:ascii="times" w:hAnsi="times"/>
                <w:sz w:val="14"/>
              </w:rPr>
              <w:br/>
              <w:t>$</w:t>
            </w:r>
          </w:p>
        </w:tc>
        <w:tc>
          <w:tcPr>
            <w:tcW w:w="406" w:type="dxa"/>
            <w:tcBorders/>
            <w:shd w:fill="auto" w:val="clear"/>
          </w:tcPr>
          <w:p>
            <w:pPr>
              <w:pStyle w:val="TableContents"/>
              <w:spacing w:before="0" w:after="283"/>
              <w:jc w:val="right"/>
              <w:rPr>
                <w:rFonts w:ascii="times" w:hAnsi="times"/>
                <w:sz w:val="14"/>
              </w:rPr>
            </w:pPr>
            <w:r>
              <w:rPr>
                <w:rFonts w:ascii="times" w:hAnsi="times"/>
                <w:sz w:val="14"/>
              </w:rPr>
              <w:br/>
              <w:t>6.13</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br/>
              <w:t>6/07/2011</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br/>
              <w:t>140,000</w:t>
            </w:r>
          </w:p>
        </w:tc>
        <w:tc>
          <w:tcPr>
            <w:tcW w:w="110" w:type="dxa"/>
            <w:tcBorders/>
            <w:shd w:fill="auto" w:val="clear"/>
          </w:tcPr>
          <w:p>
            <w:pPr>
              <w:pStyle w:val="TableContents"/>
              <w:spacing w:before="0" w:after="283"/>
              <w:rPr>
                <w:rFonts w:ascii="times" w:hAnsi="times"/>
                <w:sz w:val="14"/>
              </w:rPr>
            </w:pPr>
            <w:r>
              <w:rPr>
                <w:rFonts w:ascii="times" w:hAnsi="times"/>
                <w:sz w:val="14"/>
              </w:rPr>
              <w:br/>
            </w:r>
            <w:r>
              <w:rPr>
                <w:rFonts w:ascii="times" w:hAnsi="times"/>
                <w:position w:val="5"/>
                <w:sz w:val="11"/>
                <w:sz w:val="14"/>
              </w:rPr>
              <w:t>(3)</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br/>
              <w:t>4,856,600</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br/>
              <w:t></w:t>
            </w:r>
          </w:p>
        </w:tc>
        <w:tc>
          <w:tcPr>
            <w:tcW w:w="110" w:type="dxa"/>
            <w:tcBorders/>
            <w:shd w:fill="auto" w:val="clear"/>
          </w:tcPr>
          <w:p>
            <w:pPr>
              <w:pStyle w:val="TableContents"/>
              <w:spacing w:before="0" w:after="283"/>
              <w:rPr/>
            </w:pPr>
            <w:r>
              <w:rPr/>
              <w:t> </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br/>
              <w:t></w:t>
            </w:r>
          </w:p>
        </w:tc>
        <w:tc>
          <w:tcPr>
            <w:tcW w:w="60" w:type="dxa"/>
            <w:tcBorders/>
            <w:shd w:fill="auto" w:val="clear"/>
          </w:tcPr>
          <w:p>
            <w:pPr>
              <w:pStyle w:val="TableContents"/>
              <w:spacing w:before="0" w:after="283"/>
              <w:rPr/>
            </w:pPr>
            <w:r>
              <w:rPr/>
              <w:t> </w:t>
            </w:r>
          </w:p>
        </w:tc>
      </w:tr>
      <w:tr>
        <w:trPr/>
        <w:tc>
          <w:tcPr>
            <w:tcW w:w="1200" w:type="dxa"/>
            <w:tcBorders/>
            <w:shd w:fill="auto" w:val="clear"/>
          </w:tcPr>
          <w:p>
            <w:pPr>
              <w:pStyle w:val="TableContents"/>
              <w:spacing w:before="0" w:after="283"/>
              <w:ind w:left="140" w:right="0" w:hanging="140"/>
              <w:rPr>
                <w:sz w:val="4"/>
                <w:szCs w:val="4"/>
              </w:rPr>
            </w:pPr>
            <w:r>
              <w:rPr>
                <w:sz w:val="4"/>
                <w:szCs w:val="4"/>
              </w:rPr>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t>40,000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t>1,387,600</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t>80,000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t>2,775,200</w:t>
            </w:r>
          </w:p>
        </w:tc>
        <w:tc>
          <w:tcPr>
            <w:tcW w:w="60" w:type="dxa"/>
            <w:tcBorders/>
            <w:shd w:fill="auto" w:val="clear"/>
          </w:tcPr>
          <w:p>
            <w:pPr>
              <w:pStyle w:val="TableContents"/>
              <w:spacing w:before="0" w:after="283"/>
              <w:rPr/>
            </w:pPr>
            <w:r>
              <w:rPr/>
              <w:t> </w:t>
            </w:r>
          </w:p>
        </w:tc>
      </w:tr>
      <w:tr>
        <w:trPr/>
        <w:tc>
          <w:tcPr>
            <w:tcW w:w="1200" w:type="dxa"/>
            <w:tcBorders/>
            <w:shd w:fill="auto" w:val="clear"/>
          </w:tcPr>
          <w:p>
            <w:pPr>
              <w:pStyle w:val="TableContents"/>
              <w:spacing w:before="0" w:after="283"/>
              <w:ind w:left="140" w:right="0" w:hanging="140"/>
              <w:rPr>
                <w:sz w:val="4"/>
                <w:szCs w:val="4"/>
              </w:rPr>
            </w:pPr>
            <w:r>
              <w:rPr>
                <w:sz w:val="4"/>
                <w:szCs w:val="4"/>
              </w:rPr>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t>7,500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t>2,079,300</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t>22,500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t>4,489,200</w:t>
            </w:r>
          </w:p>
        </w:tc>
        <w:tc>
          <w:tcPr>
            <w:tcW w:w="60" w:type="dxa"/>
            <w:tcBorders/>
            <w:shd w:fill="auto" w:val="clear"/>
          </w:tcPr>
          <w:p>
            <w:pPr>
              <w:pStyle w:val="TableContents"/>
              <w:spacing w:before="0" w:after="283"/>
              <w:rPr/>
            </w:pPr>
            <w:r>
              <w:rPr/>
              <w:t> </w:t>
            </w:r>
          </w:p>
        </w:tc>
      </w:tr>
      <w:tr>
        <w:trPr/>
        <w:tc>
          <w:tcPr>
            <w:tcW w:w="1200" w:type="dxa"/>
            <w:tcBorders/>
            <w:shd w:fill="CCEEFF" w:val="clear"/>
          </w:tcPr>
          <w:p>
            <w:pPr>
              <w:pStyle w:val="TableContents"/>
              <w:spacing w:before="180" w:after="283"/>
              <w:ind w:left="140" w:right="0" w:hanging="140"/>
              <w:rPr>
                <w:rFonts w:ascii="times" w:hAnsi="times"/>
                <w:sz w:val="14"/>
              </w:rPr>
            </w:pPr>
            <w:r>
              <w:rPr>
                <w:rFonts w:ascii="times" w:hAnsi="times"/>
                <w:sz w:val="14"/>
              </w:rPr>
              <w:t>Phillip D. Kramer</w:t>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br/>
              <w:t>22,500</w:t>
            </w:r>
          </w:p>
        </w:tc>
        <w:tc>
          <w:tcPr>
            <w:tcW w:w="110" w:type="dxa"/>
            <w:tcBorders/>
            <w:shd w:fill="CCEEFF" w:val="clear"/>
          </w:tcPr>
          <w:p>
            <w:pPr>
              <w:pStyle w:val="TableContents"/>
              <w:spacing w:before="0" w:after="283"/>
              <w:rPr>
                <w:rFonts w:ascii="times" w:hAnsi="times"/>
                <w:sz w:val="14"/>
              </w:rPr>
            </w:pPr>
            <w:r>
              <w:rPr>
                <w:rFonts w:ascii="times" w:hAnsi="times"/>
                <w:sz w:val="14"/>
              </w:rPr>
              <w:br/>
            </w:r>
            <w:r>
              <w:rPr>
                <w:rFonts w:ascii="times" w:hAnsi="times"/>
                <w:position w:val="5"/>
                <w:sz w:val="11"/>
                <w:sz w:val="14"/>
              </w:rPr>
              <w:t>(2)</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406" w:type="dxa"/>
            <w:tcBorders/>
            <w:shd w:fill="CCEEFF" w:val="clear"/>
          </w:tcPr>
          <w:p>
            <w:pPr>
              <w:pStyle w:val="TableContents"/>
              <w:spacing w:before="0" w:after="283"/>
              <w:jc w:val="right"/>
              <w:rPr>
                <w:rFonts w:ascii="times" w:hAnsi="times"/>
                <w:sz w:val="14"/>
              </w:rPr>
            </w:pPr>
            <w:r>
              <w:rPr>
                <w:rFonts w:ascii="times" w:hAnsi="times"/>
                <w:sz w:val="14"/>
              </w:rPr>
              <w:br/>
              <w:t>6.13</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br/>
              <w:t>6/07/2011</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br/>
              <w:t>60,000</w:t>
            </w:r>
          </w:p>
        </w:tc>
        <w:tc>
          <w:tcPr>
            <w:tcW w:w="110" w:type="dxa"/>
            <w:tcBorders/>
            <w:shd w:fill="CCEEFF" w:val="clear"/>
          </w:tcPr>
          <w:p>
            <w:pPr>
              <w:pStyle w:val="TableContents"/>
              <w:spacing w:before="0" w:after="283"/>
              <w:rPr>
                <w:rFonts w:ascii="times" w:hAnsi="times"/>
                <w:sz w:val="14"/>
              </w:rPr>
            </w:pPr>
            <w:r>
              <w:rPr>
                <w:rFonts w:ascii="times" w:hAnsi="times"/>
                <w:sz w:val="14"/>
              </w:rPr>
              <w:br/>
            </w:r>
            <w:r>
              <w:rPr>
                <w:rFonts w:ascii="times" w:hAnsi="times"/>
                <w:position w:val="5"/>
                <w:sz w:val="11"/>
                <w:sz w:val="14"/>
              </w:rPr>
              <w:t>(6)</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br/>
              <w:t>2,081,400</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110" w:type="dxa"/>
            <w:tcBorders/>
            <w:shd w:fill="CCEEFF" w:val="clear"/>
          </w:tcPr>
          <w:p>
            <w:pPr>
              <w:pStyle w:val="TableContents"/>
              <w:spacing w:before="0" w:after="283"/>
              <w:rPr/>
            </w:pPr>
            <w:r>
              <w:rPr/>
              <w:t> </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0" w:type="dxa"/>
            <w:tcBorders/>
            <w:shd w:fill="CCEEFF" w:val="clear"/>
          </w:tcPr>
          <w:p>
            <w:pPr>
              <w:pStyle w:val="TableContents"/>
              <w:spacing w:before="0" w:after="283"/>
              <w:rPr/>
            </w:pPr>
            <w:r>
              <w:rPr/>
              <w:t> </w:t>
            </w:r>
          </w:p>
        </w:tc>
      </w:tr>
      <w:tr>
        <w:trPr/>
        <w:tc>
          <w:tcPr>
            <w:tcW w:w="1200" w:type="dxa"/>
            <w:tcBorders/>
            <w:shd w:fill="CCEEFF" w:val="clear"/>
          </w:tcPr>
          <w:p>
            <w:pPr>
              <w:pStyle w:val="TableContents"/>
              <w:spacing w:before="0" w:after="283"/>
              <w:ind w:left="140" w:right="0" w:hanging="140"/>
              <w:rPr>
                <w:sz w:val="4"/>
                <w:szCs w:val="4"/>
              </w:rPr>
            </w:pPr>
            <w:r>
              <w:rPr>
                <w:sz w:val="4"/>
                <w:szCs w:val="4"/>
              </w:rPr>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t></w:t>
            </w:r>
          </w:p>
        </w:tc>
        <w:tc>
          <w:tcPr>
            <w:tcW w:w="110" w:type="dxa"/>
            <w:tcBorders/>
            <w:shd w:fill="CCEEFF" w:val="clear"/>
          </w:tcPr>
          <w:p>
            <w:pPr>
              <w:pStyle w:val="TableContents"/>
              <w:spacing w:before="0" w:after="283"/>
              <w:rPr/>
            </w:pPr>
            <w:r>
              <w:rPr/>
              <w:t> </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rPr/>
            </w:pPr>
            <w:r>
              <w:rPr/>
              <w:t> </w:t>
            </w:r>
          </w:p>
        </w:tc>
        <w:tc>
          <w:tcPr>
            <w:tcW w:w="406"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t>20,000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t>693,800</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t>40,000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t>1,387,600</w:t>
            </w:r>
          </w:p>
        </w:tc>
        <w:tc>
          <w:tcPr>
            <w:tcW w:w="60" w:type="dxa"/>
            <w:tcBorders/>
            <w:shd w:fill="CCEEFF" w:val="clear"/>
          </w:tcPr>
          <w:p>
            <w:pPr>
              <w:pStyle w:val="TableContents"/>
              <w:spacing w:before="0" w:after="283"/>
              <w:rPr/>
            </w:pPr>
            <w:r>
              <w:rPr/>
              <w:t> </w:t>
            </w:r>
          </w:p>
        </w:tc>
      </w:tr>
      <w:tr>
        <w:trPr/>
        <w:tc>
          <w:tcPr>
            <w:tcW w:w="1200" w:type="dxa"/>
            <w:tcBorders/>
            <w:shd w:fill="auto" w:val="clear"/>
          </w:tcPr>
          <w:p>
            <w:pPr>
              <w:pStyle w:val="TableContents"/>
              <w:spacing w:before="180" w:after="283"/>
              <w:ind w:left="140" w:right="0" w:hanging="140"/>
              <w:rPr>
                <w:rFonts w:ascii="times" w:hAnsi="times"/>
                <w:sz w:val="14"/>
              </w:rPr>
            </w:pPr>
            <w:r>
              <w:rPr>
                <w:rFonts w:ascii="times" w:hAnsi="times"/>
                <w:sz w:val="14"/>
              </w:rPr>
              <w:t>W. David Duckett</w:t>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b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br/>
              <w:t>78,350</w:t>
            </w:r>
          </w:p>
        </w:tc>
        <w:tc>
          <w:tcPr>
            <w:tcW w:w="110" w:type="dxa"/>
            <w:tcBorders/>
            <w:shd w:fill="auto" w:val="clear"/>
          </w:tcPr>
          <w:p>
            <w:pPr>
              <w:pStyle w:val="TableContents"/>
              <w:spacing w:before="0" w:after="283"/>
              <w:rPr>
                <w:rFonts w:ascii="times" w:hAnsi="times"/>
                <w:sz w:val="14"/>
              </w:rPr>
            </w:pPr>
            <w:r>
              <w:rPr>
                <w:rFonts w:ascii="times" w:hAnsi="times"/>
                <w:sz w:val="14"/>
              </w:rPr>
              <w:br/>
            </w:r>
            <w:r>
              <w:rPr>
                <w:rFonts w:ascii="times" w:hAnsi="times"/>
                <w:position w:val="5"/>
                <w:sz w:val="11"/>
                <w:sz w:val="14"/>
              </w:rPr>
              <w:t>(6)</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br/>
              <w:t>2,717,962</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br/>
              <w:t></w:t>
            </w:r>
          </w:p>
        </w:tc>
        <w:tc>
          <w:tcPr>
            <w:tcW w:w="110" w:type="dxa"/>
            <w:tcBorders/>
            <w:shd w:fill="auto" w:val="clear"/>
          </w:tcPr>
          <w:p>
            <w:pPr>
              <w:pStyle w:val="TableContents"/>
              <w:spacing w:before="0" w:after="283"/>
              <w:rPr/>
            </w:pPr>
            <w:r>
              <w:rPr/>
              <w:t> </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br/>
              <w:t></w:t>
            </w:r>
          </w:p>
        </w:tc>
        <w:tc>
          <w:tcPr>
            <w:tcW w:w="60" w:type="dxa"/>
            <w:tcBorders/>
            <w:shd w:fill="auto" w:val="clear"/>
          </w:tcPr>
          <w:p>
            <w:pPr>
              <w:pStyle w:val="TableContents"/>
              <w:spacing w:before="0" w:after="283"/>
              <w:rPr/>
            </w:pPr>
            <w:r>
              <w:rPr/>
              <w:t> </w:t>
            </w:r>
          </w:p>
        </w:tc>
      </w:tr>
      <w:tr>
        <w:trPr/>
        <w:tc>
          <w:tcPr>
            <w:tcW w:w="1200" w:type="dxa"/>
            <w:tcBorders/>
            <w:shd w:fill="auto" w:val="clear"/>
          </w:tcPr>
          <w:p>
            <w:pPr>
              <w:pStyle w:val="TableContents"/>
              <w:spacing w:before="0" w:after="283"/>
              <w:ind w:left="140" w:right="0" w:hanging="140"/>
              <w:rPr>
                <w:sz w:val="4"/>
                <w:szCs w:val="4"/>
              </w:rPr>
            </w:pPr>
            <w:r>
              <w:rPr>
                <w:sz w:val="4"/>
                <w:szCs w:val="4"/>
              </w:rPr>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t>25,000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t>867,250</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t>50,000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t>1,734,500</w:t>
            </w:r>
          </w:p>
        </w:tc>
        <w:tc>
          <w:tcPr>
            <w:tcW w:w="60" w:type="dxa"/>
            <w:tcBorders/>
            <w:shd w:fill="auto" w:val="clear"/>
          </w:tcPr>
          <w:p>
            <w:pPr>
              <w:pStyle w:val="TableContents"/>
              <w:spacing w:before="0" w:after="283"/>
              <w:rPr/>
            </w:pPr>
            <w:r>
              <w:rPr/>
              <w:t> </w:t>
            </w:r>
          </w:p>
        </w:tc>
      </w:tr>
      <w:tr>
        <w:trPr/>
        <w:tc>
          <w:tcPr>
            <w:tcW w:w="1200" w:type="dxa"/>
            <w:tcBorders/>
            <w:shd w:fill="auto" w:val="clear"/>
          </w:tcPr>
          <w:p>
            <w:pPr>
              <w:pStyle w:val="TableContents"/>
              <w:spacing w:before="0" w:after="283"/>
              <w:ind w:left="140" w:right="0" w:hanging="140"/>
              <w:rPr>
                <w:sz w:val="4"/>
                <w:szCs w:val="4"/>
              </w:rPr>
            </w:pPr>
            <w:r>
              <w:rPr>
                <w:sz w:val="4"/>
                <w:szCs w:val="4"/>
              </w:rPr>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t>17,000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t>3,722,150</w:t>
            </w:r>
          </w:p>
        </w:tc>
        <w:tc>
          <w:tcPr>
            <w:tcW w:w="60" w:type="dxa"/>
            <w:tcBorders/>
            <w:shd w:fill="auto" w:val="clear"/>
          </w:tcPr>
          <w:p>
            <w:pPr>
              <w:pStyle w:val="TableContents"/>
              <w:spacing w:before="0" w:after="283"/>
              <w:rPr/>
            </w:pPr>
            <w:r>
              <w:rPr/>
              <w:t> </w:t>
            </w:r>
          </w:p>
        </w:tc>
      </w:tr>
      <w:tr>
        <w:trPr/>
        <w:tc>
          <w:tcPr>
            <w:tcW w:w="1200" w:type="dxa"/>
            <w:tcBorders/>
            <w:shd w:fill="CCEEFF" w:val="clear"/>
          </w:tcPr>
          <w:p>
            <w:pPr>
              <w:pStyle w:val="TableContents"/>
              <w:spacing w:before="180" w:after="283"/>
              <w:ind w:left="140" w:right="0" w:hanging="140"/>
              <w:rPr>
                <w:rFonts w:ascii="times" w:hAnsi="times"/>
                <w:sz w:val="14"/>
              </w:rPr>
            </w:pPr>
            <w:r>
              <w:rPr>
                <w:rFonts w:ascii="times" w:hAnsi="times"/>
                <w:sz w:val="14"/>
              </w:rPr>
              <w:t>John P. vonBerg</w:t>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110" w:type="dxa"/>
            <w:tcBorders/>
            <w:shd w:fill="CCEEFF" w:val="clear"/>
          </w:tcPr>
          <w:p>
            <w:pPr>
              <w:pStyle w:val="TableContents"/>
              <w:spacing w:before="0" w:after="283"/>
              <w:rPr/>
            </w:pPr>
            <w:r>
              <w:rPr/>
              <w:t> </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rPr/>
            </w:pPr>
            <w:r>
              <w:rPr/>
              <w:t> </w:t>
            </w:r>
          </w:p>
        </w:tc>
        <w:tc>
          <w:tcPr>
            <w:tcW w:w="406"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br/>
              <w:t>57,350</w:t>
            </w:r>
          </w:p>
        </w:tc>
        <w:tc>
          <w:tcPr>
            <w:tcW w:w="110" w:type="dxa"/>
            <w:tcBorders/>
            <w:shd w:fill="CCEEFF" w:val="clear"/>
          </w:tcPr>
          <w:p>
            <w:pPr>
              <w:pStyle w:val="TableContents"/>
              <w:spacing w:before="0" w:after="283"/>
              <w:rPr>
                <w:rFonts w:ascii="times" w:hAnsi="times"/>
                <w:sz w:val="14"/>
              </w:rPr>
            </w:pPr>
            <w:r>
              <w:rPr>
                <w:rFonts w:ascii="times" w:hAnsi="times"/>
                <w:sz w:val="14"/>
              </w:rPr>
              <w:br/>
            </w:r>
            <w:r>
              <w:rPr>
                <w:rFonts w:ascii="times" w:hAnsi="times"/>
                <w:position w:val="5"/>
                <w:sz w:val="11"/>
                <w:sz w:val="14"/>
              </w:rPr>
              <w:t>(6)</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br/>
              <w:t>1,989,472</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110" w:type="dxa"/>
            <w:tcBorders/>
            <w:shd w:fill="CCEEFF" w:val="clear"/>
          </w:tcPr>
          <w:p>
            <w:pPr>
              <w:pStyle w:val="TableContents"/>
              <w:spacing w:before="0" w:after="283"/>
              <w:rPr/>
            </w:pPr>
            <w:r>
              <w:rPr/>
              <w:t> </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0" w:type="dxa"/>
            <w:tcBorders/>
            <w:shd w:fill="CCEEFF" w:val="clear"/>
          </w:tcPr>
          <w:p>
            <w:pPr>
              <w:pStyle w:val="TableContents"/>
              <w:spacing w:before="0" w:after="283"/>
              <w:rPr/>
            </w:pPr>
            <w:r>
              <w:rPr/>
              <w:t> </w:t>
            </w:r>
          </w:p>
        </w:tc>
      </w:tr>
      <w:tr>
        <w:trPr/>
        <w:tc>
          <w:tcPr>
            <w:tcW w:w="1200" w:type="dxa"/>
            <w:tcBorders/>
            <w:shd w:fill="CCEEFF" w:val="clear"/>
          </w:tcPr>
          <w:p>
            <w:pPr>
              <w:pStyle w:val="TableContents"/>
              <w:spacing w:before="0" w:after="283"/>
              <w:ind w:left="140" w:right="0" w:hanging="140"/>
              <w:rPr>
                <w:sz w:val="4"/>
                <w:szCs w:val="4"/>
              </w:rPr>
            </w:pPr>
            <w:r>
              <w:rPr>
                <w:sz w:val="4"/>
                <w:szCs w:val="4"/>
              </w:rPr>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t></w:t>
            </w:r>
          </w:p>
        </w:tc>
        <w:tc>
          <w:tcPr>
            <w:tcW w:w="110" w:type="dxa"/>
            <w:tcBorders/>
            <w:shd w:fill="CCEEFF" w:val="clear"/>
          </w:tcPr>
          <w:p>
            <w:pPr>
              <w:pStyle w:val="TableContents"/>
              <w:spacing w:before="0" w:after="283"/>
              <w:rPr/>
            </w:pPr>
            <w:r>
              <w:rPr/>
              <w:t> </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rPr/>
            </w:pPr>
            <w:r>
              <w:rPr/>
              <w:t> </w:t>
            </w:r>
          </w:p>
        </w:tc>
        <w:tc>
          <w:tcPr>
            <w:tcW w:w="406"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t>18,000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t>624,420</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t>36,000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t>1,248,840</w:t>
            </w:r>
          </w:p>
        </w:tc>
        <w:tc>
          <w:tcPr>
            <w:tcW w:w="60" w:type="dxa"/>
            <w:tcBorders/>
            <w:shd w:fill="CCEEFF" w:val="clear"/>
          </w:tcPr>
          <w:p>
            <w:pPr>
              <w:pStyle w:val="TableContents"/>
              <w:spacing w:before="0" w:after="283"/>
              <w:rPr/>
            </w:pPr>
            <w:r>
              <w:rPr/>
              <w:t> </w:t>
            </w:r>
          </w:p>
        </w:tc>
      </w:tr>
      <w:tr>
        <w:trPr/>
        <w:tc>
          <w:tcPr>
            <w:tcW w:w="1200" w:type="dxa"/>
            <w:tcBorders/>
            <w:shd w:fill="CCEEFF" w:val="clear"/>
          </w:tcPr>
          <w:p>
            <w:pPr>
              <w:pStyle w:val="TableContents"/>
              <w:spacing w:before="0" w:after="283"/>
              <w:ind w:left="140" w:right="0" w:hanging="140"/>
              <w:rPr>
                <w:sz w:val="4"/>
                <w:szCs w:val="4"/>
              </w:rPr>
            </w:pPr>
            <w:r>
              <w:rPr>
                <w:sz w:val="4"/>
                <w:szCs w:val="4"/>
              </w:rPr>
            </w:r>
          </w:p>
        </w:tc>
        <w:tc>
          <w:tcPr>
            <w:tcW w:w="90" w:type="dxa"/>
            <w:tcBorders/>
            <w:shd w:fill="CCEEFF" w:val="clear"/>
          </w:tcPr>
          <w:p>
            <w:pPr>
              <w:pStyle w:val="TableContents"/>
              <w:spacing w:before="0" w:after="283"/>
              <w:rPr/>
            </w:pPr>
            <w:r>
              <w:rPr/>
              <w:t> </w:t>
            </w:r>
          </w:p>
        </w:tc>
        <w:tc>
          <w:tcPr>
            <w:tcW w:w="9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rFonts w:ascii="times" w:hAnsi="times"/>
                <w:sz w:val="14"/>
              </w:rPr>
            </w:pPr>
            <w:r>
              <w:rPr>
                <w:rFonts w:ascii="times" w:hAnsi="times"/>
                <w:sz w:val="14"/>
              </w:rPr>
              <w:t></w:t>
            </w:r>
          </w:p>
        </w:tc>
        <w:tc>
          <w:tcPr>
            <w:tcW w:w="110" w:type="dxa"/>
            <w:tcBorders/>
            <w:shd w:fill="CCEEFF" w:val="clear"/>
          </w:tcPr>
          <w:p>
            <w:pPr>
              <w:pStyle w:val="TableContents"/>
              <w:spacing w:before="0" w:after="283"/>
              <w:rPr/>
            </w:pPr>
            <w:r>
              <w:rPr/>
              <w:t> </w:t>
            </w:r>
          </w:p>
        </w:tc>
        <w:tc>
          <w:tcPr>
            <w:tcW w:w="287"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39" w:type="dxa"/>
            <w:tcBorders/>
            <w:shd w:fill="CCEEFF" w:val="clear"/>
          </w:tcPr>
          <w:p>
            <w:pPr>
              <w:pStyle w:val="TableContents"/>
              <w:spacing w:before="0" w:after="283"/>
              <w:rPr/>
            </w:pPr>
            <w:r>
              <w:rPr/>
              <w:t> </w:t>
            </w:r>
          </w:p>
        </w:tc>
        <w:tc>
          <w:tcPr>
            <w:tcW w:w="406"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107" w:type="dxa"/>
            <w:tcBorders/>
            <w:shd w:fill="CCEEFF" w:val="clear"/>
          </w:tcPr>
          <w:p>
            <w:pPr>
              <w:pStyle w:val="TableContents"/>
              <w:spacing w:before="0" w:after="283"/>
              <w:rPr/>
            </w:pPr>
            <w:r>
              <w:rPr/>
              <w:t> </w:t>
            </w:r>
          </w:p>
        </w:tc>
        <w:tc>
          <w:tcPr>
            <w:tcW w:w="573" w:type="dxa"/>
            <w:tcBorders/>
            <w:shd w:fill="CCEEFF" w:val="clear"/>
          </w:tcPr>
          <w:p>
            <w:pPr>
              <w:pStyle w:val="TableContents"/>
              <w:spacing w:before="0" w:after="283"/>
              <w:jc w:val="right"/>
              <w:rPr>
                <w:rFonts w:ascii="times" w:hAnsi="times"/>
                <w:sz w:val="14"/>
              </w:rPr>
            </w:pPr>
            <w:r>
              <w:rPr>
                <w:rFonts w:ascii="times" w:hAnsi="times"/>
                <w:sz w:val="14"/>
              </w:rPr>
              <w:t></w:t>
            </w:r>
          </w:p>
        </w:tc>
        <w:tc>
          <w:tcPr>
            <w:tcW w:w="90"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755" w:type="dxa"/>
            <w:tcBorders/>
            <w:shd w:fill="CCEEFF" w:val="clear"/>
          </w:tcPr>
          <w:p>
            <w:pPr>
              <w:pStyle w:val="TableContents"/>
              <w:spacing w:before="0" w:after="283"/>
              <w:jc w:val="right"/>
              <w:rPr>
                <w:rFonts w:ascii="times" w:hAnsi="times"/>
                <w:sz w:val="14"/>
              </w:rPr>
            </w:pPr>
            <w:r>
              <w:rPr>
                <w:rFonts w:ascii="times" w:hAnsi="times"/>
                <w:sz w:val="14"/>
              </w:rPr>
              <w:t>3,500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68" w:type="dxa"/>
            <w:tcBorders/>
            <w:shd w:fill="CCEEFF" w:val="clear"/>
          </w:tcPr>
          <w:p>
            <w:pPr>
              <w:pStyle w:val="TableContents"/>
              <w:spacing w:before="0" w:after="283"/>
              <w:rPr/>
            </w:pPr>
            <w:r>
              <w:rPr/>
              <w:t> </w:t>
            </w:r>
          </w:p>
        </w:tc>
        <w:tc>
          <w:tcPr>
            <w:tcW w:w="686" w:type="dxa"/>
            <w:tcBorders/>
            <w:shd w:fill="CCEEFF" w:val="clear"/>
          </w:tcPr>
          <w:p>
            <w:pPr>
              <w:pStyle w:val="TableContents"/>
              <w:spacing w:before="0" w:after="283"/>
              <w:jc w:val="right"/>
              <w:rPr>
                <w:rFonts w:ascii="times" w:hAnsi="times"/>
                <w:sz w:val="14"/>
              </w:rPr>
            </w:pPr>
            <w:r>
              <w:rPr>
                <w:rFonts w:ascii="times" w:hAnsi="times"/>
                <w:sz w:val="14"/>
              </w:rPr>
              <w:t>970,340</w:t>
            </w:r>
          </w:p>
        </w:tc>
        <w:tc>
          <w:tcPr>
            <w:tcW w:w="90" w:type="dxa"/>
            <w:tcBorders/>
            <w:shd w:fill="CCEEFF" w:val="clear"/>
          </w:tcPr>
          <w:p>
            <w:pPr>
              <w:pStyle w:val="TableContents"/>
              <w:spacing w:before="0" w:after="283"/>
              <w:rPr/>
            </w:pPr>
            <w:r>
              <w:rPr/>
              <w:t> </w:t>
            </w:r>
          </w:p>
        </w:tc>
        <w:tc>
          <w:tcPr>
            <w:tcW w:w="93" w:type="dxa"/>
            <w:tcBorders/>
            <w:shd w:fill="CCEEFF" w:val="clear"/>
          </w:tcPr>
          <w:p>
            <w:pPr>
              <w:pStyle w:val="TableContents"/>
              <w:spacing w:before="0" w:after="283"/>
              <w:rPr/>
            </w:pPr>
            <w:r>
              <w:rPr/>
              <w:t> </w:t>
            </w:r>
          </w:p>
        </w:tc>
        <w:tc>
          <w:tcPr>
            <w:tcW w:w="782" w:type="dxa"/>
            <w:tcBorders/>
            <w:shd w:fill="CCEEFF" w:val="clear"/>
          </w:tcPr>
          <w:p>
            <w:pPr>
              <w:pStyle w:val="TableContents"/>
              <w:spacing w:before="0" w:after="283"/>
              <w:jc w:val="right"/>
              <w:rPr>
                <w:rFonts w:ascii="times" w:hAnsi="times"/>
                <w:sz w:val="14"/>
              </w:rPr>
            </w:pPr>
            <w:r>
              <w:rPr>
                <w:rFonts w:ascii="times" w:hAnsi="times"/>
                <w:sz w:val="14"/>
              </w:rPr>
              <w:t>10,500</w:t>
            </w:r>
          </w:p>
        </w:tc>
        <w:tc>
          <w:tcPr>
            <w:tcW w:w="110" w:type="dxa"/>
            <w:tcBorders/>
            <w:shd w:fill="CCEEFF"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78" w:type="dxa"/>
            <w:tcBorders/>
            <w:shd w:fill="CCEEFF" w:val="clear"/>
          </w:tcPr>
          <w:p>
            <w:pPr>
              <w:pStyle w:val="TableContents"/>
              <w:spacing w:before="0" w:after="283"/>
              <w:rPr/>
            </w:pPr>
            <w:r>
              <w:rPr/>
              <w:t> </w:t>
            </w:r>
          </w:p>
        </w:tc>
        <w:tc>
          <w:tcPr>
            <w:tcW w:w="797" w:type="dxa"/>
            <w:tcBorders/>
            <w:shd w:fill="CCEEFF" w:val="clear"/>
          </w:tcPr>
          <w:p>
            <w:pPr>
              <w:pStyle w:val="TableContents"/>
              <w:spacing w:before="0" w:after="283"/>
              <w:jc w:val="right"/>
              <w:rPr>
                <w:rFonts w:ascii="times" w:hAnsi="times"/>
                <w:sz w:val="14"/>
              </w:rPr>
            </w:pPr>
            <w:r>
              <w:rPr>
                <w:rFonts w:ascii="times" w:hAnsi="times"/>
                <w:sz w:val="14"/>
              </w:rPr>
              <w:t>2,094,960</w:t>
            </w:r>
          </w:p>
        </w:tc>
        <w:tc>
          <w:tcPr>
            <w:tcW w:w="60" w:type="dxa"/>
            <w:tcBorders/>
            <w:shd w:fill="CCEEFF" w:val="clear"/>
          </w:tcPr>
          <w:p>
            <w:pPr>
              <w:pStyle w:val="TableContents"/>
              <w:spacing w:before="0" w:after="283"/>
              <w:rPr/>
            </w:pPr>
            <w:r>
              <w:rPr/>
              <w:t> </w:t>
            </w:r>
          </w:p>
        </w:tc>
      </w:tr>
      <w:tr>
        <w:trPr/>
        <w:tc>
          <w:tcPr>
            <w:tcW w:w="1200" w:type="dxa"/>
            <w:tcBorders/>
            <w:shd w:fill="auto" w:val="clear"/>
          </w:tcPr>
          <w:p>
            <w:pPr>
              <w:pStyle w:val="TableContents"/>
              <w:spacing w:before="180" w:after="283"/>
              <w:ind w:left="140" w:right="0" w:hanging="140"/>
              <w:rPr>
                <w:rFonts w:ascii="times" w:hAnsi="times"/>
                <w:sz w:val="14"/>
              </w:rPr>
            </w:pPr>
            <w:r>
              <w:rPr>
                <w:rFonts w:ascii="times" w:hAnsi="times"/>
                <w:sz w:val="14"/>
              </w:rPr>
              <w:t>Al Swanson</w:t>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b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b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br/>
              <w:t>34,000</w:t>
            </w:r>
          </w:p>
        </w:tc>
        <w:tc>
          <w:tcPr>
            <w:tcW w:w="110" w:type="dxa"/>
            <w:tcBorders/>
            <w:shd w:fill="auto" w:val="clear"/>
          </w:tcPr>
          <w:p>
            <w:pPr>
              <w:pStyle w:val="TableContents"/>
              <w:spacing w:before="0" w:after="283"/>
              <w:rPr>
                <w:rFonts w:ascii="times" w:hAnsi="times"/>
                <w:sz w:val="14"/>
              </w:rPr>
            </w:pPr>
            <w:r>
              <w:rPr>
                <w:rFonts w:ascii="times" w:hAnsi="times"/>
                <w:sz w:val="14"/>
              </w:rPr>
              <w:br/>
            </w:r>
            <w:r>
              <w:rPr>
                <w:rFonts w:ascii="times" w:hAnsi="times"/>
                <w:position w:val="5"/>
                <w:sz w:val="11"/>
                <w:sz w:val="14"/>
              </w:rPr>
              <w:t>(6)</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br/>
              <w:t>1,179,460</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br/>
              <w:t></w:t>
            </w:r>
          </w:p>
        </w:tc>
        <w:tc>
          <w:tcPr>
            <w:tcW w:w="110" w:type="dxa"/>
            <w:tcBorders/>
            <w:shd w:fill="auto" w:val="clear"/>
          </w:tcPr>
          <w:p>
            <w:pPr>
              <w:pStyle w:val="TableContents"/>
              <w:spacing w:before="0" w:after="283"/>
              <w:rPr/>
            </w:pPr>
            <w:r>
              <w:rPr/>
              <w:t> </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br/>
              <w:t></w:t>
            </w:r>
          </w:p>
        </w:tc>
        <w:tc>
          <w:tcPr>
            <w:tcW w:w="60" w:type="dxa"/>
            <w:tcBorders/>
            <w:shd w:fill="auto" w:val="clear"/>
          </w:tcPr>
          <w:p>
            <w:pPr>
              <w:pStyle w:val="TableContents"/>
              <w:spacing w:before="0" w:after="283"/>
              <w:rPr/>
            </w:pPr>
            <w:r>
              <w:rPr/>
              <w:t> </w:t>
            </w:r>
          </w:p>
        </w:tc>
      </w:tr>
      <w:tr>
        <w:trPr/>
        <w:tc>
          <w:tcPr>
            <w:tcW w:w="1200" w:type="dxa"/>
            <w:tcBorders/>
            <w:shd w:fill="auto" w:val="clear"/>
          </w:tcPr>
          <w:p>
            <w:pPr>
              <w:pStyle w:val="TableContents"/>
              <w:spacing w:before="0" w:after="283"/>
              <w:ind w:left="140" w:right="0" w:hanging="140"/>
              <w:rPr>
                <w:sz w:val="4"/>
                <w:szCs w:val="4"/>
              </w:rPr>
            </w:pPr>
            <w:r>
              <w:rPr>
                <w:sz w:val="4"/>
                <w:szCs w:val="4"/>
              </w:rPr>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t>11,000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t>381,590</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t>22,000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(4)</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t>763,180</w:t>
            </w:r>
          </w:p>
        </w:tc>
        <w:tc>
          <w:tcPr>
            <w:tcW w:w="60" w:type="dxa"/>
            <w:tcBorders/>
            <w:shd w:fill="auto" w:val="clear"/>
          </w:tcPr>
          <w:p>
            <w:pPr>
              <w:pStyle w:val="TableContents"/>
              <w:spacing w:before="0" w:after="283"/>
              <w:rPr/>
            </w:pPr>
            <w:r>
              <w:rPr/>
              <w:t> </w:t>
            </w:r>
          </w:p>
        </w:tc>
      </w:tr>
      <w:tr>
        <w:trPr/>
        <w:tc>
          <w:tcPr>
            <w:tcW w:w="1200" w:type="dxa"/>
            <w:tcBorders/>
            <w:shd w:fill="auto" w:val="clear"/>
          </w:tcPr>
          <w:p>
            <w:pPr>
              <w:pStyle w:val="TableContents"/>
              <w:spacing w:before="0" w:after="283"/>
              <w:ind w:left="140" w:right="0" w:hanging="140"/>
              <w:rPr>
                <w:sz w:val="4"/>
                <w:szCs w:val="4"/>
              </w:rPr>
            </w:pPr>
            <w:r>
              <w:rPr>
                <w:sz w:val="4"/>
                <w:szCs w:val="4"/>
              </w:rPr>
            </w:r>
          </w:p>
        </w:tc>
        <w:tc>
          <w:tcPr>
            <w:tcW w:w="9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662"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602"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0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107"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755" w:type="dxa"/>
            <w:tcBorders/>
            <w:shd w:fill="auto" w:val="clear"/>
          </w:tcPr>
          <w:p>
            <w:pPr>
              <w:pStyle w:val="TableContents"/>
              <w:spacing w:before="0" w:after="283"/>
              <w:jc w:val="right"/>
              <w:rPr>
                <w:rFonts w:ascii="times" w:hAnsi="times"/>
                <w:sz w:val="14"/>
              </w:rPr>
            </w:pPr>
            <w:r>
              <w:rPr>
                <w:rFonts w:ascii="times" w:hAnsi="times"/>
                <w:sz w:val="14"/>
              </w:rPr>
              <w:t></w:t>
            </w:r>
          </w:p>
        </w:tc>
        <w:tc>
          <w:tcPr>
            <w:tcW w:w="110"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686" w:type="dxa"/>
            <w:tcBorders/>
            <w:shd w:fill="auto" w:val="clear"/>
          </w:tcPr>
          <w:p>
            <w:pPr>
              <w:pStyle w:val="TableContents"/>
              <w:spacing w:before="0" w:after="283"/>
              <w:jc w:val="right"/>
              <w:rPr>
                <w:rFonts w:ascii="times" w:hAnsi="times"/>
                <w:sz w:val="14"/>
              </w:rPr>
            </w:pPr>
            <w:r>
              <w:rPr>
                <w:rFonts w:ascii="times" w:hAnsi="times"/>
                <w:sz w:val="14"/>
              </w:rPr>
              <w:t></w:t>
            </w:r>
          </w:p>
        </w:tc>
        <w:tc>
          <w:tcPr>
            <w:tcW w:w="90"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782" w:type="dxa"/>
            <w:tcBorders/>
            <w:shd w:fill="auto" w:val="clear"/>
          </w:tcPr>
          <w:p>
            <w:pPr>
              <w:pStyle w:val="TableContents"/>
              <w:spacing w:before="0" w:after="283"/>
              <w:jc w:val="right"/>
              <w:rPr>
                <w:rFonts w:ascii="times" w:hAnsi="times"/>
                <w:sz w:val="14"/>
              </w:rPr>
            </w:pPr>
            <w:r>
              <w:rPr>
                <w:rFonts w:ascii="times" w:hAnsi="times"/>
                <w:sz w:val="14"/>
              </w:rPr>
              <w:t>10,000</w:t>
            </w:r>
          </w:p>
        </w:tc>
        <w:tc>
          <w:tcPr>
            <w:tcW w:w="110" w:type="dxa"/>
            <w:tcBorders/>
            <w:shd w:fill="auto" w:val="clear"/>
          </w:tcPr>
          <w:p>
            <w:pPr>
              <w:pStyle w:val="TableContents"/>
              <w:spacing w:before="0" w:after="283"/>
              <w:rPr>
                <w:rFonts w:ascii="times" w:hAnsi="times"/>
                <w:position w:val="5"/>
                <w:sz w:val="11"/>
                <w:sz w:val="14"/>
              </w:rPr>
            </w:pPr>
            <w:r>
              <w:rPr>
                <w:rFonts w:ascii="times" w:hAnsi="times"/>
                <w:position w:val="5"/>
                <w:sz w:val="11"/>
                <w:sz w:val="14"/>
              </w:rPr>
              <w:t>(5)</w:t>
            </w:r>
          </w:p>
        </w:tc>
        <w:tc>
          <w:tcPr>
            <w:tcW w:w="78" w:type="dxa"/>
            <w:tcBorders/>
            <w:shd w:fill="auto" w:val="clear"/>
          </w:tcPr>
          <w:p>
            <w:pPr>
              <w:pStyle w:val="TableContents"/>
              <w:spacing w:before="0" w:after="283"/>
              <w:rPr/>
            </w:pPr>
            <w:r>
              <w:rPr/>
              <w:t> </w:t>
            </w:r>
          </w:p>
        </w:tc>
        <w:tc>
          <w:tcPr>
            <w:tcW w:w="797" w:type="dxa"/>
            <w:tcBorders/>
            <w:shd w:fill="auto" w:val="clear"/>
          </w:tcPr>
          <w:p>
            <w:pPr>
              <w:pStyle w:val="TableContents"/>
              <w:spacing w:before="0" w:after="283"/>
              <w:jc w:val="right"/>
              <w:rPr>
                <w:rFonts w:ascii="times" w:hAnsi="times"/>
                <w:sz w:val="14"/>
              </w:rPr>
            </w:pPr>
            <w:r>
              <w:rPr>
                <w:rFonts w:ascii="times" w:hAnsi="times"/>
                <w:sz w:val="14"/>
              </w:rPr>
              <w:t>2,189,500</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5"/>
          <w:sz w:val="11"/>
          <w:sz w:val="14"/>
        </w:rPr>
      </w:pPr>
      <w:r>
        <w:rPr>
          <w:rFonts w:ascii="times" w:hAnsi="times"/>
          <w:position w:val="5"/>
          <w:sz w:val="11"/>
          <w:sz w:val="14"/>
        </w:rPr>
        <w:t>(1)</w:t>
      </w:r>
    </w:p>
    <w:p>
      <w:pPr>
        <w:pStyle w:val="ListContents"/>
        <w:spacing w:before="0" w:after="283"/>
        <w:rPr>
          <w:rFonts w:ascii="times" w:hAnsi="times"/>
          <w:sz w:val="14"/>
        </w:rPr>
      </w:pPr>
      <w:r>
        <w:rPr>
          <w:rFonts w:ascii="times" w:hAnsi="times"/>
          <w:sz w:val="14"/>
        </w:rPr>
        <w:t xml:space="preserve">Market value of phantom units reported in these columns is calculated by multiplying the closing market price ($34.69) of our common units at December 31, 2008 (the last trading day of the fiscal year) by the number of units. No discount is applied for remaining performance threshold or service period requirements. The Class B units are valued based on the grant date fair value computed in accordance with SFAS No. 123 (revised 2004), "Share-Based Payment" ("SFAS 123(R)"). A portion of the value reflected in these columns is also reflected in the Summary Compensation Table. </w:t>
      </w:r>
    </w:p>
    <w:p>
      <w:pPr>
        <w:pStyle w:val="ListHeading"/>
        <w:spacing w:before="0" w:after="0"/>
        <w:rPr>
          <w:rFonts w:ascii="times" w:hAnsi="times"/>
          <w:position w:val="5"/>
          <w:sz w:val="11"/>
          <w:sz w:val="14"/>
        </w:rPr>
      </w:pPr>
      <w:r>
        <w:rPr>
          <w:rFonts w:ascii="times" w:hAnsi="times"/>
          <w:position w:val="5"/>
          <w:sz w:val="11"/>
          <w:sz w:val="14"/>
        </w:rPr>
        <w:t>(2)</w:t>
      </w:r>
    </w:p>
    <w:p>
      <w:pPr>
        <w:pStyle w:val="ListContents"/>
        <w:spacing w:before="0" w:after="283"/>
        <w:rPr>
          <w:rFonts w:ascii="times" w:hAnsi="times"/>
          <w:sz w:val="14"/>
        </w:rPr>
      </w:pPr>
      <w:r>
        <w:rPr>
          <w:rFonts w:ascii="times" w:hAnsi="times"/>
          <w:sz w:val="14"/>
        </w:rPr>
        <w:t xml:space="preserve">The units underlying the options were contributed to our general partner by its owners. We have no obligation to reimburse our general partner for the units upon exercise of the options. These options vested in 2002 and 2004. </w:t>
      </w:r>
    </w:p>
    <w:p>
      <w:pPr>
        <w:pStyle w:val="ListHeading"/>
        <w:spacing w:before="0" w:after="0"/>
        <w:rPr>
          <w:rFonts w:ascii="times" w:hAnsi="times"/>
          <w:position w:val="5"/>
          <w:sz w:val="11"/>
          <w:sz w:val="14"/>
        </w:rPr>
      </w:pPr>
      <w:r>
        <w:rPr>
          <w:rFonts w:ascii="times" w:hAnsi="times"/>
          <w:position w:val="5"/>
          <w:sz w:val="11"/>
          <w:sz w:val="14"/>
        </w:rPr>
        <w:t>(3)</w:t>
      </w:r>
    </w:p>
    <w:p>
      <w:pPr>
        <w:pStyle w:val="ListContents"/>
        <w:spacing w:before="0" w:after="283"/>
        <w:rPr>
          <w:rFonts w:ascii="times" w:hAnsi="times"/>
          <w:sz w:val="14"/>
        </w:rPr>
      </w:pPr>
      <w:r>
        <w:rPr>
          <w:rFonts w:ascii="times" w:hAnsi="times"/>
          <w:sz w:val="14"/>
        </w:rPr>
        <w:t xml:space="preserve">All applicable performance (distribution) thresholds have been met, and these phantom units will vest as follows: approximately 43% will vest upon the May 2009 distribution date and approximately 57% will vest upon the May 2010 distribution date. DERs associated with these phantom units have vested. </w:t>
      </w:r>
    </w:p>
    <w:p>
      <w:pPr>
        <w:pStyle w:val="ListHeading"/>
        <w:spacing w:before="0" w:after="0"/>
        <w:rPr>
          <w:rFonts w:ascii="times" w:hAnsi="times"/>
          <w:position w:val="5"/>
          <w:sz w:val="11"/>
          <w:sz w:val="14"/>
        </w:rPr>
      </w:pPr>
      <w:r>
        <w:rPr>
          <w:rFonts w:ascii="times" w:hAnsi="times"/>
          <w:position w:val="5"/>
          <w:sz w:val="11"/>
          <w:sz w:val="14"/>
        </w:rPr>
        <w:t>(4)</w:t>
      </w:r>
    </w:p>
    <w:p>
      <w:pPr>
        <w:pStyle w:val="ListContents"/>
        <w:spacing w:before="0" w:after="283"/>
        <w:rPr>
          <w:rFonts w:ascii="times" w:hAnsi="times"/>
          <w:sz w:val="14"/>
        </w:rPr>
      </w:pPr>
      <w:r>
        <w:rPr>
          <w:rFonts w:ascii="times" w:hAnsi="times"/>
          <w:sz w:val="14"/>
        </w:rPr>
        <w:t xml:space="preserve">These phantom units will vest in one-third increments as follows: one-third will vest upon the May 2011 distribution date; one-third will vest upon the later of the May 2011 distribution date and the date on which we pay a quarterly distribution of at least $1.00; and one-third will vest upon the later of the May 2012 distribution date and the date on which we pay a quarterly distribution of at least $0.9375. The first 25% of DERs associated with these units is currently payable. The remaining 75% become payable in 25% increments upon achieving quarterly distribution levels of $0.90, $0.95 and $1.00 per unit. Any phantom units that have not vested (and all associated DERs) as of the May 2014 distribution date will expire. </w:t>
      </w:r>
    </w:p>
    <w:p>
      <w:pPr>
        <w:pStyle w:val="ListHeading"/>
        <w:spacing w:before="0" w:after="0"/>
        <w:rPr>
          <w:rFonts w:ascii="times" w:hAnsi="times"/>
          <w:position w:val="5"/>
          <w:sz w:val="11"/>
          <w:sz w:val="14"/>
        </w:rPr>
      </w:pPr>
      <w:r>
        <w:rPr>
          <w:rFonts w:ascii="times" w:hAnsi="times"/>
          <w:position w:val="5"/>
          <w:sz w:val="11"/>
          <w:sz w:val="14"/>
        </w:rPr>
        <w:t>(5)</w:t>
      </w:r>
    </w:p>
    <w:p>
      <w:pPr>
        <w:pStyle w:val="ListContents"/>
        <w:spacing w:before="0" w:after="283"/>
        <w:rPr>
          <w:rFonts w:ascii="times" w:hAnsi="times"/>
          <w:sz w:val="14"/>
        </w:rPr>
      </w:pPr>
      <w:r>
        <w:rPr>
          <w:rFonts w:ascii="times" w:hAnsi="times"/>
          <w:sz w:val="14"/>
        </w:rPr>
        <w:t xml:space="preserve">Each Class B unit represents a "profits interest" in Plains AAP, L.P., which entitles the holder to participate in future profits and losses from operations, current distributions from operations, and an interest in future appreciation or depreciation in Plains AAP, L.P.'s asset values, but does not represent an interest in the capital of Plains AAP, L.P. on the applicable grant date of the Class B units. As of December 31, 2008, 25% of the Class B units held by Messrs. Armstrong, Pefanis and vonBerg had been earned. Twenty-five percent of the Class B units held by Messrs. Duckett and Swanson were earned as of February 10, 2009. None of the Class B units have vested. For additional information regarding the Class B Units, please read Item 13. "Certain Relationships and Related Transactions, and Director IndependenceOur General PartnerClass B Units of Plains AAP, L.P." </w:t>
      </w:r>
    </w:p>
    <w:p>
      <w:pPr>
        <w:pStyle w:val="ListHeading"/>
        <w:spacing w:before="0" w:after="0"/>
        <w:rPr>
          <w:rFonts w:ascii="times" w:hAnsi="times"/>
          <w:position w:val="5"/>
          <w:sz w:val="11"/>
          <w:sz w:val="14"/>
        </w:rPr>
      </w:pPr>
      <w:r>
        <w:rPr>
          <w:rFonts w:ascii="times" w:hAnsi="times"/>
          <w:position w:val="5"/>
          <w:sz w:val="11"/>
          <w:sz w:val="14"/>
        </w:rPr>
        <w:t>(6)</w:t>
      </w:r>
    </w:p>
    <w:p>
      <w:pPr>
        <w:pStyle w:val="ListContents"/>
        <w:spacing w:before="0" w:after="283"/>
        <w:rPr>
          <w:rFonts w:ascii="times" w:hAnsi="times"/>
          <w:sz w:val="14"/>
        </w:rPr>
      </w:pPr>
      <w:r>
        <w:rPr>
          <w:rFonts w:ascii="times" w:hAnsi="times"/>
          <w:sz w:val="14"/>
        </w:rPr>
        <w:t xml:space="preserve">All applicable performance (distribution) thresholds have been met, and these phantom units will vest as follows: 50% will vest upon the May 2009 distribution date and 50% will vest upon the May 2010 distribution date. DERs associated with these phantom units have vested. </w:t>
      </w:r>
    </w:p>
    <w:p>
      <w:pPr>
        <w:pStyle w:val="TextBody"/>
        <w:jc w:val="center"/>
        <w:rPr>
          <w:rFonts w:ascii="times" w:hAnsi="times"/>
          <w:sz w:val="20"/>
        </w:rPr>
      </w:pPr>
      <w:r>
        <w:rPr>
          <w:rFonts w:ascii="times" w:hAnsi="times"/>
          <w:sz w:val="20"/>
        </w:rPr>
        <w:t>122</w:t>
      </w:r>
    </w:p>
    <w:p>
      <w:pPr>
        <w:pStyle w:val="HorizontalLine"/>
        <w:pBdr>
          <w:bottom w:val="single" w:sz="20" w:space="0" w:color="808080"/>
        </w:pBdr>
        <w:rPr/>
      </w:pPr>
      <w:r>
        <w:rPr/>
      </w:r>
      <w:r>
        <w:br w:type="page"/>
      </w:r>
    </w:p>
    <w:p>
      <w:pPr>
        <w:pStyle w:val="TextBody"/>
        <w:rPr/>
      </w:pPr>
      <w:hyperlink w:anchor="bg12101a_main_toc">
        <w:bookmarkStart w:id="169" w:name="page_ei12101_1_123"/>
        <w:bookmarkEnd w:id="169"/>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Option Exercises and Units Vested </w:t>
      </w:r>
    </w:p>
    <w:tbl>
      <w:tblPr>
        <w:tblW w:w="7733" w:type="dxa"/>
        <w:jc w:val="center"/>
        <w:tblInd w:w="0" w:type="dxa"/>
        <w:tblCellMar>
          <w:top w:w="0" w:type="dxa"/>
          <w:left w:w="0" w:type="dxa"/>
          <w:bottom w:w="0" w:type="dxa"/>
          <w:right w:w="0" w:type="dxa"/>
        </w:tblCellMar>
      </w:tblPr>
      <w:tblGrid>
        <w:gridCol w:w="2490"/>
        <w:gridCol w:w="180"/>
        <w:gridCol w:w="255"/>
        <w:gridCol w:w="840"/>
        <w:gridCol w:w="225"/>
        <w:gridCol w:w="283"/>
        <w:gridCol w:w="885"/>
        <w:gridCol w:w="225"/>
        <w:gridCol w:w="90"/>
        <w:gridCol w:w="890"/>
        <w:gridCol w:w="225"/>
        <w:gridCol w:w="86"/>
        <w:gridCol w:w="999"/>
        <w:gridCol w:w="60"/>
      </w:tblGrid>
      <w:tr>
        <w:trPr/>
        <w:tc>
          <w:tcPr>
            <w:tcW w:w="24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49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488"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Option Awards </w:t>
            </w:r>
          </w:p>
        </w:tc>
        <w:tc>
          <w:tcPr>
            <w:tcW w:w="225" w:type="dxa"/>
            <w:tcBorders/>
            <w:shd w:fill="auto" w:val="clear"/>
            <w:vAlign w:val="bottom"/>
          </w:tcPr>
          <w:p>
            <w:pPr>
              <w:pStyle w:val="TableHeading"/>
              <w:suppressLineNumbers/>
              <w:spacing w:before="0" w:after="283"/>
              <w:jc w:val="center"/>
              <w:rPr/>
            </w:pPr>
            <w:r>
              <w:rPr/>
              <w:t> </w:t>
            </w:r>
          </w:p>
        </w:tc>
        <w:tc>
          <w:tcPr>
            <w:tcW w:w="229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 Awards </w:t>
            </w:r>
          </w:p>
        </w:tc>
        <w:tc>
          <w:tcPr>
            <w:tcW w:w="60" w:type="dxa"/>
            <w:tcBorders/>
            <w:shd w:fill="auto" w:val="clear"/>
            <w:vAlign w:val="bottom"/>
          </w:tcPr>
          <w:p>
            <w:pPr>
              <w:pStyle w:val="TableHeading"/>
              <w:suppressLineNumbers/>
              <w:spacing w:before="0" w:after="283"/>
              <w:jc w:val="center"/>
              <w:rPr/>
            </w:pPr>
            <w:r>
              <w:rPr/>
              <w:t> </w:t>
            </w:r>
          </w:p>
        </w:tc>
      </w:tr>
      <w:tr>
        <w:trPr/>
        <w:tc>
          <w:tcPr>
            <w:tcW w:w="249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180" w:type="dxa"/>
            <w:tcBorders/>
            <w:shd w:fill="auto" w:val="clear"/>
            <w:vAlign w:val="bottom"/>
          </w:tcPr>
          <w:p>
            <w:pPr>
              <w:pStyle w:val="TableHeading"/>
              <w:suppressLineNumbers/>
              <w:spacing w:before="0" w:after="283"/>
              <w:jc w:val="center"/>
              <w:rPr/>
            </w:pPr>
            <w:r>
              <w:rPr/>
              <w:t> </w:t>
            </w:r>
          </w:p>
        </w:tc>
        <w:tc>
          <w:tcPr>
            <w:tcW w:w="10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Units</w:t>
              <w:br/>
              <w:t>Acquired on</w:t>
              <w:br/>
              <w:t xml:space="preserve">Exercise (#) </w:t>
            </w:r>
          </w:p>
        </w:tc>
        <w:tc>
          <w:tcPr>
            <w:tcW w:w="225" w:type="dxa"/>
            <w:tcBorders/>
            <w:shd w:fill="auto" w:val="clear"/>
            <w:vAlign w:val="bottom"/>
          </w:tcPr>
          <w:p>
            <w:pPr>
              <w:pStyle w:val="TableHeading"/>
              <w:suppressLineNumbers/>
              <w:spacing w:before="0" w:after="283"/>
              <w:jc w:val="center"/>
              <w:rPr/>
            </w:pPr>
            <w:r>
              <w:rPr/>
              <w:t> </w:t>
            </w:r>
          </w:p>
        </w:tc>
        <w:tc>
          <w:tcPr>
            <w:tcW w:w="116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Value Realized on</w:t>
              <w:br/>
              <w:t xml:space="preserve">Exercise ($) </w:t>
            </w:r>
          </w:p>
        </w:tc>
        <w:tc>
          <w:tcPr>
            <w:tcW w:w="225" w:type="dxa"/>
            <w:tcBorders/>
            <w:shd w:fill="auto" w:val="clear"/>
            <w:vAlign w:val="bottom"/>
          </w:tcPr>
          <w:p>
            <w:pPr>
              <w:pStyle w:val="TableHeading"/>
              <w:suppressLineNumbers/>
              <w:spacing w:before="0" w:after="283"/>
              <w:jc w:val="center"/>
              <w:rPr/>
            </w:pPr>
            <w:r>
              <w:rPr/>
              <w:t> </w:t>
            </w:r>
          </w:p>
        </w:tc>
        <w:tc>
          <w:tcPr>
            <w:tcW w:w="9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Units</w:t>
              <w:br/>
              <w:t>Acquired on</w:t>
              <w:br/>
              <w:t>Vesting (#)</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10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Value Realized on</w:t>
              <w:br/>
              <w:t>Vesting ($)</w:t>
            </w:r>
            <w:r>
              <w:rPr>
                <w:rFonts w:ascii="times" w:hAnsi="times"/>
                <w:b/>
                <w:position w:val="5"/>
                <w:sz w:val="11"/>
                <w:sz w:val="14"/>
              </w:rPr>
              <w:t>(1)</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2490" w:type="dxa"/>
            <w:tcBorders/>
            <w:shd w:fill="CCEEFF" w:val="clear"/>
          </w:tcPr>
          <w:p>
            <w:pPr>
              <w:pStyle w:val="TableContents"/>
              <w:spacing w:before="0" w:after="283"/>
              <w:ind w:left="200" w:right="0" w:hanging="200"/>
              <w:rPr>
                <w:rFonts w:ascii="times" w:hAnsi="times"/>
                <w:sz w:val="20"/>
              </w:rPr>
            </w:pPr>
            <w:r>
              <w:rPr>
                <w:rFonts w:ascii="times" w:hAnsi="times"/>
                <w:sz w:val="20"/>
              </w:rPr>
              <w:t>Greg L. Armstrong</w:t>
            </w:r>
          </w:p>
        </w:tc>
        <w:tc>
          <w:tcPr>
            <w:tcW w:w="180" w:type="dxa"/>
            <w:tcBorders/>
            <w:shd w:fill="CCEEFF" w:val="clear"/>
          </w:tcPr>
          <w:p>
            <w:pPr>
              <w:pStyle w:val="TableContents"/>
              <w:spacing w:before="0" w:after="283"/>
              <w:rPr/>
            </w:pPr>
            <w:r>
              <w:rPr/>
              <w:t> </w:t>
            </w:r>
          </w:p>
        </w:tc>
        <w:tc>
          <w:tcPr>
            <w:tcW w:w="255" w:type="dxa"/>
            <w:tcBorders/>
            <w:shd w:fill="CCEEFF" w:val="clear"/>
          </w:tcPr>
          <w:p>
            <w:pPr>
              <w:pStyle w:val="TableContents"/>
              <w:spacing w:before="0" w:after="283"/>
              <w:rPr/>
            </w:pPr>
            <w:r>
              <w:rPr/>
              <w:t> </w:t>
            </w:r>
          </w:p>
        </w:tc>
        <w:tc>
          <w:tcPr>
            <w:tcW w:w="84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283" w:type="dxa"/>
            <w:tcBorders/>
            <w:shd w:fill="CCEEFF" w:val="clear"/>
          </w:tcPr>
          <w:p>
            <w:pPr>
              <w:pStyle w:val="TableContents"/>
              <w:spacing w:before="0" w:after="283"/>
              <w:rPr/>
            </w:pPr>
            <w:r>
              <w:rPr/>
              <w:t> </w:t>
            </w:r>
          </w:p>
        </w:tc>
        <w:tc>
          <w:tcPr>
            <w:tcW w:w="88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89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999"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2490" w:type="dxa"/>
            <w:tcBorders/>
            <w:shd w:fill="FFFFFF" w:val="clear"/>
          </w:tcPr>
          <w:p>
            <w:pPr>
              <w:pStyle w:val="TableContents"/>
              <w:spacing w:before="0" w:after="283"/>
              <w:ind w:left="200" w:right="0" w:hanging="200"/>
              <w:rPr>
                <w:rFonts w:ascii="times" w:hAnsi="times"/>
                <w:sz w:val="20"/>
              </w:rPr>
            </w:pPr>
            <w:r>
              <w:rPr>
                <w:rFonts w:ascii="times" w:hAnsi="times"/>
                <w:sz w:val="20"/>
              </w:rPr>
              <w:t>Harry N. Pefanis</w:t>
            </w:r>
          </w:p>
        </w:tc>
        <w:tc>
          <w:tcPr>
            <w:tcW w:w="180" w:type="dxa"/>
            <w:tcBorders/>
            <w:shd w:fill="FFFFFF" w:val="clear"/>
          </w:tcPr>
          <w:p>
            <w:pPr>
              <w:pStyle w:val="TableContents"/>
              <w:spacing w:before="0" w:after="283"/>
              <w:rPr/>
            </w:pPr>
            <w:r>
              <w:rPr/>
              <w:t> </w:t>
            </w:r>
          </w:p>
        </w:tc>
        <w:tc>
          <w:tcPr>
            <w:tcW w:w="255" w:type="dxa"/>
            <w:tcBorders/>
            <w:shd w:fill="FFFFFF" w:val="clear"/>
          </w:tcPr>
          <w:p>
            <w:pPr>
              <w:pStyle w:val="TableContents"/>
              <w:spacing w:before="0" w:after="283"/>
              <w:rPr/>
            </w:pPr>
            <w:r>
              <w:rPr/>
              <w:t> </w:t>
            </w:r>
          </w:p>
        </w:tc>
        <w:tc>
          <w:tcPr>
            <w:tcW w:w="84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283" w:type="dxa"/>
            <w:tcBorders/>
            <w:shd w:fill="FFFFFF" w:val="clear"/>
          </w:tcPr>
          <w:p>
            <w:pPr>
              <w:pStyle w:val="TableContents"/>
              <w:spacing w:before="0" w:after="283"/>
              <w:rPr/>
            </w:pPr>
            <w:r>
              <w:rPr/>
              <w:t> </w:t>
            </w:r>
          </w:p>
        </w:tc>
        <w:tc>
          <w:tcPr>
            <w:tcW w:w="885"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90" w:type="dxa"/>
            <w:tcBorders/>
            <w:shd w:fill="FFFFFF" w:val="clear"/>
          </w:tcPr>
          <w:p>
            <w:pPr>
              <w:pStyle w:val="TableContents"/>
              <w:spacing w:before="0" w:after="283"/>
              <w:rPr/>
            </w:pPr>
            <w:r>
              <w:rPr/>
              <w:t> </w:t>
            </w:r>
          </w:p>
        </w:tc>
        <w:tc>
          <w:tcPr>
            <w:tcW w:w="89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999"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r>
        <w:trPr/>
        <w:tc>
          <w:tcPr>
            <w:tcW w:w="2490" w:type="dxa"/>
            <w:tcBorders/>
            <w:shd w:fill="CCEEFF" w:val="clear"/>
          </w:tcPr>
          <w:p>
            <w:pPr>
              <w:pStyle w:val="TableContents"/>
              <w:spacing w:before="0" w:after="283"/>
              <w:ind w:left="200" w:right="0" w:hanging="200"/>
              <w:rPr>
                <w:rFonts w:ascii="times" w:hAnsi="times"/>
                <w:sz w:val="20"/>
              </w:rPr>
            </w:pPr>
            <w:r>
              <w:rPr>
                <w:rFonts w:ascii="times" w:hAnsi="times"/>
                <w:sz w:val="20"/>
              </w:rPr>
              <w:t>Phillip D. Kramer</w:t>
            </w:r>
          </w:p>
        </w:tc>
        <w:tc>
          <w:tcPr>
            <w:tcW w:w="180" w:type="dxa"/>
            <w:tcBorders/>
            <w:shd w:fill="CCEEFF" w:val="clear"/>
          </w:tcPr>
          <w:p>
            <w:pPr>
              <w:pStyle w:val="TableContents"/>
              <w:spacing w:before="0" w:after="283"/>
              <w:rPr/>
            </w:pPr>
            <w:r>
              <w:rPr/>
              <w:t> </w:t>
            </w:r>
          </w:p>
        </w:tc>
        <w:tc>
          <w:tcPr>
            <w:tcW w:w="255" w:type="dxa"/>
            <w:tcBorders/>
            <w:shd w:fill="CCEEFF" w:val="clear"/>
          </w:tcPr>
          <w:p>
            <w:pPr>
              <w:pStyle w:val="TableContents"/>
              <w:spacing w:before="0" w:after="283"/>
              <w:rPr/>
            </w:pPr>
            <w:r>
              <w:rPr/>
              <w:t> </w:t>
            </w:r>
          </w:p>
        </w:tc>
        <w:tc>
          <w:tcPr>
            <w:tcW w:w="84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283" w:type="dxa"/>
            <w:tcBorders/>
            <w:shd w:fill="CCEEFF" w:val="clear"/>
          </w:tcPr>
          <w:p>
            <w:pPr>
              <w:pStyle w:val="TableContents"/>
              <w:spacing w:before="0" w:after="283"/>
              <w:rPr/>
            </w:pPr>
            <w:r>
              <w:rPr/>
              <w:t> </w:t>
            </w:r>
          </w:p>
        </w:tc>
        <w:tc>
          <w:tcPr>
            <w:tcW w:w="88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89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999"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2490" w:type="dxa"/>
            <w:tcBorders/>
            <w:shd w:fill="FFFFFF" w:val="clear"/>
          </w:tcPr>
          <w:p>
            <w:pPr>
              <w:pStyle w:val="TableContents"/>
              <w:spacing w:before="0" w:after="283"/>
              <w:ind w:left="200" w:right="0" w:hanging="200"/>
              <w:rPr>
                <w:rFonts w:ascii="times" w:hAnsi="times"/>
                <w:sz w:val="20"/>
              </w:rPr>
            </w:pPr>
            <w:r>
              <w:rPr>
                <w:rFonts w:ascii="times" w:hAnsi="times"/>
                <w:sz w:val="20"/>
              </w:rPr>
              <w:t>W. David Duckett</w:t>
            </w:r>
          </w:p>
        </w:tc>
        <w:tc>
          <w:tcPr>
            <w:tcW w:w="180" w:type="dxa"/>
            <w:tcBorders/>
            <w:shd w:fill="FFFFFF" w:val="clear"/>
          </w:tcPr>
          <w:p>
            <w:pPr>
              <w:pStyle w:val="TableContents"/>
              <w:spacing w:before="0" w:after="283"/>
              <w:rPr/>
            </w:pPr>
            <w:r>
              <w:rPr/>
              <w:t> </w:t>
            </w:r>
          </w:p>
        </w:tc>
        <w:tc>
          <w:tcPr>
            <w:tcW w:w="255" w:type="dxa"/>
            <w:tcBorders/>
            <w:shd w:fill="FFFFFF" w:val="clear"/>
          </w:tcPr>
          <w:p>
            <w:pPr>
              <w:pStyle w:val="TableContents"/>
              <w:spacing w:before="0" w:after="283"/>
              <w:rPr/>
            </w:pPr>
            <w:r>
              <w:rPr/>
              <w:t> </w:t>
            </w:r>
          </w:p>
        </w:tc>
        <w:tc>
          <w:tcPr>
            <w:tcW w:w="84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283" w:type="dxa"/>
            <w:tcBorders/>
            <w:shd w:fill="FFFFFF" w:val="clear"/>
          </w:tcPr>
          <w:p>
            <w:pPr>
              <w:pStyle w:val="TableContents"/>
              <w:spacing w:before="0" w:after="283"/>
              <w:rPr/>
            </w:pPr>
            <w:r>
              <w:rPr/>
              <w:t> </w:t>
            </w:r>
          </w:p>
        </w:tc>
        <w:tc>
          <w:tcPr>
            <w:tcW w:w="885"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90" w:type="dxa"/>
            <w:tcBorders/>
            <w:shd w:fill="FFFFFF" w:val="clear"/>
          </w:tcPr>
          <w:p>
            <w:pPr>
              <w:pStyle w:val="TableContents"/>
              <w:spacing w:before="0" w:after="283"/>
              <w:rPr/>
            </w:pPr>
            <w:r>
              <w:rPr/>
              <w:t> </w:t>
            </w:r>
          </w:p>
        </w:tc>
        <w:tc>
          <w:tcPr>
            <w:tcW w:w="890" w:type="dxa"/>
            <w:tcBorders/>
            <w:shd w:fill="FFFFFF" w:val="clear"/>
          </w:tcPr>
          <w:p>
            <w:pPr>
              <w:pStyle w:val="TableContents"/>
              <w:spacing w:before="0" w:after="283"/>
              <w:jc w:val="right"/>
              <w:rPr>
                <w:rFonts w:ascii="times" w:hAnsi="times"/>
                <w:sz w:val="20"/>
              </w:rPr>
            </w:pPr>
            <w:r>
              <w:rPr>
                <w:rFonts w:ascii="times" w:hAnsi="times"/>
                <w:sz w:val="20"/>
              </w:rPr>
              <w:t>16,650</w:t>
            </w:r>
          </w:p>
        </w:tc>
        <w:tc>
          <w:tcPr>
            <w:tcW w:w="225"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999" w:type="dxa"/>
            <w:tcBorders/>
            <w:shd w:fill="FFFFFF" w:val="clear"/>
          </w:tcPr>
          <w:p>
            <w:pPr>
              <w:pStyle w:val="TableContents"/>
              <w:spacing w:before="0" w:after="283"/>
              <w:jc w:val="right"/>
              <w:rPr>
                <w:rFonts w:ascii="times" w:hAnsi="times"/>
                <w:sz w:val="20"/>
              </w:rPr>
            </w:pPr>
            <w:r>
              <w:rPr>
                <w:rFonts w:ascii="times" w:hAnsi="times"/>
                <w:sz w:val="20"/>
              </w:rPr>
              <w:t>775,557</w:t>
            </w:r>
          </w:p>
        </w:tc>
        <w:tc>
          <w:tcPr>
            <w:tcW w:w="60" w:type="dxa"/>
            <w:tcBorders/>
            <w:shd w:fill="FFFFFF" w:val="clear"/>
          </w:tcPr>
          <w:p>
            <w:pPr>
              <w:pStyle w:val="TableContents"/>
              <w:spacing w:before="0" w:after="283"/>
              <w:rPr/>
            </w:pPr>
            <w:r>
              <w:rPr/>
              <w:t> </w:t>
            </w:r>
          </w:p>
        </w:tc>
      </w:tr>
      <w:tr>
        <w:trPr/>
        <w:tc>
          <w:tcPr>
            <w:tcW w:w="2490" w:type="dxa"/>
            <w:tcBorders/>
            <w:shd w:fill="CCEEFF" w:val="clear"/>
          </w:tcPr>
          <w:p>
            <w:pPr>
              <w:pStyle w:val="TableContents"/>
              <w:spacing w:before="0" w:after="283"/>
              <w:ind w:left="200" w:right="0" w:hanging="200"/>
              <w:rPr>
                <w:rFonts w:ascii="times" w:hAnsi="times"/>
                <w:sz w:val="20"/>
              </w:rPr>
            </w:pPr>
            <w:r>
              <w:rPr>
                <w:rFonts w:ascii="times" w:hAnsi="times"/>
                <w:sz w:val="20"/>
              </w:rPr>
              <w:t>John P. vonBerg</w:t>
            </w:r>
          </w:p>
        </w:tc>
        <w:tc>
          <w:tcPr>
            <w:tcW w:w="180" w:type="dxa"/>
            <w:tcBorders/>
            <w:shd w:fill="CCEEFF" w:val="clear"/>
          </w:tcPr>
          <w:p>
            <w:pPr>
              <w:pStyle w:val="TableContents"/>
              <w:spacing w:before="0" w:after="283"/>
              <w:rPr/>
            </w:pPr>
            <w:r>
              <w:rPr/>
              <w:t> </w:t>
            </w:r>
          </w:p>
        </w:tc>
        <w:tc>
          <w:tcPr>
            <w:tcW w:w="255" w:type="dxa"/>
            <w:tcBorders/>
            <w:shd w:fill="CCEEFF" w:val="clear"/>
          </w:tcPr>
          <w:p>
            <w:pPr>
              <w:pStyle w:val="TableContents"/>
              <w:spacing w:before="0" w:after="283"/>
              <w:rPr/>
            </w:pPr>
            <w:r>
              <w:rPr/>
              <w:t> </w:t>
            </w:r>
          </w:p>
        </w:tc>
        <w:tc>
          <w:tcPr>
            <w:tcW w:w="84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283" w:type="dxa"/>
            <w:tcBorders/>
            <w:shd w:fill="CCEEFF" w:val="clear"/>
          </w:tcPr>
          <w:p>
            <w:pPr>
              <w:pStyle w:val="TableContents"/>
              <w:spacing w:before="0" w:after="283"/>
              <w:rPr/>
            </w:pPr>
            <w:r>
              <w:rPr/>
              <w:t> </w:t>
            </w:r>
          </w:p>
        </w:tc>
        <w:tc>
          <w:tcPr>
            <w:tcW w:w="88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90" w:type="dxa"/>
            <w:tcBorders/>
            <w:shd w:fill="CCEEFF" w:val="clear"/>
          </w:tcPr>
          <w:p>
            <w:pPr>
              <w:pStyle w:val="TableContents"/>
              <w:spacing w:before="0" w:after="283"/>
              <w:rPr/>
            </w:pPr>
            <w:r>
              <w:rPr/>
              <w:t> </w:t>
            </w:r>
          </w:p>
        </w:tc>
        <w:tc>
          <w:tcPr>
            <w:tcW w:w="890" w:type="dxa"/>
            <w:tcBorders/>
            <w:shd w:fill="CCEEFF" w:val="clear"/>
          </w:tcPr>
          <w:p>
            <w:pPr>
              <w:pStyle w:val="TableContents"/>
              <w:spacing w:before="0" w:after="283"/>
              <w:jc w:val="right"/>
              <w:rPr>
                <w:rFonts w:ascii="times" w:hAnsi="times"/>
                <w:sz w:val="20"/>
              </w:rPr>
            </w:pPr>
            <w:r>
              <w:rPr>
                <w:rFonts w:ascii="times" w:hAnsi="times"/>
                <w:sz w:val="20"/>
              </w:rPr>
              <w:t>16,650</w:t>
            </w:r>
          </w:p>
        </w:tc>
        <w:tc>
          <w:tcPr>
            <w:tcW w:w="225" w:type="dxa"/>
            <w:tcBorders/>
            <w:shd w:fill="CCEEFF" w:val="clear"/>
          </w:tcPr>
          <w:p>
            <w:pPr>
              <w:pStyle w:val="TableContents"/>
              <w:spacing w:before="0" w:after="283"/>
              <w:rPr/>
            </w:pPr>
            <w:r>
              <w:rPr/>
              <w:t> </w:t>
            </w:r>
          </w:p>
        </w:tc>
        <w:tc>
          <w:tcPr>
            <w:tcW w:w="86" w:type="dxa"/>
            <w:tcBorders/>
            <w:shd w:fill="CCEEFF" w:val="clear"/>
          </w:tcPr>
          <w:p>
            <w:pPr>
              <w:pStyle w:val="TableContents"/>
              <w:spacing w:before="0" w:after="283"/>
              <w:rPr/>
            </w:pPr>
            <w:r>
              <w:rPr/>
              <w:t> </w:t>
            </w:r>
          </w:p>
        </w:tc>
        <w:tc>
          <w:tcPr>
            <w:tcW w:w="999" w:type="dxa"/>
            <w:tcBorders/>
            <w:shd w:fill="CCEEFF" w:val="clear"/>
          </w:tcPr>
          <w:p>
            <w:pPr>
              <w:pStyle w:val="TableContents"/>
              <w:spacing w:before="0" w:after="283"/>
              <w:jc w:val="right"/>
              <w:rPr>
                <w:rFonts w:ascii="times" w:hAnsi="times"/>
                <w:sz w:val="20"/>
              </w:rPr>
            </w:pPr>
            <w:r>
              <w:rPr>
                <w:rFonts w:ascii="times" w:hAnsi="times"/>
                <w:sz w:val="20"/>
              </w:rPr>
              <w:t>775,557</w:t>
            </w:r>
          </w:p>
        </w:tc>
        <w:tc>
          <w:tcPr>
            <w:tcW w:w="60" w:type="dxa"/>
            <w:tcBorders/>
            <w:shd w:fill="CCEEFF" w:val="clear"/>
          </w:tcPr>
          <w:p>
            <w:pPr>
              <w:pStyle w:val="TableContents"/>
              <w:spacing w:before="0" w:after="283"/>
              <w:rPr/>
            </w:pPr>
            <w:r>
              <w:rPr/>
              <w:t> </w:t>
            </w:r>
          </w:p>
        </w:tc>
      </w:tr>
      <w:tr>
        <w:trPr/>
        <w:tc>
          <w:tcPr>
            <w:tcW w:w="2490" w:type="dxa"/>
            <w:tcBorders/>
            <w:shd w:fill="FFFFFF" w:val="clear"/>
          </w:tcPr>
          <w:p>
            <w:pPr>
              <w:pStyle w:val="TableContents"/>
              <w:spacing w:before="0" w:after="283"/>
              <w:ind w:left="200" w:right="0" w:hanging="200"/>
              <w:rPr>
                <w:rFonts w:ascii="times" w:hAnsi="times"/>
                <w:sz w:val="20"/>
              </w:rPr>
            </w:pPr>
            <w:r>
              <w:rPr>
                <w:rFonts w:ascii="times" w:hAnsi="times"/>
                <w:sz w:val="20"/>
              </w:rPr>
              <w:t>Al Swanson</w:t>
            </w:r>
          </w:p>
        </w:tc>
        <w:tc>
          <w:tcPr>
            <w:tcW w:w="180" w:type="dxa"/>
            <w:tcBorders/>
            <w:shd w:fill="FFFFFF" w:val="clear"/>
          </w:tcPr>
          <w:p>
            <w:pPr>
              <w:pStyle w:val="TableContents"/>
              <w:spacing w:before="0" w:after="283"/>
              <w:rPr/>
            </w:pPr>
            <w:r>
              <w:rPr/>
              <w:t> </w:t>
            </w:r>
          </w:p>
        </w:tc>
        <w:tc>
          <w:tcPr>
            <w:tcW w:w="255" w:type="dxa"/>
            <w:tcBorders/>
            <w:shd w:fill="FFFFFF" w:val="clear"/>
          </w:tcPr>
          <w:p>
            <w:pPr>
              <w:pStyle w:val="TableContents"/>
              <w:spacing w:before="0" w:after="283"/>
              <w:rPr/>
            </w:pPr>
            <w:r>
              <w:rPr/>
              <w:t> </w:t>
            </w:r>
          </w:p>
        </w:tc>
        <w:tc>
          <w:tcPr>
            <w:tcW w:w="84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283" w:type="dxa"/>
            <w:tcBorders/>
            <w:shd w:fill="FFFFFF" w:val="clear"/>
          </w:tcPr>
          <w:p>
            <w:pPr>
              <w:pStyle w:val="TableContents"/>
              <w:spacing w:before="0" w:after="283"/>
              <w:rPr/>
            </w:pPr>
            <w:r>
              <w:rPr/>
              <w:t> </w:t>
            </w:r>
          </w:p>
        </w:tc>
        <w:tc>
          <w:tcPr>
            <w:tcW w:w="885"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90" w:type="dxa"/>
            <w:tcBorders/>
            <w:shd w:fill="FFFFFF" w:val="clear"/>
          </w:tcPr>
          <w:p>
            <w:pPr>
              <w:pStyle w:val="TableContents"/>
              <w:spacing w:before="0" w:after="283"/>
              <w:rPr/>
            </w:pPr>
            <w:r>
              <w:rPr/>
              <w:t> </w:t>
            </w:r>
          </w:p>
        </w:tc>
        <w:tc>
          <w:tcPr>
            <w:tcW w:w="890" w:type="dxa"/>
            <w:tcBorders/>
            <w:shd w:fill="FFFFFF" w:val="clear"/>
          </w:tcPr>
          <w:p>
            <w:pPr>
              <w:pStyle w:val="TableContents"/>
              <w:spacing w:before="0" w:after="283"/>
              <w:jc w:val="right"/>
              <w:rPr>
                <w:rFonts w:ascii="times" w:hAnsi="times"/>
                <w:sz w:val="20"/>
              </w:rPr>
            </w:pPr>
            <w:r>
              <w:rPr>
                <w:rFonts w:ascii="times" w:hAnsi="times"/>
                <w:sz w:val="20"/>
              </w:rPr>
              <w:t>5,000</w:t>
            </w:r>
          </w:p>
        </w:tc>
        <w:tc>
          <w:tcPr>
            <w:tcW w:w="225" w:type="dxa"/>
            <w:tcBorders/>
            <w:shd w:fill="FFFFFF" w:val="clear"/>
          </w:tcPr>
          <w:p>
            <w:pPr>
              <w:pStyle w:val="TableContents"/>
              <w:spacing w:before="0" w:after="283"/>
              <w:rPr/>
            </w:pPr>
            <w:r>
              <w:rPr/>
              <w:t> </w:t>
            </w:r>
          </w:p>
        </w:tc>
        <w:tc>
          <w:tcPr>
            <w:tcW w:w="86" w:type="dxa"/>
            <w:tcBorders/>
            <w:shd w:fill="FFFFFF" w:val="clear"/>
          </w:tcPr>
          <w:p>
            <w:pPr>
              <w:pStyle w:val="TableContents"/>
              <w:spacing w:before="0" w:after="283"/>
              <w:rPr/>
            </w:pPr>
            <w:r>
              <w:rPr/>
              <w:t> </w:t>
            </w:r>
          </w:p>
        </w:tc>
        <w:tc>
          <w:tcPr>
            <w:tcW w:w="999" w:type="dxa"/>
            <w:tcBorders/>
            <w:shd w:fill="FFFFFF" w:val="clear"/>
          </w:tcPr>
          <w:p>
            <w:pPr>
              <w:pStyle w:val="TableContents"/>
              <w:spacing w:before="0" w:after="283"/>
              <w:jc w:val="right"/>
              <w:rPr>
                <w:rFonts w:ascii="times" w:hAnsi="times"/>
                <w:sz w:val="20"/>
              </w:rPr>
            </w:pPr>
            <w:r>
              <w:rPr>
                <w:rFonts w:ascii="times" w:hAnsi="times"/>
                <w:sz w:val="20"/>
              </w:rPr>
              <w:t>232,900</w:t>
            </w:r>
          </w:p>
        </w:tc>
        <w:tc>
          <w:tcPr>
            <w:tcW w:w="60" w:type="dxa"/>
            <w:tcBorders/>
            <w:shd w:fill="FFFFFF"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Represents the gross number and value of phantom units that vested during the year ended December 31, 2008. The actual number of units delivered was net of income tax withholding. The units in this table represent all unit awards of our Named Executive Officers that vested during 2008. Consistent with the terms of our 2005 Long-Term Incentive Plan, the value realized upon vesting is computed by multiplying the closing market price ($46.58) of our common units on May 14, 2008 (the date preceding the vesting date) by the number of units that vested. </w:t>
      </w:r>
    </w:p>
    <w:p>
      <w:pPr>
        <w:pStyle w:val="TextBody"/>
        <w:rPr>
          <w:rFonts w:ascii="times" w:hAnsi="times"/>
          <w:b/>
          <w:sz w:val="20"/>
        </w:rPr>
      </w:pPr>
      <w:r>
        <w:rPr>
          <w:rFonts w:ascii="times" w:hAnsi="times"/>
          <w:b/>
          <w:sz w:val="20"/>
        </w:rPr>
        <w:t xml:space="preserve">Pension Benefits </w:t>
      </w:r>
    </w:p>
    <w:p>
      <w:pPr>
        <w:pStyle w:val="TextBody"/>
        <w:rPr/>
      </w:pPr>
      <w:r>
        <w:rPr/>
        <w:t>        </w:t>
      </w:r>
      <w:r>
        <w:rPr>
          <w:rFonts w:ascii="times" w:hAnsi="times"/>
          <w:sz w:val="20"/>
        </w:rPr>
        <w:t xml:space="preserve">We sponsor a 401(k) plan that is available to all U.S. employees, but we do not maintain a pension or defined benefit program. </w:t>
      </w:r>
    </w:p>
    <w:p>
      <w:pPr>
        <w:pStyle w:val="TextBody"/>
        <w:rPr>
          <w:rFonts w:ascii="times" w:hAnsi="times"/>
          <w:b/>
          <w:sz w:val="20"/>
        </w:rPr>
      </w:pPr>
      <w:r>
        <w:rPr>
          <w:rFonts w:ascii="times" w:hAnsi="times"/>
          <w:b/>
          <w:sz w:val="20"/>
        </w:rPr>
        <w:t xml:space="preserve">Nonqualified Deferred Compensation and Other Nonqualified Deferred Compensation Plans </w:t>
      </w:r>
    </w:p>
    <w:p>
      <w:pPr>
        <w:pStyle w:val="TextBody"/>
        <w:rPr/>
      </w:pPr>
      <w:r>
        <w:rPr/>
        <w:t>        </w:t>
      </w:r>
      <w:r>
        <w:rPr>
          <w:rFonts w:ascii="times" w:hAnsi="times"/>
          <w:sz w:val="20"/>
        </w:rPr>
        <w:t xml:space="preserve">We do not have a nonqualified deferred compensation plan or program for our officers or employees. </w:t>
      </w:r>
    </w:p>
    <w:p>
      <w:pPr>
        <w:pStyle w:val="TextBody"/>
        <w:jc w:val="center"/>
        <w:rPr>
          <w:rFonts w:ascii="times" w:hAnsi="times"/>
          <w:sz w:val="20"/>
        </w:rPr>
      </w:pPr>
      <w:r>
        <w:rPr>
          <w:rFonts w:ascii="times" w:hAnsi="times"/>
          <w:sz w:val="20"/>
        </w:rPr>
        <w:t>123</w:t>
      </w:r>
    </w:p>
    <w:p>
      <w:pPr>
        <w:pStyle w:val="HorizontalLine"/>
        <w:pBdr>
          <w:bottom w:val="single" w:sz="20" w:space="0" w:color="808080"/>
        </w:pBdr>
        <w:rPr/>
      </w:pPr>
      <w:r>
        <w:rPr/>
      </w:r>
      <w:r>
        <w:br w:type="page"/>
      </w:r>
    </w:p>
    <w:p>
      <w:pPr>
        <w:pStyle w:val="TextBody"/>
        <w:rPr/>
      </w:pPr>
      <w:hyperlink w:anchor="bg12101a_main_toc">
        <w:bookmarkStart w:id="170" w:name="page_ei12101_1_124"/>
        <w:bookmarkEnd w:id="170"/>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Potential Payments upon Termination or Change-in-Control </w:t>
      </w:r>
    </w:p>
    <w:p>
      <w:pPr>
        <w:pStyle w:val="TextBody"/>
        <w:rPr/>
      </w:pPr>
      <w:r>
        <w:rPr/>
        <w:t>        </w:t>
      </w:r>
      <w:r>
        <w:rPr>
          <w:rFonts w:ascii="times" w:hAnsi="times"/>
          <w:sz w:val="20"/>
        </w:rPr>
        <w:t xml:space="preserve">The following table sets forth potential amounts payable to the Named Executive Officers upon termination of employment under various circumstances, and as if terminated on December 31, 2008. </w:t>
      </w:r>
    </w:p>
    <w:tbl>
      <w:tblPr>
        <w:tblW w:w="8760" w:type="dxa"/>
        <w:jc w:val="center"/>
        <w:tblInd w:w="0" w:type="dxa"/>
        <w:tblCellMar>
          <w:top w:w="0" w:type="dxa"/>
          <w:left w:w="0" w:type="dxa"/>
          <w:bottom w:w="0" w:type="dxa"/>
          <w:right w:w="0" w:type="dxa"/>
        </w:tblCellMar>
      </w:tblPr>
      <w:tblGrid>
        <w:gridCol w:w="150"/>
        <w:gridCol w:w="2235"/>
        <w:gridCol w:w="180"/>
        <w:gridCol w:w="75"/>
        <w:gridCol w:w="950"/>
        <w:gridCol w:w="225"/>
        <w:gridCol w:w="75"/>
        <w:gridCol w:w="950"/>
        <w:gridCol w:w="225"/>
        <w:gridCol w:w="75"/>
        <w:gridCol w:w="950"/>
        <w:gridCol w:w="225"/>
        <w:gridCol w:w="75"/>
        <w:gridCol w:w="950"/>
        <w:gridCol w:w="225"/>
        <w:gridCol w:w="75"/>
        <w:gridCol w:w="950"/>
        <w:gridCol w:w="170"/>
      </w:tblGrid>
      <w:tr>
        <w:trPr/>
        <w:tc>
          <w:tcPr>
            <w:tcW w:w="150"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38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Reason of</w:t>
              <w:br/>
              <w:t>Death</w:t>
              <w:br/>
              <w:t xml:space="preserve">($) </w:t>
            </w:r>
          </w:p>
        </w:tc>
        <w:tc>
          <w:tcPr>
            <w:tcW w:w="225"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Reason of</w:t>
              <w:br/>
              <w:t>Disability</w:t>
              <w:br/>
              <w:t xml:space="preserve">($) </w:t>
            </w:r>
          </w:p>
        </w:tc>
        <w:tc>
          <w:tcPr>
            <w:tcW w:w="225"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Company</w:t>
              <w:br/>
              <w:t>without Cause</w:t>
              <w:br/>
              <w:t xml:space="preserve">($) </w:t>
            </w:r>
          </w:p>
        </w:tc>
        <w:tc>
          <w:tcPr>
            <w:tcW w:w="225"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By Executive</w:t>
              <w:br/>
              <w:t>with Good</w:t>
              <w:br/>
              <w:t>Reason</w:t>
              <w:br/>
              <w:t xml:space="preserve">($) </w:t>
            </w:r>
          </w:p>
        </w:tc>
        <w:tc>
          <w:tcPr>
            <w:tcW w:w="225"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In Connection</w:t>
              <w:br/>
              <w:t>with a Change</w:t>
              <w:br/>
              <w:t>In Control</w:t>
              <w:br/>
              <w:t xml:space="preserve">($) </w:t>
            </w:r>
          </w:p>
        </w:tc>
        <w:tc>
          <w:tcPr>
            <w:tcW w:w="170" w:type="dxa"/>
            <w:tcBorders/>
            <w:shd w:fill="auto" w:val="clear"/>
            <w:vAlign w:val="bottom"/>
          </w:tcPr>
          <w:p>
            <w:pPr>
              <w:pStyle w:val="TableHeading"/>
              <w:suppressLineNumbers/>
              <w:spacing w:before="0" w:after="283"/>
              <w:jc w:val="center"/>
              <w:rPr/>
            </w:pPr>
            <w:r>
              <w:rPr/>
              <w:t> </w:t>
            </w:r>
          </w:p>
        </w:tc>
      </w:tr>
      <w:tr>
        <w:trPr/>
        <w:tc>
          <w:tcPr>
            <w:tcW w:w="2385" w:type="dxa"/>
            <w:gridSpan w:val="2"/>
            <w:tcBorders/>
            <w:shd w:fill="CCEEFF" w:val="clear"/>
          </w:tcPr>
          <w:p>
            <w:pPr>
              <w:pStyle w:val="TableContents"/>
              <w:spacing w:before="0" w:after="283"/>
              <w:ind w:left="200" w:right="0" w:hanging="200"/>
              <w:rPr>
                <w:rFonts w:ascii="times" w:hAnsi="times"/>
                <w:b/>
                <w:sz w:val="20"/>
              </w:rPr>
            </w:pPr>
            <w:r>
              <w:rPr>
                <w:rFonts w:ascii="times" w:hAnsi="times"/>
                <w:b/>
                <w:sz w:val="20"/>
              </w:rPr>
              <w:t>Greg L. Armstrong</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Salary and Bonus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8,250,000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8,250,000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8,250,000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8,250,000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12,375,000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(2)</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Equity Compensation</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11,447,700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11,447,700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13,529,100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13,529,100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13,529,100</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(5)</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Health Benefits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36,210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(6)</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36,210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(6)</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36,210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(6)</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36,210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(6)</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Tax Gross-up</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1,572,936</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(7)</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Class B Units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5,382,400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238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19,697,700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19,733,910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21,815,310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21,815,310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32,895,646</w:t>
            </w:r>
          </w:p>
        </w:tc>
        <w:tc>
          <w:tcPr>
            <w:tcW w:w="170" w:type="dxa"/>
            <w:tcBorders/>
            <w:shd w:fill="CCEEFF" w:val="clear"/>
          </w:tcPr>
          <w:p>
            <w:pPr>
              <w:pStyle w:val="TableContents"/>
              <w:spacing w:before="0" w:after="283"/>
              <w:rPr/>
            </w:pPr>
            <w:r>
              <w:rPr/>
              <w:t> </w:t>
            </w:r>
          </w:p>
        </w:tc>
      </w:tr>
      <w:tr>
        <w:trPr/>
        <w:tc>
          <w:tcPr>
            <w:tcW w:w="2385" w:type="dxa"/>
            <w:gridSpan w:val="2"/>
            <w:tcBorders/>
            <w:shd w:fill="FFFFFF" w:val="clear"/>
          </w:tcPr>
          <w:p>
            <w:pPr>
              <w:pStyle w:val="TableContents"/>
              <w:spacing w:before="240" w:after="283"/>
              <w:ind w:left="200" w:right="0" w:hanging="200"/>
              <w:rPr>
                <w:rFonts w:ascii="times" w:hAnsi="times"/>
                <w:b/>
                <w:sz w:val="20"/>
              </w:rPr>
            </w:pPr>
            <w:r>
              <w:rPr>
                <w:rFonts w:ascii="times" w:hAnsi="times"/>
                <w:b/>
                <w:sz w:val="20"/>
              </w:rPr>
              <w:t>Harry N. Pefanis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Salary and Bonus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7,400,000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7,400,000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7,400,000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7,400,000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11,100,000</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(2)</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Equity Compensation</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7,631,800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7,631,800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9,019,400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9,019,400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9,019,400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(5)</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Health Benefits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36,210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(6)</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36,210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(6)</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36,210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(6)</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36,210</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(6)</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Tax Gross-up</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1,510,266</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(7)</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Class B Units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4,036,800</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238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15,031,800</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15,068,010</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16,455,610</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16,455,610</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25,702,676</w:t>
            </w:r>
          </w:p>
        </w:tc>
        <w:tc>
          <w:tcPr>
            <w:tcW w:w="170" w:type="dxa"/>
            <w:tcBorders/>
            <w:shd w:fill="FFFFFF" w:val="clear"/>
          </w:tcPr>
          <w:p>
            <w:pPr>
              <w:pStyle w:val="TableContents"/>
              <w:spacing w:before="0" w:after="283"/>
              <w:rPr/>
            </w:pPr>
            <w:r>
              <w:rPr/>
              <w:t> </w:t>
            </w:r>
          </w:p>
        </w:tc>
      </w:tr>
      <w:tr>
        <w:trPr/>
        <w:tc>
          <w:tcPr>
            <w:tcW w:w="2385" w:type="dxa"/>
            <w:gridSpan w:val="2"/>
            <w:tcBorders/>
            <w:shd w:fill="CCEEFF" w:val="clear"/>
          </w:tcPr>
          <w:p>
            <w:pPr>
              <w:pStyle w:val="TableContents"/>
              <w:spacing w:before="240" w:after="283"/>
              <w:ind w:left="200" w:right="0" w:hanging="200"/>
              <w:rPr>
                <w:rFonts w:ascii="times" w:hAnsi="times"/>
              </w:rPr>
            </w:pPr>
            <w:r>
              <w:rPr>
                <w:rFonts w:ascii="times" w:hAnsi="times"/>
                <w:b/>
                <w:sz w:val="20"/>
              </w:rPr>
              <w:t>Phillip D. Kramer</w:t>
            </w:r>
            <w:r>
              <w:rPr>
                <w:rFonts w:ascii="times" w:hAnsi="times"/>
                <w:position w:val="7"/>
                <w:sz w:val="16"/>
                <w:sz w:val="20"/>
              </w:rPr>
              <w:t>(9)</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Equity Compensation</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3,469,000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3,469,000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2,775,200</w:t>
            </w:r>
          </w:p>
        </w:tc>
        <w:tc>
          <w:tcPr>
            <w:tcW w:w="2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4,162,800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(5)</w:t>
            </w:r>
          </w:p>
        </w:tc>
      </w:tr>
      <w:tr>
        <w:trPr/>
        <w:tc>
          <w:tcPr>
            <w:tcW w:w="238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3,469,000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3,469,000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2,775,200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4,162,800</w:t>
            </w:r>
          </w:p>
        </w:tc>
        <w:tc>
          <w:tcPr>
            <w:tcW w:w="170" w:type="dxa"/>
            <w:tcBorders/>
            <w:shd w:fill="CCEEFF" w:val="clear"/>
          </w:tcPr>
          <w:p>
            <w:pPr>
              <w:pStyle w:val="TableContents"/>
              <w:spacing w:before="0" w:after="283"/>
              <w:rPr/>
            </w:pPr>
            <w:r>
              <w:rPr/>
              <w:t> </w:t>
            </w:r>
          </w:p>
        </w:tc>
      </w:tr>
      <w:tr>
        <w:trPr/>
        <w:tc>
          <w:tcPr>
            <w:tcW w:w="2385" w:type="dxa"/>
            <w:gridSpan w:val="2"/>
            <w:tcBorders/>
            <w:shd w:fill="FFFFFF" w:val="clear"/>
          </w:tcPr>
          <w:p>
            <w:pPr>
              <w:pStyle w:val="TableContents"/>
              <w:spacing w:before="240" w:after="283"/>
              <w:ind w:left="200" w:right="0" w:hanging="200"/>
              <w:rPr>
                <w:rFonts w:ascii="times" w:hAnsi="times"/>
              </w:rPr>
            </w:pPr>
            <w:r>
              <w:rPr>
                <w:rFonts w:ascii="times" w:hAnsi="times"/>
                <w:b/>
                <w:sz w:val="20"/>
              </w:rPr>
              <w:t>W. David Duckett</w:t>
            </w:r>
            <w:r>
              <w:rPr>
                <w:rFonts w:ascii="times" w:hAnsi="times"/>
                <w:position w:val="7"/>
                <w:sz w:val="16"/>
                <w:sz w:val="20"/>
              </w:rPr>
              <w:t>(9)</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Equity Compensation</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4,452,462</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4,452,462</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3,585,212</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5,319,712</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(5)</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Class B Units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1,178,270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238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4,452,462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4,452,462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3,585,212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6,497,982</w:t>
            </w:r>
          </w:p>
        </w:tc>
        <w:tc>
          <w:tcPr>
            <w:tcW w:w="170" w:type="dxa"/>
            <w:tcBorders/>
            <w:shd w:fill="CCEEFF" w:val="clear"/>
          </w:tcPr>
          <w:p>
            <w:pPr>
              <w:pStyle w:val="TableContents"/>
              <w:spacing w:before="0" w:after="283"/>
              <w:rPr/>
            </w:pPr>
            <w:r>
              <w:rPr/>
              <w:t> </w:t>
            </w:r>
          </w:p>
        </w:tc>
      </w:tr>
      <w:tr>
        <w:trPr/>
        <w:tc>
          <w:tcPr>
            <w:tcW w:w="2385" w:type="dxa"/>
            <w:gridSpan w:val="2"/>
            <w:tcBorders/>
            <w:shd w:fill="FFFFFF" w:val="clear"/>
          </w:tcPr>
          <w:p>
            <w:pPr>
              <w:pStyle w:val="TableContents"/>
              <w:spacing w:before="240" w:after="283"/>
              <w:ind w:left="200" w:right="0" w:hanging="200"/>
              <w:rPr>
                <w:rFonts w:ascii="times" w:hAnsi="times"/>
              </w:rPr>
            </w:pPr>
            <w:r>
              <w:rPr>
                <w:rFonts w:ascii="times" w:hAnsi="times"/>
                <w:b/>
                <w:sz w:val="20"/>
              </w:rPr>
              <w:t>John P. vonBerg</w:t>
            </w:r>
            <w:r>
              <w:rPr>
                <w:rFonts w:ascii="times" w:hAnsi="times"/>
                <w:position w:val="7"/>
                <w:sz w:val="16"/>
                <w:sz w:val="20"/>
              </w:rPr>
              <w:t>(9)</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Equity Compensation</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3,238,312</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3,238,312</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2,613,892</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3,862,732</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(5)</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Class B Units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1,883,840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238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3,238,312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3,238,312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2,613,892</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5,746,572</w:t>
            </w:r>
          </w:p>
        </w:tc>
        <w:tc>
          <w:tcPr>
            <w:tcW w:w="170" w:type="dxa"/>
            <w:tcBorders/>
            <w:shd w:fill="CCEEFF" w:val="clear"/>
          </w:tcPr>
          <w:p>
            <w:pPr>
              <w:pStyle w:val="TableContents"/>
              <w:spacing w:before="0" w:after="283"/>
              <w:rPr/>
            </w:pPr>
            <w:r>
              <w:rPr/>
              <w:t> </w:t>
            </w:r>
          </w:p>
        </w:tc>
      </w:tr>
      <w:tr>
        <w:trPr/>
        <w:tc>
          <w:tcPr>
            <w:tcW w:w="2385" w:type="dxa"/>
            <w:gridSpan w:val="2"/>
            <w:tcBorders/>
            <w:shd w:fill="FFFFFF" w:val="clear"/>
          </w:tcPr>
          <w:p>
            <w:pPr>
              <w:pStyle w:val="TableContents"/>
              <w:spacing w:before="240" w:after="283"/>
              <w:ind w:left="200" w:right="0" w:hanging="200"/>
              <w:rPr>
                <w:rFonts w:ascii="times" w:hAnsi="times"/>
              </w:rPr>
            </w:pPr>
            <w:r>
              <w:rPr>
                <w:rFonts w:ascii="times" w:hAnsi="times"/>
                <w:b/>
                <w:sz w:val="20"/>
              </w:rPr>
              <w:t>Al Swanson</w:t>
            </w:r>
            <w:r>
              <w:rPr>
                <w:rFonts w:ascii="times" w:hAnsi="times"/>
                <w:position w:val="7"/>
                <w:sz w:val="16"/>
                <w:sz w:val="20"/>
              </w:rPr>
              <w:t>(9)</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Equity Compensation</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1,942,640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1,942,640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1,561,050</w:t>
            </w:r>
          </w:p>
        </w:tc>
        <w:tc>
          <w:tcPr>
            <w:tcW w:w="2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(4)</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2,324,230</w:t>
            </w:r>
          </w:p>
        </w:tc>
        <w:tc>
          <w:tcPr>
            <w:tcW w:w="170"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(5)</w:t>
            </w:r>
          </w:p>
        </w:tc>
      </w:tr>
      <w:tr>
        <w:trPr/>
        <w:tc>
          <w:tcPr>
            <w:tcW w:w="150" w:type="dxa"/>
            <w:tcBorders/>
            <w:shd w:fill="FFFFFF" w:val="clear"/>
          </w:tcPr>
          <w:p>
            <w:pPr>
              <w:pStyle w:val="TableContents"/>
              <w:spacing w:before="0" w:after="283"/>
              <w:rPr/>
            </w:pPr>
            <w:r>
              <w:rPr/>
              <w:t> </w:t>
            </w:r>
          </w:p>
        </w:tc>
        <w:tc>
          <w:tcPr>
            <w:tcW w:w="2235" w:type="dxa"/>
            <w:tcBorders/>
            <w:shd w:fill="FFFFFF" w:val="clear"/>
          </w:tcPr>
          <w:p>
            <w:pPr>
              <w:pStyle w:val="TableContents"/>
              <w:spacing w:before="0" w:after="283"/>
              <w:ind w:left="200" w:right="0" w:hanging="200"/>
              <w:rPr>
                <w:rFonts w:ascii="times" w:hAnsi="times"/>
                <w:sz w:val="20"/>
              </w:rPr>
            </w:pPr>
            <w:r>
              <w:rPr>
                <w:rFonts w:ascii="times" w:hAnsi="times"/>
                <w:sz w:val="20"/>
              </w:rPr>
              <w:t>Class B Units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693,100</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238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2235" w:type="dxa"/>
            <w:tcBorders/>
            <w:shd w:fill="CCEE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1,942,640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1,942,640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1,561,050</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3,017,330</w:t>
            </w:r>
          </w:p>
        </w:tc>
        <w:tc>
          <w:tcPr>
            <w:tcW w:w="170" w:type="dxa"/>
            <w:tcBorders/>
            <w:shd w:fill="CCEEFF"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The employment agreements between Plains All American GP LLC and Messrs. Armstrong and Pefanis provide that if (i) their employment with Plains All American GP LLC is terminated as a result of their death, (ii) they terminate their employment with Plains All American GP LLC (a) because of a disability (as defined in Section 409A of the Code) or (b) for good reason (as defined below), or (iii) Plains All American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w:t>
      </w:r>
    </w:p>
    <w:p>
      <w:pPr>
        <w:pStyle w:val="TextBody"/>
        <w:jc w:val="center"/>
        <w:rPr>
          <w:rFonts w:ascii="times" w:hAnsi="times"/>
          <w:sz w:val="20"/>
        </w:rPr>
      </w:pPr>
      <w:r>
        <w:rPr>
          <w:rFonts w:ascii="times" w:hAnsi="times"/>
          <w:sz w:val="20"/>
        </w:rPr>
        <w:t>124</w:t>
      </w:r>
    </w:p>
    <w:p>
      <w:pPr>
        <w:pStyle w:val="HorizontalLine"/>
        <w:pBdr>
          <w:bottom w:val="single" w:sz="20" w:space="0" w:color="808080"/>
        </w:pBdr>
        <w:rPr/>
      </w:pPr>
      <w:r>
        <w:rPr/>
      </w:r>
      <w:r>
        <w:br w:type="page"/>
      </w:r>
    </w:p>
    <w:p>
      <w:pPr>
        <w:pStyle w:val="TextBody"/>
        <w:rPr/>
      </w:pPr>
      <w:hyperlink w:anchor="bg12101a_main_toc">
        <w:bookmarkStart w:id="171" w:name="page_ei12101_1_125"/>
        <w:bookmarkEnd w:id="171"/>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divided by 360. The amount provided in the table assumes for each executive a termination date of December 31, 2008, and also assumes a highest annual base salary of $375,000 and highest annual bonus of $3,750,000 for Mr. Armstrong, and a highest annual base salary of $300,000 and highest annual bonus of $3,400,000 for Mr. Pefanis. </w:t>
      </w:r>
    </w:p>
    <w:p>
      <w:pPr>
        <w:pStyle w:val="TextBody"/>
        <w:numPr>
          <w:ilvl w:val="0"/>
          <w:numId w:val="0"/>
        </w:numPr>
        <w:ind w:left="707" w:hanging="0"/>
        <w:rPr>
          <w:rFonts w:ascii="times" w:hAnsi="times"/>
          <w:sz w:val="20"/>
        </w:rPr>
      </w:pPr>
      <w:r>
        <w:rPr>
          <w:rFonts w:ascii="times" w:hAnsi="times"/>
          <w:sz w:val="20"/>
        </w:rPr>
        <w:t xml:space="preserve">The employment agreements between Plains All American GP LLC and Messrs. Armstrong and Pefanis define "cause" as (i) willfully engaging in gross misconduct, or (ii) conviction of a felony involving moral turpitude. Notwithstanding, no act, or failure to act, on their part is "willful" unless done, or omitted to be done, not in good faith and without reasonable belief that such act or omission was in the best interest of Plains All American GP LLC or otherwise likely to result in no material injury to Plains All American GP LLC. However, neither Mr. Armstrong or Mr. Pefanis will be deemed to have been terminated for cause unless and until there is delivered to them a copy of a resolution of the board of directors of Plains All American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Plains All American GP LLC would be obligated to pay base salary through the date of termination, with no other payment obligations triggered by the termination under the employment agreement or other employment arrangement. </w:t>
      </w:r>
    </w:p>
    <w:p>
      <w:pPr>
        <w:pStyle w:val="TextBody"/>
        <w:numPr>
          <w:ilvl w:val="0"/>
          <w:numId w:val="0"/>
        </w:numPr>
        <w:ind w:left="707" w:hanging="0"/>
        <w:rPr>
          <w:rFonts w:ascii="times" w:hAnsi="times"/>
          <w:sz w:val="20"/>
        </w:rPr>
      </w:pPr>
      <w:r>
        <w:rPr>
          <w:rFonts w:ascii="times" w:hAnsi="times"/>
          <w:sz w:val="20"/>
        </w:rPr>
        <w:t xml:space="preserve">The employment agreements between Plains All American GP LLC and Messrs. Armstrong and Pefanis define "good reason" as the occurrence of any of the following circumstances: (i) removal by Plains All American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Plains All American GP LLC, unless such reduction reduces their base salary to less than 85% of their current base salary, (b) a material reduction in their fringe benefits, or (c) any other material failure by Plains All American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Plains All American GP LLC to obtain the express assumption of the employment agreements by a successor entity (whether direct or indirect, by purchase, merger, consolidation or otherwise) to all or substantially all of the business and/or assets of Plains All American GP LLC.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Pursuant to their employment agreements, if Messrs. Armstrong and Pefanis terminate their employment with Plains All American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2008, and also assumes a highest annual base salary of $375,000 and highest annual bonus of $3,750,000 for Mr. Armstrong, and a highest annual base salary of $300,000 and highest annual bonus of $3,400,000 for Mr. Pefanis. </w:t>
      </w:r>
    </w:p>
    <w:p>
      <w:pPr>
        <w:pStyle w:val="TextBody"/>
        <w:numPr>
          <w:ilvl w:val="0"/>
          <w:numId w:val="0"/>
        </w:numPr>
        <w:ind w:left="707" w:hanging="0"/>
        <w:rPr>
          <w:rFonts w:ascii="times" w:hAnsi="times"/>
          <w:sz w:val="20"/>
        </w:rPr>
      </w:pPr>
      <w:r>
        <w:rPr>
          <w:rFonts w:ascii="times" w:hAnsi="times"/>
          <w:sz w:val="20"/>
        </w:rPr>
        <w:t xml:space="preserve">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Plains All American GP LLC or (ii) the owners of the membership interests of Plains All American GP LLC on June 30, 2001 ceasing to beneficially own, directly or indirectly, more than 50% of the membership interests of Plains All American GP LLC. </w:t>
      </w:r>
    </w:p>
    <w:p>
      <w:pPr>
        <w:pStyle w:val="TextBody"/>
        <w:jc w:val="center"/>
        <w:rPr>
          <w:rFonts w:ascii="times" w:hAnsi="times"/>
          <w:sz w:val="20"/>
        </w:rPr>
      </w:pPr>
      <w:r>
        <w:rPr>
          <w:rFonts w:ascii="times" w:hAnsi="times"/>
          <w:sz w:val="20"/>
        </w:rPr>
        <w:t>125</w:t>
      </w:r>
    </w:p>
    <w:p>
      <w:pPr>
        <w:pStyle w:val="HorizontalLine"/>
        <w:pBdr>
          <w:bottom w:val="single" w:sz="20" w:space="0" w:color="808080"/>
        </w:pBdr>
        <w:rPr/>
      </w:pPr>
      <w:r>
        <w:rPr/>
      </w:r>
      <w:r>
        <w:br w:type="page"/>
      </w:r>
    </w:p>
    <w:p>
      <w:pPr>
        <w:pStyle w:val="TextBody"/>
        <w:rPr/>
      </w:pPr>
      <w:hyperlink w:anchor="bg12101a_main_toc">
        <w:bookmarkStart w:id="172" w:name="page_ei12101_1_126"/>
        <w:bookmarkEnd w:id="172"/>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In August 2005, Vulcan Energy increased its interest in Plains All American GP LLC from approximately 44% to greater than 50%. The consummation of the transaction constituted a change of control under the employment agreements with Messrs. Armstrong and Pefanis. However, Messrs. Armstrong and Pefanis entered into agreements with Plains All American GP LLC waiving their rights to payments under their employment agreements in connection with the change of control, contingent on the execution and performance by Vulcan Energy of a voting agreement with Plains All American GP LLC that restricts certain of Vulcan's voting rights. Upon a breach, termination, or notice of termination of the voting agreement by Vulcan Energy these waivers will automatically terminate and a change of control would be deemed to have occurred.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The letters evidencing phantom unit grants to our Named Executive Officers between 2005 and 2007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 </w:t>
      </w:r>
    </w:p>
    <w:p>
      <w:pPr>
        <w:pStyle w:val="TextBody"/>
        <w:numPr>
          <w:ilvl w:val="0"/>
          <w:numId w:val="0"/>
        </w:numPr>
        <w:ind w:left="707" w:hanging="0"/>
        <w:rPr>
          <w:rFonts w:ascii="times" w:hAnsi="times"/>
          <w:sz w:val="20"/>
        </w:rPr>
      </w:pPr>
      <w:r>
        <w:rPr>
          <w:rFonts w:ascii="times" w:hAnsi="times"/>
          <w:sz w:val="20"/>
        </w:rPr>
        <w:t xml:space="preserve">The dollar value amount provided assumes the death or disability occurred on December 31, 2008. As a result, all phantom units and the associated DERs of our Named Executive Officers would have become nonforfeitable effective as of December 31, 2008, and vested on February 13, 2009 to the extent the vesting criteria had been satisfied (other than the passage of time) or, if the vesting criteria had not been satisfied, at the time(s) described in the footnotes to the Outstanding Equity Awards at Fiscal Year-End table. For the 2007 grants, any units not vested by May 2014 would expire. The dollar value given assumes that all performance thresholds will be timely achieved if deemed probable of occurrence as of December 31, 2008, and is based on the market value on December 31, 2008 ($34.69 per unit) without discount for service period. If the performance thresholds were not deemed probable of occurrence as of December 31, 2008, the units are assumed to expire unvested in May 2014. At December 31, 2008, an annualized distribution level of $3.75 was deemed probable of occurrence. All outstanding 2005 and 2006 grants and two-thirds of the 2007 grants were assumed to eventually vest as a result.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Pursuant to the phantom unit grants to our Named Executive Officers between 2005 and 2007, in the event their employment is terminated other than in connection with a change in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Plains All American GP LLC terminated their employment other than for cause (as defined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2008. As a result, all of the outstanding 2005 and 2006 phantom unit grants and one-third of the 2007 phantom unit grants held by our Named Executive Officers would be deemed nonforfeitable and would vest on the February 2009 distribution date. The remaining two-thirds of the outstanding 2007 phantom unit grants would be forfeited. The dollar value given is based on the market value on December 31, 2008 of $34.69 per unit, without discount for service period. In addition to the foregoing, under Canadian law Mr. Duckett could have a claim for additional payment if inadequate notice were given for a termination without cause. </w:t>
      </w:r>
    </w:p>
    <w:p>
      <w:pPr>
        <w:pStyle w:val="TextBody"/>
        <w:jc w:val="center"/>
        <w:rPr>
          <w:rFonts w:ascii="times" w:hAnsi="times"/>
          <w:sz w:val="20"/>
        </w:rPr>
      </w:pPr>
      <w:r>
        <w:rPr>
          <w:rFonts w:ascii="times" w:hAnsi="times"/>
          <w:sz w:val="20"/>
        </w:rPr>
        <w:t>126</w:t>
      </w:r>
    </w:p>
    <w:p>
      <w:pPr>
        <w:pStyle w:val="HorizontalLine"/>
        <w:pBdr>
          <w:bottom w:val="single" w:sz="20" w:space="0" w:color="808080"/>
        </w:pBdr>
        <w:rPr/>
      </w:pPr>
      <w:r>
        <w:rPr/>
      </w:r>
      <w:r>
        <w:br w:type="page"/>
      </w:r>
    </w:p>
    <w:p>
      <w:pPr>
        <w:pStyle w:val="TextBody"/>
        <w:rPr/>
      </w:pPr>
      <w:hyperlink w:anchor="bg12101a_main_toc">
        <w:bookmarkStart w:id="173" w:name="page_ei12101_1_127"/>
        <w:bookmarkEnd w:id="173"/>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Under the waiver signed in 2005 by Mr. Armstrong and Mr. Pefanis (see footnote 2 above), upon a termination of employment by the company without cause or by the executive for good reason (in each case as defined in the relevant employment agreement) all of the executive's outstanding awards under the 1998 and 2005 Long-Term Incentive Plans would immediately vest. </w:t>
      </w:r>
    </w:p>
    <w:p>
      <w:pPr>
        <w:pStyle w:val="ListHeading"/>
        <w:spacing w:before="0" w:after="0"/>
        <w:rPr>
          <w:rFonts w:ascii="times" w:hAnsi="times"/>
          <w:position w:val="7"/>
          <w:sz w:val="16"/>
          <w:sz w:val="20"/>
        </w:rPr>
      </w:pPr>
      <w:r>
        <w:rPr>
          <w:rFonts w:ascii="times" w:hAnsi="times"/>
          <w:position w:val="7"/>
          <w:sz w:val="16"/>
          <w:sz w:val="20"/>
        </w:rPr>
        <w:t>(5)</w:t>
      </w:r>
    </w:p>
    <w:p>
      <w:pPr>
        <w:pStyle w:val="ListContents"/>
        <w:spacing w:before="0" w:after="283"/>
        <w:rPr>
          <w:rFonts w:ascii="times" w:hAnsi="times"/>
          <w:sz w:val="20"/>
        </w:rPr>
      </w:pPr>
      <w:r>
        <w:rPr>
          <w:rFonts w:ascii="times" w:hAnsi="times"/>
          <w:sz w:val="20"/>
        </w:rPr>
        <w:t xml:space="preserve">The letters evidencing the phantom unit grants to our Named Executive Officers between 2005 and 2007 provide that in the event of a change of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2008, all outstanding phantom units and the associated DERs would have become nonforfeitable as of December 31, 2008, and such phantom units would vest on the February 2009 distribution date. </w:t>
      </w:r>
    </w:p>
    <w:p>
      <w:pPr>
        <w:pStyle w:val="TextBody"/>
        <w:numPr>
          <w:ilvl w:val="0"/>
          <w:numId w:val="0"/>
        </w:numPr>
        <w:ind w:left="707" w:hanging="0"/>
        <w:rPr>
          <w:rFonts w:ascii="times" w:hAnsi="times"/>
          <w:sz w:val="20"/>
        </w:rPr>
      </w:pPr>
      <w:r>
        <w:rPr>
          <w:rFonts w:ascii="times" w:hAnsi="times"/>
          <w:sz w:val="20"/>
        </w:rPr>
        <w:t xml:space="preserve">The phrase "change in status" means, with respect to a Named Executive Officer, the occurrence, during the period beginning two and a half months prior to and ending one year following a change of control (as defined below), of any of the following: (A) the termination of employment by Plains All American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Plains All American GP LLC. </w:t>
      </w:r>
    </w:p>
    <w:p>
      <w:pPr>
        <w:pStyle w:val="TextBody"/>
        <w:numPr>
          <w:ilvl w:val="0"/>
          <w:numId w:val="0"/>
        </w:numPr>
        <w:ind w:left="707" w:hanging="0"/>
        <w:rPr>
          <w:rFonts w:ascii="times" w:hAnsi="times"/>
          <w:sz w:val="20"/>
        </w:rPr>
      </w:pPr>
      <w:r>
        <w:rPr>
          <w:rFonts w:ascii="times" w:hAnsi="times"/>
          <w:sz w:val="20"/>
        </w:rPr>
        <w:t xml:space="preserve">The phrase "change of control" means, and is deemed to have occurred upon the occurrence of, one or more of the following events: (i) Plains All American GP LLC ceasing to be the general partner of our general partner; (ii) any sale, lease, exchange or other transfer (in one transaction or a series of related transactions) of all or substantially all of the assets of our partnership or Plains All American GP LLC to any person and/or its affiliates, other than to us or Plains All American GP LLC, including any employee benefit plan thereof; (iii) the consolidation, reorganization, merger, or any other similar transaction involving (A) a person other than us or Plains All American GP LLC and (B) us, Plains All American GP LLC or both; (iv) the persons who own membership interests in Plains All American GP LLC as of the grant date ceasing to beneficially own, directly or indirectly, more than 50% of the membership interests of Plains All American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Plains All American GP LLC. With respect to the lattermost event, the 2005 grant letter makes an exception for any existing member of Plains All American GP LLC if the member signs a voting agreement such as that executed by Vulcan Energy in August 2005 (such exception not applying to the November 2005 grants to Messrs. vonBerg and Duckett or the February 2006 grant to Mr. Swanson). Notwithstanding the definition of change of control, no change of control is deemed to have occurred in connection with a restructuring or reorganization related to the securitization and sale to the public of direct or indirect equity interests in the general partner if (x) Plains All American GP LLC retains direct or indirect control over the general partner and (y) the current members of Plains All American GP LLC continue to own more than 50% of the member interest in Plains All American GP LLC. </w:t>
      </w:r>
    </w:p>
    <w:p>
      <w:pPr>
        <w:pStyle w:val="TextBody"/>
        <w:numPr>
          <w:ilvl w:val="0"/>
          <w:numId w:val="0"/>
        </w:numPr>
        <w:ind w:left="707" w:hanging="0"/>
        <w:rPr>
          <w:rFonts w:ascii="times" w:hAnsi="times"/>
          <w:sz w:val="20"/>
        </w:rPr>
      </w:pPr>
      <w:r>
        <w:rPr>
          <w:rFonts w:ascii="times" w:hAnsi="times"/>
          <w:sz w:val="20"/>
        </w:rPr>
        <w:t xml:space="preserve">The term "cause" means (i) the failure to perform a job function in accordance with standards described in writing, or (ii) the violation of Plains All American GP LLC's Code of Business Conduct (unless waived in accordance with the terms thereof), in each case, with the specific failure or violation described in writing. </w:t>
      </w:r>
    </w:p>
    <w:p>
      <w:pPr>
        <w:pStyle w:val="TextBody"/>
        <w:jc w:val="center"/>
        <w:rPr>
          <w:rFonts w:ascii="times" w:hAnsi="times"/>
          <w:sz w:val="20"/>
        </w:rPr>
      </w:pPr>
      <w:r>
        <w:rPr>
          <w:rFonts w:ascii="times" w:hAnsi="times"/>
          <w:sz w:val="20"/>
        </w:rPr>
        <w:t>127</w:t>
      </w:r>
    </w:p>
    <w:p>
      <w:pPr>
        <w:pStyle w:val="HorizontalLine"/>
        <w:pBdr>
          <w:bottom w:val="single" w:sz="20" w:space="0" w:color="808080"/>
        </w:pBdr>
        <w:rPr/>
      </w:pPr>
      <w:r>
        <w:rPr/>
      </w:r>
      <w:r>
        <w:br w:type="page"/>
      </w:r>
    </w:p>
    <w:p>
      <w:pPr>
        <w:pStyle w:val="TextBody"/>
        <w:rPr/>
      </w:pPr>
      <w:hyperlink w:anchor="bg12101a_main_toc">
        <w:bookmarkStart w:id="174" w:name="page_ei12101_1_128"/>
        <w:bookmarkEnd w:id="174"/>
        <w:r>
          <w:rPr>
            <w:rStyle w:val="InternetLink"/>
            <w:rFonts w:ascii="times" w:hAnsi="times"/>
            <w:sz w:val="20"/>
          </w:rPr>
          <w:t>Table of Contents</w:t>
        </w:r>
      </w:hyperlink>
    </w:p>
    <w:p>
      <w:pPr>
        <w:pStyle w:val="ListHeading"/>
        <w:spacing w:before="0" w:after="0"/>
        <w:rPr>
          <w:rFonts w:ascii="times" w:hAnsi="times"/>
          <w:position w:val="7"/>
          <w:sz w:val="16"/>
          <w:sz w:val="20"/>
        </w:rPr>
      </w:pPr>
      <w:r>
        <w:rPr>
          <w:rFonts w:ascii="times" w:hAnsi="times"/>
          <w:position w:val="7"/>
          <w:sz w:val="16"/>
          <w:sz w:val="20"/>
        </w:rPr>
        <w:t>(6)</w:t>
      </w:r>
    </w:p>
    <w:p>
      <w:pPr>
        <w:pStyle w:val="ListContents"/>
        <w:spacing w:before="0" w:after="283"/>
        <w:rPr>
          <w:rFonts w:ascii="times" w:hAnsi="times"/>
          <w:sz w:val="20"/>
        </w:rPr>
      </w:pPr>
      <w:r>
        <w:rPr>
          <w:rFonts w:ascii="times" w:hAnsi="times"/>
          <w:sz w:val="20"/>
        </w:rPr>
        <w:t xml:space="preserve">Pursuant to their employment agreements with Plains All American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is made available by Plains All American GP LLC to its executive officers generally. The amounts provided in the table assume a termination date of December 31, 2008. </w:t>
      </w:r>
    </w:p>
    <w:p>
      <w:pPr>
        <w:pStyle w:val="ListHeading"/>
        <w:spacing w:before="0" w:after="0"/>
        <w:rPr>
          <w:rFonts w:ascii="times" w:hAnsi="times"/>
          <w:position w:val="7"/>
          <w:sz w:val="16"/>
          <w:sz w:val="20"/>
        </w:rPr>
      </w:pPr>
      <w:r>
        <w:rPr>
          <w:rFonts w:ascii="times" w:hAnsi="times"/>
          <w:position w:val="7"/>
          <w:sz w:val="16"/>
          <w:sz w:val="20"/>
        </w:rPr>
        <w:t>(7)</w:t>
      </w:r>
    </w:p>
    <w:p>
      <w:pPr>
        <w:pStyle w:val="ListContents"/>
        <w:spacing w:before="0" w:after="283"/>
        <w:rPr>
          <w:rFonts w:ascii="times" w:hAnsi="times"/>
          <w:sz w:val="20"/>
        </w:rPr>
      </w:pPr>
      <w:r>
        <w:rPr>
          <w:rFonts w:ascii="times" w:hAnsi="times"/>
          <w:sz w:val="20"/>
        </w:rPr>
        <w:t xml:space="preserve">Pursuant to their employment agreements, Messrs. Armstrong and Pefanis will be reimbursed for any excise tax due under Section 4999 of the Code as a result of compensation (parachute) payments made under their respective employment agreements. The range of values of this benefit assumes that Messrs. Armstrong and Pefanis were terminated in connection with a change in control effective as of December 31, 2008. </w:t>
      </w:r>
    </w:p>
    <w:p>
      <w:pPr>
        <w:pStyle w:val="ListHeading"/>
        <w:spacing w:before="0" w:after="0"/>
        <w:rPr>
          <w:rFonts w:ascii="times" w:hAnsi="times"/>
          <w:position w:val="7"/>
          <w:sz w:val="16"/>
          <w:sz w:val="20"/>
        </w:rPr>
      </w:pPr>
      <w:r>
        <w:rPr>
          <w:rFonts w:ascii="times" w:hAnsi="times"/>
          <w:position w:val="7"/>
          <w:sz w:val="16"/>
          <w:sz w:val="20"/>
        </w:rPr>
        <w:t>(8)</w:t>
      </w:r>
    </w:p>
    <w:p>
      <w:pPr>
        <w:pStyle w:val="ListContents"/>
        <w:spacing w:before="0" w:after="283"/>
        <w:rPr>
          <w:rFonts w:ascii="times" w:hAnsi="times"/>
          <w:sz w:val="20"/>
        </w:rPr>
      </w:pPr>
      <w:r>
        <w:rPr>
          <w:rFonts w:ascii="times" w:hAnsi="times"/>
          <w:sz w:val="20"/>
        </w:rPr>
        <w:t xml:space="preserve">Pursuant to the Class B Restricted Units Agreements, upon the occurrence of a Change in Control, any earned Class B units become vested units and, to the extent any Class B units remain unearned, an incremental 25% of the number of Class B units originally granted becomes vested. As of December 31, 2008, 25% of the Class B units held by Messrs. Armstrong, Pefanis and vonBerg had been earned. On February 10, 2009, 25% of the Class B units held by Messrs. Duckett and Swanson became earned. Assuming a Change in Control on December 31, 2008, 50% of the Class B units held by Messrs. Armstrong, Pefanis and vonBerg would become vested, and 25% of the Class B units held by Messrs. Duckett and Swanson would become vested. The value of such Class B units as reflected in the table is derived in accordance with SFAS 123(R). "Change in Control" means the determination by the Board that one of the following events has occurred: </w:t>
      </w:r>
    </w:p>
    <w:p>
      <w:pPr>
        <w:pStyle w:val="ListHeading"/>
        <w:spacing w:before="0" w:after="0"/>
        <w:ind w:left="567" w:right="0" w:hanging="0"/>
        <w:rPr>
          <w:rFonts w:ascii="times" w:hAnsi="times"/>
          <w:sz w:val="20"/>
        </w:rPr>
      </w:pPr>
      <w:r>
        <w:rPr>
          <w:rFonts w:ascii="times" w:hAnsi="times"/>
          <w:sz w:val="20"/>
        </w:rPr>
        <w:t>(a)</w:t>
      </w:r>
    </w:p>
    <w:p>
      <w:pPr>
        <w:pStyle w:val="ListContents"/>
        <w:spacing w:before="0" w:after="283"/>
        <w:ind w:left="1134" w:right="0" w:hanging="0"/>
        <w:rPr>
          <w:rFonts w:ascii="times" w:hAnsi="times"/>
        </w:rPr>
      </w:pPr>
      <w:r>
        <w:rPr>
          <w:rFonts w:ascii="times" w:hAnsi="times"/>
          <w:sz w:val="20"/>
        </w:rPr>
        <w:t xml:space="preserve">prior to a GP IPO: (i) Plains All American GP LLC ceases to retain direct or indirect control over the Partnership; (ii) the owners of Plains All American GP LLC as of August 29, 2007 (the "Grant Date") and their affiliates (the "Owner 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Plains All American GP LLC; or (iv) a transfer, sale, exchange or other disposition in a single transaction or series of transactions (whether by merger or otherwise) of all or substantially all of the assets of the Plains AAP, L.P. or the Partnership to one or more persons who are not Affiliates of Plains AAP, L.P., other than a transaction in which the Owner Affiliates become the "beneficial owners," directly or indirectly, of more than 50% of the voting power of such person or persons immediately following such transaction; </w:t>
      </w:r>
      <w:r>
        <w:rPr>
          <w:rFonts w:ascii="times" w:hAnsi="times"/>
          <w:i/>
          <w:sz w:val="20"/>
        </w:rPr>
        <w:t>provided, however,</w:t>
      </w:r>
      <w:r>
        <w:rPr>
          <w:rFonts w:ascii="times" w:hAnsi="times"/>
        </w:rPr>
        <w:t xml:space="preserve"> </w:t>
      </w:r>
      <w:r>
        <w:rPr>
          <w:rFonts w:ascii="times" w:hAnsi="times"/>
          <w:sz w:val="20"/>
        </w:rPr>
        <w:t xml:space="preserve">that no Change of Control shall be deemed to have occurred in connection with a restructuring or reorganization related to a GP IPO if the Owner Affiliates retain direct or indirect control over the IPO Entity and Plains All American GP LLC; and </w:t>
      </w:r>
    </w:p>
    <w:p>
      <w:pPr>
        <w:pStyle w:val="ListHeading"/>
        <w:spacing w:before="0" w:after="0"/>
        <w:ind w:left="567" w:right="0" w:hanging="0"/>
        <w:rPr>
          <w:rFonts w:ascii="times" w:hAnsi="times"/>
          <w:sz w:val="20"/>
        </w:rPr>
      </w:pPr>
      <w:r>
        <w:rPr>
          <w:rFonts w:ascii="times" w:hAnsi="times"/>
          <w:sz w:val="20"/>
        </w:rPr>
        <w:t>(b)</w:t>
      </w:r>
    </w:p>
    <w:p>
      <w:pPr>
        <w:pStyle w:val="ListContents"/>
        <w:spacing w:before="0" w:after="283"/>
        <w:ind w:left="1134" w:right="0" w:hanging="0"/>
        <w:rPr>
          <w:rFonts w:ascii="times" w:hAnsi="times"/>
        </w:rPr>
      </w:pPr>
      <w:r>
        <w:rPr>
          <w:rFonts w:ascii="times" w:hAnsi="times"/>
          <w:sz w:val="20"/>
        </w:rPr>
        <w:t xml:space="preserve">from and after the consummation of a GP IPO: (i) the Owner Affiliates cease to retain direct or indirect control over the IPO Entity or Plains AAP, L.P.; (ii) (x) a "person" or "group" other than the Owner Affiliates becomes the "beneficial owner" directly or indirectly of 25% or more of the member interest in the general partner of the IPO Entity, </w:t>
      </w:r>
      <w:r>
        <w:rPr>
          <w:rFonts w:ascii="times" w:hAnsi="times"/>
          <w:i/>
          <w:sz w:val="20"/>
        </w:rPr>
        <w:t>and</w:t>
      </w:r>
      <w:r>
        <w:rPr>
          <w:rFonts w:ascii="times" w:hAnsi="times"/>
        </w:rPr>
        <w:t xml:space="preserve"> </w:t>
      </w:r>
      <w:r>
        <w:rPr>
          <w:rFonts w:ascii="times" w:hAnsi="times"/>
          <w:sz w:val="20"/>
        </w:rPr>
        <w:t xml:space="preserve">(y) the member interest beneficially owned by such "person" or "group" exceeds the aggregate member interest in the general partner of the IPO Entity beneficially owned, directly or indirectly, by the Owner Affiliates; or (iii) a direct or indirect transfer, sale, exchange or other disposition in a single transaction or series of transactions (whether by merger or otherwise) of all or substantially all of the assets of the IPO Entity or the Partnership to one or more persons who </w:t>
      </w:r>
    </w:p>
    <w:p>
      <w:pPr>
        <w:pStyle w:val="TextBody"/>
        <w:jc w:val="center"/>
        <w:rPr>
          <w:rFonts w:ascii="times" w:hAnsi="times"/>
          <w:sz w:val="20"/>
        </w:rPr>
      </w:pPr>
      <w:r>
        <w:rPr>
          <w:rFonts w:ascii="times" w:hAnsi="times"/>
          <w:sz w:val="20"/>
        </w:rPr>
        <w:t>128</w:t>
      </w:r>
    </w:p>
    <w:p>
      <w:pPr>
        <w:pStyle w:val="HorizontalLine"/>
        <w:pBdr>
          <w:bottom w:val="single" w:sz="20" w:space="0" w:color="808080"/>
        </w:pBdr>
        <w:rPr/>
      </w:pPr>
      <w:r>
        <w:rPr/>
      </w:r>
      <w:r>
        <w:br w:type="page"/>
      </w:r>
    </w:p>
    <w:p>
      <w:pPr>
        <w:pStyle w:val="TextBody"/>
        <w:rPr/>
      </w:pPr>
      <w:hyperlink w:anchor="bg12101a_main_toc">
        <w:bookmarkStart w:id="175" w:name="page_ei12101_1_129"/>
        <w:bookmarkEnd w:id="175"/>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are not affiliates of the IPO Entity ("third party or parties"), other than a transaction in which the Owner Affiliates continue to beneficially own, directly or indirectly, more than 50% of the voting power of such third party or parties immediately following such transaction. </w:t>
      </w:r>
    </w:p>
    <w:p>
      <w:pPr>
        <w:pStyle w:val="ListHeading"/>
        <w:spacing w:before="0" w:after="0"/>
        <w:rPr>
          <w:rFonts w:ascii="times" w:hAnsi="times"/>
          <w:position w:val="7"/>
          <w:sz w:val="16"/>
          <w:sz w:val="20"/>
        </w:rPr>
      </w:pPr>
      <w:r>
        <w:rPr>
          <w:rFonts w:ascii="times" w:hAnsi="times"/>
          <w:position w:val="7"/>
          <w:sz w:val="16"/>
          <w:sz w:val="20"/>
        </w:rPr>
        <w:t>(9)</w:t>
      </w:r>
    </w:p>
    <w:p>
      <w:pPr>
        <w:pStyle w:val="ListContents"/>
        <w:spacing w:before="0" w:after="283"/>
        <w:rPr>
          <w:rFonts w:ascii="times" w:hAnsi="times"/>
          <w:sz w:val="20"/>
        </w:rPr>
      </w:pPr>
      <w:r>
        <w:rPr>
          <w:rFonts w:ascii="times" w:hAnsi="times"/>
          <w:sz w:val="20"/>
        </w:rPr>
        <w:t xml:space="preserve">If Messrs. Kramer, Duckett, vonBerg or Swanson were terminated for cause, Plains All American GP LLC would be obligated to pay base salary through the date of termination, with no other payment obligation triggered by the termination under any employment arrangement. </w:t>
      </w:r>
    </w:p>
    <w:p>
      <w:pPr>
        <w:pStyle w:val="TextBody"/>
        <w:rPr>
          <w:rFonts w:ascii="times" w:hAnsi="times"/>
          <w:b/>
          <w:sz w:val="20"/>
        </w:rPr>
      </w:pPr>
      <w:r>
        <w:rPr>
          <w:rFonts w:ascii="times" w:hAnsi="times"/>
          <w:b/>
          <w:sz w:val="20"/>
        </w:rPr>
        <w:t xml:space="preserve">Confidentiality, Non-Compete and Non-Solicitation Arrangements </w:t>
      </w:r>
    </w:p>
    <w:p>
      <w:pPr>
        <w:pStyle w:val="TextBody"/>
        <w:rPr/>
      </w:pPr>
      <w:r>
        <w:rPr/>
        <w:t>        </w:t>
      </w:r>
      <w:r>
        <w:rPr>
          <w:rFonts w:ascii="times" w:hAnsi="times"/>
          <w:sz w:val="20"/>
        </w:rPr>
        <w:t xml:space="preserve">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 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 </w:t>
      </w:r>
    </w:p>
    <w:p>
      <w:pPr>
        <w:pStyle w:val="TextBody"/>
        <w:rPr>
          <w:rFonts w:ascii="times" w:hAnsi="times"/>
          <w:b/>
          <w:sz w:val="20"/>
        </w:rPr>
      </w:pPr>
      <w:r>
        <w:rPr>
          <w:rFonts w:ascii="times" w:hAnsi="times"/>
          <w:b/>
          <w:sz w:val="20"/>
        </w:rPr>
        <w:t xml:space="preserve">Compensation of Directors </w:t>
      </w:r>
    </w:p>
    <w:p>
      <w:pPr>
        <w:pStyle w:val="TextBody"/>
        <w:rPr/>
      </w:pPr>
      <w:r>
        <w:rPr/>
        <w:t>        </w:t>
      </w:r>
      <w:r>
        <w:rPr>
          <w:rFonts w:ascii="times" w:hAnsi="times"/>
          <w:sz w:val="20"/>
        </w:rPr>
        <w:t xml:space="preserve">The following table sets forth a summary of the compensation paid to Plains All American GP LLC's non-employee directors in 2008: </w:t>
      </w:r>
    </w:p>
    <w:tbl>
      <w:tblPr>
        <w:tblW w:w="8199" w:type="dxa"/>
        <w:jc w:val="center"/>
        <w:tblInd w:w="0" w:type="dxa"/>
        <w:tblCellMar>
          <w:top w:w="0" w:type="dxa"/>
          <w:left w:w="0" w:type="dxa"/>
          <w:bottom w:w="0" w:type="dxa"/>
          <w:right w:w="0" w:type="dxa"/>
        </w:tblCellMar>
      </w:tblPr>
      <w:tblGrid>
        <w:gridCol w:w="1500"/>
        <w:gridCol w:w="90"/>
        <w:gridCol w:w="60"/>
        <w:gridCol w:w="590"/>
        <w:gridCol w:w="170"/>
        <w:gridCol w:w="65"/>
        <w:gridCol w:w="749"/>
        <w:gridCol w:w="170"/>
        <w:gridCol w:w="69"/>
        <w:gridCol w:w="625"/>
        <w:gridCol w:w="90"/>
        <w:gridCol w:w="228"/>
        <w:gridCol w:w="705"/>
        <w:gridCol w:w="90"/>
        <w:gridCol w:w="228"/>
        <w:gridCol w:w="705"/>
        <w:gridCol w:w="90"/>
        <w:gridCol w:w="60"/>
        <w:gridCol w:w="900"/>
        <w:gridCol w:w="90"/>
        <w:gridCol w:w="60"/>
        <w:gridCol w:w="695"/>
        <w:gridCol w:w="170"/>
      </w:tblGrid>
      <w:tr>
        <w:trPr/>
        <w:tc>
          <w:tcPr>
            <w:tcW w:w="1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50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90" w:type="dxa"/>
            <w:tcBorders/>
            <w:shd w:fill="auto" w:val="clear"/>
            <w:vAlign w:val="bottom"/>
          </w:tcPr>
          <w:p>
            <w:pPr>
              <w:pStyle w:val="TableHeading"/>
              <w:suppressLineNumbers/>
              <w:spacing w:before="0" w:after="283"/>
              <w:jc w:val="center"/>
              <w:rPr/>
            </w:pPr>
            <w:r>
              <w:rPr/>
              <w:t> </w:t>
            </w:r>
          </w:p>
        </w:tc>
        <w:tc>
          <w:tcPr>
            <w:tcW w:w="6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Fees</w:t>
              <w:br/>
              <w:t>Earned</w:t>
              <w:br/>
              <w:t>or Paid in</w:t>
              <w:br/>
              <w:t xml:space="preserve">Cash ($) </w:t>
            </w:r>
          </w:p>
        </w:tc>
        <w:tc>
          <w:tcPr>
            <w:tcW w:w="170" w:type="dxa"/>
            <w:tcBorders/>
            <w:shd w:fill="auto" w:val="clear"/>
            <w:vAlign w:val="bottom"/>
          </w:tcPr>
          <w:p>
            <w:pPr>
              <w:pStyle w:val="TableHeading"/>
              <w:suppressLineNumbers/>
              <w:spacing w:before="0" w:after="283"/>
              <w:jc w:val="center"/>
              <w:rPr/>
            </w:pPr>
            <w:r>
              <w:rPr/>
              <w:t> </w:t>
            </w:r>
          </w:p>
        </w:tc>
        <w:tc>
          <w:tcPr>
            <w:tcW w:w="8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Stock</w:t>
              <w:br/>
              <w:t>Awards ($)</w:t>
            </w:r>
            <w:r>
              <w:rPr>
                <w:rFonts w:ascii="times" w:hAnsi="times"/>
                <w:b/>
                <w:position w:val="5"/>
                <w:sz w:val="11"/>
                <w:sz w:val="14"/>
              </w:rPr>
              <w:t>(1)</w:t>
            </w:r>
            <w:r>
              <w:rPr>
                <w:rFonts w:ascii="times" w:hAnsi="times"/>
                <w:b/>
                <w:sz w:val="14"/>
              </w:rPr>
              <w:t xml:space="preserve"> </w:t>
            </w:r>
          </w:p>
        </w:tc>
        <w:tc>
          <w:tcPr>
            <w:tcW w:w="170" w:type="dxa"/>
            <w:tcBorders/>
            <w:shd w:fill="auto" w:val="clear"/>
            <w:vAlign w:val="bottom"/>
          </w:tcPr>
          <w:p>
            <w:pPr>
              <w:pStyle w:val="TableHeading"/>
              <w:suppressLineNumbers/>
              <w:spacing w:before="0" w:after="283"/>
              <w:jc w:val="center"/>
              <w:rPr/>
            </w:pPr>
            <w:r>
              <w:rPr/>
              <w:t> </w:t>
            </w:r>
          </w:p>
        </w:tc>
        <w:tc>
          <w:tcPr>
            <w:tcW w:w="6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Option</w:t>
              <w:br/>
              <w:t xml:space="preserve">Awards ($) </w:t>
            </w:r>
          </w:p>
        </w:tc>
        <w:tc>
          <w:tcPr>
            <w:tcW w:w="90" w:type="dxa"/>
            <w:tcBorders/>
            <w:shd w:fill="auto" w:val="clear"/>
            <w:vAlign w:val="bottom"/>
          </w:tcPr>
          <w:p>
            <w:pPr>
              <w:pStyle w:val="TableHeading"/>
              <w:suppressLineNumbers/>
              <w:spacing w:before="0" w:after="283"/>
              <w:jc w:val="center"/>
              <w:rPr/>
            </w:pPr>
            <w:r>
              <w:rPr/>
              <w:t> </w:t>
            </w:r>
          </w:p>
        </w:tc>
        <w:tc>
          <w:tcPr>
            <w:tcW w:w="9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Non-Equity</w:t>
              <w:br/>
              <w:t>Incentive</w:t>
              <w:br/>
              <w:t>Plan</w:t>
              <w:br/>
              <w:t>Compensation</w:t>
              <w:br/>
              <w:t xml:space="preserve">($) </w:t>
            </w:r>
          </w:p>
        </w:tc>
        <w:tc>
          <w:tcPr>
            <w:tcW w:w="90" w:type="dxa"/>
            <w:tcBorders/>
            <w:shd w:fill="auto" w:val="clear"/>
            <w:vAlign w:val="bottom"/>
          </w:tcPr>
          <w:p>
            <w:pPr>
              <w:pStyle w:val="TableHeading"/>
              <w:suppressLineNumbers/>
              <w:spacing w:before="0" w:after="283"/>
              <w:jc w:val="center"/>
              <w:rPr/>
            </w:pPr>
            <w:r>
              <w:rPr/>
              <w:t> </w:t>
            </w:r>
          </w:p>
        </w:tc>
        <w:tc>
          <w:tcPr>
            <w:tcW w:w="9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Change in</w:t>
              <w:br/>
              <w:t>Pension Value</w:t>
              <w:br/>
              <w:t>and</w:t>
              <w:br/>
              <w:t>Nonqualified</w:t>
              <w:br/>
              <w:t>Deferred</w:t>
              <w:br/>
              <w:t>Compensation</w:t>
              <w:br/>
              <w:t xml:space="preserve">Earnings </w:t>
            </w:r>
          </w:p>
        </w:tc>
        <w:tc>
          <w:tcPr>
            <w:tcW w:w="90" w:type="dxa"/>
            <w:tcBorders/>
            <w:shd w:fill="auto" w:val="clear"/>
            <w:vAlign w:val="bottom"/>
          </w:tcPr>
          <w:p>
            <w:pPr>
              <w:pStyle w:val="TableHeading"/>
              <w:suppressLineNumbers/>
              <w:spacing w:before="0" w:after="283"/>
              <w:jc w:val="center"/>
              <w:rPr/>
            </w:pPr>
            <w:r>
              <w:rPr/>
              <w:t> </w:t>
            </w:r>
          </w:p>
        </w:tc>
        <w:tc>
          <w:tcPr>
            <w:tcW w:w="9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All Other</w:t>
              <w:br/>
              <w:t>Compensation</w:t>
              <w:br/>
              <w:t xml:space="preserve">($) </w:t>
            </w:r>
          </w:p>
        </w:tc>
        <w:tc>
          <w:tcPr>
            <w:tcW w:w="90" w:type="dxa"/>
            <w:tcBorders/>
            <w:shd w:fill="auto" w:val="clear"/>
            <w:vAlign w:val="bottom"/>
          </w:tcPr>
          <w:p>
            <w:pPr>
              <w:pStyle w:val="TableHeading"/>
              <w:suppressLineNumbers/>
              <w:spacing w:before="0" w:after="283"/>
              <w:jc w:val="center"/>
              <w:rPr/>
            </w:pPr>
            <w:r>
              <w:rPr/>
              <w:t> </w:t>
            </w:r>
          </w:p>
        </w:tc>
        <w:tc>
          <w:tcPr>
            <w:tcW w:w="7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 </w:t>
            </w:r>
          </w:p>
        </w:tc>
        <w:tc>
          <w:tcPr>
            <w:tcW w:w="170" w:type="dxa"/>
            <w:tcBorders/>
            <w:shd w:fill="auto" w:val="clear"/>
            <w:vAlign w:val="bottom"/>
          </w:tcPr>
          <w:p>
            <w:pPr>
              <w:pStyle w:val="TableHeading"/>
              <w:suppressLineNumbers/>
              <w:spacing w:before="0" w:after="283"/>
              <w:jc w:val="center"/>
              <w:rPr/>
            </w:pPr>
            <w:r>
              <w:rPr/>
              <w:t> </w:t>
            </w:r>
          </w:p>
        </w:tc>
      </w:tr>
      <w:tr>
        <w:trPr/>
        <w:tc>
          <w:tcPr>
            <w:tcW w:w="1500" w:type="dxa"/>
            <w:tcBorders/>
            <w:shd w:fill="CCEEFF" w:val="clear"/>
          </w:tcPr>
          <w:p>
            <w:pPr>
              <w:pStyle w:val="TableContents"/>
              <w:spacing w:before="0" w:after="283"/>
              <w:ind w:left="180" w:right="0" w:hanging="180"/>
              <w:rPr>
                <w:rFonts w:ascii="times" w:hAnsi="times"/>
                <w:sz w:val="20"/>
              </w:rPr>
            </w:pPr>
            <w:r>
              <w:rPr>
                <w:rFonts w:ascii="times" w:hAnsi="times"/>
                <w:sz w:val="20"/>
              </w:rPr>
              <w:t>David N. Capobianco</w:t>
            </w:r>
            <w:r>
              <w:rPr>
                <w:rFonts w:ascii="times" w:hAnsi="times"/>
                <w:position w:val="7"/>
                <w:sz w:val="16"/>
                <w:sz w:val="20"/>
              </w:rPr>
              <w:t>(2)</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47,000</w:t>
            </w:r>
          </w:p>
        </w:tc>
        <w:tc>
          <w:tcPr>
            <w:tcW w:w="170" w:type="dxa"/>
            <w:tcBorders/>
            <w:shd w:fill="CCEEFF" w:val="clear"/>
          </w:tcPr>
          <w:p>
            <w:pPr>
              <w:pStyle w:val="TableContents"/>
              <w:spacing w:before="0" w:after="283"/>
              <w:rPr/>
            </w:pPr>
            <w:r>
              <w:rPr/>
              <w:t> </w:t>
            </w:r>
          </w:p>
        </w:tc>
        <w:tc>
          <w:tcPr>
            <w:tcW w:w="65" w:type="dxa"/>
            <w:tcBorders/>
            <w:shd w:fill="CCEEFF" w:val="clear"/>
          </w:tcPr>
          <w:p>
            <w:pPr>
              <w:pStyle w:val="TableContents"/>
              <w:spacing w:before="0" w:after="283"/>
              <w:rPr/>
            </w:pPr>
            <w:r>
              <w:rPr/>
              <w:t> </w:t>
            </w:r>
          </w:p>
        </w:tc>
        <w:tc>
          <w:tcPr>
            <w:tcW w:w="749" w:type="dxa"/>
            <w:tcBorders/>
            <w:shd w:fill="CCEEFF" w:val="clear"/>
          </w:tcPr>
          <w:p>
            <w:pPr>
              <w:pStyle w:val="TableContents"/>
              <w:spacing w:before="0" w:after="283"/>
              <w:jc w:val="right"/>
              <w:rPr>
                <w:rFonts w:ascii="times" w:hAnsi="times"/>
                <w:sz w:val="20"/>
              </w:rPr>
            </w:pPr>
            <w:r>
              <w:rPr>
                <w:rFonts w:ascii="times" w:hAnsi="times"/>
                <w:sz w:val="20"/>
              </w:rPr>
              <w:t>30,931</w:t>
            </w:r>
          </w:p>
        </w:tc>
        <w:tc>
          <w:tcPr>
            <w:tcW w:w="170" w:type="dxa"/>
            <w:tcBorders/>
            <w:shd w:fill="CCEEFF" w:val="clear"/>
          </w:tcPr>
          <w:p>
            <w:pPr>
              <w:pStyle w:val="TableContents"/>
              <w:spacing w:before="0" w:after="283"/>
              <w:rPr/>
            </w:pPr>
            <w:r>
              <w:rPr/>
              <w:t> </w:t>
            </w:r>
          </w:p>
        </w:tc>
        <w:tc>
          <w:tcPr>
            <w:tcW w:w="69"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00"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77,931</w:t>
            </w:r>
          </w:p>
        </w:tc>
        <w:tc>
          <w:tcPr>
            <w:tcW w:w="170" w:type="dxa"/>
            <w:tcBorders/>
            <w:shd w:fill="CCEEFF" w:val="clear"/>
          </w:tcPr>
          <w:p>
            <w:pPr>
              <w:pStyle w:val="TableContents"/>
              <w:spacing w:before="0" w:after="283"/>
              <w:rPr/>
            </w:pPr>
            <w:r>
              <w:rPr/>
              <w:t> </w:t>
            </w:r>
          </w:p>
        </w:tc>
      </w:tr>
      <w:tr>
        <w:trPr/>
        <w:tc>
          <w:tcPr>
            <w:tcW w:w="1500" w:type="dxa"/>
            <w:tcBorders/>
            <w:shd w:fill="FFFFFF" w:val="clear"/>
          </w:tcPr>
          <w:p>
            <w:pPr>
              <w:pStyle w:val="TableContents"/>
              <w:spacing w:before="0" w:after="283"/>
              <w:ind w:left="180" w:right="0" w:hanging="180"/>
              <w:rPr>
                <w:rFonts w:ascii="times" w:hAnsi="times"/>
                <w:sz w:val="20"/>
              </w:rPr>
            </w:pPr>
            <w:r>
              <w:rPr>
                <w:rFonts w:ascii="times" w:hAnsi="times"/>
                <w:sz w:val="20"/>
              </w:rPr>
              <w:t>W. Lance Conn</w:t>
            </w:r>
            <w:r>
              <w:rPr>
                <w:rFonts w:ascii="times" w:hAnsi="times"/>
                <w:position w:val="7"/>
                <w:sz w:val="16"/>
                <w:sz w:val="20"/>
              </w:rPr>
              <w:t>(2)</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(2)</w:t>
            </w:r>
          </w:p>
        </w:tc>
        <w:tc>
          <w:tcPr>
            <w:tcW w:w="65" w:type="dxa"/>
            <w:tcBorders/>
            <w:shd w:fill="FFFFFF" w:val="clear"/>
          </w:tcPr>
          <w:p>
            <w:pPr>
              <w:pStyle w:val="TableContents"/>
              <w:spacing w:before="0" w:after="283"/>
              <w:rPr/>
            </w:pPr>
            <w:r>
              <w:rPr/>
              <w:t> </w:t>
            </w:r>
          </w:p>
        </w:tc>
        <w:tc>
          <w:tcPr>
            <w:tcW w:w="749" w:type="dxa"/>
            <w:tcBorders/>
            <w:shd w:fill="FFFFFF" w:val="clear"/>
          </w:tcPr>
          <w:p>
            <w:pPr>
              <w:pStyle w:val="TableContents"/>
              <w:spacing w:before="0" w:after="283"/>
              <w:jc w:val="right"/>
              <w:rPr>
                <w:rFonts w:ascii="times" w:hAnsi="times"/>
                <w:sz w:val="20"/>
              </w:rPr>
            </w:pPr>
            <w:r>
              <w:rPr>
                <w:rFonts w:ascii="times" w:hAnsi="times"/>
                <w:sz w:val="20"/>
              </w:rPr>
              <w:t></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(2)</w:t>
            </w:r>
          </w:p>
        </w:tc>
        <w:tc>
          <w:tcPr>
            <w:tcW w:w="69"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228" w:type="dxa"/>
            <w:tcBorders/>
            <w:shd w:fill="FFFFFF" w:val="clear"/>
          </w:tcPr>
          <w:p>
            <w:pPr>
              <w:pStyle w:val="TableContents"/>
              <w:spacing w:before="0" w:after="283"/>
              <w:rPr/>
            </w:pPr>
            <w:r>
              <w:rPr/>
              <w:t> </w:t>
            </w:r>
          </w:p>
        </w:tc>
        <w:tc>
          <w:tcPr>
            <w:tcW w:w="70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228" w:type="dxa"/>
            <w:tcBorders/>
            <w:shd w:fill="FFFFFF" w:val="clear"/>
          </w:tcPr>
          <w:p>
            <w:pPr>
              <w:pStyle w:val="TableContents"/>
              <w:spacing w:before="0" w:after="283"/>
              <w:rPr/>
            </w:pPr>
            <w:r>
              <w:rPr/>
              <w:t> </w:t>
            </w:r>
          </w:p>
        </w:tc>
        <w:tc>
          <w:tcPr>
            <w:tcW w:w="70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900"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695" w:type="dxa"/>
            <w:tcBorders/>
            <w:shd w:fill="FFFFFF" w:val="clear"/>
          </w:tcPr>
          <w:p>
            <w:pPr>
              <w:pStyle w:val="TableContents"/>
              <w:spacing w:before="0" w:after="283"/>
              <w:jc w:val="right"/>
              <w:rPr>
                <w:rFonts w:ascii="times" w:hAnsi="times"/>
                <w:sz w:val="20"/>
              </w:rPr>
            </w:pPr>
            <w:r>
              <w:rPr>
                <w:rFonts w:ascii="times" w:hAnsi="times"/>
                <w:sz w:val="20"/>
              </w:rPr>
              <w:t></w:t>
            </w:r>
          </w:p>
        </w:tc>
        <w:tc>
          <w:tcPr>
            <w:tcW w:w="170"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(2)</w:t>
            </w:r>
          </w:p>
        </w:tc>
      </w:tr>
      <w:tr>
        <w:trPr/>
        <w:tc>
          <w:tcPr>
            <w:tcW w:w="1500" w:type="dxa"/>
            <w:tcBorders/>
            <w:shd w:fill="CCEEFF" w:val="clear"/>
          </w:tcPr>
          <w:p>
            <w:pPr>
              <w:pStyle w:val="TableContents"/>
              <w:spacing w:before="0" w:after="283"/>
              <w:ind w:left="180" w:right="0" w:hanging="180"/>
              <w:rPr>
                <w:rFonts w:ascii="times" w:hAnsi="times"/>
                <w:sz w:val="20"/>
              </w:rPr>
            </w:pPr>
            <w:r>
              <w:rPr>
                <w:rFonts w:ascii="times" w:hAnsi="times"/>
                <w:sz w:val="20"/>
              </w:rPr>
              <w:t>Everardo Goyanes</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75,000</w:t>
            </w:r>
          </w:p>
        </w:tc>
        <w:tc>
          <w:tcPr>
            <w:tcW w:w="170" w:type="dxa"/>
            <w:tcBorders/>
            <w:shd w:fill="CCEEFF" w:val="clear"/>
          </w:tcPr>
          <w:p>
            <w:pPr>
              <w:pStyle w:val="TableContents"/>
              <w:spacing w:before="0" w:after="283"/>
              <w:rPr/>
            </w:pPr>
            <w:r>
              <w:rPr/>
              <w:t> </w:t>
            </w:r>
          </w:p>
        </w:tc>
        <w:tc>
          <w:tcPr>
            <w:tcW w:w="65" w:type="dxa"/>
            <w:tcBorders/>
            <w:shd w:fill="CCEEFF" w:val="clear"/>
          </w:tcPr>
          <w:p>
            <w:pPr>
              <w:pStyle w:val="TableContents"/>
              <w:spacing w:before="0" w:after="283"/>
              <w:rPr/>
            </w:pPr>
            <w:r>
              <w:rPr/>
              <w:t> </w:t>
            </w:r>
          </w:p>
        </w:tc>
        <w:tc>
          <w:tcPr>
            <w:tcW w:w="749" w:type="dxa"/>
            <w:tcBorders/>
            <w:shd w:fill="CCEEFF" w:val="clear"/>
          </w:tcPr>
          <w:p>
            <w:pPr>
              <w:pStyle w:val="TableContents"/>
              <w:spacing w:before="0" w:after="283"/>
              <w:jc w:val="right"/>
              <w:rPr>
                <w:rFonts w:ascii="times" w:hAnsi="times"/>
                <w:sz w:val="20"/>
              </w:rPr>
            </w:pPr>
            <w:r>
              <w:rPr>
                <w:rFonts w:ascii="times" w:hAnsi="times"/>
                <w:sz w:val="20"/>
              </w:rPr>
              <w:t>48,278</w:t>
            </w:r>
          </w:p>
        </w:tc>
        <w:tc>
          <w:tcPr>
            <w:tcW w:w="170" w:type="dxa"/>
            <w:tcBorders/>
            <w:shd w:fill="CCEEFF" w:val="clear"/>
          </w:tcPr>
          <w:p>
            <w:pPr>
              <w:pStyle w:val="TableContents"/>
              <w:spacing w:before="0" w:after="283"/>
              <w:rPr/>
            </w:pPr>
            <w:r>
              <w:rPr/>
              <w:t> </w:t>
            </w:r>
          </w:p>
        </w:tc>
        <w:tc>
          <w:tcPr>
            <w:tcW w:w="69"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00"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123,278</w:t>
            </w:r>
          </w:p>
        </w:tc>
        <w:tc>
          <w:tcPr>
            <w:tcW w:w="170" w:type="dxa"/>
            <w:tcBorders/>
            <w:shd w:fill="CCEEFF" w:val="clear"/>
          </w:tcPr>
          <w:p>
            <w:pPr>
              <w:pStyle w:val="TableContents"/>
              <w:spacing w:before="0" w:after="283"/>
              <w:rPr/>
            </w:pPr>
            <w:r>
              <w:rPr/>
              <w:t> </w:t>
            </w:r>
          </w:p>
        </w:tc>
      </w:tr>
      <w:tr>
        <w:trPr/>
        <w:tc>
          <w:tcPr>
            <w:tcW w:w="1500" w:type="dxa"/>
            <w:tcBorders/>
            <w:shd w:fill="FFFFFF" w:val="clear"/>
          </w:tcPr>
          <w:p>
            <w:pPr>
              <w:pStyle w:val="TableContents"/>
              <w:spacing w:before="0" w:after="283"/>
              <w:ind w:left="180" w:right="0" w:hanging="180"/>
              <w:rPr>
                <w:rFonts w:ascii="times" w:hAnsi="times"/>
                <w:sz w:val="20"/>
              </w:rPr>
            </w:pPr>
            <w:r>
              <w:rPr>
                <w:rFonts w:ascii="times" w:hAnsi="times"/>
                <w:sz w:val="20"/>
              </w:rPr>
              <w:t>Gary R. Petersen</w:t>
            </w:r>
            <w:r>
              <w:rPr>
                <w:rFonts w:ascii="times" w:hAnsi="times"/>
                <w:position w:val="7"/>
                <w:sz w:val="16"/>
                <w:sz w:val="20"/>
              </w:rPr>
              <w:t>(2)</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45,000</w:t>
            </w:r>
          </w:p>
        </w:tc>
        <w:tc>
          <w:tcPr>
            <w:tcW w:w="170" w:type="dxa"/>
            <w:tcBorders/>
            <w:shd w:fill="FFFFFF" w:val="clear"/>
          </w:tcPr>
          <w:p>
            <w:pPr>
              <w:pStyle w:val="TableContents"/>
              <w:spacing w:before="0" w:after="283"/>
              <w:rPr/>
            </w:pPr>
            <w:r>
              <w:rPr/>
              <w:t> </w:t>
            </w:r>
          </w:p>
        </w:tc>
        <w:tc>
          <w:tcPr>
            <w:tcW w:w="65" w:type="dxa"/>
            <w:tcBorders/>
            <w:shd w:fill="FFFFFF" w:val="clear"/>
          </w:tcPr>
          <w:p>
            <w:pPr>
              <w:pStyle w:val="TableContents"/>
              <w:spacing w:before="0" w:after="283"/>
              <w:rPr/>
            </w:pPr>
            <w:r>
              <w:rPr/>
              <w:t> </w:t>
            </w:r>
          </w:p>
        </w:tc>
        <w:tc>
          <w:tcPr>
            <w:tcW w:w="749" w:type="dxa"/>
            <w:tcBorders/>
            <w:shd w:fill="FFFFFF" w:val="clear"/>
          </w:tcPr>
          <w:p>
            <w:pPr>
              <w:pStyle w:val="TableContents"/>
              <w:spacing w:before="0" w:after="283"/>
              <w:jc w:val="right"/>
              <w:rPr>
                <w:rFonts w:ascii="times" w:hAnsi="times"/>
                <w:sz w:val="20"/>
              </w:rPr>
            </w:pPr>
            <w:r>
              <w:rPr>
                <w:rFonts w:ascii="times" w:hAnsi="times"/>
                <w:sz w:val="20"/>
              </w:rPr>
              <w:t>30,931</w:t>
            </w:r>
          </w:p>
        </w:tc>
        <w:tc>
          <w:tcPr>
            <w:tcW w:w="170" w:type="dxa"/>
            <w:tcBorders/>
            <w:shd w:fill="FFFFFF" w:val="clear"/>
          </w:tcPr>
          <w:p>
            <w:pPr>
              <w:pStyle w:val="TableContents"/>
              <w:spacing w:before="0" w:after="283"/>
              <w:rPr/>
            </w:pPr>
            <w:r>
              <w:rPr/>
              <w:t> </w:t>
            </w:r>
          </w:p>
        </w:tc>
        <w:tc>
          <w:tcPr>
            <w:tcW w:w="69"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228" w:type="dxa"/>
            <w:tcBorders/>
            <w:shd w:fill="FFFFFF" w:val="clear"/>
          </w:tcPr>
          <w:p>
            <w:pPr>
              <w:pStyle w:val="TableContents"/>
              <w:spacing w:before="0" w:after="283"/>
              <w:rPr/>
            </w:pPr>
            <w:r>
              <w:rPr/>
              <w:t> </w:t>
            </w:r>
          </w:p>
        </w:tc>
        <w:tc>
          <w:tcPr>
            <w:tcW w:w="70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228" w:type="dxa"/>
            <w:tcBorders/>
            <w:shd w:fill="FFFFFF" w:val="clear"/>
          </w:tcPr>
          <w:p>
            <w:pPr>
              <w:pStyle w:val="TableContents"/>
              <w:spacing w:before="0" w:after="283"/>
              <w:rPr/>
            </w:pPr>
            <w:r>
              <w:rPr/>
              <w:t> </w:t>
            </w:r>
          </w:p>
        </w:tc>
        <w:tc>
          <w:tcPr>
            <w:tcW w:w="70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900"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695" w:type="dxa"/>
            <w:tcBorders/>
            <w:shd w:fill="FFFFFF" w:val="clear"/>
          </w:tcPr>
          <w:p>
            <w:pPr>
              <w:pStyle w:val="TableContents"/>
              <w:spacing w:before="0" w:after="283"/>
              <w:jc w:val="right"/>
              <w:rPr>
                <w:rFonts w:ascii="times" w:hAnsi="times"/>
                <w:sz w:val="20"/>
              </w:rPr>
            </w:pPr>
            <w:r>
              <w:rPr>
                <w:rFonts w:ascii="times" w:hAnsi="times"/>
                <w:sz w:val="20"/>
              </w:rPr>
              <w:t>75,931</w:t>
            </w:r>
          </w:p>
        </w:tc>
        <w:tc>
          <w:tcPr>
            <w:tcW w:w="170" w:type="dxa"/>
            <w:tcBorders/>
            <w:shd w:fill="FFFFFF" w:val="clear"/>
          </w:tcPr>
          <w:p>
            <w:pPr>
              <w:pStyle w:val="TableContents"/>
              <w:spacing w:before="0" w:after="283"/>
              <w:rPr/>
            </w:pPr>
            <w:r>
              <w:rPr/>
              <w:t> </w:t>
            </w:r>
          </w:p>
        </w:tc>
      </w:tr>
      <w:tr>
        <w:trPr/>
        <w:tc>
          <w:tcPr>
            <w:tcW w:w="1500" w:type="dxa"/>
            <w:tcBorders/>
            <w:shd w:fill="CCEEFF" w:val="clear"/>
          </w:tcPr>
          <w:p>
            <w:pPr>
              <w:pStyle w:val="TableContents"/>
              <w:spacing w:before="0" w:after="283"/>
              <w:ind w:left="180" w:right="0" w:hanging="180"/>
              <w:rPr>
                <w:rFonts w:ascii="times" w:hAnsi="times"/>
                <w:sz w:val="20"/>
              </w:rPr>
            </w:pPr>
            <w:r>
              <w:rPr>
                <w:rFonts w:ascii="times" w:hAnsi="times"/>
                <w:sz w:val="20"/>
              </w:rPr>
              <w:t>Robert V. Sinnott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45,500</w:t>
            </w:r>
          </w:p>
        </w:tc>
        <w:tc>
          <w:tcPr>
            <w:tcW w:w="170" w:type="dxa"/>
            <w:tcBorders/>
            <w:shd w:fill="CCEEFF" w:val="clear"/>
          </w:tcPr>
          <w:p>
            <w:pPr>
              <w:pStyle w:val="TableContents"/>
              <w:spacing w:before="0" w:after="283"/>
              <w:rPr/>
            </w:pPr>
            <w:r>
              <w:rPr/>
              <w:t> </w:t>
            </w:r>
          </w:p>
        </w:tc>
        <w:tc>
          <w:tcPr>
            <w:tcW w:w="65" w:type="dxa"/>
            <w:tcBorders/>
            <w:shd w:fill="CCEEFF" w:val="clear"/>
          </w:tcPr>
          <w:p>
            <w:pPr>
              <w:pStyle w:val="TableContents"/>
              <w:spacing w:before="0" w:after="283"/>
              <w:rPr/>
            </w:pPr>
            <w:r>
              <w:rPr/>
              <w:t> </w:t>
            </w:r>
          </w:p>
        </w:tc>
        <w:tc>
          <w:tcPr>
            <w:tcW w:w="749" w:type="dxa"/>
            <w:tcBorders/>
            <w:shd w:fill="CCEEFF" w:val="clear"/>
          </w:tcPr>
          <w:p>
            <w:pPr>
              <w:pStyle w:val="TableContents"/>
              <w:spacing w:before="0" w:after="283"/>
              <w:jc w:val="right"/>
              <w:rPr>
                <w:rFonts w:ascii="times" w:hAnsi="times"/>
                <w:sz w:val="20"/>
              </w:rPr>
            </w:pPr>
            <w:r>
              <w:rPr>
                <w:rFonts w:ascii="times" w:hAnsi="times"/>
                <w:sz w:val="20"/>
              </w:rPr>
              <w:t>16,970</w:t>
            </w:r>
          </w:p>
        </w:tc>
        <w:tc>
          <w:tcPr>
            <w:tcW w:w="170" w:type="dxa"/>
            <w:tcBorders/>
            <w:shd w:fill="CCEEFF" w:val="clear"/>
          </w:tcPr>
          <w:p>
            <w:pPr>
              <w:pStyle w:val="TableContents"/>
              <w:spacing w:before="0" w:after="283"/>
              <w:rPr/>
            </w:pPr>
            <w:r>
              <w:rPr/>
              <w:t> </w:t>
            </w:r>
          </w:p>
        </w:tc>
        <w:tc>
          <w:tcPr>
            <w:tcW w:w="69"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00"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62,470</w:t>
            </w:r>
          </w:p>
        </w:tc>
        <w:tc>
          <w:tcPr>
            <w:tcW w:w="170" w:type="dxa"/>
            <w:tcBorders/>
            <w:shd w:fill="CCEEFF" w:val="clear"/>
          </w:tcPr>
          <w:p>
            <w:pPr>
              <w:pStyle w:val="TableContents"/>
              <w:spacing w:before="0" w:after="283"/>
              <w:rPr/>
            </w:pPr>
            <w:r>
              <w:rPr/>
              <w:t> </w:t>
            </w:r>
          </w:p>
        </w:tc>
      </w:tr>
      <w:tr>
        <w:trPr/>
        <w:tc>
          <w:tcPr>
            <w:tcW w:w="1500" w:type="dxa"/>
            <w:tcBorders/>
            <w:shd w:fill="FFFFFF" w:val="clear"/>
          </w:tcPr>
          <w:p>
            <w:pPr>
              <w:pStyle w:val="TableContents"/>
              <w:spacing w:before="0" w:after="283"/>
              <w:ind w:left="180" w:right="0" w:hanging="180"/>
              <w:rPr>
                <w:rFonts w:ascii="times" w:hAnsi="times"/>
                <w:sz w:val="20"/>
              </w:rPr>
            </w:pPr>
            <w:r>
              <w:rPr>
                <w:rFonts w:ascii="times" w:hAnsi="times"/>
                <w:sz w:val="20"/>
              </w:rPr>
              <w:t>Arthur L. Smith</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62,000</w:t>
            </w:r>
          </w:p>
        </w:tc>
        <w:tc>
          <w:tcPr>
            <w:tcW w:w="170" w:type="dxa"/>
            <w:tcBorders/>
            <w:shd w:fill="FFFFFF" w:val="clear"/>
          </w:tcPr>
          <w:p>
            <w:pPr>
              <w:pStyle w:val="TableContents"/>
              <w:spacing w:before="0" w:after="283"/>
              <w:rPr/>
            </w:pPr>
            <w:r>
              <w:rPr/>
              <w:t> </w:t>
            </w:r>
          </w:p>
        </w:tc>
        <w:tc>
          <w:tcPr>
            <w:tcW w:w="65" w:type="dxa"/>
            <w:tcBorders/>
            <w:shd w:fill="FFFFFF" w:val="clear"/>
          </w:tcPr>
          <w:p>
            <w:pPr>
              <w:pStyle w:val="TableContents"/>
              <w:spacing w:before="0" w:after="283"/>
              <w:rPr/>
            </w:pPr>
            <w:r>
              <w:rPr/>
              <w:t> </w:t>
            </w:r>
          </w:p>
        </w:tc>
        <w:tc>
          <w:tcPr>
            <w:tcW w:w="749" w:type="dxa"/>
            <w:tcBorders/>
            <w:shd w:fill="FFFFFF" w:val="clear"/>
          </w:tcPr>
          <w:p>
            <w:pPr>
              <w:pStyle w:val="TableContents"/>
              <w:spacing w:before="0" w:after="283"/>
              <w:jc w:val="right"/>
              <w:rPr>
                <w:rFonts w:ascii="times" w:hAnsi="times"/>
                <w:sz w:val="20"/>
              </w:rPr>
            </w:pPr>
            <w:r>
              <w:rPr>
                <w:rFonts w:ascii="times" w:hAnsi="times"/>
                <w:sz w:val="20"/>
              </w:rPr>
              <w:t>48,278</w:t>
            </w:r>
          </w:p>
        </w:tc>
        <w:tc>
          <w:tcPr>
            <w:tcW w:w="170" w:type="dxa"/>
            <w:tcBorders/>
            <w:shd w:fill="FFFFFF" w:val="clear"/>
          </w:tcPr>
          <w:p>
            <w:pPr>
              <w:pStyle w:val="TableContents"/>
              <w:spacing w:before="0" w:after="283"/>
              <w:rPr/>
            </w:pPr>
            <w:r>
              <w:rPr/>
              <w:t> </w:t>
            </w:r>
          </w:p>
        </w:tc>
        <w:tc>
          <w:tcPr>
            <w:tcW w:w="69"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228" w:type="dxa"/>
            <w:tcBorders/>
            <w:shd w:fill="FFFFFF" w:val="clear"/>
          </w:tcPr>
          <w:p>
            <w:pPr>
              <w:pStyle w:val="TableContents"/>
              <w:spacing w:before="0" w:after="283"/>
              <w:rPr/>
            </w:pPr>
            <w:r>
              <w:rPr/>
              <w:t> </w:t>
            </w:r>
          </w:p>
        </w:tc>
        <w:tc>
          <w:tcPr>
            <w:tcW w:w="70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228" w:type="dxa"/>
            <w:tcBorders/>
            <w:shd w:fill="FFFFFF" w:val="clear"/>
          </w:tcPr>
          <w:p>
            <w:pPr>
              <w:pStyle w:val="TableContents"/>
              <w:spacing w:before="0" w:after="283"/>
              <w:rPr/>
            </w:pPr>
            <w:r>
              <w:rPr/>
              <w:t> </w:t>
            </w:r>
          </w:p>
        </w:tc>
        <w:tc>
          <w:tcPr>
            <w:tcW w:w="70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900"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695" w:type="dxa"/>
            <w:tcBorders/>
            <w:shd w:fill="FFFFFF" w:val="clear"/>
          </w:tcPr>
          <w:p>
            <w:pPr>
              <w:pStyle w:val="TableContents"/>
              <w:spacing w:before="0" w:after="283"/>
              <w:jc w:val="right"/>
              <w:rPr>
                <w:rFonts w:ascii="times" w:hAnsi="times"/>
                <w:sz w:val="20"/>
              </w:rPr>
            </w:pPr>
            <w:r>
              <w:rPr>
                <w:rFonts w:ascii="times" w:hAnsi="times"/>
                <w:sz w:val="20"/>
              </w:rPr>
              <w:t>110,278</w:t>
            </w:r>
          </w:p>
        </w:tc>
        <w:tc>
          <w:tcPr>
            <w:tcW w:w="170" w:type="dxa"/>
            <w:tcBorders/>
            <w:shd w:fill="FFFFFF" w:val="clear"/>
          </w:tcPr>
          <w:p>
            <w:pPr>
              <w:pStyle w:val="TableContents"/>
              <w:spacing w:before="0" w:after="283"/>
              <w:rPr/>
            </w:pPr>
            <w:r>
              <w:rPr/>
              <w:t> </w:t>
            </w:r>
          </w:p>
        </w:tc>
      </w:tr>
      <w:tr>
        <w:trPr/>
        <w:tc>
          <w:tcPr>
            <w:tcW w:w="1500" w:type="dxa"/>
            <w:tcBorders/>
            <w:shd w:fill="CCEEFF" w:val="clear"/>
          </w:tcPr>
          <w:p>
            <w:pPr>
              <w:pStyle w:val="TableContents"/>
              <w:spacing w:before="0" w:after="283"/>
              <w:ind w:left="180" w:right="0" w:hanging="180"/>
              <w:rPr>
                <w:rFonts w:ascii="times" w:hAnsi="times"/>
                <w:sz w:val="20"/>
              </w:rPr>
            </w:pPr>
            <w:r>
              <w:rPr>
                <w:rFonts w:ascii="times" w:hAnsi="times"/>
                <w:sz w:val="20"/>
              </w:rPr>
              <w:t>J. Taft Symonds</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60,000</w:t>
            </w:r>
          </w:p>
        </w:tc>
        <w:tc>
          <w:tcPr>
            <w:tcW w:w="170" w:type="dxa"/>
            <w:tcBorders/>
            <w:shd w:fill="CCEEFF" w:val="clear"/>
          </w:tcPr>
          <w:p>
            <w:pPr>
              <w:pStyle w:val="TableContents"/>
              <w:spacing w:before="0" w:after="283"/>
              <w:rPr/>
            </w:pPr>
            <w:r>
              <w:rPr/>
              <w:t> </w:t>
            </w:r>
          </w:p>
        </w:tc>
        <w:tc>
          <w:tcPr>
            <w:tcW w:w="65" w:type="dxa"/>
            <w:tcBorders/>
            <w:shd w:fill="CCEEFF" w:val="clear"/>
          </w:tcPr>
          <w:p>
            <w:pPr>
              <w:pStyle w:val="TableContents"/>
              <w:spacing w:before="0" w:after="283"/>
              <w:rPr/>
            </w:pPr>
            <w:r>
              <w:rPr/>
              <w:t> </w:t>
            </w:r>
          </w:p>
        </w:tc>
        <w:tc>
          <w:tcPr>
            <w:tcW w:w="749" w:type="dxa"/>
            <w:tcBorders/>
            <w:shd w:fill="CCEEFF" w:val="clear"/>
          </w:tcPr>
          <w:p>
            <w:pPr>
              <w:pStyle w:val="TableContents"/>
              <w:spacing w:before="0" w:after="283"/>
              <w:jc w:val="right"/>
              <w:rPr>
                <w:rFonts w:ascii="times" w:hAnsi="times"/>
                <w:sz w:val="20"/>
              </w:rPr>
            </w:pPr>
            <w:r>
              <w:rPr>
                <w:rFonts w:ascii="times" w:hAnsi="times"/>
                <w:sz w:val="20"/>
              </w:rPr>
              <w:t>48,278</w:t>
            </w:r>
          </w:p>
        </w:tc>
        <w:tc>
          <w:tcPr>
            <w:tcW w:w="170" w:type="dxa"/>
            <w:tcBorders/>
            <w:shd w:fill="CCEEFF" w:val="clear"/>
          </w:tcPr>
          <w:p>
            <w:pPr>
              <w:pStyle w:val="TableContents"/>
              <w:spacing w:before="0" w:after="283"/>
              <w:rPr/>
            </w:pPr>
            <w:r>
              <w:rPr/>
              <w:t> </w:t>
            </w:r>
          </w:p>
        </w:tc>
        <w:tc>
          <w:tcPr>
            <w:tcW w:w="69"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28" w:type="dxa"/>
            <w:tcBorders/>
            <w:shd w:fill="CCEEFF" w:val="clear"/>
          </w:tcPr>
          <w:p>
            <w:pPr>
              <w:pStyle w:val="TableContents"/>
              <w:spacing w:before="0" w:after="283"/>
              <w:rPr/>
            </w:pPr>
            <w:r>
              <w:rPr/>
              <w:t> </w:t>
            </w:r>
          </w:p>
        </w:tc>
        <w:tc>
          <w:tcPr>
            <w:tcW w:w="70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00"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695" w:type="dxa"/>
            <w:tcBorders/>
            <w:shd w:fill="CCEEFF" w:val="clear"/>
          </w:tcPr>
          <w:p>
            <w:pPr>
              <w:pStyle w:val="TableContents"/>
              <w:spacing w:before="0" w:after="283"/>
              <w:jc w:val="right"/>
              <w:rPr>
                <w:rFonts w:ascii="times" w:hAnsi="times"/>
                <w:sz w:val="20"/>
              </w:rPr>
            </w:pPr>
            <w:r>
              <w:rPr>
                <w:rFonts w:ascii="times" w:hAnsi="times"/>
                <w:sz w:val="20"/>
              </w:rPr>
              <w:t>108,278</w:t>
            </w:r>
          </w:p>
        </w:tc>
        <w:tc>
          <w:tcPr>
            <w:tcW w:w="170" w:type="dxa"/>
            <w:tcBorders/>
            <w:shd w:fill="CCEEFF"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During the last fiscal year, Messrs. Goyanes, Smith and Symonds were granted 2,500 units and Mr. Sinnott was granted 1,250 units, by virtue of the automatic re-grant of LTIP awards vested during the fiscal year. Upon vesting of these LTIP awards in August 2008 (other than the incremental audit committee awards), a cash payment was made to Vulcan Capital and an affiliate of EnCap as directed by Messrs. Capobianco and Petersen, respectively. Such cash payment was based on the unit value of Mr. Sinnott's award on the previous year's vesting date. Each audit committee member (currently Messrs. Goyanes, Smith and Symonds) has 10,000 units outstanding and Mr. Sinnott has 5,000 units outstanding. These awards vest annually in 25% increments. Because these awards are subject to an automatic re-grant of units upon any vesting, each audit committee member, while serving in such capacity, will continue to have outstanding an award of 10,000 units and Mr. Sinnott, while serving as a director, will continue to have outstanding an award of 5,000 units. The dollar value of these awards and other awards granted in prior years is presented in the table reflecting the dollar amount of compensation expense recognized by us for 2008. See Note 10 to our Consolidated Financial Statements for a discussion of the assumptions made in determining these amounts.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Mr. Capobianco served as a director until November 14, 2008, at which time Mr. Conn was designated by an affiliate of Vulcan Capital to replace him. During his term, Mr. Capobianco assigned to Vulcan Capital any compensation attributable to his service as director. Mr. Conn has also assigned to Vulcan Capital any compensation attributable to his service as director. Mr. Petersen assigns to EnCap Energy Capital Fund III, L.P. any compensation attributable to his service as director. </w:t>
      </w:r>
    </w:p>
    <w:p>
      <w:pPr>
        <w:pStyle w:val="TextBody"/>
        <w:jc w:val="center"/>
        <w:rPr>
          <w:rFonts w:ascii="times" w:hAnsi="times"/>
          <w:sz w:val="20"/>
        </w:rPr>
      </w:pPr>
      <w:r>
        <w:rPr>
          <w:rFonts w:ascii="times" w:hAnsi="times"/>
          <w:sz w:val="20"/>
        </w:rPr>
        <w:t>129</w:t>
      </w:r>
    </w:p>
    <w:p>
      <w:pPr>
        <w:pStyle w:val="HorizontalLine"/>
        <w:pBdr>
          <w:bottom w:val="single" w:sz="20" w:space="0" w:color="808080"/>
        </w:pBdr>
        <w:rPr/>
      </w:pPr>
      <w:r>
        <w:rPr/>
      </w:r>
      <w:r>
        <w:br w:type="page"/>
      </w:r>
    </w:p>
    <w:p>
      <w:pPr>
        <w:pStyle w:val="TextBody"/>
        <w:rPr/>
      </w:pPr>
      <w:hyperlink w:anchor="bg12101a_main_toc">
        <w:bookmarkStart w:id="176" w:name="page_ei12101_1_130"/>
        <w:bookmarkEnd w:id="176"/>
        <w:r>
          <w:rPr>
            <w:rStyle w:val="InternetLink"/>
            <w:rFonts w:ascii="times" w:hAnsi="times"/>
            <w:sz w:val="20"/>
          </w:rPr>
          <w:t>Table of Contents</w:t>
        </w:r>
      </w:hyperlink>
    </w:p>
    <w:p>
      <w:pPr>
        <w:pStyle w:val="TextBody"/>
        <w:rPr/>
      </w:pPr>
      <w:r>
        <w:rPr/>
        <w:t>        </w:t>
      </w:r>
      <w:r>
        <w:rPr>
          <w:rFonts w:ascii="times" w:hAnsi="times"/>
          <w:sz w:val="20"/>
        </w:rPr>
        <w:t xml:space="preserve">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2008, Messrs. Capobianco, Goyanes and Smith served as chairmen of the compensation, audit and governance committees, respectively. </w:t>
      </w:r>
    </w:p>
    <w:p>
      <w:pPr>
        <w:pStyle w:val="TextBody"/>
        <w:rPr/>
      </w:pPr>
      <w:r>
        <w:rPr/>
        <w:t>        </w:t>
      </w:r>
      <w:r>
        <w:rPr>
          <w:rFonts w:ascii="times" w:hAnsi="times"/>
          <w:sz w:val="20"/>
        </w:rPr>
        <w:t xml:space="preserve">Our non-employee directors receive LTIP awards or cash equivalent awards as part of their compensation. The LTIP awards vest annually in 25% increments over a four-year period and have an automatic re-grant feature such that as they vest, an equivalent amount is granted. The three non-employee directors who serve on the audit committee each have outstanding a grant of 10,000 units (vesting 2,500 units per year). Mr. Sinnott has outstanding a grant of 5,000 units (vesting 1,250 per year). Upon any vesting (other than the incremental audit committee awards), a cash payment is made to Vulcan Capital as directed by the Vulcan designee and to an affiliate of EnCap as directed by Mr. Petersen. Such cash payment is based on the unit value of Mr. Sinnott's award on the previous year's vesting date. </w:t>
      </w:r>
    </w:p>
    <w:p>
      <w:pPr>
        <w:pStyle w:val="TextBody"/>
        <w:rPr/>
      </w:pPr>
      <w:r>
        <w:rPr/>
        <w:t>        </w:t>
      </w:r>
      <w:r>
        <w:rPr>
          <w:rFonts w:ascii="times" w:hAnsi="times"/>
          <w:sz w:val="20"/>
        </w:rPr>
        <w:t xml:space="preserve">All LTIP awards held by a director vest in full upon the next following vesting date after the death or disability (as determined in good faith by the board) of the director. For any "independent" directors (as defined in the limited liability company agreement of Plains All American GP LLC, and currently including Messrs. Goyanes, Smith and Symonds),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 </w:t>
      </w:r>
    </w:p>
    <w:p>
      <w:pPr>
        <w:pStyle w:val="TextBody"/>
        <w:rPr>
          <w:rFonts w:ascii="times" w:hAnsi="times"/>
          <w:b/>
          <w:sz w:val="20"/>
        </w:rPr>
      </w:pPr>
      <w:r>
        <w:rPr>
          <w:rFonts w:ascii="times" w:hAnsi="times"/>
          <w:b/>
          <w:sz w:val="20"/>
        </w:rPr>
        <w:t xml:space="preserve">Reimbursement of Expenses of Our General Partner and its Affiliates </w:t>
      </w:r>
    </w:p>
    <w:p>
      <w:pPr>
        <w:pStyle w:val="TextBody"/>
        <w:rPr/>
      </w:pPr>
      <w:r>
        <w:rPr/>
        <w:t>        </w:t>
      </w:r>
      <w:r>
        <w:rPr>
          <w:rFonts w:ascii="times" w:hAnsi="times"/>
          <w:sz w:val="20"/>
        </w:rPr>
        <w:t xml:space="preserve">We do not pay our general partner a management fee, but we do reimburse our general partner for all direct and indirect costs of services provided to us, incurred on our behalf, including the costs of employee, officer and director compensation (other than expenses related to the Class B units of Plains AAP, L.P.)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w:t>
      </w:r>
    </w:p>
    <w:p>
      <w:pPr>
        <w:pStyle w:val="TextBody"/>
        <w:jc w:val="center"/>
        <w:rPr>
          <w:rFonts w:ascii="times" w:hAnsi="times"/>
          <w:sz w:val="20"/>
        </w:rPr>
      </w:pPr>
      <w:r>
        <w:rPr>
          <w:rFonts w:ascii="times" w:hAnsi="times"/>
          <w:sz w:val="20"/>
        </w:rPr>
        <w:t>130</w:t>
      </w:r>
    </w:p>
    <w:p>
      <w:pPr>
        <w:pStyle w:val="HorizontalLine"/>
        <w:pBdr>
          <w:bottom w:val="single" w:sz="20" w:space="0" w:color="808080"/>
        </w:pBdr>
        <w:rPr/>
      </w:pPr>
      <w:r>
        <w:rPr/>
      </w:r>
      <w:r>
        <w:br w:type="page"/>
      </w:r>
    </w:p>
    <w:p>
      <w:pPr>
        <w:pStyle w:val="TextBody"/>
        <w:rPr/>
      </w:pPr>
      <w:hyperlink w:anchor="bg12101a_main_toc">
        <w:bookmarkStart w:id="177" w:name="page_ek12101_1_131"/>
        <w:bookmarkEnd w:id="177"/>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178" w:name="toc_ek12101_1"/>
      <w:bookmarkStart w:id="179" w:name="ek12101_item_12._security_ownership_of__"/>
      <w:bookmarkEnd w:id="178"/>
      <w:bookmarkEnd w:id="179"/>
      <w:r>
        <w:rPr>
          <w:rFonts w:ascii="times" w:hAnsi="times"/>
          <w:b/>
          <w:sz w:val="20"/>
        </w:rPr>
        <w:t>Item 12.    </w:t>
      </w:r>
      <w:r>
        <w:rPr>
          <w:rFonts w:ascii="times" w:hAnsi="times"/>
          <w:b/>
          <w:i/>
          <w:sz w:val="20"/>
        </w:rPr>
        <w:t xml:space="preserve">Security Ownership of Certain Beneficial Owners and Management and Related Unitholder Matters </w:t>
      </w:r>
    </w:p>
    <w:p>
      <w:pPr>
        <w:pStyle w:val="TextBody"/>
        <w:rPr>
          <w:rFonts w:ascii="times" w:hAnsi="times"/>
          <w:b/>
          <w:sz w:val="20"/>
        </w:rPr>
      </w:pPr>
      <w:r>
        <w:rPr>
          <w:rFonts w:ascii="times" w:hAnsi="times"/>
          <w:b/>
          <w:sz w:val="20"/>
        </w:rPr>
        <w:t xml:space="preserve">Beneficial Ownership of Limited Partner Interest </w:t>
      </w:r>
    </w:p>
    <w:p>
      <w:pPr>
        <w:pStyle w:val="TextBody"/>
        <w:rPr/>
      </w:pPr>
      <w:r>
        <w:rPr/>
        <w:t>        </w:t>
      </w:r>
      <w:r>
        <w:rPr>
          <w:rFonts w:ascii="times" w:hAnsi="times"/>
          <w:sz w:val="20"/>
        </w:rPr>
        <w:t xml:space="preserve">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20, 2009. </w:t>
      </w:r>
    </w:p>
    <w:tbl>
      <w:tblPr>
        <w:tblW w:w="7500" w:type="dxa"/>
        <w:jc w:val="center"/>
        <w:tblInd w:w="0" w:type="dxa"/>
        <w:tblCellMar>
          <w:top w:w="0" w:type="dxa"/>
          <w:left w:w="0" w:type="dxa"/>
          <w:bottom w:w="0" w:type="dxa"/>
          <w:right w:w="0" w:type="dxa"/>
        </w:tblCellMar>
      </w:tblPr>
      <w:tblGrid>
        <w:gridCol w:w="5085"/>
        <w:gridCol w:w="180"/>
        <w:gridCol w:w="75"/>
        <w:gridCol w:w="950"/>
        <w:gridCol w:w="360"/>
        <w:gridCol w:w="90"/>
        <w:gridCol w:w="575"/>
        <w:gridCol w:w="185"/>
      </w:tblGrid>
      <w:tr>
        <w:trPr/>
        <w:tc>
          <w:tcPr>
            <w:tcW w:w="50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5085"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of Beneficial Owner </w:t>
            </w:r>
          </w:p>
        </w:tc>
        <w:tc>
          <w:tcPr>
            <w:tcW w:w="180"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Common</w:t>
              <w:br/>
              <w:t xml:space="preserve">Units </w:t>
            </w:r>
          </w:p>
        </w:tc>
        <w:tc>
          <w:tcPr>
            <w:tcW w:w="360" w:type="dxa"/>
            <w:tcBorders/>
            <w:shd w:fill="auto" w:val="clear"/>
            <w:vAlign w:val="bottom"/>
          </w:tcPr>
          <w:p>
            <w:pPr>
              <w:pStyle w:val="TableHeading"/>
              <w:suppressLineNumbers/>
              <w:spacing w:before="0" w:after="283"/>
              <w:jc w:val="center"/>
              <w:rPr/>
            </w:pPr>
            <w:r>
              <w:rPr/>
              <w:t> </w:t>
            </w:r>
          </w:p>
        </w:tc>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w:t>
              <w:br/>
              <w:t>of</w:t>
              <w:br/>
              <w:t>Common</w:t>
              <w:br/>
              <w:t xml:space="preserve">Units </w:t>
            </w:r>
          </w:p>
        </w:tc>
        <w:tc>
          <w:tcPr>
            <w:tcW w:w="185" w:type="dxa"/>
            <w:tcBorders/>
            <w:shd w:fill="auto" w:val="clear"/>
            <w:vAlign w:val="bottom"/>
          </w:tcPr>
          <w:p>
            <w:pPr>
              <w:pStyle w:val="TableHeading"/>
              <w:suppressLineNumbers/>
              <w:spacing w:before="0" w:after="283"/>
              <w:jc w:val="center"/>
              <w:rPr/>
            </w:pPr>
            <w:r>
              <w:rPr/>
              <w:t> </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Paul G. Allen</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14,386,074</w:t>
            </w:r>
          </w:p>
        </w:tc>
        <w:tc>
          <w:tcPr>
            <w:tcW w:w="36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(1)</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rFonts w:ascii="times" w:hAnsi="times"/>
                <w:sz w:val="20"/>
              </w:rPr>
            </w:pPr>
            <w:r>
              <w:rPr>
                <w:rFonts w:ascii="times" w:hAnsi="times"/>
                <w:sz w:val="20"/>
              </w:rPr>
              <w:t>11.7</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r>
              <w:rPr>
                <w:rFonts w:ascii="times" w:hAnsi="times"/>
                <w:position w:val="7"/>
                <w:sz w:val="16"/>
                <w:sz w:val="20"/>
              </w:rPr>
              <w:t>(2)</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Vulcan Energy Corporation</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12,390,120</w:t>
            </w:r>
          </w:p>
        </w:tc>
        <w:tc>
          <w:tcPr>
            <w:tcW w:w="36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(3)</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rFonts w:ascii="times" w:hAnsi="times"/>
                <w:sz w:val="20"/>
              </w:rPr>
            </w:pPr>
            <w:r>
              <w:rPr>
                <w:rFonts w:ascii="times" w:hAnsi="times"/>
                <w:sz w:val="20"/>
              </w:rPr>
              <w:t>10.1</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Richard Kayne/Kayne Anderson Capital Advisors, L.P. </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8,328,737</w:t>
            </w:r>
          </w:p>
        </w:tc>
        <w:tc>
          <w:tcPr>
            <w:tcW w:w="36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(4)</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rFonts w:ascii="times" w:hAnsi="times"/>
                <w:sz w:val="20"/>
              </w:rPr>
            </w:pPr>
            <w:r>
              <w:rPr>
                <w:rFonts w:ascii="times" w:hAnsi="times"/>
                <w:sz w:val="20"/>
              </w:rPr>
              <w:t>6.8</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Greg L. Armstrong</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292,607</w:t>
            </w:r>
          </w:p>
        </w:tc>
        <w:tc>
          <w:tcPr>
            <w:tcW w:w="36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(5)(6)(7)</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Harry N. Pefanis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184,697</w:t>
            </w:r>
          </w:p>
        </w:tc>
        <w:tc>
          <w:tcPr>
            <w:tcW w:w="36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(6)(7)</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Phillip D. Kramer</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115,190</w:t>
            </w:r>
          </w:p>
        </w:tc>
        <w:tc>
          <w:tcPr>
            <w:tcW w:w="36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(6)(7)</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Dave Duckett</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147,997</w:t>
            </w:r>
          </w:p>
        </w:tc>
        <w:tc>
          <w:tcPr>
            <w:tcW w:w="36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(6)</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John P. vonBerg</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10,581</w:t>
            </w:r>
          </w:p>
        </w:tc>
        <w:tc>
          <w:tcPr>
            <w:tcW w:w="36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(6)</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Al Swanson</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5,000</w:t>
            </w:r>
          </w:p>
        </w:tc>
        <w:tc>
          <w:tcPr>
            <w:tcW w:w="36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(6)</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W. Lance Conn</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6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(9)</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Everardo Goyanes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20,200</w:t>
            </w:r>
          </w:p>
        </w:tc>
        <w:tc>
          <w:tcPr>
            <w:tcW w:w="3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Gary R. Petersen</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5,200</w:t>
            </w:r>
          </w:p>
        </w:tc>
        <w:tc>
          <w:tcPr>
            <w:tcW w:w="36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(10)</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Robert V. Sinnott</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17,750</w:t>
            </w:r>
          </w:p>
        </w:tc>
        <w:tc>
          <w:tcPr>
            <w:tcW w:w="36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(11)</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Arthur L. Smith</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18,350</w:t>
            </w:r>
          </w:p>
        </w:tc>
        <w:tc>
          <w:tcPr>
            <w:tcW w:w="36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J. Taft Symonds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w:hAnsi="times"/>
                <w:sz w:val="20"/>
              </w:rPr>
            </w:pPr>
            <w:r>
              <w:rPr>
                <w:rFonts w:ascii="times" w:hAnsi="times"/>
                <w:sz w:val="20"/>
              </w:rPr>
              <w:t>27,500</w:t>
            </w:r>
          </w:p>
        </w:tc>
        <w:tc>
          <w:tcPr>
            <w:tcW w:w="3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r>
        <w:trPr/>
        <w:tc>
          <w:tcPr>
            <w:tcW w:w="508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All directors and executive officers as a group (15 persons)</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rFonts w:ascii="times" w:hAnsi="times"/>
                <w:sz w:val="20"/>
              </w:rPr>
            </w:pPr>
            <w:r>
              <w:rPr>
                <w:rFonts w:ascii="times" w:hAnsi="times"/>
                <w:sz w:val="20"/>
              </w:rPr>
              <w:t>885,161</w:t>
            </w:r>
          </w:p>
        </w:tc>
        <w:tc>
          <w:tcPr>
            <w:tcW w:w="36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(7)(12)</w:t>
            </w:r>
          </w:p>
        </w:tc>
        <w:tc>
          <w:tcPr>
            <w:tcW w:w="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Mr. Allen owns approximately 80% of the outstanding shares of common stock of Vulcan Energy Corporation. Mr. Allen also controls Vulcan Capital Private Equity I LLC ("Vulcan LLC"), which is the record holder of 1,995,954 common units. The address for Mr. Allen and Vulcan LLC is 505 Fifth Avenue S, Suite 900, Seattle, Washington 98104. Mr. Allen disclaims any deemed beneficial ownership, beyond his pecuniary interest, in any of our partner interests held by Vulcan Energy Corporation or any of its affiliates.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Giving effect to the indirect ownership by Vulcan Energy Corporation of a portion of our general partner, Mr. Allen may be deemed to beneficially own approximately 12.5% of our total equity. Mr. Allen disclaims any deemed beneficial ownership, beyond his pecuniary interest, in any of our partner interests held by Vulcan Energy Corporation or any of its affiliates.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The address for Vulcan Energy Corporation is c/o Plains All American GP LLC, 333 Clay Street, Suite 1600, Houston, Texas 77002.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8,102,572 common units. Mr. Kayne may be deemed to beneficially own such units. In addition, Mr. Kayne directly owns or has sole voting and dispositive power over 226,165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2nd Floor, Los Angeles, California 90067. </w:t>
      </w:r>
    </w:p>
    <w:p>
      <w:pPr>
        <w:pStyle w:val="TextBody"/>
        <w:jc w:val="center"/>
        <w:rPr>
          <w:rFonts w:ascii="times" w:hAnsi="times"/>
          <w:sz w:val="20"/>
        </w:rPr>
      </w:pPr>
      <w:r>
        <w:rPr>
          <w:rFonts w:ascii="times" w:hAnsi="times"/>
          <w:sz w:val="20"/>
        </w:rPr>
        <w:t>131</w:t>
      </w:r>
    </w:p>
    <w:p>
      <w:pPr>
        <w:pStyle w:val="HorizontalLine"/>
        <w:pBdr>
          <w:bottom w:val="single" w:sz="20" w:space="0" w:color="808080"/>
        </w:pBdr>
        <w:rPr/>
      </w:pPr>
      <w:r>
        <w:rPr/>
      </w:r>
      <w:r>
        <w:br w:type="page"/>
      </w:r>
    </w:p>
    <w:p>
      <w:pPr>
        <w:pStyle w:val="TextBody"/>
        <w:rPr/>
      </w:pPr>
      <w:hyperlink w:anchor="bg12101a_main_toc">
        <w:bookmarkStart w:id="180" w:name="page_ek12101_1_132"/>
        <w:bookmarkEnd w:id="180"/>
        <w:r>
          <w:rPr>
            <w:rStyle w:val="InternetLink"/>
            <w:rFonts w:ascii="times" w:hAnsi="times"/>
            <w:sz w:val="20"/>
          </w:rPr>
          <w:t>Table of Contents</w:t>
        </w:r>
      </w:hyperlink>
    </w:p>
    <w:p>
      <w:pPr>
        <w:pStyle w:val="ListHeading"/>
        <w:spacing w:before="0" w:after="0"/>
        <w:rPr>
          <w:rFonts w:ascii="times" w:hAnsi="times"/>
          <w:position w:val="7"/>
          <w:sz w:val="16"/>
          <w:sz w:val="20"/>
        </w:rPr>
      </w:pPr>
      <w:r>
        <w:rPr>
          <w:rFonts w:ascii="times" w:hAnsi="times"/>
          <w:position w:val="7"/>
          <w:sz w:val="16"/>
          <w:sz w:val="20"/>
        </w:rPr>
        <w:t>(5)</w:t>
      </w:r>
    </w:p>
    <w:p>
      <w:pPr>
        <w:pStyle w:val="ListContents"/>
        <w:spacing w:before="0" w:after="283"/>
        <w:rPr>
          <w:rFonts w:ascii="times" w:hAnsi="times"/>
          <w:sz w:val="20"/>
        </w:rPr>
      </w:pPr>
      <w:r>
        <w:rPr>
          <w:rFonts w:ascii="times" w:hAnsi="times"/>
          <w:sz w:val="20"/>
        </w:rPr>
        <w:t xml:space="preserve">Does not include approximately 138,103 common units owned by our general partner in connection with its Performance Option Plan. Mr. Armstrong disclaims any beneficial ownership of such units beyond his rights as a grantee under the plan. See Item 13. "Certain Relationships and Related Transactions, and Director IndependenceGeneral Partner's Performance Option Plan." </w:t>
      </w:r>
    </w:p>
    <w:p>
      <w:pPr>
        <w:pStyle w:val="ListHeading"/>
        <w:spacing w:before="0" w:after="0"/>
        <w:rPr>
          <w:rFonts w:ascii="times" w:hAnsi="times"/>
          <w:position w:val="7"/>
          <w:sz w:val="16"/>
          <w:sz w:val="20"/>
        </w:rPr>
      </w:pPr>
      <w:r>
        <w:rPr>
          <w:rFonts w:ascii="times" w:hAnsi="times"/>
          <w:position w:val="7"/>
          <w:sz w:val="16"/>
          <w:sz w:val="20"/>
        </w:rPr>
        <w:t>(6)</w:t>
      </w:r>
    </w:p>
    <w:p>
      <w:pPr>
        <w:pStyle w:val="ListContents"/>
        <w:spacing w:before="0" w:after="283"/>
        <w:rPr>
          <w:rFonts w:ascii="times" w:hAnsi="times"/>
          <w:sz w:val="20"/>
        </w:rPr>
      </w:pPr>
      <w:r>
        <w:rPr>
          <w:rFonts w:ascii="times" w:hAnsi="times"/>
          <w:sz w:val="20"/>
        </w:rPr>
        <w:t xml:space="preserve">Does not include unvested phantom units granted under our Long-Term Incentive Plans, none of which will vest within 60 days of the date hereof. See Item 11. "Executive CompensationOutstanding Equity Awards at Fiscal Year-End." </w:t>
      </w:r>
    </w:p>
    <w:p>
      <w:pPr>
        <w:pStyle w:val="ListHeading"/>
        <w:spacing w:before="0" w:after="0"/>
        <w:rPr>
          <w:rFonts w:ascii="times" w:hAnsi="times"/>
          <w:position w:val="7"/>
          <w:sz w:val="16"/>
          <w:sz w:val="20"/>
        </w:rPr>
      </w:pPr>
      <w:r>
        <w:rPr>
          <w:rFonts w:ascii="times" w:hAnsi="times"/>
          <w:position w:val="7"/>
          <w:sz w:val="16"/>
          <w:sz w:val="20"/>
        </w:rPr>
        <w:t>(7)</w:t>
      </w:r>
    </w:p>
    <w:p>
      <w:pPr>
        <w:pStyle w:val="ListContents"/>
        <w:spacing w:before="0" w:after="283"/>
        <w:rPr>
          <w:rFonts w:ascii="times" w:hAnsi="times"/>
          <w:sz w:val="20"/>
        </w:rPr>
      </w:pPr>
      <w:r>
        <w:rPr>
          <w:rFonts w:ascii="times" w:hAnsi="times"/>
          <w:sz w:val="20"/>
        </w:rPr>
        <w:t xml:space="preserve">Includes the following vested, unexercised options to purchase common units under the general partner's Performance Option Plan. Mr. Armstrong: 37,500; Mr. Pefanis: 27,500; Mr. Kramer: 22,500; and all directors and executive officers as a group: 87,500. </w:t>
      </w:r>
    </w:p>
    <w:p>
      <w:pPr>
        <w:pStyle w:val="ListHeading"/>
        <w:spacing w:before="0" w:after="0"/>
        <w:rPr>
          <w:rFonts w:ascii="times" w:hAnsi="times"/>
          <w:position w:val="7"/>
          <w:sz w:val="16"/>
          <w:sz w:val="20"/>
        </w:rPr>
      </w:pPr>
      <w:r>
        <w:rPr>
          <w:rFonts w:ascii="times" w:hAnsi="times"/>
          <w:position w:val="7"/>
          <w:sz w:val="16"/>
          <w:sz w:val="20"/>
        </w:rPr>
        <w:t>(8)</w:t>
      </w:r>
    </w:p>
    <w:p>
      <w:pPr>
        <w:pStyle w:val="ListContents"/>
        <w:spacing w:before="0" w:after="283"/>
        <w:rPr>
          <w:rFonts w:ascii="times" w:hAnsi="times"/>
          <w:sz w:val="20"/>
        </w:rPr>
      </w:pPr>
      <w:r>
        <w:rPr>
          <w:rFonts w:ascii="times" w:hAnsi="times"/>
          <w:sz w:val="20"/>
        </w:rPr>
        <w:t xml:space="preserve">Less than one percent. </w:t>
      </w:r>
    </w:p>
    <w:p>
      <w:pPr>
        <w:pStyle w:val="ListHeading"/>
        <w:spacing w:before="0" w:after="0"/>
        <w:rPr>
          <w:rFonts w:ascii="times" w:hAnsi="times"/>
          <w:position w:val="7"/>
          <w:sz w:val="16"/>
          <w:sz w:val="20"/>
        </w:rPr>
      </w:pPr>
      <w:r>
        <w:rPr>
          <w:rFonts w:ascii="times" w:hAnsi="times"/>
          <w:position w:val="7"/>
          <w:sz w:val="16"/>
          <w:sz w:val="20"/>
        </w:rPr>
        <w:t>(9)</w:t>
      </w:r>
    </w:p>
    <w:p>
      <w:pPr>
        <w:pStyle w:val="ListContents"/>
        <w:spacing w:before="0" w:after="283"/>
        <w:rPr>
          <w:rFonts w:ascii="times" w:hAnsi="times"/>
          <w:sz w:val="20"/>
        </w:rPr>
      </w:pPr>
      <w:r>
        <w:rPr>
          <w:rFonts w:ascii="times" w:hAnsi="times"/>
          <w:sz w:val="20"/>
        </w:rPr>
        <w:t xml:space="preserve">The GP LLC Agreement specifies that certain of the owners of our general partner have the right to designate a member of our board of directors. Mr. Conn has been designated as one of our directors by Vulcan Energy Corporation, of which he is Chairman of the Board. Pursuant to certain agreements, Mr. Conn has the right to receive a performance-based fee based on the performance of the holdings of Vulcan Energy and Vulcan LLC, including the common units held by these entities. Mr. Conn disclaims any deemed beneficial ownership of our common units held by Vulcan Energy Corporation and Vulcan LLC or any of their affiliates beyond his pecuniary interest therein, if any. By virtue of its greater than 50% ownership in the general partner, Vulcan Energy Corporation controls the vacant "at-large" seat and the "at-large" seat occupied by Mr. Petersen. </w:t>
      </w:r>
    </w:p>
    <w:p>
      <w:pPr>
        <w:pStyle w:val="ListHeading"/>
        <w:spacing w:before="0" w:after="0"/>
        <w:rPr>
          <w:rFonts w:ascii="times" w:hAnsi="times"/>
          <w:position w:val="7"/>
          <w:sz w:val="16"/>
          <w:sz w:val="20"/>
        </w:rPr>
      </w:pPr>
      <w:r>
        <w:rPr>
          <w:rFonts w:ascii="times" w:hAnsi="times"/>
          <w:position w:val="7"/>
          <w:sz w:val="16"/>
          <w:sz w:val="20"/>
        </w:rPr>
        <w:t>(10)</w:t>
      </w:r>
    </w:p>
    <w:p>
      <w:pPr>
        <w:pStyle w:val="ListContents"/>
        <w:spacing w:before="0" w:after="283"/>
        <w:rPr>
          <w:rFonts w:ascii="times" w:hAnsi="times"/>
          <w:sz w:val="20"/>
        </w:rPr>
      </w:pPr>
      <w:r>
        <w:rPr>
          <w:rFonts w:ascii="times" w:hAnsi="times"/>
          <w:sz w:val="20"/>
        </w:rPr>
        <w:t xml:space="preserve">Mr. Petersen is Senior Managing Director of EnCap Investments L.P., which is an affiliate of E-Holdings III, L.P. Mr. Petersen disclaims any deemed beneficial ownership of the 618,896 common units held by E-Holdings III, L.P. and E-Holdings V, L.P. or other affiliates of EnCap Investments L.P. beyond his pecuniary interest therein, if any. </w:t>
      </w:r>
    </w:p>
    <w:p>
      <w:pPr>
        <w:pStyle w:val="ListHeading"/>
        <w:spacing w:before="0" w:after="0"/>
        <w:rPr>
          <w:rFonts w:ascii="times" w:hAnsi="times"/>
          <w:position w:val="7"/>
          <w:sz w:val="16"/>
          <w:sz w:val="20"/>
        </w:rPr>
      </w:pPr>
      <w:r>
        <w:rPr>
          <w:rFonts w:ascii="times" w:hAnsi="times"/>
          <w:position w:val="7"/>
          <w:sz w:val="16"/>
          <w:sz w:val="20"/>
        </w:rPr>
        <w:t>(11)</w:t>
      </w:r>
    </w:p>
    <w:p>
      <w:pPr>
        <w:pStyle w:val="ListContents"/>
        <w:spacing w:before="0" w:after="283"/>
        <w:rPr>
          <w:rFonts w:ascii="times" w:hAnsi="times"/>
          <w:sz w:val="20"/>
        </w:rPr>
      </w:pPr>
      <w:r>
        <w:rPr>
          <w:rFonts w:ascii="times" w:hAnsi="times"/>
          <w:sz w:val="20"/>
        </w:rPr>
        <w:t xml:space="preserve">Pursuant to the GP LLC Agreement, Mr. Sinnott has been designated as one of our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2nd Floor, Los Angeles, California 90067. </w:t>
      </w:r>
    </w:p>
    <w:p>
      <w:pPr>
        <w:pStyle w:val="ListHeading"/>
        <w:spacing w:before="0" w:after="0"/>
        <w:rPr>
          <w:rFonts w:ascii="times" w:hAnsi="times"/>
          <w:position w:val="7"/>
          <w:sz w:val="16"/>
          <w:sz w:val="20"/>
        </w:rPr>
      </w:pPr>
      <w:r>
        <w:rPr>
          <w:rFonts w:ascii="times" w:hAnsi="times"/>
          <w:position w:val="7"/>
          <w:sz w:val="16"/>
          <w:sz w:val="20"/>
        </w:rPr>
        <w:t>(12)</w:t>
      </w:r>
    </w:p>
    <w:p>
      <w:pPr>
        <w:pStyle w:val="ListContents"/>
        <w:spacing w:before="0" w:after="283"/>
        <w:rPr>
          <w:rFonts w:ascii="times" w:hAnsi="times"/>
          <w:sz w:val="20"/>
        </w:rPr>
      </w:pPr>
      <w:r>
        <w:rPr>
          <w:rFonts w:ascii="times" w:hAnsi="times"/>
          <w:sz w:val="20"/>
        </w:rPr>
        <w:t xml:space="preserve">As of February 20, 2009, no units were pledged by directors or Named Executive Officers. Certain of the directors and Named Executive Officers hold units in marginable broker's accounts, but none of the units were margined as of February 20, 2009. </w:t>
      </w:r>
    </w:p>
    <w:p>
      <w:pPr>
        <w:pStyle w:val="TextBody"/>
        <w:jc w:val="center"/>
        <w:rPr>
          <w:rFonts w:ascii="times" w:hAnsi="times"/>
          <w:sz w:val="20"/>
        </w:rPr>
      </w:pPr>
      <w:r>
        <w:rPr>
          <w:rFonts w:ascii="times" w:hAnsi="times"/>
          <w:sz w:val="20"/>
        </w:rPr>
        <w:t>132</w:t>
      </w:r>
    </w:p>
    <w:p>
      <w:pPr>
        <w:pStyle w:val="HorizontalLine"/>
        <w:pBdr>
          <w:bottom w:val="single" w:sz="20" w:space="0" w:color="808080"/>
        </w:pBdr>
        <w:rPr/>
      </w:pPr>
      <w:r>
        <w:rPr/>
      </w:r>
      <w:r>
        <w:br w:type="page"/>
      </w:r>
    </w:p>
    <w:p>
      <w:pPr>
        <w:pStyle w:val="TextBody"/>
        <w:rPr/>
      </w:pPr>
      <w:hyperlink w:anchor="bg12101a_main_toc">
        <w:bookmarkStart w:id="181" w:name="page_ek12101_1_133"/>
        <w:bookmarkEnd w:id="181"/>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Beneficial Ownership of General Partner Interest </w:t>
      </w:r>
    </w:p>
    <w:p>
      <w:pPr>
        <w:pStyle w:val="TextBody"/>
        <w:rPr/>
      </w:pPr>
      <w:r>
        <w:rPr/>
        <w:t>        </w:t>
      </w:r>
      <w:r>
        <w:rPr>
          <w:rFonts w:ascii="times" w:hAnsi="times"/>
          <w:sz w:val="20"/>
        </w:rPr>
        <w:t xml:space="preserve">Plains AAP, L.P. owns all of our incentive distribution rights and, through its 100% member interest in PAA GP LLC, our 2% general partner interest. The following table sets forth the effective ownership of Plains AAP, L.P. (after giving effect to proportionate ownership of Plains All American GP LLC, its 1% general partner). </w:t>
      </w:r>
    </w:p>
    <w:tbl>
      <w:tblPr>
        <w:tblW w:w="7464" w:type="dxa"/>
        <w:jc w:val="center"/>
        <w:tblInd w:w="0" w:type="dxa"/>
        <w:tblCellMar>
          <w:top w:w="0" w:type="dxa"/>
          <w:left w:w="0" w:type="dxa"/>
          <w:bottom w:w="0" w:type="dxa"/>
          <w:right w:w="0" w:type="dxa"/>
        </w:tblCellMar>
      </w:tblPr>
      <w:tblGrid>
        <w:gridCol w:w="150"/>
        <w:gridCol w:w="4335"/>
        <w:gridCol w:w="180"/>
        <w:gridCol w:w="195"/>
        <w:gridCol w:w="2419"/>
        <w:gridCol w:w="185"/>
      </w:tblGrid>
      <w:tr>
        <w:trPr/>
        <w:tc>
          <w:tcPr>
            <w:tcW w:w="150" w:type="dxa"/>
            <w:tcBorders/>
            <w:shd w:fill="auto" w:val="clear"/>
            <w:vAlign w:val="center"/>
          </w:tcPr>
          <w:p>
            <w:pPr>
              <w:pStyle w:val="TableContents"/>
              <w:spacing w:before="0" w:after="283"/>
              <w:rPr>
                <w:sz w:val="4"/>
                <w:szCs w:val="4"/>
              </w:rPr>
            </w:pPr>
            <w:r>
              <w:rPr>
                <w:sz w:val="4"/>
                <w:szCs w:val="4"/>
              </w:rPr>
            </w:r>
          </w:p>
        </w:tc>
        <w:tc>
          <w:tcPr>
            <w:tcW w:w="43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41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48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of Owner and Address (in the case of Owners of more than 5%) </w:t>
            </w:r>
          </w:p>
        </w:tc>
        <w:tc>
          <w:tcPr>
            <w:tcW w:w="180" w:type="dxa"/>
            <w:tcBorders/>
            <w:shd w:fill="auto" w:val="clear"/>
            <w:vAlign w:val="bottom"/>
          </w:tcPr>
          <w:p>
            <w:pPr>
              <w:pStyle w:val="TableHeading"/>
              <w:suppressLineNumbers/>
              <w:spacing w:before="0" w:after="283"/>
              <w:jc w:val="center"/>
              <w:rPr/>
            </w:pPr>
            <w:r>
              <w:rPr/>
              <w:t> </w:t>
            </w:r>
          </w:p>
        </w:tc>
        <w:tc>
          <w:tcPr>
            <w:tcW w:w="26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Ownership of Plains AAP, L.P.</w:t>
            </w:r>
            <w:r>
              <w:rPr>
                <w:rFonts w:ascii="times" w:hAnsi="times"/>
                <w:b/>
                <w:position w:val="5"/>
                <w:sz w:val="11"/>
                <w:sz w:val="14"/>
              </w:rPr>
              <w:t>(1)</w:t>
            </w:r>
            <w:r>
              <w:rPr>
                <w:rFonts w:ascii="times" w:hAnsi="times"/>
                <w:b/>
                <w:sz w:val="14"/>
              </w:rPr>
              <w:t xml:space="preserve"> </w:t>
            </w:r>
          </w:p>
        </w:tc>
        <w:tc>
          <w:tcPr>
            <w:tcW w:w="185" w:type="dxa"/>
            <w:tcBorders/>
            <w:shd w:fill="auto" w:val="clear"/>
            <w:vAlign w:val="bottom"/>
          </w:tcPr>
          <w:p>
            <w:pPr>
              <w:pStyle w:val="TableHeading"/>
              <w:suppressLineNumbers/>
              <w:spacing w:before="0" w:after="283"/>
              <w:jc w:val="center"/>
              <w:rPr/>
            </w:pPr>
            <w:r>
              <w:rPr/>
              <w:t> </w:t>
            </w:r>
          </w:p>
        </w:tc>
      </w:tr>
      <w:tr>
        <w:trPr/>
        <w:tc>
          <w:tcPr>
            <w:tcW w:w="448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Paul G. Allen</w:t>
            </w:r>
            <w:r>
              <w:rPr>
                <w:rFonts w:ascii="times" w:hAnsi="times"/>
                <w:position w:val="7"/>
                <w:sz w:val="16"/>
                <w:sz w:val="20"/>
              </w:rPr>
              <w:t>(2)</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jc w:val="right"/>
              <w:rPr>
                <w:rFonts w:ascii="times" w:hAnsi="times"/>
                <w:sz w:val="20"/>
              </w:rPr>
            </w:pPr>
            <w:r>
              <w:rPr>
                <w:rFonts w:ascii="times" w:hAnsi="times"/>
                <w:sz w:val="20"/>
              </w:rPr>
              <w:t>50.1</w:t>
            </w:r>
          </w:p>
        </w:tc>
        <w:tc>
          <w:tcPr>
            <w:tcW w:w="185" w:type="dxa"/>
            <w:tcBorders/>
            <w:shd w:fill="CCEEFF" w:val="clear"/>
          </w:tcPr>
          <w:p>
            <w:pPr>
              <w:pStyle w:val="TableContents"/>
              <w:spacing w:before="0" w:after="283"/>
              <w:rPr>
                <w:rFonts w:ascii="times" w:hAnsi="times"/>
                <w:sz w:val="20"/>
              </w:rPr>
            </w:pPr>
            <w:r>
              <w:rPr>
                <w:rFonts w:ascii="times" w:hAnsi="times"/>
                <w:sz w:val="20"/>
              </w:rPr>
              <w:t>%</w:t>
            </w:r>
          </w:p>
        </w:tc>
      </w:tr>
      <w:tr>
        <w:trPr/>
        <w:tc>
          <w:tcPr>
            <w:tcW w:w="150" w:type="dxa"/>
            <w:tcBorders/>
            <w:shd w:fill="CCEEFF" w:val="clear"/>
            <w:vAlign w:val="bottom"/>
          </w:tcPr>
          <w:p>
            <w:pPr>
              <w:pStyle w:val="TableContents"/>
              <w:spacing w:before="0" w:after="283"/>
              <w:rPr/>
            </w:pPr>
            <w:r>
              <w:rPr/>
              <w:t> </w:t>
            </w:r>
          </w:p>
        </w:tc>
        <w:tc>
          <w:tcPr>
            <w:tcW w:w="4335" w:type="dxa"/>
            <w:tcBorders/>
            <w:shd w:fill="CCEEFF" w:val="clear"/>
          </w:tcPr>
          <w:p>
            <w:pPr>
              <w:pStyle w:val="TableContents"/>
              <w:spacing w:before="0" w:after="283"/>
              <w:ind w:left="0" w:right="0" w:hanging="0"/>
              <w:rPr>
                <w:rFonts w:ascii="times" w:hAnsi="times"/>
                <w:sz w:val="20"/>
              </w:rPr>
            </w:pPr>
            <w:r>
              <w:rPr>
                <w:rFonts w:ascii="times" w:hAnsi="times"/>
                <w:sz w:val="20"/>
              </w:rPr>
              <w:t>505 Fifth Avenue S, Suite 900</w:t>
              <w:br/>
              <w:t>Seattle, WA 98104</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rPr/>
            </w:pPr>
            <w:r>
              <w:rPr/>
              <w:t> </w:t>
            </w:r>
          </w:p>
        </w:tc>
        <w:tc>
          <w:tcPr>
            <w:tcW w:w="185" w:type="dxa"/>
            <w:tcBorders/>
            <w:shd w:fill="CCEEFF" w:val="clear"/>
          </w:tcPr>
          <w:p>
            <w:pPr>
              <w:pStyle w:val="TableContents"/>
              <w:spacing w:before="0" w:after="283"/>
              <w:rPr/>
            </w:pPr>
            <w:r>
              <w:rPr/>
              <w:t> </w:t>
            </w:r>
          </w:p>
        </w:tc>
      </w:tr>
      <w:tr>
        <w:trPr/>
        <w:tc>
          <w:tcPr>
            <w:tcW w:w="4485" w:type="dxa"/>
            <w:gridSpan w:val="2"/>
            <w:tcBorders/>
            <w:shd w:fill="auto" w:val="clear"/>
          </w:tcPr>
          <w:p>
            <w:pPr>
              <w:pStyle w:val="TableContents"/>
              <w:spacing w:before="240" w:after="283"/>
              <w:ind w:left="200" w:right="0" w:hanging="200"/>
              <w:rPr>
                <w:rFonts w:ascii="times" w:hAnsi="times"/>
                <w:sz w:val="20"/>
              </w:rPr>
            </w:pPr>
            <w:r>
              <w:rPr>
                <w:rFonts w:ascii="times" w:hAnsi="times"/>
                <w:sz w:val="20"/>
              </w:rPr>
              <w:t>Vulcan Energy Corporation</w:t>
            </w:r>
            <w:r>
              <w:rPr>
                <w:rFonts w:ascii="times" w:hAnsi="times"/>
                <w:position w:val="7"/>
                <w:sz w:val="16"/>
                <w:sz w:val="20"/>
              </w:rPr>
              <w:t>(3)</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jc w:val="right"/>
              <w:rPr>
                <w:rFonts w:ascii="times" w:hAnsi="times"/>
                <w:sz w:val="20"/>
              </w:rPr>
            </w:pPr>
            <w:r>
              <w:rPr>
                <w:rFonts w:ascii="times" w:hAnsi="times"/>
                <w:sz w:val="20"/>
              </w:rPr>
              <w:br/>
              <w:t>50.1</w:t>
            </w:r>
          </w:p>
        </w:tc>
        <w:tc>
          <w:tcPr>
            <w:tcW w:w="185" w:type="dxa"/>
            <w:tcBorders/>
            <w:shd w:fill="auto" w:val="clear"/>
          </w:tcPr>
          <w:p>
            <w:pPr>
              <w:pStyle w:val="TableContents"/>
              <w:spacing w:before="0" w:after="283"/>
              <w:rPr>
                <w:rFonts w:ascii="times" w:hAnsi="times"/>
                <w:sz w:val="20"/>
              </w:rPr>
            </w:pPr>
            <w:r>
              <w:rPr>
                <w:rFonts w:ascii="times" w:hAnsi="times"/>
                <w:sz w:val="20"/>
              </w:rPr>
              <w:br/>
              <w:t>%</w:t>
            </w:r>
          </w:p>
        </w:tc>
      </w:tr>
      <w:tr>
        <w:trPr/>
        <w:tc>
          <w:tcPr>
            <w:tcW w:w="150" w:type="dxa"/>
            <w:tcBorders/>
            <w:shd w:fill="auto" w:val="clear"/>
            <w:vAlign w:val="bottom"/>
          </w:tcPr>
          <w:p>
            <w:pPr>
              <w:pStyle w:val="TableContents"/>
              <w:spacing w:before="0" w:after="283"/>
              <w:rPr/>
            </w:pPr>
            <w:r>
              <w:rPr/>
              <w:t> </w:t>
            </w:r>
          </w:p>
        </w:tc>
        <w:tc>
          <w:tcPr>
            <w:tcW w:w="4335" w:type="dxa"/>
            <w:tcBorders/>
            <w:shd w:fill="auto" w:val="clear"/>
          </w:tcPr>
          <w:p>
            <w:pPr>
              <w:pStyle w:val="TableContents"/>
              <w:spacing w:before="0" w:after="283"/>
              <w:ind w:left="0" w:right="0" w:hanging="0"/>
              <w:rPr>
                <w:rFonts w:ascii="times" w:hAnsi="times"/>
                <w:sz w:val="20"/>
              </w:rPr>
            </w:pPr>
            <w:r>
              <w:rPr>
                <w:rFonts w:ascii="times" w:hAnsi="times"/>
                <w:sz w:val="20"/>
              </w:rPr>
              <w:t>c/o Plains All American GP LLC</w:t>
              <w:br/>
              <w:t>333 Clay Street, Suite 1600</w:t>
              <w:br/>
              <w:t>Houston, TX 77002</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r>
      <w:tr>
        <w:trPr/>
        <w:tc>
          <w:tcPr>
            <w:tcW w:w="4485" w:type="dxa"/>
            <w:gridSpan w:val="2"/>
            <w:tcBorders/>
            <w:shd w:fill="CCEEFF" w:val="clear"/>
          </w:tcPr>
          <w:p>
            <w:pPr>
              <w:pStyle w:val="TableContents"/>
              <w:spacing w:before="240" w:after="283"/>
              <w:ind w:left="200" w:right="0" w:hanging="200"/>
              <w:rPr>
                <w:rFonts w:ascii="times" w:hAnsi="times"/>
                <w:sz w:val="20"/>
              </w:rPr>
            </w:pPr>
            <w:r>
              <w:rPr>
                <w:rFonts w:ascii="times" w:hAnsi="times"/>
                <w:sz w:val="20"/>
              </w:rPr>
              <w:t>KAFU Holdings, L.P.</w:t>
            </w:r>
            <w:r>
              <w:rPr>
                <w:rFonts w:ascii="times" w:hAnsi="times"/>
                <w:position w:val="7"/>
                <w:sz w:val="16"/>
                <w:sz w:val="20"/>
              </w:rPr>
              <w:t>(4)</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jc w:val="right"/>
              <w:rPr>
                <w:rFonts w:ascii="times" w:hAnsi="times"/>
                <w:sz w:val="20"/>
              </w:rPr>
            </w:pPr>
            <w:r>
              <w:rPr>
                <w:rFonts w:ascii="times" w:hAnsi="times"/>
                <w:sz w:val="20"/>
              </w:rPr>
              <w:br/>
              <w:t>17.9</w:t>
            </w:r>
          </w:p>
        </w:tc>
        <w:tc>
          <w:tcPr>
            <w:tcW w:w="185" w:type="dxa"/>
            <w:tcBorders/>
            <w:shd w:fill="CCEEFF" w:val="clear"/>
          </w:tcPr>
          <w:p>
            <w:pPr>
              <w:pStyle w:val="TableContents"/>
              <w:spacing w:before="0" w:after="283"/>
              <w:rPr>
                <w:rFonts w:ascii="times" w:hAnsi="times"/>
                <w:sz w:val="20"/>
              </w:rPr>
            </w:pPr>
            <w:r>
              <w:rPr>
                <w:rFonts w:ascii="times" w:hAnsi="times"/>
                <w:sz w:val="20"/>
              </w:rPr>
              <w:br/>
              <w:t>%</w:t>
            </w:r>
          </w:p>
        </w:tc>
      </w:tr>
      <w:tr>
        <w:trPr/>
        <w:tc>
          <w:tcPr>
            <w:tcW w:w="150" w:type="dxa"/>
            <w:tcBorders/>
            <w:shd w:fill="CCEEFF" w:val="clear"/>
            <w:vAlign w:val="bottom"/>
          </w:tcPr>
          <w:p>
            <w:pPr>
              <w:pStyle w:val="TableContents"/>
              <w:spacing w:before="0" w:after="283"/>
              <w:rPr/>
            </w:pPr>
            <w:r>
              <w:rPr/>
              <w:t> </w:t>
            </w:r>
          </w:p>
        </w:tc>
        <w:tc>
          <w:tcPr>
            <w:tcW w:w="4335" w:type="dxa"/>
            <w:tcBorders/>
            <w:shd w:fill="CCEEFF" w:val="clear"/>
          </w:tcPr>
          <w:p>
            <w:pPr>
              <w:pStyle w:val="TableContents"/>
              <w:spacing w:before="0" w:after="283"/>
              <w:ind w:left="0" w:right="0" w:hanging="0"/>
              <w:rPr>
                <w:rFonts w:ascii="times" w:hAnsi="times"/>
                <w:sz w:val="20"/>
              </w:rPr>
            </w:pPr>
            <w:r>
              <w:rPr>
                <w:rFonts w:ascii="times" w:hAnsi="times"/>
                <w:sz w:val="20"/>
              </w:rPr>
              <w:t>1800 Avenue of the Stars, 2nd Floor</w:t>
              <w:br/>
              <w:t>Los Angeles, CA 90067</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rPr/>
            </w:pPr>
            <w:r>
              <w:rPr/>
              <w:t> </w:t>
            </w:r>
          </w:p>
        </w:tc>
        <w:tc>
          <w:tcPr>
            <w:tcW w:w="185" w:type="dxa"/>
            <w:tcBorders/>
            <w:shd w:fill="CCEEFF" w:val="clear"/>
          </w:tcPr>
          <w:p>
            <w:pPr>
              <w:pStyle w:val="TableContents"/>
              <w:spacing w:before="0" w:after="283"/>
              <w:rPr/>
            </w:pPr>
            <w:r>
              <w:rPr/>
              <w:t> </w:t>
            </w:r>
          </w:p>
        </w:tc>
      </w:tr>
      <w:tr>
        <w:trPr/>
        <w:tc>
          <w:tcPr>
            <w:tcW w:w="4485" w:type="dxa"/>
            <w:gridSpan w:val="2"/>
            <w:tcBorders/>
            <w:shd w:fill="auto" w:val="clear"/>
          </w:tcPr>
          <w:p>
            <w:pPr>
              <w:pStyle w:val="TableContents"/>
              <w:spacing w:before="240" w:after="283"/>
              <w:ind w:left="200" w:right="0" w:hanging="200"/>
              <w:rPr>
                <w:rFonts w:ascii="times" w:hAnsi="times"/>
                <w:sz w:val="20"/>
              </w:rPr>
            </w:pPr>
            <w:r>
              <w:rPr>
                <w:rFonts w:ascii="times" w:hAnsi="times"/>
                <w:sz w:val="20"/>
              </w:rPr>
              <w:t>Oxy Holding Company (Pipeline), Inc.</w:t>
            </w:r>
            <w:r>
              <w:rPr>
                <w:rFonts w:ascii="times" w:hAnsi="times"/>
                <w:position w:val="7"/>
                <w:sz w:val="16"/>
                <w:sz w:val="20"/>
              </w:rPr>
              <w:t>(5)</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jc w:val="right"/>
              <w:rPr>
                <w:rFonts w:ascii="times" w:hAnsi="times"/>
                <w:sz w:val="20"/>
              </w:rPr>
            </w:pPr>
            <w:r>
              <w:rPr>
                <w:rFonts w:ascii="times" w:hAnsi="times"/>
                <w:sz w:val="20"/>
              </w:rPr>
              <w:br/>
              <w:t>10.0</w:t>
            </w:r>
          </w:p>
        </w:tc>
        <w:tc>
          <w:tcPr>
            <w:tcW w:w="185" w:type="dxa"/>
            <w:tcBorders/>
            <w:shd w:fill="auto" w:val="clear"/>
          </w:tcPr>
          <w:p>
            <w:pPr>
              <w:pStyle w:val="TableContents"/>
              <w:spacing w:before="0" w:after="283"/>
              <w:rPr>
                <w:rFonts w:ascii="times" w:hAnsi="times"/>
                <w:sz w:val="20"/>
              </w:rPr>
            </w:pPr>
            <w:r>
              <w:rPr>
                <w:rFonts w:ascii="times" w:hAnsi="times"/>
                <w:sz w:val="20"/>
              </w:rPr>
              <w:br/>
              <w:t>%</w:t>
            </w:r>
          </w:p>
        </w:tc>
      </w:tr>
      <w:tr>
        <w:trPr/>
        <w:tc>
          <w:tcPr>
            <w:tcW w:w="150" w:type="dxa"/>
            <w:tcBorders/>
            <w:shd w:fill="auto" w:val="clear"/>
            <w:vAlign w:val="bottom"/>
          </w:tcPr>
          <w:p>
            <w:pPr>
              <w:pStyle w:val="TableContents"/>
              <w:spacing w:before="0" w:after="283"/>
              <w:rPr/>
            </w:pPr>
            <w:r>
              <w:rPr/>
              <w:t> </w:t>
            </w:r>
          </w:p>
        </w:tc>
        <w:tc>
          <w:tcPr>
            <w:tcW w:w="4335" w:type="dxa"/>
            <w:tcBorders/>
            <w:shd w:fill="auto" w:val="clear"/>
          </w:tcPr>
          <w:p>
            <w:pPr>
              <w:pStyle w:val="TableContents"/>
              <w:spacing w:before="0" w:after="283"/>
              <w:ind w:left="0" w:right="0" w:hanging="0"/>
              <w:rPr>
                <w:rFonts w:ascii="times" w:hAnsi="times"/>
                <w:sz w:val="20"/>
              </w:rPr>
            </w:pPr>
            <w:r>
              <w:rPr>
                <w:rFonts w:ascii="times" w:hAnsi="times"/>
                <w:sz w:val="20"/>
              </w:rPr>
              <w:t>10889 Wilshire Boulevard</w:t>
              <w:br/>
              <w:t>Los Angeles, CA 90024</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r>
      <w:tr>
        <w:trPr/>
        <w:tc>
          <w:tcPr>
            <w:tcW w:w="4485" w:type="dxa"/>
            <w:gridSpan w:val="2"/>
            <w:tcBorders/>
            <w:shd w:fill="CCEEFF" w:val="clear"/>
          </w:tcPr>
          <w:p>
            <w:pPr>
              <w:pStyle w:val="TableContents"/>
              <w:spacing w:before="240" w:after="283"/>
              <w:ind w:left="200" w:right="0" w:hanging="200"/>
              <w:rPr>
                <w:rFonts w:ascii="times" w:hAnsi="times"/>
                <w:sz w:val="20"/>
              </w:rPr>
            </w:pPr>
            <w:r>
              <w:rPr>
                <w:rFonts w:ascii="times" w:hAnsi="times"/>
                <w:sz w:val="20"/>
              </w:rPr>
              <w:t>E-Holdings III, L.P.</w:t>
            </w:r>
            <w:r>
              <w:rPr>
                <w:rFonts w:ascii="times" w:hAnsi="times"/>
                <w:position w:val="7"/>
                <w:sz w:val="16"/>
                <w:sz w:val="20"/>
              </w:rPr>
              <w:t>(6)</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jc w:val="right"/>
              <w:rPr>
                <w:rFonts w:ascii="times" w:hAnsi="times"/>
                <w:sz w:val="20"/>
              </w:rPr>
            </w:pPr>
            <w:r>
              <w:rPr>
                <w:rFonts w:ascii="times" w:hAnsi="times"/>
                <w:sz w:val="20"/>
              </w:rPr>
              <w:br/>
              <w:t>7.1</w:t>
            </w:r>
          </w:p>
        </w:tc>
        <w:tc>
          <w:tcPr>
            <w:tcW w:w="185" w:type="dxa"/>
            <w:tcBorders/>
            <w:shd w:fill="CCEEFF" w:val="clear"/>
          </w:tcPr>
          <w:p>
            <w:pPr>
              <w:pStyle w:val="TableContents"/>
              <w:spacing w:before="0" w:after="283"/>
              <w:rPr>
                <w:rFonts w:ascii="times" w:hAnsi="times"/>
                <w:sz w:val="20"/>
              </w:rPr>
            </w:pPr>
            <w:r>
              <w:rPr>
                <w:rFonts w:ascii="times" w:hAnsi="times"/>
                <w:sz w:val="20"/>
              </w:rPr>
              <w:br/>
              <w:t>%</w:t>
            </w:r>
          </w:p>
        </w:tc>
      </w:tr>
      <w:tr>
        <w:trPr/>
        <w:tc>
          <w:tcPr>
            <w:tcW w:w="150" w:type="dxa"/>
            <w:tcBorders/>
            <w:shd w:fill="CCEEFF" w:val="clear"/>
            <w:vAlign w:val="bottom"/>
          </w:tcPr>
          <w:p>
            <w:pPr>
              <w:pStyle w:val="TableContents"/>
              <w:spacing w:before="0" w:after="283"/>
              <w:rPr/>
            </w:pPr>
            <w:r>
              <w:rPr/>
              <w:t> </w:t>
            </w:r>
          </w:p>
        </w:tc>
        <w:tc>
          <w:tcPr>
            <w:tcW w:w="4335" w:type="dxa"/>
            <w:tcBorders/>
            <w:shd w:fill="CCEEFF" w:val="clear"/>
          </w:tcPr>
          <w:p>
            <w:pPr>
              <w:pStyle w:val="TableContents"/>
              <w:spacing w:before="0" w:after="283"/>
              <w:ind w:left="0" w:right="0" w:hanging="0"/>
              <w:rPr>
                <w:rFonts w:ascii="times" w:hAnsi="times"/>
                <w:sz w:val="20"/>
              </w:rPr>
            </w:pPr>
            <w:r>
              <w:rPr>
                <w:rFonts w:ascii="times" w:hAnsi="times"/>
                <w:sz w:val="20"/>
              </w:rPr>
              <w:t>1100 Louisiana, Suite 3150</w:t>
              <w:br/>
              <w:t>Houston, TX 77002</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rPr/>
            </w:pPr>
            <w:r>
              <w:rPr/>
              <w:t> </w:t>
            </w:r>
          </w:p>
        </w:tc>
        <w:tc>
          <w:tcPr>
            <w:tcW w:w="185" w:type="dxa"/>
            <w:tcBorders/>
            <w:shd w:fill="CCEEFF" w:val="clear"/>
          </w:tcPr>
          <w:p>
            <w:pPr>
              <w:pStyle w:val="TableContents"/>
              <w:spacing w:before="0" w:after="283"/>
              <w:rPr/>
            </w:pPr>
            <w:r>
              <w:rPr/>
              <w:t> </w:t>
            </w:r>
          </w:p>
        </w:tc>
      </w:tr>
      <w:tr>
        <w:trPr/>
        <w:tc>
          <w:tcPr>
            <w:tcW w:w="4485" w:type="dxa"/>
            <w:gridSpan w:val="2"/>
            <w:tcBorders/>
            <w:shd w:fill="auto" w:val="clear"/>
          </w:tcPr>
          <w:p>
            <w:pPr>
              <w:pStyle w:val="TableContents"/>
              <w:spacing w:before="240" w:after="283"/>
              <w:ind w:left="200" w:right="0" w:hanging="200"/>
              <w:rPr>
                <w:rFonts w:ascii="times" w:hAnsi="times"/>
                <w:sz w:val="20"/>
              </w:rPr>
            </w:pPr>
            <w:r>
              <w:rPr>
                <w:rFonts w:ascii="times" w:hAnsi="times"/>
                <w:sz w:val="20"/>
              </w:rPr>
              <w:t>E-Holdings V, L.P.</w:t>
            </w:r>
            <w:r>
              <w:rPr>
                <w:rFonts w:ascii="times" w:hAnsi="times"/>
                <w:position w:val="7"/>
                <w:sz w:val="16"/>
                <w:sz w:val="20"/>
              </w:rPr>
              <w:t>(6)</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jc w:val="right"/>
              <w:rPr>
                <w:rFonts w:ascii="times" w:hAnsi="times"/>
                <w:sz w:val="20"/>
              </w:rPr>
            </w:pPr>
            <w:r>
              <w:rPr>
                <w:rFonts w:ascii="times" w:hAnsi="times"/>
                <w:sz w:val="20"/>
              </w:rPr>
              <w:br/>
              <w:t>1.7</w:t>
            </w:r>
          </w:p>
        </w:tc>
        <w:tc>
          <w:tcPr>
            <w:tcW w:w="185" w:type="dxa"/>
            <w:tcBorders/>
            <w:shd w:fill="auto" w:val="clear"/>
          </w:tcPr>
          <w:p>
            <w:pPr>
              <w:pStyle w:val="TableContents"/>
              <w:spacing w:before="0" w:after="283"/>
              <w:rPr>
                <w:rFonts w:ascii="times" w:hAnsi="times"/>
                <w:sz w:val="20"/>
              </w:rPr>
            </w:pPr>
            <w:r>
              <w:rPr>
                <w:rFonts w:ascii="times" w:hAnsi="times"/>
                <w:sz w:val="20"/>
              </w:rPr>
              <w:br/>
              <w:t>%</w:t>
            </w:r>
          </w:p>
        </w:tc>
      </w:tr>
      <w:tr>
        <w:trPr/>
        <w:tc>
          <w:tcPr>
            <w:tcW w:w="150" w:type="dxa"/>
            <w:tcBorders/>
            <w:shd w:fill="auto" w:val="clear"/>
            <w:vAlign w:val="bottom"/>
          </w:tcPr>
          <w:p>
            <w:pPr>
              <w:pStyle w:val="TableContents"/>
              <w:spacing w:before="0" w:after="283"/>
              <w:rPr/>
            </w:pPr>
            <w:r>
              <w:rPr/>
              <w:t> </w:t>
            </w:r>
          </w:p>
        </w:tc>
        <w:tc>
          <w:tcPr>
            <w:tcW w:w="4335" w:type="dxa"/>
            <w:tcBorders/>
            <w:shd w:fill="auto" w:val="clear"/>
          </w:tcPr>
          <w:p>
            <w:pPr>
              <w:pStyle w:val="TableContents"/>
              <w:spacing w:before="0" w:after="283"/>
              <w:ind w:left="0" w:right="0" w:hanging="0"/>
              <w:rPr>
                <w:rFonts w:ascii="times" w:hAnsi="times"/>
                <w:sz w:val="20"/>
              </w:rPr>
            </w:pPr>
            <w:r>
              <w:rPr>
                <w:rFonts w:ascii="times" w:hAnsi="times"/>
                <w:sz w:val="20"/>
              </w:rPr>
              <w:t>1100 Louisiana, Suite 3150</w:t>
              <w:br/>
              <w:t>Houston, TX 77002</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r>
      <w:tr>
        <w:trPr/>
        <w:tc>
          <w:tcPr>
            <w:tcW w:w="4485" w:type="dxa"/>
            <w:gridSpan w:val="2"/>
            <w:tcBorders/>
            <w:shd w:fill="CCEEFF" w:val="clear"/>
          </w:tcPr>
          <w:p>
            <w:pPr>
              <w:pStyle w:val="TableContents"/>
              <w:spacing w:before="240" w:after="283"/>
              <w:ind w:left="200" w:right="0" w:hanging="200"/>
              <w:rPr>
                <w:rFonts w:ascii="times" w:hAnsi="times"/>
                <w:sz w:val="20"/>
              </w:rPr>
            </w:pPr>
            <w:r>
              <w:rPr>
                <w:rFonts w:ascii="times" w:hAnsi="times"/>
                <w:sz w:val="20"/>
              </w:rPr>
              <w:t>PAA Management, L.P.</w:t>
            </w:r>
            <w:r>
              <w:rPr>
                <w:rFonts w:ascii="times" w:hAnsi="times"/>
                <w:position w:val="7"/>
                <w:sz w:val="16"/>
                <w:sz w:val="20"/>
              </w:rPr>
              <w:t>(7)</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jc w:val="right"/>
              <w:rPr>
                <w:rFonts w:ascii="times" w:hAnsi="times"/>
                <w:sz w:val="20"/>
              </w:rPr>
            </w:pPr>
            <w:r>
              <w:rPr>
                <w:rFonts w:ascii="times" w:hAnsi="times"/>
                <w:sz w:val="20"/>
              </w:rPr>
              <w:br/>
              <w:t>4.6</w:t>
            </w:r>
          </w:p>
        </w:tc>
        <w:tc>
          <w:tcPr>
            <w:tcW w:w="185" w:type="dxa"/>
            <w:tcBorders/>
            <w:shd w:fill="CCEEFF" w:val="clear"/>
          </w:tcPr>
          <w:p>
            <w:pPr>
              <w:pStyle w:val="TableContents"/>
              <w:spacing w:before="0" w:after="283"/>
              <w:rPr>
                <w:rFonts w:ascii="times" w:hAnsi="times"/>
                <w:sz w:val="20"/>
              </w:rPr>
            </w:pPr>
            <w:r>
              <w:rPr>
                <w:rFonts w:ascii="times" w:hAnsi="times"/>
                <w:sz w:val="20"/>
              </w:rPr>
              <w:br/>
              <w:t>%</w:t>
            </w:r>
          </w:p>
        </w:tc>
      </w:tr>
      <w:tr>
        <w:trPr/>
        <w:tc>
          <w:tcPr>
            <w:tcW w:w="4485" w:type="dxa"/>
            <w:gridSpan w:val="2"/>
            <w:tcBorders/>
            <w:shd w:fill="auto" w:val="clear"/>
          </w:tcPr>
          <w:p>
            <w:pPr>
              <w:pStyle w:val="TableContents"/>
              <w:spacing w:before="240" w:after="283"/>
              <w:ind w:left="200" w:right="0" w:hanging="200"/>
              <w:rPr>
                <w:rFonts w:ascii="times" w:hAnsi="times"/>
                <w:sz w:val="20"/>
              </w:rPr>
            </w:pPr>
            <w:r>
              <w:rPr>
                <w:rFonts w:ascii="times" w:hAnsi="times"/>
                <w:sz w:val="20"/>
              </w:rPr>
              <w:t>Wachovia Investors, Inc. </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jc w:val="right"/>
              <w:rPr>
                <w:rFonts w:ascii="times" w:hAnsi="times"/>
                <w:sz w:val="20"/>
              </w:rPr>
            </w:pPr>
            <w:r>
              <w:rPr>
                <w:rFonts w:ascii="times" w:hAnsi="times"/>
                <w:sz w:val="20"/>
              </w:rPr>
              <w:br/>
              <w:t>3.1</w:t>
            </w:r>
          </w:p>
        </w:tc>
        <w:tc>
          <w:tcPr>
            <w:tcW w:w="185" w:type="dxa"/>
            <w:tcBorders/>
            <w:shd w:fill="auto" w:val="clear"/>
          </w:tcPr>
          <w:p>
            <w:pPr>
              <w:pStyle w:val="TableContents"/>
              <w:spacing w:before="0" w:after="283"/>
              <w:rPr>
                <w:rFonts w:ascii="times" w:hAnsi="times"/>
                <w:sz w:val="20"/>
              </w:rPr>
            </w:pPr>
            <w:r>
              <w:rPr>
                <w:rFonts w:ascii="times" w:hAnsi="times"/>
                <w:sz w:val="20"/>
              </w:rPr>
              <w:br/>
              <w:t>%</w:t>
            </w:r>
          </w:p>
        </w:tc>
      </w:tr>
      <w:tr>
        <w:trPr/>
        <w:tc>
          <w:tcPr>
            <w:tcW w:w="4485" w:type="dxa"/>
            <w:gridSpan w:val="2"/>
            <w:tcBorders/>
            <w:shd w:fill="CCEEFF" w:val="clear"/>
          </w:tcPr>
          <w:p>
            <w:pPr>
              <w:pStyle w:val="TableContents"/>
              <w:spacing w:before="240" w:after="283"/>
              <w:ind w:left="200" w:right="0" w:hanging="200"/>
              <w:rPr>
                <w:rFonts w:ascii="times" w:hAnsi="times"/>
                <w:sz w:val="20"/>
              </w:rPr>
            </w:pPr>
            <w:r>
              <w:rPr>
                <w:rFonts w:ascii="times" w:hAnsi="times"/>
                <w:sz w:val="20"/>
              </w:rPr>
              <w:t>Various Individual Investors</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jc w:val="right"/>
              <w:rPr>
                <w:rFonts w:ascii="times" w:hAnsi="times"/>
                <w:sz w:val="20"/>
              </w:rPr>
            </w:pPr>
            <w:r>
              <w:rPr>
                <w:rFonts w:ascii="times" w:hAnsi="times"/>
                <w:sz w:val="20"/>
              </w:rPr>
              <w:br/>
              <w:t>0.8</w:t>
            </w:r>
          </w:p>
        </w:tc>
        <w:tc>
          <w:tcPr>
            <w:tcW w:w="185" w:type="dxa"/>
            <w:tcBorders/>
            <w:shd w:fill="CCEEFF" w:val="clear"/>
          </w:tcPr>
          <w:p>
            <w:pPr>
              <w:pStyle w:val="TableContents"/>
              <w:spacing w:before="0" w:after="283"/>
              <w:rPr>
                <w:rFonts w:ascii="times" w:hAnsi="times"/>
                <w:sz w:val="20"/>
              </w:rPr>
            </w:pPr>
            <w:r>
              <w:rPr>
                <w:rFonts w:ascii="times" w:hAnsi="times"/>
                <w:sz w:val="20"/>
              </w:rPr>
              <w:br/>
              <w:t>%</w:t>
            </w:r>
          </w:p>
        </w:tc>
      </w:tr>
      <w:tr>
        <w:trPr/>
        <w:tc>
          <w:tcPr>
            <w:tcW w:w="4485" w:type="dxa"/>
            <w:gridSpan w:val="2"/>
            <w:tcBorders/>
            <w:shd w:fill="auto" w:val="clear"/>
          </w:tcPr>
          <w:p>
            <w:pPr>
              <w:pStyle w:val="TableContents"/>
              <w:spacing w:before="240" w:after="283"/>
              <w:ind w:left="200" w:right="0" w:hanging="200"/>
              <w:rPr>
                <w:rFonts w:ascii="times" w:hAnsi="times"/>
                <w:sz w:val="20"/>
              </w:rPr>
            </w:pPr>
            <w:r>
              <w:rPr>
                <w:rFonts w:ascii="times" w:hAnsi="times"/>
                <w:sz w:val="20"/>
              </w:rPr>
              <w:t>Mark E. Strome</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jc w:val="right"/>
              <w:rPr>
                <w:rFonts w:ascii="times" w:hAnsi="times"/>
                <w:sz w:val="20"/>
              </w:rPr>
            </w:pPr>
            <w:r>
              <w:rPr>
                <w:rFonts w:ascii="times" w:hAnsi="times"/>
                <w:sz w:val="20"/>
              </w:rPr>
              <w:br/>
              <w:t>2.6</w:t>
            </w:r>
          </w:p>
        </w:tc>
        <w:tc>
          <w:tcPr>
            <w:tcW w:w="185" w:type="dxa"/>
            <w:tcBorders/>
            <w:shd w:fill="auto" w:val="clear"/>
          </w:tcPr>
          <w:p>
            <w:pPr>
              <w:pStyle w:val="TableContents"/>
              <w:spacing w:before="0" w:after="283"/>
              <w:rPr>
                <w:rFonts w:ascii="times" w:hAnsi="times"/>
                <w:sz w:val="20"/>
              </w:rPr>
            </w:pPr>
            <w:r>
              <w:rPr>
                <w:rFonts w:ascii="times" w:hAnsi="times"/>
                <w:sz w:val="20"/>
              </w:rPr>
              <w:br/>
              <w:t>%</w:t>
            </w:r>
          </w:p>
        </w:tc>
      </w:tr>
      <w:tr>
        <w:trPr/>
        <w:tc>
          <w:tcPr>
            <w:tcW w:w="4485" w:type="dxa"/>
            <w:gridSpan w:val="2"/>
            <w:tcBorders/>
            <w:shd w:fill="CCEEFF" w:val="clear"/>
          </w:tcPr>
          <w:p>
            <w:pPr>
              <w:pStyle w:val="TableContents"/>
              <w:spacing w:before="240" w:after="283"/>
              <w:ind w:left="200" w:right="0" w:hanging="200"/>
              <w:rPr>
                <w:rFonts w:ascii="times" w:hAnsi="times"/>
                <w:sz w:val="20"/>
              </w:rPr>
            </w:pPr>
            <w:r>
              <w:rPr>
                <w:rFonts w:ascii="times" w:hAnsi="times"/>
                <w:sz w:val="20"/>
              </w:rPr>
              <w:t>Strome MLP Fund, L.P. </w:t>
            </w:r>
          </w:p>
        </w:tc>
        <w:tc>
          <w:tcPr>
            <w:tcW w:w="18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419" w:type="dxa"/>
            <w:tcBorders/>
            <w:shd w:fill="CCEEFF" w:val="clear"/>
          </w:tcPr>
          <w:p>
            <w:pPr>
              <w:pStyle w:val="TableContents"/>
              <w:spacing w:before="0" w:after="283"/>
              <w:jc w:val="right"/>
              <w:rPr>
                <w:rFonts w:ascii="times" w:hAnsi="times"/>
                <w:sz w:val="20"/>
              </w:rPr>
            </w:pPr>
            <w:r>
              <w:rPr>
                <w:rFonts w:ascii="times" w:hAnsi="times"/>
                <w:sz w:val="20"/>
              </w:rPr>
              <w:br/>
              <w:t>0.9</w:t>
            </w:r>
          </w:p>
        </w:tc>
        <w:tc>
          <w:tcPr>
            <w:tcW w:w="185" w:type="dxa"/>
            <w:tcBorders/>
            <w:shd w:fill="CCEEFF" w:val="clear"/>
          </w:tcPr>
          <w:p>
            <w:pPr>
              <w:pStyle w:val="TableContents"/>
              <w:spacing w:before="0" w:after="283"/>
              <w:rPr>
                <w:rFonts w:ascii="times" w:hAnsi="times"/>
                <w:sz w:val="20"/>
              </w:rPr>
            </w:pPr>
            <w:r>
              <w:rPr>
                <w:rFonts w:ascii="times" w:hAnsi="times"/>
                <w:sz w:val="20"/>
              </w:rPr>
              <w:br/>
              <w:t>%</w:t>
            </w:r>
          </w:p>
        </w:tc>
      </w:tr>
      <w:tr>
        <w:trPr/>
        <w:tc>
          <w:tcPr>
            <w:tcW w:w="4485" w:type="dxa"/>
            <w:gridSpan w:val="2"/>
            <w:tcBorders/>
            <w:shd w:fill="auto" w:val="clear"/>
          </w:tcPr>
          <w:p>
            <w:pPr>
              <w:pStyle w:val="TableContents"/>
              <w:spacing w:before="240" w:after="283"/>
              <w:ind w:left="200" w:right="0" w:hanging="200"/>
              <w:rPr>
                <w:rFonts w:ascii="times" w:hAnsi="times"/>
                <w:sz w:val="20"/>
              </w:rPr>
            </w:pPr>
            <w:r>
              <w:rPr>
                <w:rFonts w:ascii="times" w:hAnsi="times"/>
                <w:sz w:val="20"/>
              </w:rPr>
              <w:t>Lynx Holdings I, LLC</w:t>
            </w:r>
          </w:p>
        </w:tc>
        <w:tc>
          <w:tcPr>
            <w:tcW w:w="180"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2419" w:type="dxa"/>
            <w:tcBorders/>
            <w:shd w:fill="auto" w:val="clear"/>
          </w:tcPr>
          <w:p>
            <w:pPr>
              <w:pStyle w:val="TableContents"/>
              <w:spacing w:before="0" w:after="283"/>
              <w:jc w:val="right"/>
              <w:rPr>
                <w:rFonts w:ascii="times" w:hAnsi="times"/>
                <w:sz w:val="20"/>
              </w:rPr>
            </w:pPr>
            <w:r>
              <w:rPr>
                <w:rFonts w:ascii="times" w:hAnsi="times"/>
                <w:sz w:val="20"/>
              </w:rPr>
              <w:br/>
              <w:t>1.2</w:t>
            </w:r>
          </w:p>
        </w:tc>
        <w:tc>
          <w:tcPr>
            <w:tcW w:w="185" w:type="dxa"/>
            <w:tcBorders/>
            <w:shd w:fill="auto" w:val="clear"/>
          </w:tcPr>
          <w:p>
            <w:pPr>
              <w:pStyle w:val="TableContents"/>
              <w:spacing w:before="0" w:after="283"/>
              <w:rPr>
                <w:rFonts w:ascii="times" w:hAnsi="times"/>
                <w:sz w:val="20"/>
              </w:rPr>
            </w:pPr>
            <w:r>
              <w:rPr>
                <w:rFonts w:ascii="times" w:hAnsi="times"/>
                <w:sz w:val="20"/>
              </w:rPr>
              <w:br/>
              <w:t>%</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Plains AAP, L.P. owns a 100% member interest in PAA GP LLC, which owns our 2% general partner interest. Plains AAP, L.P. has pledged its member interest, as well as its interest in our incentive distribution rights, as security for its obligations under the Credit Agreement dated as of January 3, 2008 among Plains AAP, L.P., Citibank, N.A. and the lenders party thereto (the "Plains AAP Credit Agreement"). A default by Plains AAP, L.P. under the Plains AAP Credit Agreement could result in a change in control of our general partner. Certain members of management own a profits interest in Plains AAP, L.P. in the form of Class B units. </w:t>
      </w:r>
    </w:p>
    <w:p>
      <w:pPr>
        <w:pStyle w:val="TextBody"/>
        <w:jc w:val="center"/>
        <w:rPr>
          <w:rFonts w:ascii="times" w:hAnsi="times"/>
          <w:sz w:val="20"/>
        </w:rPr>
      </w:pPr>
      <w:r>
        <w:rPr>
          <w:rFonts w:ascii="times" w:hAnsi="times"/>
          <w:sz w:val="20"/>
        </w:rPr>
        <w:t>133</w:t>
      </w:r>
    </w:p>
    <w:p>
      <w:pPr>
        <w:pStyle w:val="HorizontalLine"/>
        <w:pBdr>
          <w:bottom w:val="single" w:sz="20" w:space="0" w:color="808080"/>
        </w:pBdr>
        <w:rPr/>
      </w:pPr>
      <w:r>
        <w:rPr/>
      </w:r>
      <w:r>
        <w:br w:type="page"/>
      </w:r>
    </w:p>
    <w:p>
      <w:pPr>
        <w:pStyle w:val="TextBody"/>
        <w:rPr/>
      </w:pPr>
      <w:hyperlink w:anchor="bg12101a_main_toc">
        <w:bookmarkStart w:id="182" w:name="page_ek12101_1_134"/>
        <w:bookmarkEnd w:id="182"/>
        <w:r>
          <w:rPr>
            <w:rStyle w:val="InternetLink"/>
            <w:rFonts w:ascii="times" w:hAnsi="times"/>
            <w:sz w:val="20"/>
          </w:rPr>
          <w:t>Table of Contents</w:t>
        </w:r>
      </w:hyperlink>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Mr. Allen owns approximately 80% of the outstanding shares of common stock of Vulcan Energy Corporation. Vulcan Energy GP Holdings Inc., a subsidiary of Vulcan Energy Corporation, owns 50.1% of the equity of our general partner. Vulcan Energy Corporation has pledged all of its equity interest in Vulcan Energy GP Holdings Inc. as security for its obligations under the Second Amended and Restated Credit Agreement dated as of August 12, 2005 among Vulcan Energy Corporation, Bank of America, N.A. and the lenders party thereto (as amended, the "VEC Credit Agreement"). A default by Vulcan Energy Corporation under the VEC Credit Agreement could result in an indirect change in control of our general partner. Mr. Allen disclaims any deemed beneficial ownership, beyond his pecuniary interest, in any of our partner interests held by Vulcan Energy Corporation or any of its affiliates.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Mr. Conn disclaims any deemed beneficial ownership of the interests held by Vulcan Energy Corporation and its affiliates beyond his pecuniary interest therein, if any. In August 2005, Vulcan Energy Corporation entered into a voting agreement pursuant to which it agreed to restrict certain of its voting rights to help preserve a balanced board. See Item 10. "Directors and Executive Officers of Our General Partner and Corporate GovernancePartnership Management and Governance" for more information regarding this agreement.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(4)</w:t>
      </w:r>
    </w:p>
    <w:p>
      <w:pPr>
        <w:pStyle w:val="ListContents"/>
        <w:numPr>
          <w:ilvl w:val="0"/>
          <w:numId w:val="0"/>
        </w:numPr>
        <w:spacing w:before="0" w:after="283"/>
        <w:ind w:left="1981" w:right="0" w:hanging="0"/>
        <w:rPr>
          <w:rFonts w:ascii="times" w:hAnsi="times"/>
          <w:sz w:val="20"/>
        </w:rPr>
      </w:pPr>
      <w:r>
        <w:rPr>
          <w:rFonts w:ascii="times" w:hAnsi="times"/>
          <w:sz w:val="20"/>
        </w:rPr>
        <w:t xml:space="preserve">Mr. Sinnott disclaims any deemed beneficial ownership of the interests owned by KAFU Holdings, L.P. beyond his pecuniary interest therein, if any. Mr. Sinnott has a non-controlling ownership interest in KACALP, which is the general partner of KAFU Holdings, L.P. KACALP is entitled to a percentage of the profits earned by the funds invested in KAFU Holdings, L.P.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(5)</w:t>
      </w:r>
    </w:p>
    <w:p>
      <w:pPr>
        <w:pStyle w:val="ListContents"/>
        <w:numPr>
          <w:ilvl w:val="0"/>
          <w:numId w:val="0"/>
        </w:numPr>
        <w:spacing w:before="0" w:after="283"/>
        <w:ind w:left="1981" w:right="0" w:hanging="0"/>
        <w:rPr>
          <w:rFonts w:ascii="times" w:hAnsi="times"/>
          <w:sz w:val="20"/>
        </w:rPr>
      </w:pPr>
      <w:r>
        <w:rPr>
          <w:rFonts w:ascii="times" w:hAnsi="times"/>
          <w:sz w:val="20"/>
        </w:rPr>
        <w:t xml:space="preserve">Oxy has the right to designate an individual to attend Board meetings in an observer capacity. Under certain circumstances involving changes in upper-level management, Oxy will have the right to designate a director to serve on the Board and the authorized number of Board members will be expanded to a total of nine.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(6)</w:t>
      </w:r>
    </w:p>
    <w:p>
      <w:pPr>
        <w:pStyle w:val="ListContents"/>
        <w:numPr>
          <w:ilvl w:val="0"/>
          <w:numId w:val="0"/>
        </w:numPr>
        <w:spacing w:before="0" w:after="283"/>
        <w:ind w:left="1981" w:right="0" w:hanging="0"/>
        <w:rPr>
          <w:rFonts w:ascii="times" w:hAnsi="times"/>
          <w:sz w:val="20"/>
        </w:rPr>
      </w:pPr>
      <w:r>
        <w:rPr>
          <w:rFonts w:ascii="times" w:hAnsi="times"/>
          <w:sz w:val="20"/>
        </w:rPr>
        <w:t xml:space="preserve">Mr. Petersen disclaims any deemed beneficial ownership of the interests owned by E-Holdings III, L.P. and E-Holdings V, L.P. beyond his pecuniary interest therein, if any.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(7)</w:t>
      </w:r>
    </w:p>
    <w:p>
      <w:pPr>
        <w:pStyle w:val="ListContents"/>
        <w:numPr>
          <w:ilvl w:val="0"/>
          <w:numId w:val="0"/>
        </w:numPr>
        <w:spacing w:before="0" w:after="283"/>
        <w:ind w:left="1981" w:right="0" w:hanging="0"/>
        <w:rPr>
          <w:rFonts w:ascii="times" w:hAnsi="times"/>
          <w:sz w:val="20"/>
        </w:rPr>
      </w:pPr>
      <w:r>
        <w:rPr>
          <w:rFonts w:ascii="times" w:hAnsi="times"/>
          <w:sz w:val="20"/>
        </w:rPr>
        <w:t xml:space="preserve">PAA Management, L.P. is owned entirely by certain current and former members of senior management, including Messrs. Armstrong (approximately 25%), Pefanis (approximately 14%), Kramer (approximately 9%), Duckett (approximately 4%), vonBerg (approximately 4%) and Swanson (approximately 5%). Other than Mr. Armstrong, no directors own any interest in PAA Management, L.P. Executive officers as a group own approximately 66% of PAA Management, L.P. Mr. Armstrong disclaims any beneficial ownership of the general partner interest owned by Plains AAP, L.P., other than through his ownership interest in PAA Management, L.P. </w:t>
      </w:r>
    </w:p>
    <w:p>
      <w:pPr>
        <w:pStyle w:val="TextBody"/>
        <w:jc w:val="center"/>
        <w:rPr>
          <w:rFonts w:ascii="times" w:hAnsi="times"/>
          <w:sz w:val="20"/>
        </w:rPr>
      </w:pPr>
      <w:r>
        <w:rPr>
          <w:rFonts w:ascii="times" w:hAnsi="times"/>
          <w:sz w:val="20"/>
        </w:rPr>
        <w:t>134</w:t>
      </w:r>
    </w:p>
    <w:p>
      <w:pPr>
        <w:pStyle w:val="HorizontalLine"/>
        <w:pBdr>
          <w:bottom w:val="single" w:sz="20" w:space="0" w:color="808080"/>
        </w:pBdr>
        <w:rPr/>
      </w:pPr>
      <w:r>
        <w:rPr/>
      </w:r>
      <w:r>
        <w:br w:type="page"/>
      </w:r>
    </w:p>
    <w:p>
      <w:pPr>
        <w:pStyle w:val="TextBody"/>
        <w:rPr/>
      </w:pPr>
      <w:hyperlink w:anchor="bg12101a_main_toc">
        <w:bookmarkStart w:id="183" w:name="page_em12101_1_135"/>
        <w:bookmarkEnd w:id="183"/>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Equity Compensation Plan Information </w:t>
      </w:r>
    </w:p>
    <w:p>
      <w:pPr>
        <w:pStyle w:val="TextBody"/>
        <w:rPr/>
      </w:pPr>
      <w:r>
        <w:rPr/>
        <w:t>        </w:t>
      </w:r>
      <w:r>
        <w:rPr>
          <w:rFonts w:ascii="times" w:hAnsi="times"/>
          <w:sz w:val="20"/>
        </w:rPr>
        <w:t xml:space="preserve">The following table sets forth certain information with respect to our equity compensation plans as of December 31, 2008. For a description of these plans, see Item 13. "Certain Relationships and Related Transactions, and Director IndependenceEquity-Based Long-Term Incentive Plans." </w:t>
      </w:r>
    </w:p>
    <w:tbl>
      <w:tblPr>
        <w:tblW w:w="9416" w:type="dxa"/>
        <w:jc w:val="center"/>
        <w:tblInd w:w="0" w:type="dxa"/>
        <w:tblCellMar>
          <w:top w:w="0" w:type="dxa"/>
          <w:left w:w="0" w:type="dxa"/>
          <w:bottom w:w="0" w:type="dxa"/>
          <w:right w:w="0" w:type="dxa"/>
        </w:tblCellMar>
      </w:tblPr>
      <w:tblGrid>
        <w:gridCol w:w="236"/>
        <w:gridCol w:w="4418"/>
        <w:gridCol w:w="180"/>
        <w:gridCol w:w="85"/>
        <w:gridCol w:w="1224"/>
        <w:gridCol w:w="230"/>
        <w:gridCol w:w="135"/>
        <w:gridCol w:w="1174"/>
        <w:gridCol w:w="225"/>
        <w:gridCol w:w="87"/>
        <w:gridCol w:w="1192"/>
        <w:gridCol w:w="230"/>
      </w:tblGrid>
      <w:tr>
        <w:trPr/>
        <w:tc>
          <w:tcPr>
            <w:tcW w:w="236" w:type="dxa"/>
            <w:tcBorders/>
            <w:shd w:fill="auto" w:val="clear"/>
            <w:vAlign w:val="center"/>
          </w:tcPr>
          <w:p>
            <w:pPr>
              <w:pStyle w:val="TableContents"/>
              <w:spacing w:before="0" w:after="283"/>
              <w:rPr>
                <w:sz w:val="4"/>
                <w:szCs w:val="4"/>
              </w:rPr>
            </w:pPr>
            <w:r>
              <w:rPr>
                <w:sz w:val="4"/>
                <w:szCs w:val="4"/>
              </w:rPr>
            </w:r>
          </w:p>
        </w:tc>
        <w:tc>
          <w:tcPr>
            <w:tcW w:w="44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4654"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Plan Category </w:t>
            </w:r>
          </w:p>
        </w:tc>
        <w:tc>
          <w:tcPr>
            <w:tcW w:w="180" w:type="dxa"/>
            <w:tcBorders/>
            <w:shd w:fill="auto" w:val="clear"/>
            <w:vAlign w:val="bottom"/>
          </w:tcPr>
          <w:p>
            <w:pPr>
              <w:pStyle w:val="TableHeading"/>
              <w:suppressLineNumbers/>
              <w:spacing w:before="0" w:after="283"/>
              <w:jc w:val="center"/>
              <w:rPr/>
            </w:pPr>
            <w:r>
              <w:rPr/>
              <w:t> </w:t>
            </w:r>
          </w:p>
        </w:tc>
        <w:tc>
          <w:tcPr>
            <w:tcW w:w="13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Units to</w:t>
              <w:br/>
              <w:t>be Issued upon</w:t>
              <w:br/>
              <w:t>Exercise/Vesting of</w:t>
              <w:br/>
              <w:t>Outstanding Options,</w:t>
              <w:br/>
              <w:t>Warrants and Rights</w:t>
              <w:br/>
              <w:t xml:space="preserve">(a) </w:t>
            </w:r>
          </w:p>
        </w:tc>
        <w:tc>
          <w:tcPr>
            <w:tcW w:w="230" w:type="dxa"/>
            <w:tcBorders/>
            <w:shd w:fill="auto" w:val="clear"/>
            <w:vAlign w:val="bottom"/>
          </w:tcPr>
          <w:p>
            <w:pPr>
              <w:pStyle w:val="TableHeading"/>
              <w:suppressLineNumbers/>
              <w:spacing w:before="0" w:after="283"/>
              <w:jc w:val="center"/>
              <w:rPr/>
            </w:pPr>
            <w:r>
              <w:rPr/>
              <w:t> </w:t>
            </w:r>
          </w:p>
        </w:tc>
        <w:tc>
          <w:tcPr>
            <w:tcW w:w="13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 Average</w:t>
              <w:br/>
              <w:t>Exercise Price of</w:t>
              <w:br/>
              <w:t>Outstanding Options,</w:t>
              <w:br/>
              <w:t>Warrants and Rights</w:t>
              <w:br/>
              <w:t xml:space="preserve">(b) </w:t>
            </w:r>
          </w:p>
        </w:tc>
        <w:tc>
          <w:tcPr>
            <w:tcW w:w="225" w:type="dxa"/>
            <w:tcBorders/>
            <w:shd w:fill="auto" w:val="clear"/>
            <w:vAlign w:val="bottom"/>
          </w:tcPr>
          <w:p>
            <w:pPr>
              <w:pStyle w:val="TableHeading"/>
              <w:suppressLineNumbers/>
              <w:spacing w:before="0" w:after="283"/>
              <w:jc w:val="center"/>
              <w:rPr/>
            </w:pPr>
            <w:r>
              <w:rPr/>
              <w:t> </w:t>
            </w:r>
          </w:p>
        </w:tc>
        <w:tc>
          <w:tcPr>
            <w:tcW w:w="12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Units</w:t>
              <w:br/>
              <w:t>Remaining Available</w:t>
              <w:br/>
              <w:t>for Future Issuance</w:t>
              <w:br/>
              <w:t>under Equity</w:t>
              <w:br/>
              <w:t>Compensation Plans</w:t>
              <w:br/>
              <w:t xml:space="preserve">(c) </w:t>
            </w:r>
          </w:p>
        </w:tc>
        <w:tc>
          <w:tcPr>
            <w:tcW w:w="230" w:type="dxa"/>
            <w:tcBorders/>
            <w:shd w:fill="auto" w:val="clear"/>
            <w:vAlign w:val="bottom"/>
          </w:tcPr>
          <w:p>
            <w:pPr>
              <w:pStyle w:val="TableHeading"/>
              <w:suppressLineNumbers/>
              <w:spacing w:before="0" w:after="283"/>
              <w:jc w:val="center"/>
              <w:rPr/>
            </w:pPr>
            <w:r>
              <w:rPr/>
              <w:t> </w:t>
            </w:r>
          </w:p>
        </w:tc>
      </w:tr>
      <w:tr>
        <w:trPr/>
        <w:tc>
          <w:tcPr>
            <w:tcW w:w="465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Equity compensation plans approved by unitholders:</w:t>
            </w:r>
          </w:p>
        </w:tc>
        <w:tc>
          <w:tcPr>
            <w:tcW w:w="1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r>
      <w:tr>
        <w:trPr/>
        <w:tc>
          <w:tcPr>
            <w:tcW w:w="236" w:type="dxa"/>
            <w:tcBorders/>
            <w:shd w:fill="FFFFFF" w:val="clear"/>
            <w:vAlign w:val="bottom"/>
          </w:tcPr>
          <w:p>
            <w:pPr>
              <w:pStyle w:val="TableContents"/>
              <w:spacing w:before="0" w:after="283"/>
              <w:rPr/>
            </w:pPr>
            <w:r>
              <w:rPr/>
              <w:t> </w:t>
            </w:r>
          </w:p>
        </w:tc>
        <w:tc>
          <w:tcPr>
            <w:tcW w:w="441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1998 Long Term Incentive Plan</w:t>
            </w:r>
          </w:p>
        </w:tc>
        <w:tc>
          <w:tcPr>
            <w:tcW w:w="180"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1224" w:type="dxa"/>
            <w:tcBorders/>
            <w:shd w:fill="FFFFFF" w:val="clear"/>
            <w:vAlign w:val="bottom"/>
          </w:tcPr>
          <w:p>
            <w:pPr>
              <w:pStyle w:val="TableContents"/>
              <w:spacing w:before="0" w:after="283"/>
              <w:jc w:val="right"/>
              <w:rPr>
                <w:rFonts w:ascii="times" w:hAnsi="times"/>
                <w:sz w:val="20"/>
              </w:rPr>
            </w:pPr>
            <w:r>
              <w:rPr>
                <w:rFonts w:ascii="times" w:hAnsi="times"/>
                <w:sz w:val="20"/>
              </w:rPr>
              <w:t>715,400</w:t>
            </w:r>
          </w:p>
        </w:tc>
        <w:tc>
          <w:tcPr>
            <w:tcW w:w="23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(1)</w:t>
            </w:r>
          </w:p>
        </w:tc>
        <w:tc>
          <w:tcPr>
            <w:tcW w:w="135" w:type="dxa"/>
            <w:tcBorders/>
            <w:shd w:fill="FFFFFF" w:val="clear"/>
            <w:vAlign w:val="bottom"/>
          </w:tcPr>
          <w:p>
            <w:pPr>
              <w:pStyle w:val="TableContents"/>
              <w:spacing w:before="0" w:after="283"/>
              <w:rPr/>
            </w:pPr>
            <w:r>
              <w:rPr/>
              <w:t> </w:t>
            </w:r>
          </w:p>
        </w:tc>
        <w:tc>
          <w:tcPr>
            <w:tcW w:w="1174" w:type="dxa"/>
            <w:tcBorders/>
            <w:shd w:fill="FFFFFF" w:val="clear"/>
            <w:vAlign w:val="bottom"/>
          </w:tcPr>
          <w:p>
            <w:pPr>
              <w:pStyle w:val="TableContents"/>
              <w:spacing w:before="0" w:after="283"/>
              <w:jc w:val="right"/>
              <w:rPr>
                <w:rFonts w:ascii="times" w:hAnsi="times"/>
                <w:sz w:val="20"/>
              </w:rPr>
            </w:pPr>
            <w:r>
              <w:rPr>
                <w:rFonts w:ascii="times" w:hAnsi="times"/>
                <w:sz w:val="20"/>
              </w:rPr>
              <w:t>N/A</w:t>
            </w:r>
          </w:p>
        </w:tc>
        <w:tc>
          <w:tcPr>
            <w:tcW w:w="22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(2)</w:t>
            </w:r>
          </w:p>
        </w:tc>
        <w:tc>
          <w:tcPr>
            <w:tcW w:w="87" w:type="dxa"/>
            <w:tcBorders/>
            <w:shd w:fill="FFFFFF" w:val="clear"/>
            <w:vAlign w:val="bottom"/>
          </w:tcPr>
          <w:p>
            <w:pPr>
              <w:pStyle w:val="TableContents"/>
              <w:spacing w:before="0" w:after="283"/>
              <w:rPr/>
            </w:pPr>
            <w:r>
              <w:rPr/>
              <w:t> </w:t>
            </w:r>
          </w:p>
        </w:tc>
        <w:tc>
          <w:tcPr>
            <w:tcW w:w="1192" w:type="dxa"/>
            <w:tcBorders/>
            <w:shd w:fill="FFFFFF" w:val="clear"/>
            <w:vAlign w:val="bottom"/>
          </w:tcPr>
          <w:p>
            <w:pPr>
              <w:pStyle w:val="TableContents"/>
              <w:spacing w:before="0" w:after="283"/>
              <w:jc w:val="right"/>
              <w:rPr>
                <w:rFonts w:ascii="times" w:hAnsi="times"/>
                <w:sz w:val="20"/>
              </w:rPr>
            </w:pPr>
            <w:r>
              <w:rPr>
                <w:rFonts w:ascii="times" w:hAnsi="times"/>
                <w:sz w:val="20"/>
              </w:rPr>
              <w:t>201,390</w:t>
            </w:r>
          </w:p>
        </w:tc>
        <w:tc>
          <w:tcPr>
            <w:tcW w:w="23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(1)(3)</w:t>
            </w:r>
          </w:p>
        </w:tc>
      </w:tr>
      <w:tr>
        <w:trPr/>
        <w:tc>
          <w:tcPr>
            <w:tcW w:w="236" w:type="dxa"/>
            <w:tcBorders/>
            <w:shd w:fill="CCEEFF" w:val="clear"/>
            <w:vAlign w:val="bottom"/>
          </w:tcPr>
          <w:p>
            <w:pPr>
              <w:pStyle w:val="TableContents"/>
              <w:spacing w:before="0" w:after="283"/>
              <w:rPr/>
            </w:pPr>
            <w:r>
              <w:rPr/>
              <w:t> </w:t>
            </w:r>
          </w:p>
        </w:tc>
        <w:tc>
          <w:tcPr>
            <w:tcW w:w="441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2005 Long Term Incentive Plan</w:t>
            </w:r>
          </w:p>
        </w:tc>
        <w:tc>
          <w:tcPr>
            <w:tcW w:w="1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rFonts w:ascii="times" w:hAnsi="times"/>
                <w:sz w:val="20"/>
              </w:rPr>
            </w:pPr>
            <w:r>
              <w:rPr>
                <w:rFonts w:ascii="times" w:hAnsi="times"/>
                <w:sz w:val="20"/>
              </w:rPr>
              <w:t>1,655,080</w:t>
            </w:r>
          </w:p>
        </w:tc>
        <w:tc>
          <w:tcPr>
            <w:tcW w:w="23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(4)</w:t>
            </w:r>
          </w:p>
        </w:tc>
        <w:tc>
          <w:tcPr>
            <w:tcW w:w="135"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(2)</w:t>
            </w:r>
          </w:p>
        </w:tc>
        <w:tc>
          <w:tcPr>
            <w:tcW w:w="87"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rFonts w:ascii="times" w:hAnsi="times"/>
                <w:sz w:val="20"/>
              </w:rPr>
            </w:pPr>
            <w:r>
              <w:rPr>
                <w:rFonts w:ascii="times" w:hAnsi="times"/>
                <w:sz w:val="20"/>
              </w:rPr>
              <w:t>1,034,625</w:t>
            </w:r>
          </w:p>
        </w:tc>
        <w:tc>
          <w:tcPr>
            <w:tcW w:w="23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(3)</w:t>
            </w:r>
          </w:p>
        </w:tc>
      </w:tr>
      <w:tr>
        <w:trPr/>
        <w:tc>
          <w:tcPr>
            <w:tcW w:w="465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compensation plans not approved by unitholders:</w:t>
            </w:r>
          </w:p>
        </w:tc>
        <w:tc>
          <w:tcPr>
            <w:tcW w:w="180"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1224"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174"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1192"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r>
      <w:tr>
        <w:trPr/>
        <w:tc>
          <w:tcPr>
            <w:tcW w:w="236" w:type="dxa"/>
            <w:tcBorders/>
            <w:shd w:fill="CCEEFF" w:val="clear"/>
            <w:vAlign w:val="bottom"/>
          </w:tcPr>
          <w:p>
            <w:pPr>
              <w:pStyle w:val="TableContents"/>
              <w:spacing w:before="0" w:after="283"/>
              <w:rPr/>
            </w:pPr>
            <w:r>
              <w:rPr/>
              <w:t> </w:t>
            </w:r>
          </w:p>
        </w:tc>
        <w:tc>
          <w:tcPr>
            <w:tcW w:w="441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1998 Long Term Incentive Plan</w:t>
            </w:r>
          </w:p>
        </w:tc>
        <w:tc>
          <w:tcPr>
            <w:tcW w:w="1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(1)(5)</w:t>
            </w:r>
          </w:p>
        </w:tc>
        <w:tc>
          <w:tcPr>
            <w:tcW w:w="135"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(2)</w:t>
            </w:r>
          </w:p>
        </w:tc>
        <w:tc>
          <w:tcPr>
            <w:tcW w:w="87"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3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(6)</w:t>
            </w:r>
          </w:p>
        </w:tc>
      </w:tr>
      <w:tr>
        <w:trPr/>
        <w:tc>
          <w:tcPr>
            <w:tcW w:w="236" w:type="dxa"/>
            <w:tcBorders/>
            <w:shd w:fill="FFFFFF" w:val="clear"/>
            <w:vAlign w:val="bottom"/>
          </w:tcPr>
          <w:p>
            <w:pPr>
              <w:pStyle w:val="TableContents"/>
              <w:spacing w:before="0" w:after="283"/>
              <w:rPr/>
            </w:pPr>
            <w:r>
              <w:rPr/>
              <w:t> </w:t>
            </w:r>
          </w:p>
        </w:tc>
        <w:tc>
          <w:tcPr>
            <w:tcW w:w="441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General Partner's Performance Option Plan</w:t>
            </w:r>
          </w:p>
        </w:tc>
        <w:tc>
          <w:tcPr>
            <w:tcW w:w="180"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12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(7)</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74" w:type="dxa"/>
            <w:tcBorders/>
            <w:shd w:fill="FFFFFF" w:val="clear"/>
            <w:vAlign w:val="bottom"/>
          </w:tcPr>
          <w:p>
            <w:pPr>
              <w:pStyle w:val="TableContents"/>
              <w:spacing w:before="0" w:after="283"/>
              <w:jc w:val="right"/>
              <w:rPr>
                <w:rFonts w:ascii="times" w:hAnsi="times"/>
                <w:sz w:val="20"/>
              </w:rPr>
            </w:pPr>
            <w:r>
              <w:rPr>
                <w:rFonts w:ascii="times" w:hAnsi="times"/>
                <w:sz w:val="20"/>
              </w:rPr>
              <w:t>6.13</w:t>
            </w:r>
          </w:p>
        </w:tc>
        <w:tc>
          <w:tcPr>
            <w:tcW w:w="225"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(8)</w:t>
            </w:r>
          </w:p>
        </w:tc>
        <w:tc>
          <w:tcPr>
            <w:tcW w:w="87" w:type="dxa"/>
            <w:tcBorders/>
            <w:shd w:fill="FFFFFF" w:val="clear"/>
            <w:vAlign w:val="bottom"/>
          </w:tcPr>
          <w:p>
            <w:pPr>
              <w:pStyle w:val="TableContents"/>
              <w:spacing w:before="0" w:after="283"/>
              <w:rPr/>
            </w:pPr>
            <w:r>
              <w:rPr/>
              <w:t> </w:t>
            </w:r>
          </w:p>
        </w:tc>
        <w:tc>
          <w:tcPr>
            <w:tcW w:w="119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vAlign w:val="bottom"/>
          </w:tcPr>
          <w:p>
            <w:pPr>
              <w:pStyle w:val="TableContents"/>
              <w:spacing w:before="0" w:after="283"/>
              <w:rPr>
                <w:rFonts w:ascii="times" w:hAnsi="times"/>
                <w:position w:val="7"/>
                <w:sz w:val="16"/>
                <w:sz w:val="20"/>
              </w:rPr>
            </w:pPr>
            <w:r>
              <w:rPr>
                <w:rFonts w:ascii="times" w:hAnsi="times"/>
                <w:position w:val="7"/>
                <w:sz w:val="16"/>
                <w:sz w:val="20"/>
              </w:rPr>
              <w:t>(7)</w:t>
            </w:r>
          </w:p>
        </w:tc>
      </w:tr>
      <w:tr>
        <w:trPr/>
        <w:tc>
          <w:tcPr>
            <w:tcW w:w="236" w:type="dxa"/>
            <w:tcBorders/>
            <w:shd w:fill="CCEEFF" w:val="clear"/>
            <w:vAlign w:val="bottom"/>
          </w:tcPr>
          <w:p>
            <w:pPr>
              <w:pStyle w:val="TableContents"/>
              <w:spacing w:before="0" w:after="283"/>
              <w:rPr/>
            </w:pPr>
            <w:r>
              <w:rPr/>
              <w:t> </w:t>
            </w:r>
          </w:p>
        </w:tc>
        <w:tc>
          <w:tcPr>
            <w:tcW w:w="441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PPX Successor LTIP</w:t>
            </w:r>
          </w:p>
        </w:tc>
        <w:tc>
          <w:tcPr>
            <w:tcW w:w="1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rFonts w:ascii="times" w:hAnsi="times"/>
                <w:sz w:val="20"/>
              </w:rPr>
            </w:pPr>
            <w:r>
              <w:rPr>
                <w:rFonts w:ascii="times" w:hAnsi="times"/>
                <w:sz w:val="20"/>
              </w:rPr>
              <w:t>45,000</w:t>
            </w:r>
          </w:p>
        </w:tc>
        <w:tc>
          <w:tcPr>
            <w:tcW w:w="23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(9)</w:t>
            </w:r>
          </w:p>
        </w:tc>
        <w:tc>
          <w:tcPr>
            <w:tcW w:w="135"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(2)</w:t>
            </w:r>
          </w:p>
        </w:tc>
        <w:tc>
          <w:tcPr>
            <w:tcW w:w="87"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rFonts w:ascii="times" w:hAnsi="times"/>
                <w:sz w:val="20"/>
              </w:rPr>
            </w:pPr>
            <w:r>
              <w:rPr>
                <w:rFonts w:ascii="times" w:hAnsi="times"/>
                <w:sz w:val="20"/>
              </w:rPr>
              <w:t>954,809</w:t>
            </w:r>
          </w:p>
        </w:tc>
        <w:tc>
          <w:tcPr>
            <w:tcW w:w="230" w:type="dxa"/>
            <w:tcBorders/>
            <w:shd w:fill="CCEEFF" w:val="clear"/>
            <w:vAlign w:val="bottom"/>
          </w:tcPr>
          <w:p>
            <w:pPr>
              <w:pStyle w:val="TableContents"/>
              <w:spacing w:before="0" w:after="283"/>
              <w:rPr>
                <w:rFonts w:ascii="times" w:hAnsi="times"/>
                <w:position w:val="7"/>
                <w:sz w:val="16"/>
                <w:sz w:val="20"/>
              </w:rPr>
            </w:pPr>
            <w:r>
              <w:rPr>
                <w:rFonts w:ascii="times" w:hAnsi="times"/>
                <w:position w:val="7"/>
                <w:sz w:val="16"/>
                <w:sz w:val="20"/>
              </w:rPr>
              <w:t>(9)</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As originally instituted by our former general partner prior to our initial public offering, the 1998 LTIP contemplated the issuance of up to 975,000 common units to satisfy awards of phantom units. Upon vesting, these awards could be satisfied either by (i) primary issuance of units by us or (ii) cash settlement or purchase of units by our general partner with the cost reimbursed by us. In 2000, the 1998 LTIP was amended, as provided in the plan, without unitholder approval to increase the maximum awards to 1,425,000 phantom units; however, we can issue no more than 975,000 new units to satisfy the awards. Any additional units must be purchased by our general partner in the open market or in private transactions and be reimbursed by us. As of December 31, 2008, we have issued approximately 427,742 common units in satisfaction of vesting under the 1998 LTIP. The number of units presented in column (a) assumes that all remaining grants will be satisfied by the issuance of new units upon vesting. In fact, a substantial number of phantom units that have vested were satisfied without the issuance of units. These phantom units were settled in cash or withheld for taxes. Any units not issued upon vesting will become "available for future issuance" under column (c).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Phantom unit awards under the 1998 LTIP, 2005 LTIP and PPX Successor LTIP vest without payment by recipients.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In accordance with Item 201(d) of Regulation S-K, column (c) excludes the securities disclosed in column (a). However, as discussed in footnotes (1) and (4), any phantom units represented in column (a) that are not satisfied by the issuance of units become "available for future issuance."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The 2005 Long Term Incentive Plan was approved by our unitholders in January 2005. The 2005 LTIP contemplates the issuance or delivery of up to 3,000,000 units to satisfy awards under the plan. The number of units presented in column (a) assumes that all outstanding grants will be satisfied by the issuance of new units upon vesting. In fact, some portion of the phantom units may be settled in cash and some portion will be withheld for taxes. Any units not issued upon vesting will become "available for future issuance" under column (c). </w:t>
      </w:r>
    </w:p>
    <w:p>
      <w:pPr>
        <w:pStyle w:val="ListHeading"/>
        <w:spacing w:before="0" w:after="0"/>
        <w:rPr>
          <w:rFonts w:ascii="times" w:hAnsi="times"/>
          <w:position w:val="7"/>
          <w:sz w:val="16"/>
          <w:sz w:val="20"/>
        </w:rPr>
      </w:pPr>
      <w:r>
        <w:rPr>
          <w:rFonts w:ascii="times" w:hAnsi="times"/>
          <w:position w:val="7"/>
          <w:sz w:val="16"/>
          <w:sz w:val="20"/>
        </w:rPr>
        <w:t>(5)</w:t>
      </w:r>
    </w:p>
    <w:p>
      <w:pPr>
        <w:pStyle w:val="ListContents"/>
        <w:spacing w:before="0" w:after="283"/>
        <w:rPr>
          <w:rFonts w:ascii="times" w:hAnsi="times"/>
          <w:sz w:val="20"/>
        </w:rPr>
      </w:pPr>
      <w:r>
        <w:rPr>
          <w:rFonts w:ascii="times" w:hAnsi="times"/>
          <w:sz w:val="20"/>
        </w:rPr>
        <w:t xml:space="preserve">Although awards for units may from time to time be outstanding under the portion of the 1998 LTIP not approved by unitholders, all of these awards must be satisfied in cash or out of units </w:t>
      </w:r>
    </w:p>
    <w:p>
      <w:pPr>
        <w:pStyle w:val="TextBody"/>
        <w:jc w:val="center"/>
        <w:rPr>
          <w:rFonts w:ascii="times" w:hAnsi="times"/>
          <w:sz w:val="20"/>
        </w:rPr>
      </w:pPr>
      <w:r>
        <w:rPr>
          <w:rFonts w:ascii="times" w:hAnsi="times"/>
          <w:sz w:val="20"/>
        </w:rPr>
        <w:t>135</w:t>
      </w:r>
    </w:p>
    <w:p>
      <w:pPr>
        <w:pStyle w:val="HorizontalLine"/>
        <w:pBdr>
          <w:bottom w:val="single" w:sz="20" w:space="0" w:color="808080"/>
        </w:pBdr>
        <w:rPr/>
      </w:pPr>
      <w:r>
        <w:rPr/>
      </w:r>
      <w:r>
        <w:br w:type="page"/>
      </w:r>
    </w:p>
    <w:p>
      <w:pPr>
        <w:pStyle w:val="TextBody"/>
        <w:rPr/>
      </w:pPr>
      <w:hyperlink w:anchor="bg12101a_main_toc">
        <w:bookmarkStart w:id="184" w:name="page_em12101_1_136"/>
        <w:bookmarkEnd w:id="184"/>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purchased by our general partner and reimbursed by us. None will be satisfied by "units issued upon exercise/vesting." </w:t>
      </w:r>
    </w:p>
    <w:p>
      <w:pPr>
        <w:pStyle w:val="ListHeading"/>
        <w:spacing w:before="0" w:after="0"/>
        <w:rPr>
          <w:rFonts w:ascii="times" w:hAnsi="times"/>
          <w:position w:val="7"/>
          <w:sz w:val="16"/>
          <w:sz w:val="20"/>
        </w:rPr>
      </w:pPr>
      <w:r>
        <w:rPr>
          <w:rFonts w:ascii="times" w:hAnsi="times"/>
          <w:position w:val="7"/>
          <w:sz w:val="16"/>
          <w:sz w:val="20"/>
        </w:rPr>
        <w:t>(6)</w:t>
      </w:r>
    </w:p>
    <w:p>
      <w:pPr>
        <w:pStyle w:val="ListContents"/>
        <w:spacing w:before="0" w:after="283"/>
        <w:rPr>
          <w:rFonts w:ascii="times" w:hAnsi="times"/>
          <w:sz w:val="20"/>
        </w:rPr>
      </w:pPr>
      <w:r>
        <w:rPr>
          <w:rFonts w:ascii="times" w:hAnsi="times"/>
          <w:sz w:val="20"/>
        </w:rPr>
        <w:t xml:space="preserve">Awards for up to 369,532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 </w:t>
      </w:r>
    </w:p>
    <w:p>
      <w:pPr>
        <w:pStyle w:val="ListHeading"/>
        <w:spacing w:before="0" w:after="0"/>
        <w:rPr>
          <w:rFonts w:ascii="times" w:hAnsi="times"/>
          <w:position w:val="7"/>
          <w:sz w:val="16"/>
          <w:sz w:val="20"/>
        </w:rPr>
      </w:pPr>
      <w:r>
        <w:rPr>
          <w:rFonts w:ascii="times" w:hAnsi="times"/>
          <w:position w:val="7"/>
          <w:sz w:val="16"/>
          <w:sz w:val="20"/>
        </w:rPr>
        <w:t>(7)</w:t>
      </w:r>
    </w:p>
    <w:p>
      <w:pPr>
        <w:pStyle w:val="ListContents"/>
        <w:spacing w:before="0" w:after="283"/>
        <w:rPr>
          <w:rFonts w:ascii="times" w:hAnsi="times"/>
          <w:sz w:val="20"/>
        </w:rPr>
      </w:pPr>
      <w:r>
        <w:rPr>
          <w:rFonts w:ascii="times" w:hAnsi="times"/>
          <w:sz w:val="20"/>
        </w:rPr>
        <w:t xml:space="preserve">Our general partner has adopted a Performance Option Plan for officers and key employees pursuant to which optionees have the right to purchase units from the general partner. The 450,000 units that were originally authorized to be sold under the plan were contributed to the general partner by certain of its owners in connection with the transfer of a majority of our general partner interest in 2001 without economic cost to the Partnership. Thus, there will be no units "issued upon exercise/vesting of outstanding options." Options for approximately 131,250 units are currently outstanding. All are vested, and no units remain available for future grant. See Item 13. "Certain Relationships and Related Transactions, and Director IndependenceGeneral Partner's Performance Option Plan." </w:t>
      </w:r>
    </w:p>
    <w:p>
      <w:pPr>
        <w:pStyle w:val="ListHeading"/>
        <w:spacing w:before="0" w:after="0"/>
        <w:rPr>
          <w:rFonts w:ascii="times" w:hAnsi="times"/>
          <w:position w:val="7"/>
          <w:sz w:val="16"/>
          <w:sz w:val="20"/>
        </w:rPr>
      </w:pPr>
      <w:r>
        <w:rPr>
          <w:rFonts w:ascii="times" w:hAnsi="times"/>
          <w:position w:val="7"/>
          <w:sz w:val="16"/>
          <w:sz w:val="20"/>
        </w:rPr>
        <w:t>(8)</w:t>
      </w:r>
    </w:p>
    <w:p>
      <w:pPr>
        <w:pStyle w:val="ListContents"/>
        <w:spacing w:before="0" w:after="283"/>
        <w:rPr>
          <w:rFonts w:ascii="times" w:hAnsi="times"/>
          <w:sz w:val="20"/>
        </w:rPr>
      </w:pPr>
      <w:r>
        <w:rPr>
          <w:rFonts w:ascii="times" w:hAnsi="times"/>
          <w:sz w:val="20"/>
        </w:rPr>
        <w:t xml:space="preserve">As of December 31, 2008, the strike price for all outstanding options under the general partner's Performance Option Plan was approximately $6.13 per unit. The strike price decreases as distributions are paid. See Item 13. "Certain Relationships and Related Transactions, and Director IndependenceGeneral Partner's Performance Option Plan." </w:t>
      </w:r>
    </w:p>
    <w:p>
      <w:pPr>
        <w:pStyle w:val="ListHeading"/>
        <w:spacing w:before="0" w:after="0"/>
        <w:rPr>
          <w:rFonts w:ascii="times" w:hAnsi="times"/>
          <w:position w:val="7"/>
          <w:sz w:val="16"/>
          <w:sz w:val="20"/>
        </w:rPr>
      </w:pPr>
      <w:r>
        <w:rPr>
          <w:rFonts w:ascii="times" w:hAnsi="times"/>
          <w:position w:val="7"/>
          <w:sz w:val="16"/>
          <w:sz w:val="20"/>
        </w:rPr>
        <w:t>(9)</w:t>
      </w:r>
    </w:p>
    <w:p>
      <w:pPr>
        <w:pStyle w:val="ListContents"/>
        <w:spacing w:before="0" w:after="283"/>
        <w:rPr>
          <w:rFonts w:ascii="times" w:hAnsi="times"/>
          <w:sz w:val="20"/>
        </w:rPr>
      </w:pPr>
      <w:r>
        <w:rPr>
          <w:rFonts w:ascii="times" w:hAnsi="times"/>
          <w:sz w:val="20"/>
        </w:rPr>
        <w:t xml:space="preserve">In connection with the Pacific merger, under applicable stock exchange rules, we carried over the available units under the Pacific LTIP (applying the conversion ratio of 0.77 PAA units for each Pacific unit). In that regard, we have adopted the Plains All American PPX Successor Long-Term Incentive Plan (the "PPX Successor LTIP"). Potential awards under such plan include options and phantom units (with or without tandem DERs). The provisions of such plan are substantially the same as the 2005 LTIP, except that awards under the PPX Successor LTIP may only be made to employees who were working for Pacific at the time of the merger or to employees hired after the date of the Pacific acquisition. </w:t>
      </w:r>
    </w:p>
    <w:p>
      <w:pPr>
        <w:pStyle w:val="TextBody"/>
        <w:rPr>
          <w:rFonts w:ascii="times" w:hAnsi="times"/>
        </w:rPr>
      </w:pPr>
      <w:bookmarkStart w:id="185" w:name="toc_em12101_1"/>
      <w:bookmarkStart w:id="186" w:name="em12101_item_13._certain_relationships__"/>
      <w:bookmarkEnd w:id="185"/>
      <w:bookmarkEnd w:id="186"/>
      <w:r>
        <w:rPr>
          <w:rFonts w:ascii="times" w:hAnsi="times"/>
          <w:b/>
          <w:sz w:val="20"/>
        </w:rPr>
        <w:t>Item 13.    </w:t>
      </w:r>
      <w:r>
        <w:rPr>
          <w:rFonts w:ascii="times" w:hAnsi="times"/>
          <w:b/>
          <w:i/>
          <w:sz w:val="20"/>
        </w:rPr>
        <w:t xml:space="preserve">Certain Relationships and Related Transactions, and Director Independence </w:t>
      </w:r>
    </w:p>
    <w:p>
      <w:pPr>
        <w:pStyle w:val="TextBody"/>
        <w:rPr/>
      </w:pPr>
      <w:r>
        <w:rPr/>
        <w:t>        </w:t>
      </w:r>
      <w:r>
        <w:rPr>
          <w:rFonts w:ascii="times" w:hAnsi="times"/>
          <w:sz w:val="20"/>
        </w:rPr>
        <w:t xml:space="preserve">For a discussion of director independence, see Item 10. "Directors and Executive Officers of Our General Partner and Corporate Governance." </w:t>
      </w:r>
    </w:p>
    <w:p>
      <w:pPr>
        <w:pStyle w:val="TextBody"/>
        <w:rPr>
          <w:rFonts w:ascii="times" w:hAnsi="times"/>
          <w:b/>
          <w:sz w:val="20"/>
        </w:rPr>
      </w:pPr>
      <w:r>
        <w:rPr>
          <w:rFonts w:ascii="times" w:hAnsi="times"/>
          <w:b/>
          <w:sz w:val="20"/>
        </w:rPr>
        <w:t xml:space="preserve">Our General Partner </w:t>
      </w:r>
    </w:p>
    <w:p>
      <w:pPr>
        <w:pStyle w:val="TextBody"/>
        <w:rPr/>
      </w:pPr>
      <w:r>
        <w:rPr/>
        <w:t>        </w:t>
      </w:r>
      <w:r>
        <w:rPr>
          <w:rFonts w:ascii="times" w:hAnsi="times"/>
          <w:sz w:val="20"/>
        </w:rPr>
        <w:t xml:space="preserve">Our operations and activities are managed, and our officers and personnel are employed, by our general partner (or, in the case of our Canadian operations, PMC (Nova Scotia) Company). We do not pay our general partner a management fee, but we do reimburse our general partner for all expenses incurred on our behalf (other than expenses related to the Class B units of Plains AAP, L.P.). Total costs reimbursed by us to our general partner for the year ended December 31, 2008 were approximately $289 million. </w:t>
      </w:r>
    </w:p>
    <w:p>
      <w:pPr>
        <w:pStyle w:val="TextBody"/>
        <w:rPr/>
      </w:pPr>
      <w:r>
        <w:rPr/>
        <w:t>        </w:t>
      </w:r>
      <w:r>
        <w:rPr>
          <w:rFonts w:ascii="times" w:hAnsi="times"/>
          <w:sz w:val="20"/>
        </w:rPr>
        <w:t xml:space="preserve">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$0.450 ($1.80 annualized) per unit, 25% of the amounts we distribute in excess of $0.495 ($1.98 annualized) per unit and 50% of amounts we distribute in excess of $0.675 ($2.70 annualized) per unit. In connection with the Pacific and Rainbow acquisitions, our general partner agreed to a temporary reduction in the amount of incentive distributions otherwise </w:t>
      </w:r>
    </w:p>
    <w:p>
      <w:pPr>
        <w:pStyle w:val="TextBody"/>
        <w:jc w:val="center"/>
        <w:rPr>
          <w:rFonts w:ascii="times" w:hAnsi="times"/>
          <w:sz w:val="20"/>
        </w:rPr>
      </w:pPr>
      <w:r>
        <w:rPr>
          <w:rFonts w:ascii="times" w:hAnsi="times"/>
          <w:sz w:val="20"/>
        </w:rPr>
        <w:t>136</w:t>
      </w:r>
    </w:p>
    <w:p>
      <w:pPr>
        <w:pStyle w:val="HorizontalLine"/>
        <w:pBdr>
          <w:bottom w:val="single" w:sz="20" w:space="0" w:color="808080"/>
        </w:pBdr>
        <w:rPr/>
      </w:pPr>
      <w:r>
        <w:rPr/>
      </w:r>
      <w:r>
        <w:br w:type="page"/>
      </w:r>
    </w:p>
    <w:p>
      <w:pPr>
        <w:pStyle w:val="TextBody"/>
        <w:rPr/>
      </w:pPr>
      <w:hyperlink w:anchor="bg12101a_main_toc">
        <w:bookmarkStart w:id="187" w:name="page_em12101_1_137"/>
        <w:bookmarkEnd w:id="187"/>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payable to it. The aggregate reduction will be $75 million over a five-year period. Following our distribution in February 2009, the remaining incentive distribution reductions related to Pacific and Rainbow totaled approximately $31 million. </w:t>
      </w:r>
    </w:p>
    <w:p>
      <w:pPr>
        <w:pStyle w:val="TextBody"/>
        <w:rPr/>
      </w:pPr>
      <w:r>
        <w:rPr/>
        <w:t>        </w:t>
      </w:r>
      <w:r>
        <w:rPr>
          <w:rFonts w:ascii="times" w:hAnsi="times"/>
          <w:sz w:val="20"/>
        </w:rPr>
        <w:t xml:space="preserve">The following table illustrates the allocation of aggregate distributions at different per-unit levels, excluding the effect of the incentive distribution reductions: </w:t>
      </w:r>
    </w:p>
    <w:tbl>
      <w:tblPr>
        <w:tblW w:w="7583" w:type="dxa"/>
        <w:jc w:val="center"/>
        <w:tblInd w:w="0" w:type="dxa"/>
        <w:tblCellMar>
          <w:top w:w="0" w:type="dxa"/>
          <w:left w:w="0" w:type="dxa"/>
          <w:bottom w:w="0" w:type="dxa"/>
          <w:right w:w="0" w:type="dxa"/>
        </w:tblCellMar>
      </w:tblPr>
      <w:tblGrid>
        <w:gridCol w:w="3030"/>
        <w:gridCol w:w="180"/>
        <w:gridCol w:w="125"/>
        <w:gridCol w:w="870"/>
        <w:gridCol w:w="225"/>
        <w:gridCol w:w="125"/>
        <w:gridCol w:w="705"/>
        <w:gridCol w:w="225"/>
        <w:gridCol w:w="131"/>
        <w:gridCol w:w="773"/>
        <w:gridCol w:w="225"/>
        <w:gridCol w:w="162"/>
        <w:gridCol w:w="622"/>
        <w:gridCol w:w="185"/>
      </w:tblGrid>
      <w:tr>
        <w:trPr/>
        <w:tc>
          <w:tcPr>
            <w:tcW w:w="303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03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Annual LP Distribution Per Unit </w:t>
            </w:r>
          </w:p>
        </w:tc>
        <w:tc>
          <w:tcPr>
            <w:tcW w:w="180" w:type="dxa"/>
            <w:tcBorders/>
            <w:shd w:fill="auto" w:val="clear"/>
            <w:vAlign w:val="bottom"/>
          </w:tcPr>
          <w:p>
            <w:pPr>
              <w:pStyle w:val="TableHeading"/>
              <w:suppressLineNumbers/>
              <w:spacing w:before="0" w:after="283"/>
              <w:jc w:val="center"/>
              <w:rPr/>
            </w:pPr>
            <w:r>
              <w:rPr/>
              <w:t> </w:t>
            </w:r>
          </w:p>
        </w:tc>
        <w:tc>
          <w:tcPr>
            <w:tcW w:w="9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w:t>
              <w:br/>
              <w:t>to LP</w:t>
              <w:br/>
              <w:t>Unitholders</w:t>
            </w:r>
            <w:r>
              <w:rPr>
                <w:rFonts w:ascii="times" w:hAnsi="times"/>
                <w:b/>
                <w:position w:val="5"/>
                <w:sz w:val="11"/>
                <w:sz w:val="14"/>
              </w:rPr>
              <w:t>(1)(2)</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8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w:t>
              <w:br/>
              <w:t>to GP</w:t>
            </w:r>
            <w:r>
              <w:rPr>
                <w:rFonts w:ascii="times" w:hAnsi="times"/>
                <w:b/>
                <w:position w:val="5"/>
                <w:sz w:val="11"/>
                <w:sz w:val="14"/>
              </w:rPr>
              <w:t>(1)(2)(3)</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9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w:t>
              <w:br/>
              <w:t>Distribution</w:t>
            </w:r>
            <w:r>
              <w:rPr>
                <w:rFonts w:ascii="times" w:hAnsi="times"/>
                <w:b/>
                <w:position w:val="5"/>
                <w:sz w:val="11"/>
                <w:sz w:val="14"/>
              </w:rPr>
              <w:t>(2)</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GP %</w:t>
              <w:br/>
              <w:t>of Total</w:t>
              <w:br/>
              <w:t xml:space="preserve">Distribution </w:t>
            </w:r>
          </w:p>
        </w:tc>
        <w:tc>
          <w:tcPr>
            <w:tcW w:w="185" w:type="dxa"/>
            <w:tcBorders/>
            <w:shd w:fill="auto" w:val="clear"/>
            <w:vAlign w:val="bottom"/>
          </w:tcPr>
          <w:p>
            <w:pPr>
              <w:pStyle w:val="TableHeading"/>
              <w:suppressLineNumbers/>
              <w:spacing w:before="0" w:after="283"/>
              <w:jc w:val="center"/>
              <w:rPr/>
            </w:pPr>
            <w:r>
              <w:rPr/>
              <w:t> </w:t>
            </w:r>
          </w:p>
        </w:tc>
      </w:tr>
      <w:tr>
        <w:trPr/>
        <w:tc>
          <w:tcPr>
            <w:tcW w:w="3030" w:type="dxa"/>
            <w:tcBorders/>
            <w:shd w:fill="CCEEFF" w:val="clear"/>
          </w:tcPr>
          <w:p>
            <w:pPr>
              <w:pStyle w:val="TableContents"/>
              <w:spacing w:before="0" w:after="283"/>
              <w:ind w:left="200" w:right="0" w:hanging="200"/>
              <w:rPr>
                <w:rFonts w:ascii="times" w:hAnsi="times"/>
                <w:sz w:val="20"/>
              </w:rPr>
            </w:pPr>
            <w:r>
              <w:rPr>
                <w:rFonts w:ascii="times" w:hAnsi="times"/>
                <w:sz w:val="20"/>
              </w:rPr>
              <w:t>$1.80</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870" w:type="dxa"/>
            <w:tcBorders/>
            <w:shd w:fill="CCEEFF" w:val="clear"/>
          </w:tcPr>
          <w:p>
            <w:pPr>
              <w:pStyle w:val="TableContents"/>
              <w:spacing w:before="0" w:after="283"/>
              <w:jc w:val="right"/>
              <w:rPr>
                <w:rFonts w:ascii="times" w:hAnsi="times"/>
                <w:sz w:val="20"/>
              </w:rPr>
            </w:pPr>
            <w:r>
              <w:rPr>
                <w:rFonts w:ascii="times" w:hAnsi="times"/>
                <w:sz w:val="20"/>
              </w:rPr>
              <w:t>221,400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705" w:type="dxa"/>
            <w:tcBorders/>
            <w:shd w:fill="CCEEFF" w:val="clear"/>
          </w:tcPr>
          <w:p>
            <w:pPr>
              <w:pStyle w:val="TableContents"/>
              <w:spacing w:before="0" w:after="283"/>
              <w:jc w:val="right"/>
              <w:rPr>
                <w:rFonts w:ascii="times" w:hAnsi="times"/>
                <w:sz w:val="20"/>
              </w:rPr>
            </w:pPr>
            <w:r>
              <w:rPr>
                <w:rFonts w:ascii="times" w:hAnsi="times"/>
                <w:sz w:val="20"/>
              </w:rPr>
              <w:t>4,518</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225,918</w:t>
            </w:r>
          </w:p>
        </w:tc>
        <w:tc>
          <w:tcPr>
            <w:tcW w:w="225" w:type="dxa"/>
            <w:tcBorders/>
            <w:shd w:fill="CCEEFF" w:val="clear"/>
          </w:tcPr>
          <w:p>
            <w:pPr>
              <w:pStyle w:val="TableContents"/>
              <w:spacing w:before="0" w:after="283"/>
              <w:rPr/>
            </w:pPr>
            <w:r>
              <w:rPr/>
              <w:t> </w:t>
            </w:r>
          </w:p>
        </w:tc>
        <w:tc>
          <w:tcPr>
            <w:tcW w:w="162" w:type="dxa"/>
            <w:tcBorders/>
            <w:shd w:fill="CCEEFF" w:val="clear"/>
          </w:tcPr>
          <w:p>
            <w:pPr>
              <w:pStyle w:val="TableContents"/>
              <w:spacing w:before="0" w:after="283"/>
              <w:rPr/>
            </w:pPr>
            <w:r>
              <w:rPr/>
              <w:t> </w:t>
            </w:r>
          </w:p>
        </w:tc>
        <w:tc>
          <w:tcPr>
            <w:tcW w:w="622" w:type="dxa"/>
            <w:tcBorders/>
            <w:shd w:fill="CCEEFF" w:val="clear"/>
          </w:tcPr>
          <w:p>
            <w:pPr>
              <w:pStyle w:val="TableContents"/>
              <w:spacing w:before="0" w:after="283"/>
              <w:jc w:val="right"/>
              <w:rPr>
                <w:rFonts w:ascii="times" w:hAnsi="times"/>
                <w:sz w:val="20"/>
              </w:rPr>
            </w:pPr>
            <w:r>
              <w:rPr>
                <w:rFonts w:ascii="times" w:hAnsi="times"/>
                <w:sz w:val="20"/>
              </w:rPr>
              <w:t>2</w:t>
            </w:r>
          </w:p>
        </w:tc>
        <w:tc>
          <w:tcPr>
            <w:tcW w:w="185" w:type="dxa"/>
            <w:tcBorders/>
            <w:shd w:fill="CCEEFF" w:val="clear"/>
          </w:tcPr>
          <w:p>
            <w:pPr>
              <w:pStyle w:val="TableContents"/>
              <w:spacing w:before="0" w:after="283"/>
              <w:rPr>
                <w:rFonts w:ascii="times" w:hAnsi="times"/>
                <w:sz w:val="20"/>
              </w:rPr>
            </w:pPr>
            <w:r>
              <w:rPr>
                <w:rFonts w:ascii="times" w:hAnsi="times"/>
                <w:sz w:val="20"/>
              </w:rPr>
              <w:t>%</w:t>
            </w:r>
          </w:p>
        </w:tc>
      </w:tr>
      <w:tr>
        <w:trPr/>
        <w:tc>
          <w:tcPr>
            <w:tcW w:w="3030" w:type="dxa"/>
            <w:tcBorders/>
            <w:shd w:fill="FFFFFF" w:val="clear"/>
          </w:tcPr>
          <w:p>
            <w:pPr>
              <w:pStyle w:val="TableContents"/>
              <w:spacing w:before="0" w:after="283"/>
              <w:ind w:left="200" w:right="0" w:hanging="200"/>
              <w:rPr>
                <w:rFonts w:ascii="times" w:hAnsi="times"/>
                <w:sz w:val="20"/>
              </w:rPr>
            </w:pPr>
            <w:r>
              <w:rPr>
                <w:rFonts w:ascii="times" w:hAnsi="times"/>
                <w:sz w:val="20"/>
              </w:rPr>
              <w:t>$1.98</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870" w:type="dxa"/>
            <w:tcBorders/>
            <w:shd w:fill="FFFFFF" w:val="clear"/>
          </w:tcPr>
          <w:p>
            <w:pPr>
              <w:pStyle w:val="TableContents"/>
              <w:spacing w:before="0" w:after="283"/>
              <w:jc w:val="right"/>
              <w:rPr>
                <w:rFonts w:ascii="times" w:hAnsi="times"/>
                <w:sz w:val="20"/>
              </w:rPr>
            </w:pPr>
            <w:r>
              <w:rPr>
                <w:rFonts w:ascii="times" w:hAnsi="times"/>
                <w:sz w:val="20"/>
              </w:rPr>
              <w:t>243,540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705" w:type="dxa"/>
            <w:tcBorders/>
            <w:shd w:fill="FFFFFF" w:val="clear"/>
          </w:tcPr>
          <w:p>
            <w:pPr>
              <w:pStyle w:val="TableContents"/>
              <w:spacing w:before="0" w:after="283"/>
              <w:jc w:val="right"/>
              <w:rPr>
                <w:rFonts w:ascii="times" w:hAnsi="times"/>
                <w:sz w:val="20"/>
              </w:rPr>
            </w:pPr>
            <w:r>
              <w:rPr>
                <w:rFonts w:ascii="times" w:hAnsi="times"/>
                <w:sz w:val="20"/>
              </w:rPr>
              <w:t>8,425</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251,965</w:t>
            </w:r>
          </w:p>
        </w:tc>
        <w:tc>
          <w:tcPr>
            <w:tcW w:w="225" w:type="dxa"/>
            <w:tcBorders/>
            <w:shd w:fill="FFFFFF" w:val="clear"/>
          </w:tcPr>
          <w:p>
            <w:pPr>
              <w:pStyle w:val="TableContents"/>
              <w:spacing w:before="0" w:after="283"/>
              <w:rPr/>
            </w:pPr>
            <w:r>
              <w:rPr/>
              <w:t> </w:t>
            </w:r>
          </w:p>
        </w:tc>
        <w:tc>
          <w:tcPr>
            <w:tcW w:w="162" w:type="dxa"/>
            <w:tcBorders/>
            <w:shd w:fill="FFFFFF" w:val="clear"/>
          </w:tcPr>
          <w:p>
            <w:pPr>
              <w:pStyle w:val="TableContents"/>
              <w:spacing w:before="0" w:after="283"/>
              <w:rPr/>
            </w:pPr>
            <w:r>
              <w:rPr/>
              <w:t> </w:t>
            </w:r>
          </w:p>
        </w:tc>
        <w:tc>
          <w:tcPr>
            <w:tcW w:w="622" w:type="dxa"/>
            <w:tcBorders/>
            <w:shd w:fill="FFFFFF" w:val="clear"/>
          </w:tcPr>
          <w:p>
            <w:pPr>
              <w:pStyle w:val="TableContents"/>
              <w:spacing w:before="0" w:after="283"/>
              <w:jc w:val="right"/>
              <w:rPr>
                <w:rFonts w:ascii="times" w:hAnsi="times"/>
                <w:sz w:val="20"/>
              </w:rPr>
            </w:pPr>
            <w:r>
              <w:rPr>
                <w:rFonts w:ascii="times" w:hAnsi="times"/>
                <w:sz w:val="20"/>
              </w:rPr>
              <w:t>3</w:t>
            </w:r>
          </w:p>
        </w:tc>
        <w:tc>
          <w:tcPr>
            <w:tcW w:w="185" w:type="dxa"/>
            <w:tcBorders/>
            <w:shd w:fill="FFFFFF" w:val="clear"/>
          </w:tcPr>
          <w:p>
            <w:pPr>
              <w:pStyle w:val="TableContents"/>
              <w:spacing w:before="0" w:after="283"/>
              <w:rPr>
                <w:rFonts w:ascii="times" w:hAnsi="times"/>
                <w:sz w:val="20"/>
              </w:rPr>
            </w:pPr>
            <w:r>
              <w:rPr>
                <w:rFonts w:ascii="times" w:hAnsi="times"/>
                <w:sz w:val="20"/>
              </w:rPr>
              <w:t>%</w:t>
            </w:r>
          </w:p>
        </w:tc>
      </w:tr>
      <w:tr>
        <w:trPr/>
        <w:tc>
          <w:tcPr>
            <w:tcW w:w="3030" w:type="dxa"/>
            <w:tcBorders/>
            <w:shd w:fill="CCEEFF" w:val="clear"/>
          </w:tcPr>
          <w:p>
            <w:pPr>
              <w:pStyle w:val="TableContents"/>
              <w:spacing w:before="0" w:after="283"/>
              <w:ind w:left="200" w:right="0" w:hanging="200"/>
              <w:rPr>
                <w:rFonts w:ascii="times" w:hAnsi="times"/>
                <w:sz w:val="20"/>
              </w:rPr>
            </w:pPr>
            <w:r>
              <w:rPr>
                <w:rFonts w:ascii="times" w:hAnsi="times"/>
                <w:sz w:val="20"/>
              </w:rPr>
              <w:t>$2.70</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870" w:type="dxa"/>
            <w:tcBorders/>
            <w:shd w:fill="CCEEFF" w:val="clear"/>
          </w:tcPr>
          <w:p>
            <w:pPr>
              <w:pStyle w:val="TableContents"/>
              <w:spacing w:before="0" w:after="283"/>
              <w:jc w:val="right"/>
              <w:rPr>
                <w:rFonts w:ascii="times" w:hAnsi="times"/>
                <w:sz w:val="20"/>
              </w:rPr>
            </w:pPr>
            <w:r>
              <w:rPr>
                <w:rFonts w:ascii="times" w:hAnsi="times"/>
                <w:sz w:val="20"/>
              </w:rPr>
              <w:t>332,100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705" w:type="dxa"/>
            <w:tcBorders/>
            <w:shd w:fill="CCEEFF" w:val="clear"/>
          </w:tcPr>
          <w:p>
            <w:pPr>
              <w:pStyle w:val="TableContents"/>
              <w:spacing w:before="0" w:after="283"/>
              <w:jc w:val="right"/>
              <w:rPr>
                <w:rFonts w:ascii="times" w:hAnsi="times"/>
                <w:sz w:val="20"/>
              </w:rPr>
            </w:pPr>
            <w:r>
              <w:rPr>
                <w:rFonts w:ascii="times" w:hAnsi="times"/>
                <w:sz w:val="20"/>
              </w:rPr>
              <w:t>37,945</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370,045</w:t>
            </w:r>
          </w:p>
        </w:tc>
        <w:tc>
          <w:tcPr>
            <w:tcW w:w="225" w:type="dxa"/>
            <w:tcBorders/>
            <w:shd w:fill="CCEEFF" w:val="clear"/>
          </w:tcPr>
          <w:p>
            <w:pPr>
              <w:pStyle w:val="TableContents"/>
              <w:spacing w:before="0" w:after="283"/>
              <w:rPr/>
            </w:pPr>
            <w:r>
              <w:rPr/>
              <w:t> </w:t>
            </w:r>
          </w:p>
        </w:tc>
        <w:tc>
          <w:tcPr>
            <w:tcW w:w="162" w:type="dxa"/>
            <w:tcBorders/>
            <w:shd w:fill="CCEEFF" w:val="clear"/>
          </w:tcPr>
          <w:p>
            <w:pPr>
              <w:pStyle w:val="TableContents"/>
              <w:spacing w:before="0" w:after="283"/>
              <w:rPr/>
            </w:pPr>
            <w:r>
              <w:rPr/>
              <w:t> </w:t>
            </w:r>
          </w:p>
        </w:tc>
        <w:tc>
          <w:tcPr>
            <w:tcW w:w="622" w:type="dxa"/>
            <w:tcBorders/>
            <w:shd w:fill="CCEEFF" w:val="clear"/>
          </w:tcPr>
          <w:p>
            <w:pPr>
              <w:pStyle w:val="TableContents"/>
              <w:spacing w:before="0" w:after="283"/>
              <w:jc w:val="right"/>
              <w:rPr>
                <w:rFonts w:ascii="times" w:hAnsi="times"/>
                <w:sz w:val="20"/>
              </w:rPr>
            </w:pPr>
            <w:r>
              <w:rPr>
                <w:rFonts w:ascii="times" w:hAnsi="times"/>
                <w:sz w:val="20"/>
              </w:rPr>
              <w:t>10</w:t>
            </w:r>
          </w:p>
        </w:tc>
        <w:tc>
          <w:tcPr>
            <w:tcW w:w="185" w:type="dxa"/>
            <w:tcBorders/>
            <w:shd w:fill="CCEEFF" w:val="clear"/>
          </w:tcPr>
          <w:p>
            <w:pPr>
              <w:pStyle w:val="TableContents"/>
              <w:spacing w:before="0" w:after="283"/>
              <w:rPr>
                <w:rFonts w:ascii="times" w:hAnsi="times"/>
                <w:sz w:val="20"/>
              </w:rPr>
            </w:pPr>
            <w:r>
              <w:rPr>
                <w:rFonts w:ascii="times" w:hAnsi="times"/>
                <w:sz w:val="20"/>
              </w:rPr>
              <w:t>%</w:t>
            </w:r>
          </w:p>
        </w:tc>
      </w:tr>
      <w:tr>
        <w:trPr/>
        <w:tc>
          <w:tcPr>
            <w:tcW w:w="3030" w:type="dxa"/>
            <w:tcBorders/>
            <w:shd w:fill="FFFFFF" w:val="clear"/>
          </w:tcPr>
          <w:p>
            <w:pPr>
              <w:pStyle w:val="TableContents"/>
              <w:spacing w:before="0" w:after="283"/>
              <w:ind w:left="200" w:right="0" w:hanging="200"/>
              <w:rPr>
                <w:rFonts w:ascii="times" w:hAnsi="times"/>
                <w:sz w:val="20"/>
              </w:rPr>
            </w:pPr>
            <w:r>
              <w:rPr>
                <w:rFonts w:ascii="times" w:hAnsi="times"/>
                <w:sz w:val="20"/>
              </w:rPr>
              <w:t>$3.60</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870" w:type="dxa"/>
            <w:tcBorders/>
            <w:shd w:fill="FFFFFF" w:val="clear"/>
          </w:tcPr>
          <w:p>
            <w:pPr>
              <w:pStyle w:val="TableContents"/>
              <w:spacing w:before="0" w:after="283"/>
              <w:jc w:val="right"/>
              <w:rPr>
                <w:rFonts w:ascii="times" w:hAnsi="times"/>
                <w:sz w:val="20"/>
              </w:rPr>
            </w:pPr>
            <w:r>
              <w:rPr>
                <w:rFonts w:ascii="times" w:hAnsi="times"/>
                <w:sz w:val="20"/>
              </w:rPr>
              <w:t>442,800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705" w:type="dxa"/>
            <w:tcBorders/>
            <w:shd w:fill="FFFFFF" w:val="clear"/>
          </w:tcPr>
          <w:p>
            <w:pPr>
              <w:pStyle w:val="TableContents"/>
              <w:spacing w:before="0" w:after="283"/>
              <w:jc w:val="right"/>
              <w:rPr>
                <w:rFonts w:ascii="times" w:hAnsi="times"/>
                <w:sz w:val="20"/>
              </w:rPr>
            </w:pPr>
            <w:r>
              <w:rPr>
                <w:rFonts w:ascii="times" w:hAnsi="times"/>
                <w:sz w:val="20"/>
              </w:rPr>
              <w:t>148,645</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591,445</w:t>
            </w:r>
          </w:p>
        </w:tc>
        <w:tc>
          <w:tcPr>
            <w:tcW w:w="225" w:type="dxa"/>
            <w:tcBorders/>
            <w:shd w:fill="FFFFFF" w:val="clear"/>
          </w:tcPr>
          <w:p>
            <w:pPr>
              <w:pStyle w:val="TableContents"/>
              <w:spacing w:before="0" w:after="283"/>
              <w:rPr/>
            </w:pPr>
            <w:r>
              <w:rPr/>
              <w:t> </w:t>
            </w:r>
          </w:p>
        </w:tc>
        <w:tc>
          <w:tcPr>
            <w:tcW w:w="162" w:type="dxa"/>
            <w:tcBorders/>
            <w:shd w:fill="FFFFFF" w:val="clear"/>
          </w:tcPr>
          <w:p>
            <w:pPr>
              <w:pStyle w:val="TableContents"/>
              <w:spacing w:before="0" w:after="283"/>
              <w:rPr/>
            </w:pPr>
            <w:r>
              <w:rPr/>
              <w:t> </w:t>
            </w:r>
          </w:p>
        </w:tc>
        <w:tc>
          <w:tcPr>
            <w:tcW w:w="622" w:type="dxa"/>
            <w:tcBorders/>
            <w:shd w:fill="FFFFFF" w:val="clear"/>
          </w:tcPr>
          <w:p>
            <w:pPr>
              <w:pStyle w:val="TableContents"/>
              <w:spacing w:before="0" w:after="283"/>
              <w:jc w:val="right"/>
              <w:rPr>
                <w:rFonts w:ascii="times" w:hAnsi="times"/>
                <w:sz w:val="20"/>
              </w:rPr>
            </w:pPr>
            <w:r>
              <w:rPr>
                <w:rFonts w:ascii="times" w:hAnsi="times"/>
                <w:sz w:val="20"/>
              </w:rPr>
              <w:t>25</w:t>
            </w:r>
          </w:p>
        </w:tc>
        <w:tc>
          <w:tcPr>
            <w:tcW w:w="185" w:type="dxa"/>
            <w:tcBorders/>
            <w:shd w:fill="FFFFFF" w:val="clear"/>
          </w:tcPr>
          <w:p>
            <w:pPr>
              <w:pStyle w:val="TableContents"/>
              <w:spacing w:before="0" w:after="283"/>
              <w:rPr>
                <w:rFonts w:ascii="times" w:hAnsi="times"/>
                <w:sz w:val="20"/>
              </w:rPr>
            </w:pPr>
            <w:r>
              <w:rPr>
                <w:rFonts w:ascii="times" w:hAnsi="times"/>
                <w:sz w:val="20"/>
              </w:rPr>
              <w:t>%</w:t>
            </w:r>
          </w:p>
        </w:tc>
      </w:tr>
      <w:tr>
        <w:trPr/>
        <w:tc>
          <w:tcPr>
            <w:tcW w:w="3030" w:type="dxa"/>
            <w:tcBorders/>
            <w:shd w:fill="CCEEFF" w:val="clear"/>
          </w:tcPr>
          <w:p>
            <w:pPr>
              <w:pStyle w:val="TableContents"/>
              <w:spacing w:before="0" w:after="283"/>
              <w:ind w:left="200" w:right="0" w:hanging="200"/>
              <w:rPr>
                <w:rFonts w:ascii="times" w:hAnsi="times"/>
                <w:sz w:val="20"/>
              </w:rPr>
            </w:pPr>
            <w:r>
              <w:rPr>
                <w:rFonts w:ascii="times" w:hAnsi="times"/>
                <w:sz w:val="20"/>
              </w:rPr>
              <w:t>$3.70</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870" w:type="dxa"/>
            <w:tcBorders/>
            <w:shd w:fill="CCEEFF" w:val="clear"/>
          </w:tcPr>
          <w:p>
            <w:pPr>
              <w:pStyle w:val="TableContents"/>
              <w:spacing w:before="0" w:after="283"/>
              <w:jc w:val="right"/>
              <w:rPr>
                <w:rFonts w:ascii="times" w:hAnsi="times"/>
                <w:sz w:val="20"/>
              </w:rPr>
            </w:pPr>
            <w:r>
              <w:rPr>
                <w:rFonts w:ascii="times" w:hAnsi="times"/>
                <w:sz w:val="20"/>
              </w:rPr>
              <w:t>455,100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705" w:type="dxa"/>
            <w:tcBorders/>
            <w:shd w:fill="CCEEFF" w:val="clear"/>
          </w:tcPr>
          <w:p>
            <w:pPr>
              <w:pStyle w:val="TableContents"/>
              <w:spacing w:before="0" w:after="283"/>
              <w:jc w:val="right"/>
              <w:rPr>
                <w:rFonts w:ascii="times" w:hAnsi="times"/>
                <w:sz w:val="20"/>
              </w:rPr>
            </w:pPr>
            <w:r>
              <w:rPr>
                <w:rFonts w:ascii="times" w:hAnsi="times"/>
                <w:sz w:val="20"/>
              </w:rPr>
              <w:t>160,945</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616,045</w:t>
            </w:r>
          </w:p>
        </w:tc>
        <w:tc>
          <w:tcPr>
            <w:tcW w:w="225" w:type="dxa"/>
            <w:tcBorders/>
            <w:shd w:fill="CCEEFF" w:val="clear"/>
          </w:tcPr>
          <w:p>
            <w:pPr>
              <w:pStyle w:val="TableContents"/>
              <w:spacing w:before="0" w:after="283"/>
              <w:rPr/>
            </w:pPr>
            <w:r>
              <w:rPr/>
              <w:t> </w:t>
            </w:r>
          </w:p>
        </w:tc>
        <w:tc>
          <w:tcPr>
            <w:tcW w:w="162" w:type="dxa"/>
            <w:tcBorders/>
            <w:shd w:fill="CCEEFF" w:val="clear"/>
          </w:tcPr>
          <w:p>
            <w:pPr>
              <w:pStyle w:val="TableContents"/>
              <w:spacing w:before="0" w:after="283"/>
              <w:rPr/>
            </w:pPr>
            <w:r>
              <w:rPr/>
              <w:t> </w:t>
            </w:r>
          </w:p>
        </w:tc>
        <w:tc>
          <w:tcPr>
            <w:tcW w:w="622" w:type="dxa"/>
            <w:tcBorders/>
            <w:shd w:fill="CCEEFF" w:val="clear"/>
          </w:tcPr>
          <w:p>
            <w:pPr>
              <w:pStyle w:val="TableContents"/>
              <w:spacing w:before="0" w:after="283"/>
              <w:jc w:val="right"/>
              <w:rPr>
                <w:rFonts w:ascii="times" w:hAnsi="times"/>
                <w:sz w:val="20"/>
              </w:rPr>
            </w:pPr>
            <w:r>
              <w:rPr>
                <w:rFonts w:ascii="times" w:hAnsi="times"/>
                <w:sz w:val="20"/>
              </w:rPr>
              <w:t>26</w:t>
            </w:r>
          </w:p>
        </w:tc>
        <w:tc>
          <w:tcPr>
            <w:tcW w:w="185" w:type="dxa"/>
            <w:tcBorders/>
            <w:shd w:fill="CCEEFF" w:val="clear"/>
          </w:tcPr>
          <w:p>
            <w:pPr>
              <w:pStyle w:val="TableContents"/>
              <w:spacing w:before="0" w:after="283"/>
              <w:rPr>
                <w:rFonts w:ascii="times" w:hAnsi="times"/>
                <w:sz w:val="20"/>
              </w:rPr>
            </w:pPr>
            <w:r>
              <w:rPr>
                <w:rFonts w:ascii="times" w:hAnsi="times"/>
                <w:sz w:val="20"/>
              </w:rPr>
              <w:t>%</w:t>
            </w:r>
          </w:p>
        </w:tc>
      </w:tr>
      <w:tr>
        <w:trPr/>
        <w:tc>
          <w:tcPr>
            <w:tcW w:w="3030" w:type="dxa"/>
            <w:tcBorders/>
            <w:shd w:fill="FFFFFF" w:val="clear"/>
          </w:tcPr>
          <w:p>
            <w:pPr>
              <w:pStyle w:val="TableContents"/>
              <w:spacing w:before="0" w:after="283"/>
              <w:ind w:left="200" w:right="0" w:hanging="200"/>
              <w:rPr>
                <w:rFonts w:ascii="times" w:hAnsi="times"/>
                <w:sz w:val="20"/>
              </w:rPr>
            </w:pPr>
            <w:r>
              <w:rPr>
                <w:rFonts w:ascii="times" w:hAnsi="times"/>
                <w:sz w:val="20"/>
              </w:rPr>
              <w:t>$3.80</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870" w:type="dxa"/>
            <w:tcBorders/>
            <w:shd w:fill="FFFFFF" w:val="clear"/>
          </w:tcPr>
          <w:p>
            <w:pPr>
              <w:pStyle w:val="TableContents"/>
              <w:spacing w:before="0" w:after="283"/>
              <w:jc w:val="right"/>
              <w:rPr>
                <w:rFonts w:ascii="times" w:hAnsi="times"/>
                <w:sz w:val="20"/>
              </w:rPr>
            </w:pPr>
            <w:r>
              <w:rPr>
                <w:rFonts w:ascii="times" w:hAnsi="times"/>
                <w:sz w:val="20"/>
              </w:rPr>
              <w:t>467,400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705" w:type="dxa"/>
            <w:tcBorders/>
            <w:shd w:fill="FFFFFF" w:val="clear"/>
          </w:tcPr>
          <w:p>
            <w:pPr>
              <w:pStyle w:val="TableContents"/>
              <w:spacing w:before="0" w:after="283"/>
              <w:jc w:val="right"/>
              <w:rPr>
                <w:rFonts w:ascii="times" w:hAnsi="times"/>
                <w:sz w:val="20"/>
              </w:rPr>
            </w:pPr>
            <w:r>
              <w:rPr>
                <w:rFonts w:ascii="times" w:hAnsi="times"/>
                <w:sz w:val="20"/>
              </w:rPr>
              <w:t>173,245</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640,645</w:t>
            </w:r>
          </w:p>
        </w:tc>
        <w:tc>
          <w:tcPr>
            <w:tcW w:w="225" w:type="dxa"/>
            <w:tcBorders/>
            <w:shd w:fill="FFFFFF" w:val="clear"/>
          </w:tcPr>
          <w:p>
            <w:pPr>
              <w:pStyle w:val="TableContents"/>
              <w:spacing w:before="0" w:after="283"/>
              <w:rPr/>
            </w:pPr>
            <w:r>
              <w:rPr/>
              <w:t> </w:t>
            </w:r>
          </w:p>
        </w:tc>
        <w:tc>
          <w:tcPr>
            <w:tcW w:w="162" w:type="dxa"/>
            <w:tcBorders/>
            <w:shd w:fill="FFFFFF" w:val="clear"/>
          </w:tcPr>
          <w:p>
            <w:pPr>
              <w:pStyle w:val="TableContents"/>
              <w:spacing w:before="0" w:after="283"/>
              <w:rPr/>
            </w:pPr>
            <w:r>
              <w:rPr/>
              <w:t> </w:t>
            </w:r>
          </w:p>
        </w:tc>
        <w:tc>
          <w:tcPr>
            <w:tcW w:w="622" w:type="dxa"/>
            <w:tcBorders/>
            <w:shd w:fill="FFFFFF" w:val="clear"/>
          </w:tcPr>
          <w:p>
            <w:pPr>
              <w:pStyle w:val="TableContents"/>
              <w:spacing w:before="0" w:after="283"/>
              <w:jc w:val="right"/>
              <w:rPr>
                <w:rFonts w:ascii="times" w:hAnsi="times"/>
                <w:sz w:val="20"/>
              </w:rPr>
            </w:pPr>
            <w:r>
              <w:rPr>
                <w:rFonts w:ascii="times" w:hAnsi="times"/>
                <w:sz w:val="20"/>
              </w:rPr>
              <w:t>27</w:t>
            </w:r>
          </w:p>
        </w:tc>
        <w:tc>
          <w:tcPr>
            <w:tcW w:w="185" w:type="dxa"/>
            <w:tcBorders/>
            <w:shd w:fill="FFFFFF" w:val="clear"/>
          </w:tcPr>
          <w:p>
            <w:pPr>
              <w:pStyle w:val="TableContents"/>
              <w:spacing w:before="0" w:after="283"/>
              <w:rPr>
                <w:rFonts w:ascii="times" w:hAnsi="times"/>
                <w:sz w:val="20"/>
              </w:rPr>
            </w:pPr>
            <w:r>
              <w:rPr>
                <w:rFonts w:ascii="times" w:hAnsi="times"/>
                <w:sz w:val="20"/>
              </w:rPr>
              <w:t>%</w:t>
            </w:r>
          </w:p>
        </w:tc>
      </w:tr>
      <w:tr>
        <w:trPr/>
        <w:tc>
          <w:tcPr>
            <w:tcW w:w="3030" w:type="dxa"/>
            <w:tcBorders/>
            <w:shd w:fill="CCEEFF" w:val="clear"/>
          </w:tcPr>
          <w:p>
            <w:pPr>
              <w:pStyle w:val="TableContents"/>
              <w:spacing w:before="0" w:after="283"/>
              <w:ind w:left="200" w:right="0" w:hanging="200"/>
              <w:rPr>
                <w:rFonts w:ascii="times" w:hAnsi="times"/>
                <w:sz w:val="20"/>
              </w:rPr>
            </w:pPr>
            <w:r>
              <w:rPr>
                <w:rFonts w:ascii="times" w:hAnsi="times"/>
                <w:sz w:val="20"/>
              </w:rPr>
              <w:t>$3.90</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870" w:type="dxa"/>
            <w:tcBorders/>
            <w:shd w:fill="CCEEFF" w:val="clear"/>
          </w:tcPr>
          <w:p>
            <w:pPr>
              <w:pStyle w:val="TableContents"/>
              <w:spacing w:before="0" w:after="283"/>
              <w:jc w:val="right"/>
              <w:rPr>
                <w:rFonts w:ascii="times" w:hAnsi="times"/>
                <w:sz w:val="20"/>
              </w:rPr>
            </w:pPr>
            <w:r>
              <w:rPr>
                <w:rFonts w:ascii="times" w:hAnsi="times"/>
                <w:sz w:val="20"/>
              </w:rPr>
              <w:t>479,700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705" w:type="dxa"/>
            <w:tcBorders/>
            <w:shd w:fill="CCEEFF" w:val="clear"/>
          </w:tcPr>
          <w:p>
            <w:pPr>
              <w:pStyle w:val="TableContents"/>
              <w:spacing w:before="0" w:after="283"/>
              <w:jc w:val="right"/>
              <w:rPr>
                <w:rFonts w:ascii="times" w:hAnsi="times"/>
                <w:sz w:val="20"/>
              </w:rPr>
            </w:pPr>
            <w:r>
              <w:rPr>
                <w:rFonts w:ascii="times" w:hAnsi="times"/>
                <w:sz w:val="20"/>
              </w:rPr>
              <w:t>185,545</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665,245</w:t>
            </w:r>
          </w:p>
        </w:tc>
        <w:tc>
          <w:tcPr>
            <w:tcW w:w="225" w:type="dxa"/>
            <w:tcBorders/>
            <w:shd w:fill="CCEEFF" w:val="clear"/>
          </w:tcPr>
          <w:p>
            <w:pPr>
              <w:pStyle w:val="TableContents"/>
              <w:spacing w:before="0" w:after="283"/>
              <w:rPr/>
            </w:pPr>
            <w:r>
              <w:rPr/>
              <w:t> </w:t>
            </w:r>
          </w:p>
        </w:tc>
        <w:tc>
          <w:tcPr>
            <w:tcW w:w="162" w:type="dxa"/>
            <w:tcBorders/>
            <w:shd w:fill="CCEEFF" w:val="clear"/>
          </w:tcPr>
          <w:p>
            <w:pPr>
              <w:pStyle w:val="TableContents"/>
              <w:spacing w:before="0" w:after="283"/>
              <w:rPr/>
            </w:pPr>
            <w:r>
              <w:rPr/>
              <w:t> </w:t>
            </w:r>
          </w:p>
        </w:tc>
        <w:tc>
          <w:tcPr>
            <w:tcW w:w="622" w:type="dxa"/>
            <w:tcBorders/>
            <w:shd w:fill="CCEEFF" w:val="clear"/>
          </w:tcPr>
          <w:p>
            <w:pPr>
              <w:pStyle w:val="TableContents"/>
              <w:spacing w:before="0" w:after="283"/>
              <w:jc w:val="right"/>
              <w:rPr>
                <w:rFonts w:ascii="times" w:hAnsi="times"/>
                <w:sz w:val="20"/>
              </w:rPr>
            </w:pPr>
            <w:r>
              <w:rPr>
                <w:rFonts w:ascii="times" w:hAnsi="times"/>
                <w:sz w:val="20"/>
              </w:rPr>
              <w:t>28</w:t>
            </w:r>
          </w:p>
        </w:tc>
        <w:tc>
          <w:tcPr>
            <w:tcW w:w="185" w:type="dxa"/>
            <w:tcBorders/>
            <w:shd w:fill="CCEEFF" w:val="clear"/>
          </w:tcPr>
          <w:p>
            <w:pPr>
              <w:pStyle w:val="TableContents"/>
              <w:spacing w:before="0" w:after="283"/>
              <w:rPr>
                <w:rFonts w:ascii="times" w:hAnsi="times"/>
                <w:sz w:val="20"/>
              </w:rPr>
            </w:pPr>
            <w:r>
              <w:rPr>
                <w:rFonts w:ascii="times" w:hAnsi="times"/>
                <w:sz w:val="20"/>
              </w:rPr>
              <w:t>%</w:t>
            </w:r>
          </w:p>
        </w:tc>
      </w:tr>
      <w:tr>
        <w:trPr/>
        <w:tc>
          <w:tcPr>
            <w:tcW w:w="3030" w:type="dxa"/>
            <w:tcBorders/>
            <w:shd w:fill="FFFFFF" w:val="clear"/>
          </w:tcPr>
          <w:p>
            <w:pPr>
              <w:pStyle w:val="TableContents"/>
              <w:spacing w:before="0" w:after="283"/>
              <w:ind w:left="200" w:right="0" w:hanging="200"/>
              <w:rPr>
                <w:rFonts w:ascii="times" w:hAnsi="times"/>
                <w:sz w:val="20"/>
              </w:rPr>
            </w:pPr>
            <w:r>
              <w:rPr>
                <w:rFonts w:ascii="times" w:hAnsi="times"/>
                <w:sz w:val="20"/>
              </w:rPr>
              <w:t>$4.00</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870" w:type="dxa"/>
            <w:tcBorders/>
            <w:shd w:fill="FFFFFF" w:val="clear"/>
          </w:tcPr>
          <w:p>
            <w:pPr>
              <w:pStyle w:val="TableContents"/>
              <w:spacing w:before="0" w:after="283"/>
              <w:jc w:val="right"/>
              <w:rPr>
                <w:rFonts w:ascii="times" w:hAnsi="times"/>
                <w:sz w:val="20"/>
              </w:rPr>
            </w:pPr>
            <w:r>
              <w:rPr>
                <w:rFonts w:ascii="times" w:hAnsi="times"/>
                <w:sz w:val="20"/>
              </w:rPr>
              <w:t>492,000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705" w:type="dxa"/>
            <w:tcBorders/>
            <w:shd w:fill="FFFFFF" w:val="clear"/>
          </w:tcPr>
          <w:p>
            <w:pPr>
              <w:pStyle w:val="TableContents"/>
              <w:spacing w:before="0" w:after="283"/>
              <w:jc w:val="right"/>
              <w:rPr>
                <w:rFonts w:ascii="times" w:hAnsi="times"/>
                <w:sz w:val="20"/>
              </w:rPr>
            </w:pPr>
            <w:r>
              <w:rPr>
                <w:rFonts w:ascii="times" w:hAnsi="times"/>
                <w:sz w:val="20"/>
              </w:rPr>
              <w:t>197,845</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689,845</w:t>
            </w:r>
          </w:p>
        </w:tc>
        <w:tc>
          <w:tcPr>
            <w:tcW w:w="225" w:type="dxa"/>
            <w:tcBorders/>
            <w:shd w:fill="FFFFFF" w:val="clear"/>
          </w:tcPr>
          <w:p>
            <w:pPr>
              <w:pStyle w:val="TableContents"/>
              <w:spacing w:before="0" w:after="283"/>
              <w:rPr/>
            </w:pPr>
            <w:r>
              <w:rPr/>
              <w:t> </w:t>
            </w:r>
          </w:p>
        </w:tc>
        <w:tc>
          <w:tcPr>
            <w:tcW w:w="162" w:type="dxa"/>
            <w:tcBorders/>
            <w:shd w:fill="FFFFFF" w:val="clear"/>
          </w:tcPr>
          <w:p>
            <w:pPr>
              <w:pStyle w:val="TableContents"/>
              <w:spacing w:before="0" w:after="283"/>
              <w:rPr/>
            </w:pPr>
            <w:r>
              <w:rPr/>
              <w:t> </w:t>
            </w:r>
          </w:p>
        </w:tc>
        <w:tc>
          <w:tcPr>
            <w:tcW w:w="622" w:type="dxa"/>
            <w:tcBorders/>
            <w:shd w:fill="FFFFFF" w:val="clear"/>
          </w:tcPr>
          <w:p>
            <w:pPr>
              <w:pStyle w:val="TableContents"/>
              <w:spacing w:before="0" w:after="283"/>
              <w:jc w:val="right"/>
              <w:rPr>
                <w:rFonts w:ascii="times" w:hAnsi="times"/>
                <w:sz w:val="20"/>
              </w:rPr>
            </w:pPr>
            <w:r>
              <w:rPr>
                <w:rFonts w:ascii="times" w:hAnsi="times"/>
                <w:sz w:val="20"/>
              </w:rPr>
              <w:t>29</w:t>
            </w:r>
          </w:p>
        </w:tc>
        <w:tc>
          <w:tcPr>
            <w:tcW w:w="185" w:type="dxa"/>
            <w:tcBorders/>
            <w:shd w:fill="FFFFFF" w:val="clear"/>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In thousands.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Assumes 123,000,000 units outstanding. The actual number of units outstanding as of December 31, 2008 was 122,911,645. An increase in the number of units outstanding would increase both the distribution to unitholders and the distribution to the general partner for any given level of distribution per unit.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Includes distributions attributable to the 2% general partner interest and the incentive distribution rights. </w:t>
      </w:r>
    </w:p>
    <w:p>
      <w:pPr>
        <w:pStyle w:val="TextBody"/>
        <w:numPr>
          <w:ilvl w:val="0"/>
          <w:numId w:val="0"/>
        </w:numPr>
        <w:ind w:left="707" w:hanging="0"/>
        <w:rPr>
          <w:rFonts w:ascii="times" w:hAnsi="times"/>
          <w:b/>
          <w:i/>
          <w:sz w:val="20"/>
        </w:rPr>
      </w:pPr>
      <w:r>
        <w:rPr>
          <w:rFonts w:ascii="times" w:hAnsi="times"/>
          <w:b/>
          <w:i/>
          <w:sz w:val="20"/>
        </w:rPr>
        <w:t xml:space="preserve">Equity-Based Long-Term Incentive Plans </w:t>
      </w:r>
    </w:p>
    <w:p>
      <w:pPr>
        <w:pStyle w:val="TextBody"/>
        <w:rPr/>
      </w:pPr>
      <w:r>
        <w:rPr/>
        <w:t>        </w:t>
      </w:r>
      <w:r>
        <w:rPr>
          <w:rFonts w:ascii="times" w:hAnsi="times"/>
          <w:sz w:val="20"/>
        </w:rPr>
        <w:t xml:space="preserve">Our general partner has adopted the Plains All American GP LLC 1998 Long-Term Incentive Plan (the "1998 LTIP") and the Plains All American GP LLC 2005 Long-Term Incentive Plan (the "2005 LTIP") for employees and directors of our general partner and its affiliates who perform services for us, and the PPX Successor LTIP for former Pacific employees and employees hired after the date of the Pacific merger (together with the 1998 LTIP and 2005 LTIP, the "Plans"). Awards contemplated by the Plans include phantom units (referred to as restricted units in the 1998 LTIP), distribution equivalent rights (DERs) and unit options. As amended, the 1998 LTIP authorizes the grant of awards covering an aggregate of 1,425,000 common units deliverable upon vesting or exercise (as applicable) of such awards. The 2005 LTIP authorizes the grant of awards covering an aggregate of 3,000,000 common units deliverable upon vesting or exercise (as applicable) of such awards. The PPX Successor LTIP authorizes the grant of awards covering an aggregate of 999,809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 </w:t>
      </w:r>
    </w:p>
    <w:p>
      <w:pPr>
        <w:pStyle w:val="TextBody"/>
        <w:rPr/>
      </w:pPr>
      <w:r>
        <w:rPr/>
        <w:t>        </w:t>
      </w:r>
      <w:r>
        <w:rPr>
          <w:rFonts w:ascii="times" w:hAnsi="times"/>
          <w:sz w:val="20"/>
        </w:rPr>
        <w:t xml:space="preserve">Common units to be delivered upon the vesting of rights may be newly issued common units, common units acquired by our general partner in the open market or in private transactions, common units acquired by us from any other person, common units already owned by our general partner, or any combination of the foregoing. Our general partner will be entitled to reimbursement by us for the cost incurred in acquiring common units. In addition, over the term of the plan we may issue new </w:t>
      </w:r>
    </w:p>
    <w:p>
      <w:pPr>
        <w:pStyle w:val="TextBody"/>
        <w:jc w:val="center"/>
        <w:rPr>
          <w:rFonts w:ascii="times" w:hAnsi="times"/>
          <w:sz w:val="20"/>
        </w:rPr>
      </w:pPr>
      <w:r>
        <w:rPr>
          <w:rFonts w:ascii="times" w:hAnsi="times"/>
          <w:sz w:val="20"/>
        </w:rPr>
        <w:t>137</w:t>
      </w:r>
    </w:p>
    <w:p>
      <w:pPr>
        <w:pStyle w:val="HorizontalLine"/>
        <w:pBdr>
          <w:bottom w:val="single" w:sz="20" w:space="0" w:color="808080"/>
        </w:pBdr>
        <w:rPr/>
      </w:pPr>
      <w:r>
        <w:rPr/>
      </w:r>
      <w:r>
        <w:br w:type="page"/>
      </w:r>
    </w:p>
    <w:p>
      <w:pPr>
        <w:pStyle w:val="TextBody"/>
        <w:rPr/>
      </w:pPr>
      <w:hyperlink w:anchor="bg12101a_main_toc">
        <w:bookmarkStart w:id="188" w:name="page_em12101_1_138"/>
        <w:bookmarkEnd w:id="188"/>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common units to satisfy delivery obligations under the grants. When we issue new common units upon vesting of grants, the total number of common units outstanding increases. </w:t>
      </w:r>
    </w:p>
    <w:p>
      <w:pPr>
        <w:pStyle w:val="TextBody"/>
        <w:rPr/>
      </w:pPr>
      <w:r>
        <w:rPr/>
        <w:t>        </w:t>
      </w:r>
      <w:r>
        <w:rPr>
          <w:rFonts w:ascii="times" w:hAnsi="times"/>
          <w:i/>
          <w:sz w:val="20"/>
        </w:rPr>
        <w:t>Phantom Units.</w:t>
      </w:r>
      <w:r>
        <w:rPr>
          <w:rFonts w:ascii="times" w:hAnsi="times"/>
        </w:rPr>
        <w:t>    </w:t>
      </w:r>
      <w:r>
        <w:rPr>
          <w:rFonts w:ascii="times" w:hAnsi="times"/>
          <w:sz w:val="20"/>
        </w:rPr>
        <w:t xml:space="preserve">A phantom unit entitles the grantee to receive, upon the vesting of the phantom unit, a common unit (or cash equivalent, depending on the terms of the grant). </w:t>
      </w:r>
    </w:p>
    <w:p>
      <w:pPr>
        <w:pStyle w:val="TextBody"/>
        <w:rPr/>
      </w:pPr>
      <w:r>
        <w:rPr/>
        <w:t>        </w:t>
      </w:r>
      <w:r>
        <w:rPr>
          <w:rFonts w:ascii="times" w:hAnsi="times"/>
          <w:sz w:val="20"/>
        </w:rPr>
        <w:t xml:space="preserve">As of December 31, 2008, grants of approximately 715,400, 1,655,080 and 450,200 unvested phantom units were outstanding under the 1998 LTIP, 2005 LTIP and PPX Successor LTIP, respectively, and approximately 201,390, 1,034,625 and 954,809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 </w:t>
      </w:r>
    </w:p>
    <w:p>
      <w:pPr>
        <w:pStyle w:val="TextBody"/>
        <w:rPr/>
      </w:pPr>
      <w:r>
        <w:rPr/>
        <w:t>        </w:t>
      </w:r>
      <w:r>
        <w:rPr>
          <w:rFonts w:ascii="times" w:hAnsi="times"/>
          <w:sz w:val="20"/>
        </w:rPr>
        <w:t xml:space="preserve">The issuance of the common units upon vesting of phantom units is primarily intended to serve as a means of incentive compensation for performance. Therefore, no consideration is paid to us by the plan participants upon receipt of the common units. </w:t>
      </w:r>
    </w:p>
    <w:p>
      <w:pPr>
        <w:pStyle w:val="TextBody"/>
        <w:rPr/>
      </w:pPr>
      <w:r>
        <w:rPr/>
        <w:t>        </w:t>
      </w:r>
      <w:r>
        <w:rPr>
          <w:rFonts w:ascii="times" w:hAnsi="times"/>
          <w:i/>
          <w:sz w:val="20"/>
        </w:rPr>
        <w:t>Unit Options.</w:t>
      </w:r>
      <w:r>
        <w:rPr>
          <w:rFonts w:ascii="times" w:hAnsi="times"/>
        </w:rPr>
        <w:t>    </w:t>
      </w:r>
      <w:r>
        <w:rPr>
          <w:rFonts w:ascii="times" w:hAnsi="times"/>
          <w:sz w:val="20"/>
        </w:rPr>
        <w:t xml:space="preserve">Although the Plans currently permit the grant of options covering common units, no options have been granted under the Plans to date. However, the compensation committee or board of directors may, in the future, make grants under the plan to employees and directors containing such terms as the compensation committee or board of directors shall determine, provided that unit options have an exercise price equal to the fair market value of the units on the date of grant. </w:t>
      </w:r>
    </w:p>
    <w:p>
      <w:pPr>
        <w:pStyle w:val="TextBody"/>
        <w:numPr>
          <w:ilvl w:val="0"/>
          <w:numId w:val="0"/>
        </w:numPr>
        <w:ind w:left="707" w:hanging="0"/>
        <w:rPr>
          <w:rFonts w:ascii="times" w:hAnsi="times"/>
          <w:b/>
          <w:i/>
          <w:sz w:val="20"/>
        </w:rPr>
      </w:pPr>
      <w:r>
        <w:rPr>
          <w:rFonts w:ascii="times" w:hAnsi="times"/>
          <w:b/>
          <w:i/>
          <w:sz w:val="20"/>
        </w:rPr>
        <w:t xml:space="preserve">General Partner's Performance Option Plan </w:t>
      </w:r>
    </w:p>
    <w:p>
      <w:pPr>
        <w:pStyle w:val="TextBody"/>
        <w:rPr/>
      </w:pPr>
      <w:r>
        <w:rPr/>
        <w:t>        </w:t>
      </w:r>
      <w:r>
        <w:rPr>
          <w:rFonts w:ascii="times" w:hAnsi="times"/>
          <w:sz w:val="20"/>
        </w:rPr>
        <w:t xml:space="preserve">In 2001, certain owners of the general partner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Because the awards are for services provided to the general partner, the expense associated with the awards is recorded on the general partner's financial statements. As of December 31, 2008, 131,250 options remained outstanding under the plan, all of which are fully vested. No units remain available for future grant. The original exercise price of the options was $22 per unit, declining over time by an amount equal to 80% of each quarterly distribution per unit. As of December 31, 2008, the exercise price was approximately $6.13 per unit. Because the units underlying the plan were contributed to the general partner, we have no obligation to reimburse the general partner for the cost of the units upon exercise of the options. </w:t>
      </w:r>
    </w:p>
    <w:p>
      <w:pPr>
        <w:pStyle w:val="TextBody"/>
        <w:numPr>
          <w:ilvl w:val="0"/>
          <w:numId w:val="0"/>
        </w:numPr>
        <w:ind w:left="707" w:hanging="0"/>
        <w:rPr>
          <w:rFonts w:ascii="times" w:hAnsi="times"/>
          <w:b/>
          <w:i/>
          <w:sz w:val="20"/>
        </w:rPr>
      </w:pPr>
      <w:r>
        <w:rPr>
          <w:rFonts w:ascii="times" w:hAnsi="times"/>
          <w:b/>
          <w:i/>
          <w:sz w:val="20"/>
        </w:rPr>
        <w:t xml:space="preserve">Class B Units of Plains AAP, L.P. </w:t>
      </w:r>
    </w:p>
    <w:p>
      <w:pPr>
        <w:pStyle w:val="TextBody"/>
        <w:rPr/>
      </w:pPr>
      <w:r>
        <w:rPr/>
        <w:t>        </w:t>
      </w:r>
      <w:r>
        <w:rPr>
          <w:rFonts w:ascii="times" w:hAnsi="times"/>
          <w:sz w:val="20"/>
        </w:rPr>
        <w:t xml:space="preserve">In August 2007, the owners of Plains AAP, L.P. authorized the creation and issuance of up to 200,000 Class B units of Plains AAP, L.P. and authorized the compensation committee of Plains All American GP LLC to issue grants of Class B units to create long-term incentives for our management. The entire economic burden of the Class B units, which are equity classified, is borne solely by Plains AAP, L.P. and does not impact our cash or units outstanding. Therefore, we recognize the grant date fair value of the Class B units as compensation expense over the service period. The expense is also reflected as a capital contribution, and thus results in a corresponding credit to Partners' Capital in our Consolidated Financial Statements. The expense and capital contribution for the twelve months ended December 31, 2008 was approximately $13 million. We will not be obligated to reimburse Plains AAP, L.P. for such costs and any distributions made on the Class B units will not reduce the amount of cash available for distribution to our unitholders. Each Class B unit represents a "profits interest" in Plains AAP, L.P., which entitles the holder to participate in future profits and losses from operations, </w:t>
      </w:r>
    </w:p>
    <w:p>
      <w:pPr>
        <w:pStyle w:val="TextBody"/>
        <w:jc w:val="center"/>
        <w:rPr>
          <w:rFonts w:ascii="times" w:hAnsi="times"/>
          <w:sz w:val="20"/>
        </w:rPr>
      </w:pPr>
      <w:r>
        <w:rPr>
          <w:rFonts w:ascii="times" w:hAnsi="times"/>
          <w:sz w:val="20"/>
        </w:rPr>
        <w:t>138</w:t>
      </w:r>
    </w:p>
    <w:p>
      <w:pPr>
        <w:pStyle w:val="HorizontalLine"/>
        <w:pBdr>
          <w:bottom w:val="single" w:sz="20" w:space="0" w:color="808080"/>
        </w:pBdr>
        <w:rPr/>
      </w:pPr>
      <w:r>
        <w:rPr/>
      </w:r>
      <w:r>
        <w:br w:type="page"/>
      </w:r>
    </w:p>
    <w:p>
      <w:pPr>
        <w:pStyle w:val="TextBody"/>
        <w:rPr/>
      </w:pPr>
      <w:hyperlink w:anchor="bg12101a_main_toc">
        <w:bookmarkStart w:id="189" w:name="page_em12101_1_139"/>
        <w:bookmarkEnd w:id="18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current distributions from operations, and an interest in future appreciation or depreciation in Plains AAP, L.P.'s asset values. As of December 31, 2008, 154,000 Class B units were issued and outstanding. </w:t>
      </w:r>
    </w:p>
    <w:p>
      <w:pPr>
        <w:pStyle w:val="TextBody"/>
        <w:rPr/>
      </w:pPr>
      <w:r>
        <w:rPr/>
        <w:t>        </w:t>
      </w:r>
      <w:r>
        <w:rPr>
          <w:rFonts w:ascii="times" w:hAnsi="times"/>
          <w:sz w:val="20"/>
        </w:rPr>
        <w:t xml:space="preserve">The outstanding Class B units are subject to restrictions on transfer and generally become "earned" (entitled to participate in distributions) in 25% increments when the annualized quarterly distributions on our common units equal or exceed $3.50, $3.75, $4.00 and $4.50 per unit. Upon achievement of these performance thresholds (or, in some cases, within six months thereafter), the Class B units will be entitled to their proportionate share of all quarterly cash distributions made by Plains AAP, L.P. in excess of $11 million per quarter (as adjusted for debt service costs and excluding special distributions funded by debt). Assuming all authorized Class B units are issued, the maximum participation would be 8% of the amount in excess of $11 million per quarter, as adjusted. As of February 10, 2009, 25% of the outstanding Class B units had been earned. </w:t>
      </w:r>
    </w:p>
    <w:p>
      <w:pPr>
        <w:pStyle w:val="TextBody"/>
        <w:rPr/>
      </w:pPr>
      <w:r>
        <w:rPr/>
        <w:t>        </w:t>
      </w:r>
      <w:r>
        <w:rPr>
          <w:rFonts w:ascii="times" w:hAnsi="times"/>
          <w:sz w:val="20"/>
        </w:rPr>
        <w:t xml:space="preserve">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for any reason prior to January 1, 2016, other than a termination of employment by the employee for good reason or by Plains All American GP LLC other than for cause (as defined). Upon the occurrence of a change of control (as defined), (i) all earned units will vest (no longer be subject to Plains AAP, L.P.'s call right), and (ii) to the extent any of the units are unearned at the time, an incremental 25% of the units originally awarded will vest. All earned Class B units will also vest if they remain outstanding as of January 1, 2016 or Plains AAP, L.P. elects not to timely exercise its call right. </w:t>
      </w:r>
    </w:p>
    <w:p>
      <w:pPr>
        <w:pStyle w:val="TextBody"/>
        <w:rPr>
          <w:rFonts w:ascii="times" w:hAnsi="times"/>
          <w:b/>
          <w:sz w:val="20"/>
        </w:rPr>
      </w:pPr>
      <w:r>
        <w:rPr>
          <w:rFonts w:ascii="times" w:hAnsi="times"/>
          <w:b/>
          <w:sz w:val="20"/>
        </w:rPr>
        <w:t xml:space="preserve">Transactions with Related Persons </w:t>
      </w:r>
    </w:p>
    <w:p>
      <w:pPr>
        <w:pStyle w:val="TextBody"/>
        <w:rPr>
          <w:rFonts w:ascii="times" w:hAnsi="times"/>
          <w:b/>
          <w:i/>
          <w:sz w:val="20"/>
        </w:rPr>
      </w:pPr>
      <w:r>
        <w:rPr>
          <w:rFonts w:ascii="times" w:hAnsi="times"/>
          <w:b/>
          <w:i/>
          <w:sz w:val="20"/>
        </w:rPr>
        <w:t xml:space="preserve">Vulcan Energy </w:t>
      </w:r>
    </w:p>
    <w:p>
      <w:pPr>
        <w:pStyle w:val="TextBody"/>
        <w:rPr/>
      </w:pPr>
      <w:r>
        <w:rPr/>
        <w:t>        </w:t>
      </w:r>
      <w:r>
        <w:rPr>
          <w:rFonts w:ascii="times" w:hAnsi="times"/>
          <w:sz w:val="20"/>
        </w:rPr>
        <w:t xml:space="preserve">As of December 31, 2008, Vulcan Energy and its affiliates owned approximately 50.1% of our general partner interest, as well as approximately 10% of our outstanding limited partner units. </w:t>
      </w:r>
    </w:p>
    <w:p>
      <w:pPr>
        <w:pStyle w:val="TextBody"/>
        <w:rPr/>
      </w:pPr>
      <w:r>
        <w:rPr/>
        <w:t>        </w:t>
      </w:r>
      <w:r>
        <w:rPr>
          <w:rFonts w:ascii="times" w:hAnsi="times"/>
          <w:i/>
          <w:sz w:val="20"/>
        </w:rPr>
        <w:t>Voting Agreement.</w:t>
      </w:r>
      <w:r>
        <w:rPr>
          <w:rFonts w:ascii="times" w:hAnsi="times"/>
        </w:rPr>
        <w:t>    </w:t>
      </w:r>
      <w:r>
        <w:rPr>
          <w:rFonts w:ascii="times" w:hAnsi="times"/>
          <w:sz w:val="20"/>
        </w:rPr>
        <w:t xml:space="preserve">In August 2005, one of the owners of our general partner notified the remaining owners of its intent to sell its 19% interest in the general partner. The remaining owners elected to exercise their right of first refusal, such that the 19% interest was purchased pro rata by all remaining owners. As a result of the transaction, Vulcan Energy's ownership interest increased from 44% to over 50%. At the closing of the transaction, Vulcan Energy entered into a voting agreement that restricts its ability to unilaterally elect or remove our independent directors, and separately, our CEO and COO agreed, subject to certain ongoing conditions, to waive certain change-of-control payment rights that would otherwise have been triggered by the increase in Vulcan Energy's ownership interest. These ownership changes to our general partner had no material impact on us. </w:t>
      </w:r>
    </w:p>
    <w:p>
      <w:pPr>
        <w:pStyle w:val="TextBody"/>
        <w:rPr/>
      </w:pPr>
      <w:r>
        <w:rPr/>
        <w:t>        </w:t>
      </w:r>
      <w:r>
        <w:rPr>
          <w:rFonts w:ascii="times" w:hAnsi="times"/>
          <w:sz w:val="20"/>
        </w:rPr>
        <w:t xml:space="preserve">Another owner of GP LLC, Lynx Holdings I, LLC, agreed to restrict certain of its voting rights with respect to its approximate 1.2% membership interest in GP LLC. See Item 10. "Directors and Executive Officers of Our General Partner and Corporate GovernancePartnership Management and Governance." </w:t>
      </w:r>
    </w:p>
    <w:p>
      <w:pPr>
        <w:pStyle w:val="TextBody"/>
        <w:rPr/>
      </w:pPr>
      <w:r>
        <w:rPr/>
        <w:t>        </w:t>
      </w:r>
      <w:r>
        <w:rPr>
          <w:rFonts w:ascii="times" w:hAnsi="times"/>
          <w:i/>
          <w:sz w:val="20"/>
        </w:rPr>
        <w:t>Administrative Services Agreement.</w:t>
      </w:r>
      <w:r>
        <w:rPr>
          <w:rFonts w:ascii="times" w:hAnsi="times"/>
        </w:rPr>
        <w:t>    </w:t>
      </w:r>
      <w:r>
        <w:rPr>
          <w:rFonts w:ascii="times" w:hAnsi="times"/>
          <w:sz w:val="20"/>
        </w:rPr>
        <w:t xml:space="preserve">On October 14, 2005, GP LLC and Vulcan Energy entered into an Administrative Services Agreement, effective as of September 1, 2005 (the "Services Agreement"). Pursuant to the Services Agreement, GP LLC provides administrative services to Vulcan Energy for consideration of an annual fee, plus certain expenses. Effective October 1, 2006, the annual fee for providing these services was increased to $1 million. Beginning in October 2008, the Services Agreement automatically renews for successive one-year periods unless either party provides written notice of its intention to terminate the Services Agreement. Pursuant to the agreement, Vulcan Energy has appointed certain employees of GP LLC as officers of Vulcan Energy for administrative efficiency. Under the Services Agreement, Vulcan Energy acknowledges that conflicts may arise between itself and </w:t>
      </w:r>
    </w:p>
    <w:p>
      <w:pPr>
        <w:pStyle w:val="TextBody"/>
        <w:jc w:val="center"/>
        <w:rPr>
          <w:rFonts w:ascii="times" w:hAnsi="times"/>
          <w:sz w:val="20"/>
        </w:rPr>
      </w:pPr>
      <w:r>
        <w:rPr>
          <w:rFonts w:ascii="times" w:hAnsi="times"/>
          <w:sz w:val="20"/>
        </w:rPr>
        <w:t>139</w:t>
      </w:r>
    </w:p>
    <w:p>
      <w:pPr>
        <w:pStyle w:val="HorizontalLine"/>
        <w:pBdr>
          <w:bottom w:val="single" w:sz="20" w:space="0" w:color="808080"/>
        </w:pBdr>
        <w:rPr/>
      </w:pPr>
      <w:r>
        <w:rPr/>
      </w:r>
      <w:r>
        <w:br w:type="page"/>
      </w:r>
    </w:p>
    <w:p>
      <w:pPr>
        <w:pStyle w:val="TextBody"/>
        <w:rPr/>
      </w:pPr>
      <w:hyperlink w:anchor="bg12101a_main_toc">
        <w:bookmarkStart w:id="190" w:name="page_em12101_1_140"/>
        <w:bookmarkEnd w:id="190"/>
        <w:r>
          <w:rPr>
            <w:rStyle w:val="InternetLink"/>
            <w:rFonts w:ascii="times" w:hAnsi="times"/>
            <w:sz w:val="20"/>
          </w:rPr>
          <w:t>Table of Contents</w:t>
        </w:r>
      </w:hyperlink>
    </w:p>
    <w:p>
      <w:pPr>
        <w:pStyle w:val="TextBody"/>
        <w:rPr/>
      </w:pPr>
      <w:r>
        <w:rPr/>
      </w:r>
    </w:p>
    <w:p>
      <w:pPr>
        <w:pStyle w:val="TextBody"/>
        <w:rPr>
          <w:rFonts w:ascii="times" w:hAnsi="times"/>
          <w:sz w:val="20"/>
        </w:rPr>
      </w:pPr>
      <w:r>
        <w:rPr>
          <w:rFonts w:ascii="times" w:hAnsi="times"/>
          <w:sz w:val="20"/>
        </w:rPr>
        <w:t xml:space="preserve">GP LLC. If GP LLC believes that a specific service is in conflict with the best interest of GP LLC or its affiliates then GP LLC is entitled to suspend the provision of that service and such a suspension will not constitute a breach of the Services Agreement. Vulcan Gas Storage LLC (discussed below) operates separately from Vulcan Energy, and services we provide to Vulcan Gas Storage LLC are not covered under the Services Agreement. </w:t>
      </w:r>
    </w:p>
    <w:p>
      <w:pPr>
        <w:pStyle w:val="TextBody"/>
        <w:rPr/>
      </w:pPr>
      <w:r>
        <w:rPr/>
        <w:t>        </w:t>
      </w:r>
      <w:r>
        <w:rPr>
          <w:rFonts w:ascii="times" w:hAnsi="times"/>
          <w:i/>
          <w:sz w:val="20"/>
        </w:rPr>
        <w:t>Omnibus Agreement.</w:t>
      </w:r>
      <w:r>
        <w:rPr>
          <w:rFonts w:ascii="times" w:hAnsi="times"/>
        </w:rPr>
        <w:t>    </w:t>
      </w:r>
      <w:r>
        <w:rPr>
          <w:rFonts w:ascii="times" w:hAnsi="times"/>
          <w:sz w:val="20"/>
        </w:rPr>
        <w:t xml:space="preserve">PAA, GP LLC, certain affiliated entities and Vulcan Energy are parties to an amended and restated omnibus agreement dated as of July 23, 2004. Pursuant to this agreement, Vulcan Energy has agreed, so long as Vulcan Energy or any of its affiliates owns an interest, directly or indirectly, in GP LLC, not to engage in or acquire any business engaged in the following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crude oil storage, terminalling and gathering activities in any state in the United States (except for Hawaii), the Outer Continental Shelf of the United States or any province or territory in Canada, for any person other than entities affiliated with Vulcan Energy and its affiliates (collectively, the "Vulcan entities") or GP LLC, PAA, its operating partnerships and any controlled affiliates (collectively, the "Plains entities");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crude oil marketing activities;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transportation of crude oil by pipeline in any state in the United States (except for Hawaii), the Outer Continental Shelf of the United States or any province or territory in Canada, for any person other than the Plains entities. </w:t>
      </w:r>
    </w:p>
    <w:p>
      <w:pPr>
        <w:pStyle w:val="TextBody"/>
        <w:rPr/>
      </w:pPr>
      <w:r>
        <w:rPr/>
        <w:t>        </w:t>
      </w:r>
      <w:r>
        <w:rPr>
          <w:rFonts w:ascii="times" w:hAnsi="times"/>
          <w:sz w:val="20"/>
        </w:rPr>
        <w:t xml:space="preserve">These restrictions are subject to specified permitted exceptions and may be terminated by Vulcan Energy upon certain change of control events involving Vulcan Energy. The omnibus agreement further permits, except as otherwise restricted by the omnibus agreement or any other agreement, each Vulcan entity to engage in any business activity, including those that may be in direct competition with the Plains entities. Further, any owner of equity interests in Vulcan Energy may make passive investments in PAA's competitors so long as such owner does not directly or indirectly use any knowledge or confidential information it received through the ownership by a Plains entity to compete, or to engage in or become interested financially in any person that competes, in the restricted activities described above. </w:t>
      </w:r>
    </w:p>
    <w:p>
      <w:pPr>
        <w:pStyle w:val="TextBody"/>
        <w:rPr/>
      </w:pPr>
      <w:r>
        <w:rPr/>
        <w:t>        </w:t>
      </w:r>
      <w:r>
        <w:rPr>
          <w:rFonts w:ascii="times" w:hAnsi="times"/>
          <w:i/>
          <w:sz w:val="20"/>
        </w:rPr>
        <w:t>Predecessor Agreements.</w:t>
      </w:r>
      <w:r>
        <w:rPr>
          <w:rFonts w:ascii="times" w:hAnsi="times"/>
        </w:rPr>
        <w:t>    </w:t>
      </w:r>
      <w:r>
        <w:rPr>
          <w:rFonts w:ascii="times" w:hAnsi="times"/>
          <w:sz w:val="20"/>
        </w:rPr>
        <w:t xml:space="preserve">In 2001, Plains Resources, Inc. transferred a portion of its indirect interest in our general partner to certain of the current owners. As successor in interest to Plains Resources, Vulcan Energy is party to certain agreements related to such transfer, including the following: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separation agreement entered into in 2001 in connection with the transfer of interests in our general partner pursuant to which (i) Vulcan Energy indemnifies us for (a) claims relating to securities laws or regulations in connection with the upstream or midstream businesses, based on alleged acts or omissions occurring on or prior to June 8, 2001, or (b) claims related to the upstream business, whenever arising, and (ii) we indemnify Vulcan Energy for claims related to the midstream business, whenever arising.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Pension and Employee Benefits Assumption and Transition Services Agreement that provided for the transfer to our general partner of the employees of our former general partner and certain headquarters employees of Plains Resources.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Omnibus Agreement described above. </w:t>
      </w:r>
    </w:p>
    <w:p>
      <w:pPr>
        <w:pStyle w:val="TextBody"/>
        <w:rPr/>
      </w:pPr>
      <w:r>
        <w:rPr/>
        <w:t>        </w:t>
      </w:r>
      <w:r>
        <w:rPr>
          <w:rFonts w:ascii="times" w:hAnsi="times"/>
          <w:i/>
          <w:sz w:val="20"/>
        </w:rPr>
        <w:t>Crude Oil Purchases.</w:t>
      </w:r>
      <w:r>
        <w:rPr>
          <w:rFonts w:ascii="times" w:hAnsi="times"/>
        </w:rPr>
        <w:t>    </w:t>
      </w:r>
      <w:r>
        <w:rPr>
          <w:rFonts w:ascii="times" w:hAnsi="times"/>
          <w:sz w:val="20"/>
        </w:rPr>
        <w:t xml:space="preserve">From August 2005 to May 2007, Calumet Florida L.L.C. ("Calumet") was owned by Vulcan Resources Florida, Inc., the majority of which is owned by Paul G. Allen. In May 2007, Calumet was sold and ceased to be related to Vulcan Energy. In 2007, until the date that Calumet ceased to be related to Vulcan Energy, we purchased crude oil from Calumet for approximately $17 million. </w:t>
      </w:r>
    </w:p>
    <w:p>
      <w:pPr>
        <w:pStyle w:val="TextBody"/>
        <w:jc w:val="center"/>
        <w:rPr>
          <w:rFonts w:ascii="times" w:hAnsi="times"/>
          <w:sz w:val="20"/>
        </w:rPr>
      </w:pPr>
      <w:r>
        <w:rPr>
          <w:rFonts w:ascii="times" w:hAnsi="times"/>
          <w:sz w:val="20"/>
        </w:rPr>
        <w:t>140</w:t>
      </w:r>
    </w:p>
    <w:p>
      <w:pPr>
        <w:pStyle w:val="HorizontalLine"/>
        <w:pBdr>
          <w:bottom w:val="single" w:sz="20" w:space="0" w:color="808080"/>
        </w:pBdr>
        <w:rPr/>
      </w:pPr>
      <w:r>
        <w:rPr/>
      </w:r>
      <w:r>
        <w:br w:type="page"/>
      </w:r>
    </w:p>
    <w:p>
      <w:pPr>
        <w:pStyle w:val="TextBody"/>
        <w:rPr/>
      </w:pPr>
      <w:hyperlink w:anchor="bg12101a_main_toc">
        <w:bookmarkStart w:id="191" w:name="page_em12101_1_141"/>
        <w:bookmarkEnd w:id="191"/>
        <w:r>
          <w:rPr>
            <w:rStyle w:val="InternetLink"/>
            <w:rFonts w:ascii="times" w:hAnsi="times"/>
            <w:sz w:val="20"/>
          </w:rPr>
          <w:t>Table of Contents</w:t>
        </w:r>
      </w:hyperlink>
    </w:p>
    <w:p>
      <w:pPr>
        <w:pStyle w:val="TextBody"/>
        <w:rPr/>
      </w:pPr>
      <w:r>
        <w:rPr/>
        <w:t>        </w:t>
      </w:r>
      <w:r>
        <w:rPr>
          <w:rFonts w:ascii="times" w:hAnsi="times"/>
          <w:i/>
          <w:sz w:val="20"/>
        </w:rPr>
        <w:t>Other.</w:t>
      </w:r>
      <w:r>
        <w:rPr>
          <w:rFonts w:ascii="times" w:hAnsi="times"/>
        </w:rPr>
        <w:t>    </w:t>
      </w:r>
      <w:r>
        <w:rPr>
          <w:rFonts w:ascii="times" w:hAnsi="times"/>
          <w:sz w:val="20"/>
        </w:rPr>
        <w:t xml:space="preserve">In addition to those relationships described above, we have engaged in other transactions with affiliates of Vulcan Energy. See "Equity Offerings" and "Investment in Natural Gas Storage Joint Venture." </w:t>
      </w:r>
    </w:p>
    <w:p>
      <w:pPr>
        <w:pStyle w:val="TextBody"/>
        <w:rPr>
          <w:rFonts w:ascii="times" w:hAnsi="times"/>
          <w:b/>
          <w:i/>
          <w:sz w:val="20"/>
        </w:rPr>
      </w:pPr>
      <w:r>
        <w:rPr>
          <w:rFonts w:ascii="times" w:hAnsi="times"/>
          <w:b/>
          <w:i/>
          <w:sz w:val="20"/>
        </w:rPr>
        <w:t xml:space="preserve">Equity Offerings </w:t>
      </w:r>
    </w:p>
    <w:p>
      <w:pPr>
        <w:pStyle w:val="TextBody"/>
        <w:rPr/>
      </w:pPr>
      <w:r>
        <w:rPr/>
        <w:t>        </w:t>
      </w:r>
      <w:r>
        <w:rPr>
          <w:rFonts w:ascii="times" w:hAnsi="times"/>
          <w:sz w:val="20"/>
        </w:rPr>
        <w:t xml:space="preserve">In December 2006, we sold 6,163,960 common units, approximately 10% and 10% of which were sold to investment funds affiliated with KACALP and EnCap Investments, L.P., respectively. In July and August 2006, we sold a total of 3,720,930 common units, approximately 13% and 19% of which were sold to investment funds affiliated with KACALP and Vulcan Capital, respectively. In addition, in March and April 2006, we sold 3,504,672 common units, approximately 20% of which were sold to investment funds affiliated with KACALP. KAFU Holdings, L.P., which is managed by KACALP, an affiliate of Vulcan Capital and an affiliate of EnCap each have a representative on our board of directors. </w:t>
      </w:r>
    </w:p>
    <w:p>
      <w:pPr>
        <w:pStyle w:val="TextBody"/>
        <w:rPr>
          <w:rFonts w:ascii="times" w:hAnsi="times"/>
          <w:b/>
          <w:i/>
          <w:sz w:val="20"/>
        </w:rPr>
      </w:pPr>
      <w:r>
        <w:rPr>
          <w:rFonts w:ascii="times" w:hAnsi="times"/>
          <w:b/>
          <w:i/>
          <w:sz w:val="20"/>
        </w:rPr>
        <w:t xml:space="preserve">Tank Car Lease and CANPET </w:t>
      </w:r>
    </w:p>
    <w:p>
      <w:pPr>
        <w:pStyle w:val="TextBody"/>
        <w:rPr/>
      </w:pPr>
      <w:r>
        <w:rPr/>
        <w:t>        </w:t>
      </w:r>
      <w:r>
        <w:rPr>
          <w:rFonts w:ascii="times" w:hAnsi="times"/>
          <w:sz w:val="20"/>
        </w:rPr>
        <w:t xml:space="preserve">In July 2001, we acquired the assets of CANPET Energy Group Inc. ("CANPET"). Mr. W. David Duckett, the President of PMC (Nova Scotia) Company, the general partner of Plains Marketing Canada, L.P., owned approximately 38% of CANPET. In connection with the CANPET acquisition, Plains Marketing Canada, L.P. assumed CANPET's rights and obligations under a Master Railcar Leasing Agreement between CANPET and Pivotal Enterprises Corporation ("Pivotal"). The agreement provides for Plains Marketing Canada, L.P. to lease approximately 57 railcars from Pivotal at a lease price of $1,000 (Canadian) per month, per car. Mr. Duckett owns a 23% interest in Pivotal. The railcars were sold and the lease was assigned by Pivotal to the Andrews Companies LLC in 2007. </w:t>
      </w:r>
    </w:p>
    <w:p>
      <w:pPr>
        <w:pStyle w:val="TextBody"/>
        <w:rPr>
          <w:rFonts w:ascii="times" w:hAnsi="times"/>
          <w:b/>
          <w:i/>
          <w:sz w:val="20"/>
        </w:rPr>
      </w:pPr>
      <w:r>
        <w:rPr>
          <w:rFonts w:ascii="times" w:hAnsi="times"/>
          <w:b/>
          <w:i/>
          <w:sz w:val="20"/>
        </w:rPr>
        <w:t xml:space="preserve">Investment in Natural Gas Storage Joint Venture </w:t>
      </w:r>
    </w:p>
    <w:p>
      <w:pPr>
        <w:pStyle w:val="TextBody"/>
        <w:rPr/>
      </w:pPr>
      <w:r>
        <w:rPr/>
        <w:t>        </w:t>
      </w:r>
      <w:r>
        <w:rPr>
          <w:rFonts w:ascii="times" w:hAnsi="times"/>
          <w:sz w:val="20"/>
        </w:rPr>
        <w:t xml:space="preserve">PAA/Vulcan, a limited liability company, was formed in 2005. We own 50% of PAA/Vulcan and the remaining 50% is owned by Vulcan Gas Storage LLC, a subsidiary of Vulcan LLC, an investment arm of Paul G. Allen. Mr. Conn has a profits interest in Vulcan Gas Storage LLC. The Board of Directors of PAA/Vulcan consists of an equal number of our representatives and representatives of Vulcan Gas Storage, and is responsible for providing strategic direction and policy-making. We, as the managing member, are responsible for the day-to-day operations. </w:t>
      </w:r>
    </w:p>
    <w:p>
      <w:pPr>
        <w:pStyle w:val="TextBody"/>
        <w:rPr/>
      </w:pPr>
      <w:r>
        <w:rPr/>
        <w:t>        </w:t>
      </w:r>
      <w:r>
        <w:rPr>
          <w:rFonts w:ascii="times" w:hAnsi="times"/>
          <w:sz w:val="20"/>
        </w:rPr>
        <w:t xml:space="preserve">In September 2005, PAA/Vulcan acquired ECI (now known as PAA Natural Gas Storage, LLC), an indirect subsidiary of Sempra Energy, for approximately $250 million. We and Vulcan Gas Storage each made an initial cash investment of approximately $113 million and Bluewater Natural Gas Holdings, LLC, a subsidiary of PAA/Vulcan ("Bluewater"), entered into a $90 million credit facility contemporaneously with closing. In August 2006, the borrowing capacity under this facility was increased to $120 million. </w:t>
      </w:r>
    </w:p>
    <w:p>
      <w:pPr>
        <w:pStyle w:val="TextBody"/>
        <w:rPr/>
      </w:pPr>
      <w:r>
        <w:rPr/>
        <w:t>        </w:t>
      </w:r>
      <w:r>
        <w:rPr>
          <w:rFonts w:ascii="times" w:hAnsi="times"/>
          <w:sz w:val="20"/>
        </w:rPr>
        <w:t xml:space="preserve">PAA/Vulcan is developing a natural gas storage facility through its wholly owned subsidiary, Pine Prairie Energy Center, LLC ("Pine Prairie"). Proper functioning of the Pine Prairie storage caverns will require a minimum operating inventory contained in the caverns at all times (referred to as "base gas"). We have arranged to provide the base gas for the storage facility to Pine Prairie at a price not to exceed $8.50 per million cubic feet. In conjunction with this arrangement, we have executed hedges on the NYMEX for the relevant delivery periods. At the time of delivery, the base gas will be sold to PAA/Vulcan at the average price that we pay for the base gas (including hedge gains or losses) and we will not recognize any gain or loss. We recorded deferred revenue for receipt of a one-time fee of approximately $1 million for our services to own and manage the hedge positions and to deliver the natural gas. </w:t>
      </w:r>
    </w:p>
    <w:p>
      <w:pPr>
        <w:pStyle w:val="TextBody"/>
        <w:jc w:val="center"/>
        <w:rPr>
          <w:rFonts w:ascii="times" w:hAnsi="times"/>
          <w:sz w:val="20"/>
        </w:rPr>
      </w:pPr>
      <w:r>
        <w:rPr>
          <w:rFonts w:ascii="times" w:hAnsi="times"/>
          <w:sz w:val="20"/>
        </w:rPr>
        <w:t>141</w:t>
      </w:r>
    </w:p>
    <w:p>
      <w:pPr>
        <w:pStyle w:val="HorizontalLine"/>
        <w:pBdr>
          <w:bottom w:val="single" w:sz="20" w:space="0" w:color="808080"/>
        </w:pBdr>
        <w:rPr/>
      </w:pPr>
      <w:r>
        <w:rPr/>
      </w:r>
      <w:r>
        <w:br w:type="page"/>
      </w:r>
    </w:p>
    <w:p>
      <w:pPr>
        <w:pStyle w:val="TextBody"/>
        <w:rPr/>
      </w:pPr>
      <w:hyperlink w:anchor="bg12101a_main_toc">
        <w:bookmarkStart w:id="192" w:name="page_em12101_1_142"/>
        <w:bookmarkEnd w:id="192"/>
        <w:r>
          <w:rPr>
            <w:rStyle w:val="InternetLink"/>
            <w:rFonts w:ascii="times" w:hAnsi="times"/>
            <w:sz w:val="20"/>
          </w:rPr>
          <w:t>Table of Contents</w:t>
        </w:r>
      </w:hyperlink>
    </w:p>
    <w:p>
      <w:pPr>
        <w:pStyle w:val="TextBody"/>
        <w:rPr/>
      </w:pPr>
      <w:r>
        <w:rPr/>
        <w:t>        </w:t>
      </w:r>
      <w:r>
        <w:rPr>
          <w:rFonts w:ascii="times" w:hAnsi="times"/>
          <w:sz w:val="20"/>
        </w:rPr>
        <w:t xml:space="preserve">We and Vulcan Gas Storage are both required to make capital contributions in equal proportions to fund equity requests associated with certain projects specified in the joint venture and other agreements. For certain other specified projects, Vulcan Gas Storage has the right, but not the obligation, to participate for up to 50% of such equity requests. In some cases, Vulcan Gas Storage's obligation is subject to a maximum amount, beyond which Vulcan Gas Storage's participation is optional. For any other capital expenditures, or capital expenditures with respect to which Vulcan Gas Storage's participation is optional, if Vulcan Gas Storage elects not to participate, we have the right to make additional capital contributions to fund 100% of the project until our interest in PAA/Vulcan equals 70%. Such contributions would increase our interest in PAA/Vulcan and dilute Vulcan Gas Storage's interest. Once PAA's ownership interest is 70% or more, Vulcan Gas Storage would have the right, but not the obligation, to make future capital contributions proportionate to its ownership interest at the time. During 2008 and 2007, we made additional contributions of $37 million and $9 million, respectively, to PAA/Vulcan. During 2008, we received distributions of approximately $7 million from PAA/Vulcan; no such distributions were received during 2007. Vulcan Gas Storage made the same net contribution as we did during 2008 and 2007. Such contributions and distributions did not result in an increase or decrease to our ownership interest. In connection with the construction financing for development of the Pine Prairie storage facility, we and Vulcan Gas Storage have committed to make future aggregate capital contributions up to a maximum of $17.5 million each. </w:t>
      </w:r>
    </w:p>
    <w:p>
      <w:pPr>
        <w:pStyle w:val="TextBody"/>
        <w:rPr/>
      </w:pPr>
      <w:r>
        <w:rPr/>
        <w:t>        </w:t>
      </w:r>
      <w:r>
        <w:rPr>
          <w:rFonts w:ascii="times" w:hAnsi="times"/>
          <w:sz w:val="20"/>
        </w:rPr>
        <w:t xml:space="preserve">In conjunction with formation of PAA/Vulcan and the acquisition of ECI, PAA and Paul G. Allen provided performance and financial guarantees to the seller with respect to PAA/Vulcan's performance under the purchase agreement, as well as in support of continuing guarantees of the seller with respect to ECI's obligations under certain gas storage and other contracts. PAA and Paul G. Allen would be required to perform under these guarantees only if ECI was unable to perform. In addition, we provided a guarantee under one contract with an indefinite life for which neither Vulcan Capital nor Paul G. Allen provided a guarantee. In exchange for the disproportionate guarantee, PAA will receive preference distributions totaling $1.0 million over ten years from PAA/Vulcan (distributions that would otherwise have been paid to Vulcan Gas Storage). We believe that the fair value of the obligation to stand ready to perform is minimal. In addition, we believe the probability that we would be required to perform under the guaranty is extremely remote; however, there is no dollar limitation on potential future payments that fall under this obligation. </w:t>
      </w:r>
    </w:p>
    <w:p>
      <w:pPr>
        <w:pStyle w:val="TextBody"/>
        <w:rPr/>
      </w:pPr>
      <w:r>
        <w:rPr/>
        <w:t>        </w:t>
      </w:r>
      <w:r>
        <w:rPr>
          <w:rFonts w:ascii="times" w:hAnsi="times"/>
          <w:sz w:val="20"/>
        </w:rPr>
        <w:t xml:space="preserve">PAA/Vulcan will reimburse us for the allocated costs of PAA's non-officer staff associated with the management and day-to-day operations of PAA/Vulcan and all out-of-pocket costs. In addition, in the first fiscal year that EBITDA (as defined in the PAA/Vulcan LLC agreement) of PAA/Vulcan exceeds $75 million, we will receive a distribution from PAA/Vulcan equal to $6 million per year for each year since formation of the joint venture, subject to a maximum of 5 years or $30 million. Thereafter, we will receive annually a distribution equal to the greater of $2 million per year or two percent of the EBITDA of PAA/Vulcan. </w:t>
      </w:r>
    </w:p>
    <w:p>
      <w:pPr>
        <w:pStyle w:val="TextBody"/>
        <w:rPr>
          <w:rFonts w:ascii="times" w:hAnsi="times"/>
          <w:b/>
          <w:i/>
          <w:sz w:val="20"/>
        </w:rPr>
      </w:pPr>
      <w:r>
        <w:rPr>
          <w:rFonts w:ascii="times" w:hAnsi="times"/>
          <w:b/>
          <w:i/>
          <w:sz w:val="20"/>
        </w:rPr>
        <w:t xml:space="preserve">Other </w:t>
      </w:r>
    </w:p>
    <w:p>
      <w:pPr>
        <w:pStyle w:val="TextBody"/>
        <w:rPr/>
      </w:pPr>
      <w:r>
        <w:rPr/>
        <w:t>        </w:t>
      </w:r>
      <w:r>
        <w:rPr>
          <w:rFonts w:ascii="times" w:hAnsi="times"/>
          <w:sz w:val="20"/>
        </w:rPr>
        <w:t xml:space="preserve">During 2008 and 2007, we purchased approximately $3.6 million and $1.7 million, respectively, of oil from companies owned and controlled by funds managed by KACALP. We pay the same amount per barrel to these companies that we pay to other producers in the area. </w:t>
      </w:r>
    </w:p>
    <w:p>
      <w:pPr>
        <w:pStyle w:val="TextBody"/>
        <w:rPr>
          <w:rFonts w:ascii="times" w:hAnsi="times"/>
          <w:b/>
          <w:i/>
          <w:sz w:val="20"/>
        </w:rPr>
      </w:pPr>
      <w:r>
        <w:rPr>
          <w:rFonts w:ascii="times" w:hAnsi="times"/>
          <w:b/>
          <w:i/>
          <w:sz w:val="20"/>
        </w:rPr>
        <w:t xml:space="preserve">Review, Approval or Ratification of Transactions with Related Persons </w:t>
      </w:r>
    </w:p>
    <w:p>
      <w:pPr>
        <w:pStyle w:val="TextBody"/>
        <w:rPr/>
      </w:pPr>
      <w:r>
        <w:rPr/>
        <w:t>        </w:t>
      </w:r>
      <w:r>
        <w:rPr>
          <w:rFonts w:ascii="times" w:hAnsi="times"/>
          <w:sz w:val="20"/>
        </w:rPr>
        <w:t xml:space="preserve">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 </w:t>
      </w:r>
    </w:p>
    <w:p>
      <w:pPr>
        <w:pStyle w:val="TextBody"/>
        <w:jc w:val="center"/>
        <w:rPr>
          <w:rFonts w:ascii="times" w:hAnsi="times"/>
          <w:sz w:val="20"/>
        </w:rPr>
      </w:pPr>
      <w:r>
        <w:rPr>
          <w:rFonts w:ascii="times" w:hAnsi="times"/>
          <w:sz w:val="20"/>
        </w:rPr>
        <w:t>142</w:t>
      </w:r>
    </w:p>
    <w:p>
      <w:pPr>
        <w:pStyle w:val="HorizontalLine"/>
        <w:pBdr>
          <w:bottom w:val="single" w:sz="20" w:space="0" w:color="808080"/>
        </w:pBdr>
        <w:rPr/>
      </w:pPr>
      <w:r>
        <w:rPr/>
      </w:r>
      <w:r>
        <w:br w:type="page"/>
      </w:r>
    </w:p>
    <w:p>
      <w:pPr>
        <w:pStyle w:val="TextBody"/>
        <w:rPr/>
      </w:pPr>
      <w:hyperlink w:anchor="bg12101a_main_toc">
        <w:bookmarkStart w:id="193" w:name="page_em12101_1_143"/>
        <w:bookmarkEnd w:id="193"/>
        <w:r>
          <w:rPr>
            <w:rStyle w:val="InternetLink"/>
            <w:rFonts w:ascii="times" w:hAnsi="times"/>
            <w:sz w:val="20"/>
          </w:rPr>
          <w:t>Table of Contents</w:t>
        </w:r>
      </w:hyperlink>
    </w:p>
    <w:p>
      <w:pPr>
        <w:pStyle w:val="TextBody"/>
        <w:rPr/>
      </w:pPr>
      <w:r>
        <w:rPr/>
        <w:t>        </w:t>
      </w:r>
      <w:r>
        <w:rPr>
          <w:rFonts w:ascii="times" w:hAnsi="times"/>
          <w:sz w:val="20"/>
        </w:rPr>
        <w:t xml:space="preserve">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 </w:t>
      </w:r>
    </w:p>
    <w:p>
      <w:pPr>
        <w:pStyle w:val="TextBody"/>
        <w:rPr/>
      </w:pPr>
      <w:r>
        <w:rPr/>
        <w:t>        </w:t>
      </w:r>
      <w:r>
        <w:rPr>
          <w:rFonts w:ascii="times" w:hAnsi="times"/>
          <w:sz w:val="20"/>
        </w:rPr>
        <w:t xml:space="preserve">Pursuant to our Code of Business Conduct, any Executive Officer must avoid conflicts of interest unless approved by the board of directors. </w:t>
      </w:r>
    </w:p>
    <w:p>
      <w:pPr>
        <w:pStyle w:val="TextBody"/>
        <w:rPr/>
      </w:pPr>
      <w:r>
        <w:rPr/>
        <w:t>        </w:t>
      </w:r>
      <w:r>
        <w:rPr>
          <w:rFonts w:ascii="times" w:hAnsi="times"/>
          <w:sz w:val="20"/>
        </w:rPr>
        <w:t xml:space="preserve">In the case of any sale of equity by the Partnership in which an owner or affiliate of an owner of our general partner participates, our practice is to obtain general approval of the full board for the transaction. The board typically delegates authority to set the specific terms to a pricing committee, consisting of the CEO and one independent director. Actions by the pricing committee require unanimous approval. </w:t>
      </w:r>
    </w:p>
    <w:p>
      <w:pPr>
        <w:pStyle w:val="TextBody"/>
        <w:rPr>
          <w:rFonts w:ascii="times" w:hAnsi="times"/>
        </w:rPr>
      </w:pPr>
      <w:bookmarkStart w:id="194" w:name="toc_em12101_2"/>
      <w:bookmarkStart w:id="195" w:name="em12101_item_14._principal_accountant_fe"/>
      <w:bookmarkEnd w:id="194"/>
      <w:bookmarkEnd w:id="195"/>
      <w:r>
        <w:rPr>
          <w:rFonts w:ascii="times" w:hAnsi="times"/>
          <w:b/>
          <w:sz w:val="20"/>
        </w:rPr>
        <w:t>Item 14.    </w:t>
      </w:r>
      <w:r>
        <w:rPr>
          <w:rFonts w:ascii="times" w:hAnsi="times"/>
          <w:b/>
          <w:i/>
          <w:sz w:val="20"/>
        </w:rPr>
        <w:t xml:space="preserve">Principal Accountant Fees and Services </w:t>
      </w:r>
    </w:p>
    <w:p>
      <w:pPr>
        <w:pStyle w:val="TextBody"/>
        <w:rPr/>
      </w:pPr>
      <w:r>
        <w:rPr/>
        <w:t>        </w:t>
      </w:r>
      <w:r>
        <w:rPr>
          <w:rFonts w:ascii="times" w:hAnsi="times"/>
          <w:sz w:val="20"/>
        </w:rPr>
        <w:t xml:space="preserve">The following table details the aggregate fees billed for professional services rendered by our independent auditor (in millions): </w:t>
      </w:r>
    </w:p>
    <w:tbl>
      <w:tblPr>
        <w:tblW w:w="5920" w:type="dxa"/>
        <w:jc w:val="center"/>
        <w:tblInd w:w="0" w:type="dxa"/>
        <w:tblCellMar>
          <w:top w:w="0" w:type="dxa"/>
          <w:left w:w="0" w:type="dxa"/>
          <w:bottom w:w="0" w:type="dxa"/>
          <w:right w:w="0" w:type="dxa"/>
        </w:tblCellMar>
      </w:tblPr>
      <w:tblGrid>
        <w:gridCol w:w="150"/>
        <w:gridCol w:w="4455"/>
        <w:gridCol w:w="180"/>
        <w:gridCol w:w="125"/>
        <w:gridCol w:w="315"/>
        <w:gridCol w:w="225"/>
        <w:gridCol w:w="125"/>
        <w:gridCol w:w="285"/>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445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60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07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60" w:type="dxa"/>
            <w:tcBorders/>
            <w:shd w:fill="auto" w:val="clear"/>
            <w:vAlign w:val="bottom"/>
          </w:tcPr>
          <w:p>
            <w:pPr>
              <w:pStyle w:val="TableHeading"/>
              <w:suppressLineNumbers/>
              <w:spacing w:before="0" w:after="283"/>
              <w:jc w:val="center"/>
              <w:rPr/>
            </w:pPr>
            <w:r>
              <w:rPr/>
              <w:t> </w:t>
            </w:r>
          </w:p>
        </w:tc>
      </w:tr>
      <w:tr>
        <w:trPr/>
        <w:tc>
          <w:tcPr>
            <w:tcW w:w="460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60" w:type="dxa"/>
            <w:tcBorders/>
            <w:shd w:fill="auto" w:val="clear"/>
            <w:vAlign w:val="bottom"/>
          </w:tcPr>
          <w:p>
            <w:pPr>
              <w:pStyle w:val="TableHeading"/>
              <w:suppressLineNumbers/>
              <w:spacing w:before="0" w:after="283"/>
              <w:jc w:val="center"/>
              <w:rPr/>
            </w:pPr>
            <w:r>
              <w:rPr/>
              <w:t> </w:t>
            </w:r>
          </w:p>
        </w:tc>
      </w:tr>
      <w:tr>
        <w:trPr/>
        <w:tc>
          <w:tcPr>
            <w:tcW w:w="460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Audit fees</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15" w:type="dxa"/>
            <w:tcBorders/>
            <w:shd w:fill="CCEEFF" w:val="clear"/>
          </w:tcPr>
          <w:p>
            <w:pPr>
              <w:pStyle w:val="TableContents"/>
              <w:spacing w:before="0" w:after="283"/>
              <w:jc w:val="right"/>
              <w:rPr>
                <w:rFonts w:ascii="times" w:hAnsi="times"/>
                <w:sz w:val="20"/>
              </w:rPr>
            </w:pPr>
            <w:r>
              <w:rPr>
                <w:rFonts w:ascii="times" w:hAnsi="times"/>
                <w:sz w:val="20"/>
              </w:rPr>
              <w:t>2.6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85" w:type="dxa"/>
            <w:tcBorders/>
            <w:shd w:fill="CCEEFF" w:val="clear"/>
          </w:tcPr>
          <w:p>
            <w:pPr>
              <w:pStyle w:val="TableContents"/>
              <w:spacing w:before="0" w:after="283"/>
              <w:jc w:val="right"/>
              <w:rPr>
                <w:rFonts w:ascii="times" w:hAnsi="times"/>
                <w:sz w:val="20"/>
              </w:rPr>
            </w:pPr>
            <w:r>
              <w:rPr>
                <w:rFonts w:ascii="times" w:hAnsi="times"/>
                <w:sz w:val="20"/>
              </w:rPr>
              <w:t>2.0</w:t>
            </w:r>
          </w:p>
        </w:tc>
        <w:tc>
          <w:tcPr>
            <w:tcW w:w="60" w:type="dxa"/>
            <w:tcBorders/>
            <w:shd w:fill="CCEEFF" w:val="clear"/>
          </w:tcPr>
          <w:p>
            <w:pPr>
              <w:pStyle w:val="TableContents"/>
              <w:spacing w:before="0" w:after="283"/>
              <w:rPr/>
            </w:pPr>
            <w:r>
              <w:rPr/>
              <w:t> </w:t>
            </w:r>
          </w:p>
        </w:tc>
      </w:tr>
      <w:tr>
        <w:trPr/>
        <w:tc>
          <w:tcPr>
            <w:tcW w:w="460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Audit-related fees</w:t>
            </w:r>
            <w:r>
              <w:rPr>
                <w:rFonts w:ascii="times" w:hAnsi="times"/>
                <w:position w:val="7"/>
                <w:sz w:val="16"/>
                <w:sz w:val="20"/>
              </w:rPr>
              <w:t>(2)</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15" w:type="dxa"/>
            <w:tcBorders/>
            <w:shd w:fill="FFFFFF" w:val="clear"/>
          </w:tcPr>
          <w:p>
            <w:pPr>
              <w:pStyle w:val="TableContents"/>
              <w:spacing w:before="0" w:after="283"/>
              <w:jc w:val="right"/>
              <w:rPr>
                <w:rFonts w:ascii="times" w:hAnsi="times"/>
                <w:sz w:val="20"/>
              </w:rPr>
            </w:pPr>
            <w:r>
              <w:rPr>
                <w:rFonts w:ascii="times" w:hAnsi="times"/>
                <w:sz w:val="20"/>
              </w:rPr>
              <w:t>0.2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285" w:type="dxa"/>
            <w:tcBorders/>
            <w:shd w:fill="FFFFFF" w:val="clear"/>
          </w:tcPr>
          <w:p>
            <w:pPr>
              <w:pStyle w:val="TableContents"/>
              <w:spacing w:before="0" w:after="283"/>
              <w:jc w:val="right"/>
              <w:rPr>
                <w:rFonts w:ascii="times" w:hAnsi="times"/>
                <w:sz w:val="20"/>
              </w:rPr>
            </w:pPr>
            <w:r>
              <w:rPr>
                <w:rFonts w:ascii="times" w:hAnsi="times"/>
                <w:sz w:val="20"/>
              </w:rPr>
              <w:t>0.1</w:t>
            </w:r>
          </w:p>
        </w:tc>
        <w:tc>
          <w:tcPr>
            <w:tcW w:w="60" w:type="dxa"/>
            <w:tcBorders/>
            <w:shd w:fill="FFFFFF" w:val="clear"/>
          </w:tcPr>
          <w:p>
            <w:pPr>
              <w:pStyle w:val="TableContents"/>
              <w:spacing w:before="0" w:after="283"/>
              <w:rPr/>
            </w:pPr>
            <w:r>
              <w:rPr/>
              <w:t> </w:t>
            </w:r>
          </w:p>
        </w:tc>
      </w:tr>
      <w:tr>
        <w:trPr/>
        <w:tc>
          <w:tcPr>
            <w:tcW w:w="460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Tax fees</w:t>
            </w:r>
            <w:r>
              <w:rPr>
                <w:rFonts w:ascii="times" w:hAnsi="times"/>
                <w:position w:val="7"/>
                <w:sz w:val="16"/>
                <w:sz w:val="20"/>
              </w:rPr>
              <w:t>(3)</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15" w:type="dxa"/>
            <w:tcBorders/>
            <w:shd w:fill="CCEEFF" w:val="clear"/>
          </w:tcPr>
          <w:p>
            <w:pPr>
              <w:pStyle w:val="TableContents"/>
              <w:spacing w:before="0" w:after="283"/>
              <w:jc w:val="right"/>
              <w:rPr>
                <w:rFonts w:ascii="times" w:hAnsi="times"/>
                <w:sz w:val="20"/>
              </w:rPr>
            </w:pPr>
            <w:r>
              <w:rPr>
                <w:rFonts w:ascii="times" w:hAnsi="times"/>
                <w:sz w:val="20"/>
              </w:rPr>
              <w:t>0.9</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85" w:type="dxa"/>
            <w:tcBorders/>
            <w:shd w:fill="CCEEFF" w:val="clear"/>
          </w:tcPr>
          <w:p>
            <w:pPr>
              <w:pStyle w:val="TableContents"/>
              <w:spacing w:before="0" w:after="283"/>
              <w:jc w:val="right"/>
              <w:rPr>
                <w:rFonts w:ascii="times" w:hAnsi="times"/>
                <w:sz w:val="20"/>
              </w:rPr>
            </w:pPr>
            <w:r>
              <w:rPr>
                <w:rFonts w:ascii="times" w:hAnsi="times"/>
                <w:sz w:val="20"/>
              </w:rPr>
              <w:t>1.3</w:t>
            </w:r>
          </w:p>
        </w:tc>
        <w:tc>
          <w:tcPr>
            <w:tcW w:w="60" w:type="dxa"/>
            <w:tcBorders/>
            <w:shd w:fill="CCEEFF" w:val="clear"/>
          </w:tcPr>
          <w:p>
            <w:pPr>
              <w:pStyle w:val="TableContents"/>
              <w:spacing w:before="0" w:after="283"/>
              <w:rPr/>
            </w:pPr>
            <w:r>
              <w:rPr/>
              <w:t> </w:t>
            </w:r>
          </w:p>
        </w:tc>
      </w:tr>
      <w:tr>
        <w:trPr/>
        <w:tc>
          <w:tcPr>
            <w:tcW w:w="460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All other fees</w:t>
            </w:r>
            <w:r>
              <w:rPr>
                <w:rFonts w:ascii="times" w:hAnsi="times"/>
                <w:position w:val="7"/>
                <w:sz w:val="16"/>
                <w:sz w:val="20"/>
              </w:rPr>
              <w:t>(4)</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15" w:type="dxa"/>
            <w:tcBorders/>
            <w:shd w:fill="FFFFFF" w:val="clear"/>
          </w:tcPr>
          <w:p>
            <w:pPr>
              <w:pStyle w:val="TableContents"/>
              <w:spacing w:before="0" w:after="283"/>
              <w:jc w:val="right"/>
              <w:rPr>
                <w:rFonts w:ascii="times" w:hAnsi="times"/>
                <w:sz w:val="20"/>
              </w:rPr>
            </w:pPr>
            <w:r>
              <w:rPr>
                <w:rFonts w:ascii="times" w:hAnsi="times"/>
                <w:sz w:val="20"/>
              </w:rPr>
              <w:t>0.5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285" w:type="dxa"/>
            <w:tcBorders/>
            <w:shd w:fill="FFFFFF" w:val="clear"/>
          </w:tcPr>
          <w:p>
            <w:pPr>
              <w:pStyle w:val="TableContents"/>
              <w:spacing w:before="0" w:after="283"/>
              <w:jc w:val="right"/>
              <w:rPr>
                <w:rFonts w:ascii="times" w:hAnsi="times"/>
                <w:sz w:val="20"/>
              </w:rPr>
            </w:pPr>
            <w:r>
              <w:rPr>
                <w:rFonts w:ascii="times" w:hAnsi="times"/>
                <w:sz w:val="20"/>
              </w:rPr>
              <w:t>0.2</w:t>
            </w:r>
          </w:p>
        </w:tc>
        <w:tc>
          <w:tcPr>
            <w:tcW w:w="60" w:type="dxa"/>
            <w:tcBorders/>
            <w:shd w:fill="FFFFFF" w:val="clear"/>
          </w:tcPr>
          <w:p>
            <w:pPr>
              <w:pStyle w:val="TableContents"/>
              <w:spacing w:before="0" w:after="283"/>
              <w:rPr/>
            </w:pPr>
            <w:r>
              <w:rPr/>
              <w:t> </w:t>
            </w:r>
          </w:p>
        </w:tc>
      </w:tr>
      <w:tr>
        <w:trPr/>
        <w:tc>
          <w:tcPr>
            <w:tcW w:w="460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455" w:type="dxa"/>
            <w:tcBorders/>
            <w:shd w:fill="CCEE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15" w:type="dxa"/>
            <w:tcBorders/>
            <w:shd w:fill="CCEEFF" w:val="clear"/>
          </w:tcPr>
          <w:p>
            <w:pPr>
              <w:pStyle w:val="TableContents"/>
              <w:spacing w:before="0" w:after="283"/>
              <w:jc w:val="right"/>
              <w:rPr>
                <w:rFonts w:ascii="times" w:hAnsi="times"/>
                <w:sz w:val="20"/>
              </w:rPr>
            </w:pPr>
            <w:r>
              <w:rPr>
                <w:rFonts w:ascii="times" w:hAnsi="times"/>
                <w:sz w:val="20"/>
              </w:rPr>
              <w:t>4.2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85" w:type="dxa"/>
            <w:tcBorders/>
            <w:shd w:fill="CCEEFF" w:val="clear"/>
          </w:tcPr>
          <w:p>
            <w:pPr>
              <w:pStyle w:val="TableContents"/>
              <w:spacing w:before="0" w:after="283"/>
              <w:jc w:val="right"/>
              <w:rPr>
                <w:rFonts w:ascii="times" w:hAnsi="times"/>
                <w:sz w:val="20"/>
              </w:rPr>
            </w:pPr>
            <w:r>
              <w:rPr>
                <w:rFonts w:ascii="times" w:hAnsi="times"/>
                <w:sz w:val="20"/>
              </w:rPr>
              <w:t>3.6</w:t>
            </w:r>
          </w:p>
        </w:tc>
        <w:tc>
          <w:tcPr>
            <w:tcW w:w="60" w:type="dxa"/>
            <w:tcBorders/>
            <w:shd w:fill="CCEEFF" w:val="clear"/>
          </w:tcPr>
          <w:p>
            <w:pPr>
              <w:pStyle w:val="TableContents"/>
              <w:spacing w:before="0" w:after="283"/>
              <w:rPr/>
            </w:pPr>
            <w:r>
              <w:rPr/>
              <w:t> </w:t>
            </w:r>
          </w:p>
        </w:tc>
      </w:tr>
      <w:tr>
        <w:trPr/>
        <w:tc>
          <w:tcPr>
            <w:tcW w:w="460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Audit fees include those related to our annual audit (including internal control evaluation and reporting), audits of our general partner and certain joint ventures of which we are the operator, and work performed on our registration of publicly-held debt and equity.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Audit-related fees primarily relate to audits of our benefit plans and carve-out audits of acquired companies.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Tax fees are related to tax processing as well as the preparation of Forms K-1 for our unitholders.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(4)</w:t>
      </w:r>
    </w:p>
    <w:p>
      <w:pPr>
        <w:pStyle w:val="ListContents"/>
        <w:numPr>
          <w:ilvl w:val="0"/>
          <w:numId w:val="0"/>
        </w:numPr>
        <w:spacing w:before="0" w:after="283"/>
        <w:ind w:left="1981" w:right="0" w:hanging="0"/>
        <w:rPr>
          <w:rFonts w:ascii="times" w:hAnsi="times"/>
          <w:sz w:val="20"/>
        </w:rPr>
      </w:pPr>
      <w:r>
        <w:rPr>
          <w:rFonts w:ascii="times" w:hAnsi="times"/>
          <w:sz w:val="20"/>
        </w:rPr>
        <w:t xml:space="preserve">All other fees primarily consist of those associated with due diligence performed on our behalf and evaluating potential acquisitions. </w:t>
      </w:r>
    </w:p>
    <w:p>
      <w:pPr>
        <w:pStyle w:val="TextBody"/>
        <w:rPr>
          <w:rFonts w:ascii="times" w:hAnsi="times"/>
          <w:b/>
          <w:sz w:val="20"/>
        </w:rPr>
      </w:pPr>
      <w:r>
        <w:rPr>
          <w:rFonts w:ascii="times" w:hAnsi="times"/>
          <w:b/>
          <w:sz w:val="20"/>
        </w:rPr>
        <w:t xml:space="preserve">Pre-Approval Policy </w:t>
      </w:r>
    </w:p>
    <w:p>
      <w:pPr>
        <w:pStyle w:val="TextBody"/>
        <w:rPr/>
      </w:pPr>
      <w:r>
        <w:rPr/>
        <w:t>        </w:t>
      </w:r>
      <w:r>
        <w:rPr>
          <w:rFonts w:ascii="times" w:hAnsi="times"/>
          <w:sz w:val="20"/>
        </w:rPr>
        <w:t xml:space="preserve">All services provided by our independent auditor are subject to pre-approval by our audit committee. The audit committee has instituted a policy that describes certain pre-approved non-audit services. We believe that the description of services is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policy. All services provided by our independent auditor during the years ended December 31, 2008 and 2007 were approved in advance by our audit committee. </w:t>
      </w:r>
    </w:p>
    <w:p>
      <w:pPr>
        <w:pStyle w:val="TextBody"/>
        <w:jc w:val="center"/>
        <w:rPr>
          <w:rFonts w:ascii="times" w:hAnsi="times"/>
          <w:sz w:val="20"/>
        </w:rPr>
      </w:pPr>
      <w:r>
        <w:rPr>
          <w:rFonts w:ascii="times" w:hAnsi="times"/>
          <w:sz w:val="20"/>
        </w:rPr>
        <w:t>143</w:t>
      </w:r>
    </w:p>
    <w:p>
      <w:pPr>
        <w:pStyle w:val="HorizontalLine"/>
        <w:pBdr>
          <w:bottom w:val="single" w:sz="20" w:space="0" w:color="808080"/>
        </w:pBdr>
        <w:rPr/>
      </w:pPr>
      <w:r>
        <w:rPr/>
      </w:r>
      <w:r>
        <w:br w:type="page"/>
      </w:r>
    </w:p>
    <w:p>
      <w:pPr>
        <w:pStyle w:val="TextBody"/>
        <w:rPr/>
      </w:pPr>
      <w:hyperlink w:anchor="bg12101a_main_toc">
        <w:bookmarkStart w:id="196" w:name="page_eo12101_1_144"/>
        <w:bookmarkEnd w:id="19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97" w:name="toc_eo12101_1"/>
      <w:bookmarkStart w:id="198" w:name="eo12101_part_iv"/>
      <w:bookmarkEnd w:id="197"/>
      <w:bookmarkEnd w:id="198"/>
      <w:r>
        <w:rPr>
          <w:rFonts w:ascii="times" w:hAnsi="times"/>
          <w:sz w:val="20"/>
        </w:rPr>
        <w:br/>
      </w:r>
      <w:r>
        <w:rPr>
          <w:rFonts w:ascii="times" w:hAnsi="times"/>
          <w:b/>
          <w:sz w:val="20"/>
        </w:rPr>
        <w:t xml:space="preserve">PART IV </w:t>
      </w:r>
    </w:p>
    <w:p>
      <w:pPr>
        <w:pStyle w:val="TextBody"/>
        <w:rPr>
          <w:rFonts w:ascii="times" w:hAnsi="times"/>
        </w:rPr>
      </w:pPr>
      <w:bookmarkStart w:id="199" w:name="toc_eo12101_2"/>
      <w:bookmarkStart w:id="200" w:name="eo12101_item_15._exhibits_and_financial_"/>
      <w:bookmarkEnd w:id="199"/>
      <w:bookmarkEnd w:id="200"/>
      <w:r>
        <w:rPr>
          <w:rFonts w:ascii="times" w:hAnsi="times"/>
          <w:b/>
          <w:sz w:val="20"/>
        </w:rPr>
        <w:t>Item 15.    </w:t>
      </w:r>
      <w:r>
        <w:rPr>
          <w:rFonts w:ascii="times" w:hAnsi="times"/>
          <w:b/>
          <w:i/>
          <w:sz w:val="20"/>
        </w:rPr>
        <w:t xml:space="preserve">Exhibits and Financial Statement Schedules </w:t>
      </w:r>
    </w:p>
    <w:p>
      <w:pPr>
        <w:pStyle w:val="ListHeading"/>
        <w:numPr>
          <w:ilvl w:val="0"/>
          <w:numId w:val="0"/>
        </w:numPr>
        <w:spacing w:before="0" w:after="0"/>
        <w:ind w:left="707" w:right="0" w:hanging="0"/>
        <w:rPr>
          <w:rFonts w:ascii="times" w:hAnsi="times"/>
          <w:b/>
          <w:sz w:val="20"/>
        </w:rPr>
      </w:pPr>
      <w:r>
        <w:rPr>
          <w:rFonts w:ascii="times" w:hAnsi="times"/>
          <w:b/>
          <w:sz w:val="20"/>
        </w:rPr>
        <w:t>(a)</w:t>
      </w:r>
    </w:p>
    <w:p>
      <w:pPr>
        <w:pStyle w:val="ListContents"/>
        <w:numPr>
          <w:ilvl w:val="0"/>
          <w:numId w:val="0"/>
        </w:numPr>
        <w:spacing w:before="0" w:after="283"/>
        <w:ind w:left="1274" w:right="0" w:hanging="0"/>
        <w:rPr>
          <w:rFonts w:ascii="times" w:hAnsi="times"/>
        </w:rPr>
      </w:pPr>
      <w:r>
        <w:rPr>
          <w:rFonts w:ascii="times" w:hAnsi="times"/>
          <w:b/>
          <w:sz w:val="20"/>
        </w:rPr>
        <w:t>(1)   </w:t>
      </w:r>
      <w:r>
        <w:rPr>
          <w:rFonts w:ascii="times" w:hAnsi="times"/>
          <w:i/>
          <w:sz w:val="20"/>
        </w:rPr>
        <w:t>Financial Statements</w:t>
      </w:r>
    </w:p>
    <w:p>
      <w:pPr>
        <w:pStyle w:val="TextBody"/>
        <w:rPr/>
      </w:pPr>
      <w:r>
        <w:rPr/>
        <w:t>        </w:t>
      </w:r>
      <w:r>
        <w:rPr>
          <w:rFonts w:ascii="times" w:hAnsi="times"/>
          <w:sz w:val="20"/>
        </w:rPr>
        <w:t xml:space="preserve">See "Index to the Consolidated Financial Statements" set forth on Page F-1. </w:t>
      </w:r>
    </w:p>
    <w:p>
      <w:pPr>
        <w:pStyle w:val="ListHeading"/>
        <w:numPr>
          <w:ilvl w:val="0"/>
          <w:numId w:val="0"/>
        </w:numPr>
        <w:spacing w:before="0" w:after="0"/>
        <w:ind w:left="707" w:right="0" w:hanging="0"/>
        <w:rPr>
          <w:rFonts w:ascii="times" w:hAnsi="times"/>
          <w:b/>
          <w:sz w:val="20"/>
        </w:rPr>
      </w:pPr>
      <w:r>
        <w:rPr>
          <w:rFonts w:ascii="times" w:hAnsi="times"/>
          <w:b/>
          <w:sz w:val="20"/>
        </w:rPr>
        <w:t>(2)</w:t>
      </w:r>
    </w:p>
    <w:p>
      <w:pPr>
        <w:pStyle w:val="ListContents"/>
        <w:numPr>
          <w:ilvl w:val="0"/>
          <w:numId w:val="0"/>
        </w:numPr>
        <w:spacing w:before="0" w:after="283"/>
        <w:ind w:left="1274" w:right="0" w:hanging="0"/>
        <w:rPr>
          <w:rFonts w:ascii="times" w:hAnsi="times"/>
          <w:i/>
          <w:sz w:val="20"/>
        </w:rPr>
      </w:pPr>
      <w:r>
        <w:rPr>
          <w:rFonts w:ascii="times" w:hAnsi="times"/>
          <w:i/>
          <w:sz w:val="20"/>
        </w:rPr>
        <w:t>Financial Statement Schedules</w:t>
      </w:r>
    </w:p>
    <w:p>
      <w:pPr>
        <w:pStyle w:val="TextBody"/>
        <w:rPr/>
      </w:pPr>
      <w:r>
        <w:rPr/>
        <w:t>        </w:t>
      </w:r>
      <w:r>
        <w:rPr>
          <w:rFonts w:ascii="times" w:hAnsi="times"/>
          <w:sz w:val="20"/>
        </w:rPr>
        <w:t xml:space="preserve">All schedules are omitted because they are either not applicable or the required information is shown in the consolidated financial statements or notes thereto. </w:t>
      </w:r>
    </w:p>
    <w:p>
      <w:pPr>
        <w:pStyle w:val="ListHeading"/>
        <w:numPr>
          <w:ilvl w:val="0"/>
          <w:numId w:val="0"/>
        </w:numPr>
        <w:spacing w:before="0" w:after="0"/>
        <w:ind w:left="707" w:right="0" w:hanging="0"/>
        <w:rPr>
          <w:rFonts w:ascii="times" w:hAnsi="times"/>
          <w:b/>
          <w:sz w:val="20"/>
        </w:rPr>
      </w:pPr>
      <w:r>
        <w:rPr>
          <w:rFonts w:ascii="times" w:hAnsi="times"/>
          <w:b/>
          <w:sz w:val="20"/>
        </w:rPr>
        <w:t>(3)</w:t>
      </w:r>
    </w:p>
    <w:p>
      <w:pPr>
        <w:pStyle w:val="ListContents"/>
        <w:numPr>
          <w:ilvl w:val="0"/>
          <w:numId w:val="0"/>
        </w:numPr>
        <w:spacing w:before="0" w:after="283"/>
        <w:ind w:left="1274" w:right="0" w:hanging="0"/>
        <w:rPr>
          <w:rFonts w:ascii="times" w:hAnsi="times"/>
          <w:i/>
          <w:sz w:val="20"/>
        </w:rPr>
      </w:pPr>
      <w:r>
        <w:rPr>
          <w:rFonts w:ascii="times" w:hAnsi="times"/>
          <w:i/>
          <w:sz w:val="20"/>
        </w:rPr>
        <w:t>Exhibits</w:t>
      </w:r>
    </w:p>
    <w:tbl>
      <w:tblPr>
        <w:tblW w:w="4000" w:type="pct"/>
        <w:jc w:val="center"/>
        <w:tblInd w:w="0" w:type="dxa"/>
        <w:tblCellMar>
          <w:top w:w="0" w:type="dxa"/>
          <w:left w:w="0" w:type="dxa"/>
          <w:bottom w:w="0" w:type="dxa"/>
          <w:right w:w="0" w:type="dxa"/>
        </w:tblCellMar>
      </w:tblPr>
      <w:tblGrid>
        <w:gridCol w:w="60"/>
        <w:gridCol w:w="380"/>
        <w:gridCol w:w="60"/>
        <w:gridCol w:w="170"/>
        <w:gridCol w:w="60"/>
        <w:gridCol w:w="743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3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3.1</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Third Amended and Restated Agreement of Limited Partnership of Plains All American Pipeline, L.P. dated as of June 27, 2001 (incorporated by reference to Exhibit 3.1 to the Current Report on Form 8-K filed August 27,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3.2</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3.3</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3.4</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3 dated August 16, 2007 to Third Amended and Restated Agreement of Limited Partnership of Plains All American Pipeline, L.P. (incorporated by reference to Exhibit 3.1 to the Current Report on Form 8-K filed August 22, 2007).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3.5</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3.6</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5 dated May 28, 2008 to Third Amended and Restated Agreement of Limited Partnership of Plains All American Pipeline, L.P. (incorporated by reference to Exhibit 3.1 to the Current Report on Form 8-K filed May 30,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3.7</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Third Amended and Restated Agreement of Limited Partnership of Plains Marketing, L.P. dated as of April 1, 2004 (incorporated by reference to Exhibit 3.2 to the Quarterly Report on Form 10-Q for the quarter ended March 31, 2004).</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3.8</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Third Amended and Restated Agreement of Limited Partnership of Plains Pipeline, L.P. dated as of April 1, 2004 (incorporated by reference to Exhibit 3.3 to the Quarterly Report on Form 10-Q for the quarter ended March 31, 2004).</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3.9</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Fourth Amended and Restated Limited Liability Company Agreement of Plains All American GP LLC dated August 7, 2008 (incorporated by reference to Exhibit 3.1 to the Current Report on Form 8-K filed August 7,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3.10</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Fifth Amended and Restated Limited Partnership Agreement of Plains AAP, L.P. dated August 7, 2008 (incorporated by reference to Exhibit 3.2 to the Current Report on Form 8-K filed August 7, 2008).</w:t>
            </w:r>
          </w:p>
        </w:tc>
      </w:tr>
    </w:tbl>
    <w:p>
      <w:pPr>
        <w:pStyle w:val="TextBody"/>
        <w:jc w:val="center"/>
        <w:rPr>
          <w:rFonts w:ascii="times" w:hAnsi="times"/>
          <w:sz w:val="20"/>
        </w:rPr>
      </w:pPr>
      <w:r>
        <w:rPr>
          <w:rFonts w:ascii="times" w:hAnsi="times"/>
          <w:sz w:val="20"/>
        </w:rPr>
        <w:t>144</w:t>
      </w:r>
    </w:p>
    <w:p>
      <w:pPr>
        <w:pStyle w:val="HorizontalLine"/>
        <w:pBdr>
          <w:bottom w:val="single" w:sz="20" w:space="0" w:color="808080"/>
        </w:pBdr>
        <w:rPr/>
      </w:pPr>
      <w:r>
        <w:rPr/>
      </w:r>
      <w:r>
        <w:br w:type="page"/>
      </w:r>
    </w:p>
    <w:p>
      <w:pPr>
        <w:pStyle w:val="TextBody"/>
        <w:rPr/>
      </w:pPr>
      <w:hyperlink w:anchor="bg12101a_main_toc">
        <w:bookmarkStart w:id="201" w:name="page_eo12101_1_145"/>
        <w:bookmarkEnd w:id="201"/>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380"/>
        <w:gridCol w:w="60"/>
        <w:gridCol w:w="170"/>
        <w:gridCol w:w="60"/>
        <w:gridCol w:w="743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3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3.11</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3.12</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Bylaws of PAA Finance Corp (f/k/a Pacific Energy Finance Corporation, successor-by-merger to PAA Finance Corp.) (incorporated by reference to Exhibit 3.11 to the Annual Report on Form 10-K for the year ended December 31,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3.13</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Limited Liability Company Agreement of PAA GP LLC dated December 28, 2007 (incorporated by reference to Exhibit 3.3 to the Current Report on Form 8-K filed January 4,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4.2</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4.3</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4.4</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Third Supplemental Indenture (Series A and Series B 4.75% Senior Notes due 2009) dated August 12, 2004 among Plains All American Pipeline, L.P., PAA Finance Corp., the Subsidiary Guarantors named therein and Wachovia Bank, National Association, as trustee (incorporated by reference to Exhibit 4.4 to the Registration Statement on Form S-4, File No. 333-121168).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4.5</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4.6</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4.7</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bl>
    <w:p>
      <w:pPr>
        <w:pStyle w:val="TextBody"/>
        <w:jc w:val="center"/>
        <w:rPr>
          <w:rFonts w:ascii="times" w:hAnsi="times"/>
          <w:sz w:val="20"/>
        </w:rPr>
      </w:pPr>
      <w:r>
        <w:rPr>
          <w:rFonts w:ascii="times" w:hAnsi="times"/>
          <w:sz w:val="20"/>
        </w:rPr>
        <w:t>145</w:t>
      </w:r>
    </w:p>
    <w:p>
      <w:pPr>
        <w:pStyle w:val="HorizontalLine"/>
        <w:pBdr>
          <w:bottom w:val="single" w:sz="20" w:space="0" w:color="808080"/>
        </w:pBdr>
        <w:rPr/>
      </w:pPr>
      <w:r>
        <w:rPr/>
      </w:r>
      <w:r>
        <w:br w:type="page"/>
      </w:r>
    </w:p>
    <w:p>
      <w:pPr>
        <w:pStyle w:val="TextBody"/>
        <w:rPr/>
      </w:pPr>
      <w:hyperlink w:anchor="bg12101a_main_toc">
        <w:bookmarkStart w:id="202" w:name="page_eo12101_1_146"/>
        <w:bookmarkEnd w:id="202"/>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380"/>
        <w:gridCol w:w="60"/>
        <w:gridCol w:w="170"/>
        <w:gridCol w:w="60"/>
        <w:gridCol w:w="743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3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4.8</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4.9</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4.10</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4.11</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4.12</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4.13</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4.14</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4.15</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4.16</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Indenture dated June 16, 2004 among Pacific Energy Partners, L.P., PAA Finance Corp. (f/k/a Pacific Energy Finance Corporation), the Guarantors named therein, and Wells Fargo Bank, National Association, as trustee of the 7</w:t>
            </w:r>
            <w:r>
              <w:rPr>
                <w:rFonts w:ascii="times" w:hAnsi="times"/>
                <w:position w:val="7"/>
                <w:sz w:val="16"/>
                <w:sz w:val="20"/>
              </w:rPr>
              <w:t>1</w:t>
            </w:r>
            <w:r>
              <w:rPr>
                <w:rFonts w:ascii="times" w:hAnsi="times"/>
                <w:sz w:val="20"/>
              </w:rPr>
              <w:t>/</w:t>
            </w:r>
            <w:r>
              <w:rPr>
                <w:rFonts w:ascii="times" w:hAnsi="times"/>
                <w:sz w:val="14"/>
              </w:rPr>
              <w:t>8</w:t>
            </w:r>
            <w:r>
              <w:rPr>
                <w:rFonts w:ascii="times" w:hAnsi="times"/>
                <w:sz w:val="20"/>
              </w:rPr>
              <w:t>% senior notes due 2014 (incorporated by reference to Exhibit 4.21 to Pacific Energy Partners, L.P.'s Quarterly Report on Form 10-Q for the quarter ended June 30, 2004).</w:t>
            </w:r>
          </w:p>
        </w:tc>
      </w:tr>
    </w:tbl>
    <w:p>
      <w:pPr>
        <w:pStyle w:val="TextBody"/>
        <w:jc w:val="center"/>
        <w:rPr>
          <w:rFonts w:ascii="times" w:hAnsi="times"/>
          <w:sz w:val="20"/>
        </w:rPr>
      </w:pPr>
      <w:r>
        <w:rPr>
          <w:rFonts w:ascii="times" w:hAnsi="times"/>
          <w:sz w:val="20"/>
        </w:rPr>
        <w:t>146</w:t>
      </w:r>
    </w:p>
    <w:p>
      <w:pPr>
        <w:pStyle w:val="HorizontalLine"/>
        <w:pBdr>
          <w:bottom w:val="single" w:sz="20" w:space="0" w:color="808080"/>
        </w:pBdr>
        <w:rPr/>
      </w:pPr>
      <w:r>
        <w:rPr/>
      </w:r>
      <w:r>
        <w:br w:type="page"/>
      </w:r>
    </w:p>
    <w:p>
      <w:pPr>
        <w:pStyle w:val="TextBody"/>
        <w:rPr/>
      </w:pPr>
      <w:hyperlink w:anchor="bg12101a_main_toc">
        <w:bookmarkStart w:id="203" w:name="page_eo12101_1_147"/>
        <w:bookmarkEnd w:id="203"/>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380"/>
        <w:gridCol w:w="60"/>
        <w:gridCol w:w="170"/>
        <w:gridCol w:w="60"/>
        <w:gridCol w:w="743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3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4.17</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First Supplemental Indenture dated March 3, 2005 among Pacific Energy Partners, L.P., PAA Finance Corp. (f/k/a Pacific Energy Finance Corporation), the Guarantors named therein, and Wells Fargo Bank, National Association, as trustee (incorporated by reference to Exhibit 4.1 to Pacific Energy Partners, L.P.'s Current Report on Form 8-K filed March 9,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4.18</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Second Supplemental Indenture dated September 23, 2005 among Pacific Energy Partners, L.P., PAA Finance Corp. (f/k/a Pacific Energy Finance Corporation), the Guarantors named therein, and Wells Fargo Bank, National Association, as trustee (incorporated by reference to Exhibit 4.17 to the Annual Report on Form 10-K for the year ended December 31,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4.19</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Third Supplemental Indenture dated November 15, 2006 among Plains All American Pipeline, L.P., PAA Finance Corp. (f/k/a Pacific Energy Finance Corporation), the Guarantors named therein, and Wells Fargo Bank, National Association, as trustee (incorporated by reference to Exhibit 4.2 to the Current Report on Form 8-K filed November 21,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4.20</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Fourth Supplemental Indenture dated January 1, 2008 among Plains All American Pipeline, L.P., PAA Finance Corp. (f/k/a Pacific Energy Finance Corporation), the Guarantors named therein, and Wells Fargo Bank, National Association, as trustee (incorporated by reference to Exhibit 4.23 to the Annual Report on Form 10-K for the year ended December 31, 2007).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4.21</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Fifth Supplemental Indenture dated December 17, 2008 among Plains All American Pipeline, L.P., PAA Finance Corp., the Guarantors named therein, and Wells Fargo Bank, National Association, as trustee.</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4.22</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Indenture dated September 23, 2005 among Pacific Energy Partners, L.P., PAA Finance Corp. (f/k/a Pacific Energy Finance Corporation), the Guarantors named therein, and Wells Fargo Bank, National Association, as trustee of the 6</w:t>
            </w:r>
            <w:r>
              <w:rPr>
                <w:rFonts w:ascii="times" w:hAnsi="times"/>
                <w:position w:val="7"/>
                <w:sz w:val="16"/>
                <w:sz w:val="20"/>
              </w:rPr>
              <w:t>1</w:t>
            </w:r>
            <w:r>
              <w:rPr>
                <w:rFonts w:ascii="times" w:hAnsi="times"/>
                <w:sz w:val="20"/>
              </w:rPr>
              <w:t>/</w:t>
            </w:r>
            <w:r>
              <w:rPr>
                <w:rFonts w:ascii="times" w:hAnsi="times"/>
                <w:sz w:val="14"/>
              </w:rPr>
              <w:t>4</w:t>
            </w:r>
            <w:r>
              <w:rPr>
                <w:rFonts w:ascii="times" w:hAnsi="times"/>
                <w:sz w:val="20"/>
              </w:rPr>
              <w:t>% senior notes due 2015 (incorporated by reference to Exhibit 4.1 to Pacific Energy Partners, L.P.'s Current Report on Form 8-K filed September 28,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4.23</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4.24</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434" w:type="dxa"/>
            <w:tcBorders/>
            <w:shd w:fill="auto" w:val="clear"/>
          </w:tcPr>
          <w:p>
            <w:pPr>
              <w:pStyle w:val="TableContents"/>
              <w:spacing w:before="0" w:after="283"/>
              <w:rPr>
                <w:rFonts w:ascii="times" w:hAnsi="times"/>
              </w:rPr>
            </w:pPr>
            <w:r>
              <w:rPr>
                <w:rFonts w:ascii="times" w:hAnsi="times"/>
              </w:rPr>
              <w:br/>
            </w:r>
            <w:r>
              <w:rPr>
                <w:rFonts w:ascii="times" w:hAnsi="times"/>
                <w:sz w:val="20"/>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bl>
    <w:p>
      <w:pPr>
        <w:pStyle w:val="TextBody"/>
        <w:jc w:val="center"/>
        <w:rPr>
          <w:rFonts w:ascii="times" w:hAnsi="times"/>
          <w:sz w:val="20"/>
        </w:rPr>
      </w:pPr>
      <w:r>
        <w:rPr>
          <w:rFonts w:ascii="times" w:hAnsi="times"/>
          <w:sz w:val="20"/>
        </w:rPr>
        <w:t>147</w:t>
      </w:r>
    </w:p>
    <w:p>
      <w:pPr>
        <w:pStyle w:val="HorizontalLine"/>
        <w:pBdr>
          <w:bottom w:val="single" w:sz="20" w:space="0" w:color="808080"/>
        </w:pBdr>
        <w:rPr/>
      </w:pPr>
      <w:r>
        <w:rPr/>
      </w:r>
      <w:r>
        <w:br w:type="page"/>
      </w:r>
    </w:p>
    <w:p>
      <w:pPr>
        <w:pStyle w:val="TextBody"/>
        <w:rPr/>
      </w:pPr>
      <w:hyperlink w:anchor="bg12101a_main_toc">
        <w:bookmarkStart w:id="204" w:name="page_eo12101_1_148"/>
        <w:bookmarkEnd w:id="204"/>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380"/>
        <w:gridCol w:w="125"/>
        <w:gridCol w:w="170"/>
        <w:gridCol w:w="60"/>
        <w:gridCol w:w="7369"/>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69"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10.1</w:t>
            </w:r>
          </w:p>
        </w:tc>
        <w:tc>
          <w:tcPr>
            <w:tcW w:w="12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69" w:type="dxa"/>
            <w:tcBorders/>
            <w:shd w:fill="auto" w:val="clear"/>
          </w:tcPr>
          <w:p>
            <w:pPr>
              <w:pStyle w:val="TableContents"/>
              <w:spacing w:before="0" w:after="283"/>
              <w:rPr>
                <w:rFonts w:ascii="times" w:hAnsi="times"/>
                <w:sz w:val="20"/>
              </w:rPr>
            </w:pPr>
            <w:r>
              <w:rPr>
                <w:rFonts w:ascii="times" w:hAnsi="times"/>
                <w:sz w:val="20"/>
              </w:rPr>
              <w:t>Second Amended and Restated Credit Agreement dated as of July 31, 2006 by and among Plains All American Pipeline, L.P., as US Borrower; PMC (Nova Scotia) Company and Plains Marketing Canada, L.P., as Canadian Borrowers; Bank of America, N.A., as Administrative Agent; Bank of America, N.A., acting through its Canada Branch, as Canadian Administrative Agent; Wachovia Bank, National Association and JPMorgan Chase Bank, N.A., as Co-Syndication Agents; Fortis Capital Corp., Citibank, N.A., BNP Paribas, UBS Securities LLC, SunTrust Bank, and The Bank of Nova Scotia, as Co-Documentation Agents; the Lenders party thereto; and Banc of America Securities LLC and Wachovia Capital Markets, LLC, as Joint Lead Arrangers and Joint Book Managers (incorporated by reference to Exhibit 10.1 to the Current Report on Form 8-K filed August 4,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Amended and Restated Crude Oil Marketing Agreement dated as of July 23, 2004, among Plains Resources Inc., Calumet Florida Inc. and Plains Marketing, L.P. (incorporated by reference to Exhibit 10.2 to the Quarterly Report on Form 10-Q for the quarter ended June 30, 2004).</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10.5</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Contribution, Assignment and Amendment Agreement dated as of June 8, 2001, among Plains All American Inc., Plains AAP, L.P. and Plains All American GP LLC (incorporated by reference to Exhibit 10.1 to the Current Report on Form 8-K filed June 11,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10.6</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Separation Agreement dated as of June 8, 2001 among Plains Resources Inc., Plains All American Inc., Plains All American GP LLC, Plains AAP, L.P. and Plains All American Pipeline,  L.P. (incorporated by reference to Exhibit 10.2 to the Current Report on Form 8-K filed June 11,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10.7</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Pension and Employee Benefits Assumption and Transition Agreement dated as of June 8, 2001 among Plains Resources Inc., Plains All American Inc. and Plains All American GP LLC (incorporated by reference to Exhibit 10.3 to the Current Report on Form 8-K filed June 11,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10.8</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Plains All American GP LLC 2005 Long-Term Incentive Plan (incorporated by reference to Exhibit 10.1 to the Current Report on Form 8-K filed January 26,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10.9</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369" w:type="dxa"/>
            <w:tcBorders/>
            <w:shd w:fill="auto" w:val="clear"/>
          </w:tcPr>
          <w:p>
            <w:pPr>
              <w:pStyle w:val="TableContents"/>
              <w:spacing w:before="0" w:after="283"/>
              <w:rPr>
                <w:rFonts w:ascii="times" w:hAnsi="times"/>
              </w:rPr>
            </w:pPr>
            <w:r>
              <w:rPr>
                <w:rFonts w:ascii="times" w:hAnsi="times"/>
              </w:rPr>
              <w:br/>
            </w:r>
            <w:r>
              <w:rPr>
                <w:rFonts w:ascii="times" w:hAnsi="times"/>
                <w:sz w:val="20"/>
              </w:rPr>
              <w:t>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w:t>
            </w:r>
          </w:p>
        </w:tc>
      </w:tr>
    </w:tbl>
    <w:p>
      <w:pPr>
        <w:pStyle w:val="TextBody"/>
        <w:jc w:val="center"/>
        <w:rPr>
          <w:rFonts w:ascii="times" w:hAnsi="times"/>
          <w:sz w:val="20"/>
        </w:rPr>
      </w:pPr>
      <w:r>
        <w:rPr>
          <w:rFonts w:ascii="times" w:hAnsi="times"/>
          <w:sz w:val="20"/>
        </w:rPr>
        <w:t>148</w:t>
      </w:r>
    </w:p>
    <w:p>
      <w:pPr>
        <w:pStyle w:val="HorizontalLine"/>
        <w:pBdr>
          <w:bottom w:val="single" w:sz="20" w:space="0" w:color="808080"/>
        </w:pBdr>
        <w:rPr/>
      </w:pPr>
      <w:r>
        <w:rPr/>
      </w:r>
      <w:r>
        <w:br w:type="page"/>
      </w:r>
    </w:p>
    <w:p>
      <w:pPr>
        <w:pStyle w:val="TextBody"/>
        <w:rPr/>
      </w:pPr>
      <w:hyperlink w:anchor="bg12101a_main_toc">
        <w:bookmarkStart w:id="205" w:name="page_eo12101_1_149"/>
        <w:bookmarkEnd w:id="205"/>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70"/>
        <w:gridCol w:w="170"/>
        <w:gridCol w:w="60"/>
        <w:gridCol w:w="7219"/>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19"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10.10</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Plains All American 2001 Performance Option Plan (incorporated by reference to Exhibit 99.2 to the Registration Statement on Form S-8 filed December 11, 2001, File No. 333-74920).</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10.11</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Amended and Restated Employment Agreement between Plains All American GP LLC and Greg L. Armstrong dated as of June 30, 2001 (incorporated by reference to Exhibit 10.1 to the Quarterly Report on Form 10-Q for the quarter ended September 30,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10.12</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Amended and Restated Employment Agreement between Plains All American GP LLC and Harry N. Pefanis dated as of June 30, 2001 (incorporated by reference to Exhibit 10.2 to the Quarterly Report on Form 10-Q for the quarter ended September 30,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10.13</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Asset Purchase and Sale Agreement dated February 28, 2001 between Murphy Oil Company Ltd. and Plains Marketing Canada, L.P. (incorporated by reference to Exhibit 99.1 to the Current Report on Form 8-K filed May 10, 2001).</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10.14</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Transportation Agreement dated July 30, 1993, between All American Pipeline Company and Exxon Company, U.S.A. (incorporated by reference to Exhibit 10.9 to the Registration Statement on Form S-1 filed September 23, 1998, File No. 333-64107).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10.15</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Transportation Agreement dated August 2, 1993, among All American Pipeline Company, Texaco Trading and Transportation Inc., Chevron U.S.A. and Sun Operating Limited Partnership (incorporated by reference to Exhibit 10.10 to the Registration Statement on Form S-1 filed September 23, 1998, File No. 333-64107).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10.16</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First Amendment to Contribution, Conveyance and Assumption Agreement dated as of December 15, 1998 (incorporated by reference to Exhibit 10.13 to the Annual Report on Form 10-K for the year ended December 31, 1998).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10.17</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Agreement for Purchase and Sale of Membership Interest in Scurlock Permian LLC between Marathon Ashland LLC and Plains Marketing, L.P. dated as of March 17, 1999 (incorporated by reference to Exhibit 10.16 to the Annual Report on Form 10-K for the year ended December 31, 1998).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10.18</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Plains All American Inc. 1998 Management Incentive Plan (incorporated by reference to Exhibit 10.5 to the Annual Report on Form 10-K for the year ended December 31, 1998).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10.19</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PMC (Nova Scotia) Company Bonus Program (incorporated by reference to Exhibit 10.20 to the Annual Report on Form 10-K for the year ended December 31, 2004).</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10.20</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Quarterly Bonus Program Summary (incorporated by reference to Exhibit 10.21 to the Annual Report on Form 10-K for the year ended December 31,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10.21</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Directors' Compensation Summary.</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10.22</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Master Railcar Leasing Agreement dated as of May 25, 1998 (effective June 1, 1998), between Pivotal Enterprises Corporation and CANPET Energy Group, Inc., (incorporated by reference to Exhibit 10.16 to the Annual Report on Form 10-K for the year ended December 31, 2001).</w:t>
            </w:r>
          </w:p>
        </w:tc>
      </w:tr>
    </w:tbl>
    <w:p>
      <w:pPr>
        <w:pStyle w:val="TextBody"/>
        <w:jc w:val="center"/>
        <w:rPr>
          <w:rFonts w:ascii="times" w:hAnsi="times"/>
          <w:sz w:val="20"/>
        </w:rPr>
      </w:pPr>
      <w:r>
        <w:rPr>
          <w:rFonts w:ascii="times" w:hAnsi="times"/>
          <w:sz w:val="20"/>
        </w:rPr>
        <w:t>149</w:t>
      </w:r>
    </w:p>
    <w:p>
      <w:pPr>
        <w:pStyle w:val="HorizontalLine"/>
        <w:pBdr>
          <w:bottom w:val="single" w:sz="20" w:space="0" w:color="808080"/>
        </w:pBdr>
        <w:rPr/>
      </w:pPr>
      <w:r>
        <w:rPr/>
      </w:r>
      <w:r>
        <w:br w:type="page"/>
      </w:r>
    </w:p>
    <w:p>
      <w:pPr>
        <w:pStyle w:val="TextBody"/>
        <w:rPr/>
      </w:pPr>
      <w:hyperlink w:anchor="bg12101a_main_toc">
        <w:bookmarkStart w:id="206" w:name="page_eo12101_1_150"/>
        <w:bookmarkEnd w:id="206"/>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25"/>
        <w:gridCol w:w="170"/>
        <w:gridCol w:w="60"/>
        <w:gridCol w:w="7264"/>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6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10.23</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LTIP Grant Letter (Armstrong/Pefanis) (incorporated by reference to Exhibit 10.24 to the Annual Report on Form 10-K for the year ended December 31,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10.24</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Form of LTIP Grant Letter (executive officers) (incorporated by reference to Exhibit 10.3 to the Current Report on Form 8-K filed April 1,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10.25</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Form of LTIP Grant Letter (independent directors) (incorporated by reference to Exhibit 10.3 to the Current Report on Form 8-K filed February 23,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10.26</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Form of LTIP Grant Letter (designated directors) (incorporated by reference to Exhibit 10.4 to the Current Report on Form 8-K filed February 23,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10.27</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Form of LTIP Grant Letter (payment to entity) (incorporated by reference to Exhibit 10.5 to the Current Report on Form 8-K filed February 23,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10.28</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Form of Performance Option Grant Letter (incorporated by reference to Exhibit 10.1 to the Current Report on Form 8-K filed April 1,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10.29</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Administrative Services Agreement between Plains All American GP LLC and Vulcan Energy Corporation dated October 14, 2005 (incorporated by reference to Exhibit 1.1 to the Current Report on Form 8-K filed October 19,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10.30</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Amended and Restated Limited Liability Company Agreement of PAA/Vulcan Gas Storage, LLC dated September 13, 2005 (incorporated by reference to Exhibit 1.1 to the Current Report on Form 8-K filed September 19,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10.31</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Membership Interest Purchase Agreement by and between Sempra Energy Trading Corp. and PAA/Vulcan Gas Storage, LLC dated August 19, 2005 (incorporated by reference to Exhibit 1.2 to the Current Report on Form 8-K filed September 19,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10.32</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Waiver Agreement dated as of August 12, 2005 between Plains All American GP LLC and Greg L. Armstrong (incorporated by reference to Exhibit 10.1 to the Current Report on Form 8-K filed August 16,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10.33</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Waiver Agreement dated as of August 12, 2005 between Plains All American GP LLC and Harry N. Pefanis (incorporated by reference to Exhibit 10.2 to the Current Report on Form 8-K filed August 16,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10.34</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Excess Voting Rights Agreement dated as of August 12, 2005 between Vulcan Energy GP Holdings Inc. and Plains All American GP LLC (incorporated by reference to Exhibit 10.3 to the Current Report on Form 8-K filed August 16,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10.35</w:t>
            </w:r>
          </w:p>
        </w:tc>
        <w:tc>
          <w:tcPr>
            <w:tcW w:w="125"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Excess Voting Rights Agreement dated as of August 12, 2005 between Lynx Holdings I, LLC and Plains All American GP LLC (incorporated by reference to Exhibit 10.4 to the Current Report on Form 8-K filed August 16,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10.36</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Form of LTIP Grant Letter (executive officers) (incorporated by reference to Exhibit 10.39 to the Annual Report on Form 10-K for the year ended December 31, 2005).</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10.37</w:t>
            </w:r>
          </w:p>
        </w:tc>
        <w:tc>
          <w:tcPr>
            <w:tcW w:w="125"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64" w:type="dxa"/>
            <w:tcBorders/>
            <w:shd w:fill="auto" w:val="clear"/>
          </w:tcPr>
          <w:p>
            <w:pPr>
              <w:pStyle w:val="TableContents"/>
              <w:spacing w:before="0" w:after="283"/>
              <w:rPr>
                <w:rFonts w:ascii="times" w:hAnsi="times"/>
              </w:rPr>
            </w:pPr>
            <w:r>
              <w:rPr>
                <w:rFonts w:ascii="times" w:hAnsi="times"/>
              </w:rPr>
              <w:br/>
            </w:r>
            <w:r>
              <w:rPr>
                <w:rFonts w:ascii="times" w:hAnsi="times"/>
                <w:sz w:val="20"/>
              </w:rPr>
              <w:t>Employment Agreement between Plains All American GP LLC and John P. vonBerg dated December 18, 2001 (incorporated by reference to Exhibit 10.40 to the Annual Report on Form 10-K for the year ended December 31, 2005).</w:t>
            </w:r>
          </w:p>
        </w:tc>
      </w:tr>
    </w:tbl>
    <w:p>
      <w:pPr>
        <w:pStyle w:val="TextBody"/>
        <w:jc w:val="center"/>
        <w:rPr>
          <w:rFonts w:ascii="times" w:hAnsi="times"/>
          <w:sz w:val="20"/>
        </w:rPr>
      </w:pPr>
      <w:r>
        <w:rPr>
          <w:rFonts w:ascii="times" w:hAnsi="times"/>
          <w:sz w:val="20"/>
        </w:rPr>
        <w:t>150</w:t>
      </w:r>
    </w:p>
    <w:p>
      <w:pPr>
        <w:pStyle w:val="HorizontalLine"/>
        <w:pBdr>
          <w:bottom w:val="single" w:sz="20" w:space="0" w:color="808080"/>
        </w:pBdr>
        <w:rPr/>
      </w:pPr>
      <w:r>
        <w:rPr/>
      </w:r>
      <w:r>
        <w:br w:type="page"/>
      </w:r>
    </w:p>
    <w:p>
      <w:pPr>
        <w:pStyle w:val="TextBody"/>
        <w:rPr/>
      </w:pPr>
      <w:hyperlink w:anchor="bg12101a_main_toc">
        <w:bookmarkStart w:id="207" w:name="page_eo12101_1_151"/>
        <w:bookmarkEnd w:id="207"/>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70"/>
        <w:gridCol w:w="170"/>
        <w:gridCol w:w="60"/>
        <w:gridCol w:w="7219"/>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19"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10.38</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dated May 9, 2006 to the Amended and Restated Limited Liability Company Agreement of PAA/Vulcan Gas Storage, LLC dated September 13, 2005 (incorporated by reference to Exhibit 10.1 to the Current Report on Form 8-K filed May 15,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10.39</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Form of LTIP Grant Letter (audit committee members) (incorporated by reference to Exhibit 10.1 to the Current Report on Form 8-K filed August 23,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10.40</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Plains All American PPX Successor Long-Term Incentive Plan (incorporated by reference to Exhibit 10.45 to the Annual Report on Form 10-K for the year ended December 31, 2006).</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10.41</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Forms of LTIP Grant Letters dated February 22, 2007 (Named Executive Officers) (incorporated by reference to Exhibit 10.1 to the Quarterly Report on Form 10-Q for the quarter ended March 31, 2007).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10.42</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First Amendment dated July 31, 2007 to the Second Amended and Restated Credit Agreement [US/Canada Facilities] by and between Plains All American Pipeline, L.P., PMC (Nova Scotia) Company, Plains Marketing Canada, L.P., Rangeland Pipeline Company, Bank of America, N.A., as Administrative Agent, and the Lenders party thereto (incorporated by reference to Exhibit 10.1 to the Current Report on Form 8-K filed August 6, 2007).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10.43</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Separation and Release Agreement dated August 21, 2007 between Plains All American GP LLC and George R. Coiner (incorporated by reference to Exhibit 10.3 to the Quarterly Report on Form 10-Q for the quarter ended September 30, 2007).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10.44</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Form of Plains AAP, L.P. Class B Restricted Units Agreement (incorporated by reference to Exhibit 10.1 to the Current Report on Form 8-K filed January 4,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10.45</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Second Restated Credit Agreement dated as of November 6, 2008 by among Plains Marketing, L.P., Bank of America, N.A., as Administrative Agent, and the Lenders party there to (incorporated by reference to Exhibit 10.1 to the Current Report on Form 8-K filed November 7,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10.46</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Restated Guaranty Agreement dated November 6, 2008 by Plains All American Pipeline, L.P. in favor of Bank of America, N.A., as Administrative Agent (incorporated by reference to Exhibit 10.2 to the Current Report on Form 8-K filed November 7,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10.47</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Contribution and Assumption Agreement, dated December 28, 2007, by and between Plains AAP, L.P. and PAA GP LLC (incorporated by reference to Exhibit 10.2 to the Current Report on Form 8-K filed January 4,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10.48</w:t>
            </w:r>
          </w:p>
        </w:tc>
        <w:tc>
          <w:tcPr>
            <w:tcW w:w="170" w:type="dxa"/>
            <w:tcBorders/>
            <w:shd w:fill="auto" w:val="clear"/>
          </w:tcPr>
          <w:p>
            <w:pPr>
              <w:pStyle w:val="TableContents"/>
              <w:spacing w:before="0" w:after="283"/>
              <w:rPr>
                <w:rFonts w:ascii="times" w:hAnsi="times"/>
                <w:sz w:val="20"/>
              </w:rPr>
            </w:pPr>
            <w:r>
              <w:rPr>
                <w:rFonts w:ascii="times" w:hAnsi="times"/>
                <w:sz w:val="20"/>
              </w:rPr>
              <w:br/>
              <w:t> </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Assumption, Ratification and Confirmation Agreement dated January 1, 2008 by Plains Midstream Canada ULC in favor of the Lenders party to the Second Amended and Restated Credit Agreement [US/Canada Facilities], as amended (incorporated by reference to Exhibit 10.54 to the Annual Report on Form 10-K for the year ended December 31, 2007).</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10.49**</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First Amendment to Amended and Restated Employment Agreement dated December 4, 2008 between Plains All American GP LLC and Greg L. Armstrong.</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10.50**</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First Amendment to Amended and Restated Employment Agreement dated December 4, 2008 between Plains All American GP LLC and Harry N. Pefanis.</w:t>
            </w:r>
          </w:p>
        </w:tc>
      </w:tr>
    </w:tbl>
    <w:p>
      <w:pPr>
        <w:pStyle w:val="TextBody"/>
        <w:jc w:val="center"/>
        <w:rPr>
          <w:rFonts w:ascii="times" w:hAnsi="times"/>
          <w:sz w:val="20"/>
        </w:rPr>
      </w:pPr>
      <w:r>
        <w:rPr>
          <w:rFonts w:ascii="times" w:hAnsi="times"/>
          <w:sz w:val="20"/>
        </w:rPr>
        <w:t>151</w:t>
      </w:r>
    </w:p>
    <w:p>
      <w:pPr>
        <w:pStyle w:val="HorizontalLine"/>
        <w:pBdr>
          <w:bottom w:val="single" w:sz="20" w:space="0" w:color="808080"/>
        </w:pBdr>
        <w:rPr/>
      </w:pPr>
      <w:r>
        <w:rPr/>
      </w:r>
      <w:r>
        <w:br w:type="page"/>
      </w:r>
    </w:p>
    <w:p>
      <w:pPr>
        <w:pStyle w:val="TextBody"/>
        <w:rPr/>
      </w:pPr>
      <w:hyperlink w:anchor="bg12101a_main_toc">
        <w:bookmarkStart w:id="208" w:name="page_eo12101_1_152"/>
        <w:bookmarkEnd w:id="208"/>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70"/>
        <w:gridCol w:w="170"/>
        <w:gridCol w:w="60"/>
        <w:gridCol w:w="7219"/>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19"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10.51**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to Plains All American GP LLC 2005 Long-Term Incentive Plan dated December 4,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10.52**</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Second Amendment to Plains All American GP LLC 1998 Long-Term Incentive Plan dated December 4, 2008.</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10.53**</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Form of Amendment to LTIP grant letters (executive officers).</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10.54**</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Form of Amendment to LTIP grant letters (directors).</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21.1</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List of Subsidiaries of Plains All American Pipeline, L.P.</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23.1</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PricewaterhouseCoopers LLP.</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31.1</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Certification of Principal Executive Officer pursuant to Exchange Act Rules 13a-14(a) and 15d-14(a).</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31.2</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Certification of Principal Financial Officer pursuant to Exchange Act Rules 13a-14(a) and 15d-14(a).</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32.1</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Certification of Principal Executive Officer pursuant to 18 U.S.C. 1350</w:t>
            </w:r>
          </w:p>
        </w:tc>
      </w:tr>
      <w:tr>
        <w:trPr/>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32.2</w:t>
            </w:r>
          </w:p>
        </w:tc>
        <w:tc>
          <w:tcPr>
            <w:tcW w:w="170" w:type="dxa"/>
            <w:tcBorders/>
            <w:shd w:fill="auto" w:val="clear"/>
          </w:tcPr>
          <w:p>
            <w:pPr>
              <w:pStyle w:val="TableContents"/>
              <w:spacing w:before="0" w:after="283"/>
              <w:rPr>
                <w:rFonts w:ascii="times" w:hAnsi="times"/>
                <w:sz w:val="20"/>
              </w:rPr>
            </w:pPr>
            <w:r>
              <w:rPr>
                <w:rFonts w:ascii="times" w:hAnsi="times"/>
                <w:sz w:val="20"/>
              </w:rPr>
              <w:br/>
              <w:t></w:t>
            </w:r>
          </w:p>
        </w:tc>
        <w:tc>
          <w:tcPr>
            <w:tcW w:w="17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7219"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Certification of Principal Financial Officer pursuant to 18 U.S.C. 1350</w:t>
            </w:r>
          </w:p>
        </w:tc>
      </w:tr>
    </w:tbl>
    <w:p>
      <w:pPr>
        <w:pStyle w:val="HorizontalLine"/>
        <w:pBdr>
          <w:bottom w:val="single" w:sz="6" w:space="0" w:color="000000"/>
        </w:pBdr>
        <w:ind w:left="0" w:right="7552" w:hanging="0"/>
        <w:rPr/>
      </w:pPr>
      <w:r>
        <w:rPr/>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Filed herewith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Management compensatory plan or arrangement </w:t>
      </w:r>
    </w:p>
    <w:p>
      <w:pPr>
        <w:pStyle w:val="TextBody"/>
        <w:jc w:val="center"/>
        <w:rPr>
          <w:rFonts w:ascii="times" w:hAnsi="times"/>
          <w:sz w:val="20"/>
        </w:rPr>
      </w:pPr>
      <w:r>
        <w:rPr>
          <w:rFonts w:ascii="times" w:hAnsi="times"/>
          <w:sz w:val="20"/>
        </w:rPr>
        <w:t>152</w:t>
      </w:r>
    </w:p>
    <w:p>
      <w:pPr>
        <w:pStyle w:val="HorizontalLine"/>
        <w:pBdr>
          <w:bottom w:val="single" w:sz="20" w:space="0" w:color="808080"/>
        </w:pBdr>
        <w:rPr/>
      </w:pPr>
      <w:r>
        <w:rPr/>
      </w:r>
      <w:r>
        <w:br w:type="page"/>
      </w:r>
    </w:p>
    <w:p>
      <w:pPr>
        <w:pStyle w:val="TextBody"/>
        <w:rPr/>
      </w:pPr>
      <w:hyperlink w:anchor="bg12101a_main_toc">
        <w:bookmarkStart w:id="209" w:name="page_eq12101_1_153"/>
        <w:bookmarkEnd w:id="20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10" w:name="toc_eq12101_1"/>
      <w:bookmarkStart w:id="211" w:name="eq12101_signatures"/>
      <w:bookmarkEnd w:id="210"/>
      <w:bookmarkEnd w:id="211"/>
      <w:r>
        <w:rPr>
          <w:rFonts w:ascii="times" w:hAnsi="times"/>
          <w:sz w:val="20"/>
        </w:rPr>
        <w:br/>
      </w:r>
      <w:r>
        <w:rPr>
          <w:rFonts w:ascii="times" w:hAnsi="times"/>
          <w:b/>
          <w:sz w:val="20"/>
        </w:rPr>
        <w:t xml:space="preserve">SIGNATURES </w:t>
      </w:r>
    </w:p>
    <w:p>
      <w:pPr>
        <w:pStyle w:val="TextBody"/>
        <w:rPr/>
      </w:pPr>
      <w:r>
        <w:rPr/>
        <w:t>        </w:t>
      </w:r>
      <w:r>
        <w:rPr>
          <w:rFonts w:ascii="times" w:hAnsi="times"/>
          <w:sz w:val="20"/>
        </w:rPr>
        <w:t xml:space="preserve">Pursuant to the requirements of Section 13 or 15(d)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4988"/>
        <w:gridCol w:w="61"/>
        <w:gridCol w:w="60"/>
        <w:gridCol w:w="260"/>
        <w:gridCol w:w="60"/>
        <w:gridCol w:w="4776"/>
      </w:tblGrid>
      <w:tr>
        <w:trPr/>
        <w:tc>
          <w:tcPr>
            <w:tcW w:w="498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76" w:type="dxa"/>
            <w:tcBorders/>
            <w:shd w:fill="auto" w:val="clear"/>
            <w:vAlign w:val="center"/>
          </w:tcPr>
          <w:p>
            <w:pPr>
              <w:pStyle w:val="TableContents"/>
              <w:spacing w:before="0" w:after="283"/>
              <w:rPr>
                <w:sz w:val="4"/>
                <w:szCs w:val="4"/>
              </w:rPr>
            </w:pPr>
            <w:r>
              <w:rPr>
                <w:sz w:val="4"/>
                <w:szCs w:val="4"/>
              </w:rPr>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96" w:type="dxa"/>
            <w:gridSpan w:val="3"/>
            <w:tcBorders/>
            <w:shd w:fill="auto" w:val="clear"/>
          </w:tcPr>
          <w:p>
            <w:pPr>
              <w:pStyle w:val="TableContents"/>
              <w:spacing w:before="0" w:after="283"/>
              <w:rPr>
                <w:rFonts w:ascii="times" w:hAnsi="times"/>
                <w:b/>
                <w:sz w:val="20"/>
              </w:rPr>
            </w:pPr>
            <w:r>
              <w:rPr>
                <w:rFonts w:ascii="times" w:hAnsi="times"/>
                <w:b/>
                <w:sz w:val="20"/>
              </w:rPr>
              <w:t>PLAINS ALL AMERICAN PIPELINE, L.P.</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rFonts w:ascii="times" w:hAnsi="times"/>
              </w:rPr>
            </w:pPr>
            <w:r>
              <w:rPr>
                <w:rFonts w:ascii="times" w:hAnsi="times"/>
                <w:sz w:val="20"/>
              </w:rPr>
              <w:t>PAA GP LLC,</w:t>
              <w:br/>
            </w:r>
            <w:r>
              <w:rPr>
                <w:rFonts w:ascii="times" w:hAnsi="times"/>
                <w:i/>
                <w:sz w:val="20"/>
              </w:rPr>
              <w:t>its general partner</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rFonts w:ascii="times" w:hAnsi="times"/>
              </w:rPr>
            </w:pPr>
            <w:r>
              <w:rPr>
                <w:rFonts w:ascii="times" w:hAnsi="times"/>
                <w:sz w:val="20"/>
              </w:rPr>
              <w:t>Plains AAP, L.P.,</w:t>
              <w:br/>
            </w:r>
            <w:r>
              <w:rPr>
                <w:rFonts w:ascii="times" w:hAnsi="times"/>
                <w:i/>
                <w:sz w:val="20"/>
              </w:rPr>
              <w:t>its sole member</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rFonts w:ascii="times" w:hAnsi="times"/>
              </w:rPr>
            </w:pPr>
            <w:r>
              <w:rPr>
                <w:rFonts w:ascii="times" w:hAnsi="times"/>
                <w:sz w:val="20"/>
              </w:rPr>
              <w:t>PLAINS ALL AMERICAN</w:t>
            </w:r>
            <w:r>
              <w:rPr>
                <w:rFonts w:ascii="times" w:hAnsi="times"/>
              </w:rPr>
              <w:t> </w:t>
            </w:r>
            <w:r>
              <w:rPr>
                <w:rFonts w:ascii="times" w:hAnsi="times"/>
                <w:sz w:val="20"/>
              </w:rPr>
              <w:t>GP LLC,</w:t>
              <w:br/>
            </w:r>
            <w:r>
              <w:rPr>
                <w:rFonts w:ascii="times" w:hAnsi="times"/>
                <w:i/>
                <w:sz w:val="20"/>
              </w:rPr>
              <w:t>its general partner</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0"/>
              <w:rPr>
                <w:rFonts w:ascii="times" w:hAnsi="times"/>
                <w:sz w:val="20"/>
              </w:rPr>
            </w:pPr>
            <w:r>
              <w:rPr>
                <w:rFonts w:ascii="times" w:hAnsi="times"/>
                <w:sz w:val="20"/>
              </w:rPr>
              <w:t>/s/ GREG L. ARMSTRONG</w:t>
            </w:r>
          </w:p>
          <w:p>
            <w:pPr>
              <w:pStyle w:val="HorizontalLine"/>
              <w:pBdr>
                <w:bottom w:val="single" w:sz="6" w:space="0" w:color="000000"/>
              </w:pBdr>
              <w:rPr/>
            </w:pPr>
            <w:r>
              <w:rPr/>
            </w:r>
          </w:p>
          <w:p>
            <w:pPr>
              <w:pStyle w:val="TableContents"/>
              <w:spacing w:before="0" w:after="283"/>
              <w:rPr>
                <w:rFonts w:ascii="times" w:hAnsi="times"/>
              </w:rPr>
            </w:pPr>
            <w:r>
              <w:rPr>
                <w:rFonts w:ascii="times" w:hAnsi="times"/>
                <w:b/>
                <w:sz w:val="20"/>
              </w:rPr>
              <w:t>Greg L. Armstrong,</w:t>
              <w:br/>
            </w:r>
            <w:r>
              <w:rPr>
                <w:rFonts w:ascii="times" w:hAnsi="times"/>
                <w:b/>
                <w:i/>
                <w:sz w:val="20"/>
              </w:rPr>
              <w:t>Chairman of the Board, Chief Executive Officer</w:t>
              <w:br/>
              <w:t>and Director of Plains All American GP LLC</w:t>
              <w:br/>
              <w:t>(Principal Executive Officer)</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rFonts w:ascii="times" w:hAnsi="times"/>
                <w:sz w:val="20"/>
              </w:rPr>
            </w:pPr>
            <w:r>
              <w:rPr>
                <w:rFonts w:ascii="times" w:hAnsi="times"/>
                <w:sz w:val="20"/>
              </w:rPr>
              <w:t>February 26, 2009</w:t>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0"/>
              <w:rPr>
                <w:rFonts w:ascii="times" w:hAnsi="times"/>
                <w:sz w:val="20"/>
              </w:rPr>
            </w:pPr>
            <w:r>
              <w:rPr>
                <w:rFonts w:ascii="times" w:hAnsi="times"/>
                <w:sz w:val="20"/>
              </w:rPr>
              <w:t>/s/ AL SWANSON</w:t>
            </w:r>
          </w:p>
          <w:p>
            <w:pPr>
              <w:pStyle w:val="HorizontalLine"/>
              <w:pBdr>
                <w:bottom w:val="single" w:sz="6" w:space="0" w:color="000000"/>
              </w:pBdr>
              <w:rPr/>
            </w:pPr>
            <w:r>
              <w:rPr/>
            </w:r>
          </w:p>
          <w:p>
            <w:pPr>
              <w:pStyle w:val="TableContents"/>
              <w:spacing w:before="0" w:after="283"/>
              <w:rPr>
                <w:rFonts w:ascii="times" w:hAnsi="times"/>
              </w:rPr>
            </w:pPr>
            <w:r>
              <w:rPr>
                <w:rFonts w:ascii="times" w:hAnsi="times"/>
                <w:b/>
                <w:sz w:val="20"/>
              </w:rPr>
              <w:t>Al Swanson,</w:t>
              <w:br/>
            </w:r>
            <w:r>
              <w:rPr>
                <w:rFonts w:ascii="times" w:hAnsi="times"/>
                <w:b/>
                <w:i/>
                <w:sz w:val="20"/>
              </w:rPr>
              <w:t>Senior Vice President and Chief Financial Officer</w:t>
              <w:br/>
              <w:t>of Plains All American GP LLC</w:t>
              <w:br/>
              <w:t>(Principal Financial Officer)</w:t>
            </w:r>
          </w:p>
        </w:tc>
      </w:tr>
      <w:tr>
        <w:trPr/>
        <w:tc>
          <w:tcPr>
            <w:tcW w:w="4988" w:type="dxa"/>
            <w:tcBorders/>
            <w:shd w:fill="auto" w:val="clear"/>
          </w:tcPr>
          <w:p>
            <w:pPr>
              <w:pStyle w:val="TableContents"/>
              <w:spacing w:before="0" w:after="283"/>
              <w:ind w:left="200" w:right="0" w:hanging="200"/>
              <w:rPr>
                <w:sz w:val="4"/>
                <w:szCs w:val="4"/>
              </w:rPr>
            </w:pPr>
            <w:r>
              <w:rPr>
                <w:sz w:val="4"/>
                <w:szCs w:val="4"/>
              </w:rPr>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r>
        <w:trPr/>
        <w:tc>
          <w:tcPr>
            <w:tcW w:w="4988" w:type="dxa"/>
            <w:tcBorders/>
            <w:shd w:fill="auto" w:val="clear"/>
          </w:tcPr>
          <w:p>
            <w:pPr>
              <w:pStyle w:val="TableContents"/>
              <w:spacing w:before="0" w:after="283"/>
              <w:ind w:left="200" w:right="0" w:hanging="200"/>
              <w:rPr>
                <w:rFonts w:ascii="times" w:hAnsi="times"/>
                <w:sz w:val="20"/>
              </w:rPr>
            </w:pPr>
            <w:r>
              <w:rPr>
                <w:rFonts w:ascii="times" w:hAnsi="times"/>
                <w:sz w:val="20"/>
              </w:rPr>
              <w:t>February 26, 2009</w:t>
            </w:r>
          </w:p>
        </w:tc>
        <w:tc>
          <w:tcPr>
            <w:tcW w:w="61"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776"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153</w:t>
      </w:r>
    </w:p>
    <w:p>
      <w:pPr>
        <w:pStyle w:val="HorizontalLine"/>
        <w:pBdr>
          <w:bottom w:val="single" w:sz="20" w:space="0" w:color="808080"/>
        </w:pBdr>
        <w:rPr/>
      </w:pPr>
      <w:r>
        <w:rPr/>
      </w:r>
      <w:r>
        <w:br w:type="page"/>
      </w:r>
    </w:p>
    <w:p>
      <w:pPr>
        <w:pStyle w:val="TextBody"/>
        <w:rPr/>
      </w:pPr>
      <w:hyperlink w:anchor="bg12101a_main_toc">
        <w:bookmarkStart w:id="212" w:name="page_eq12101_1_154"/>
        <w:bookmarkEnd w:id="212"/>
        <w:r>
          <w:rPr>
            <w:rStyle w:val="InternetLink"/>
            <w:rFonts w:ascii="times" w:hAnsi="times"/>
            <w:sz w:val="20"/>
          </w:rPr>
          <w:t>Table of Contents</w:t>
        </w:r>
      </w:hyperlink>
    </w:p>
    <w:p>
      <w:pPr>
        <w:pStyle w:val="TextBody"/>
        <w:rPr/>
      </w:pPr>
      <w:r>
        <w:rPr/>
        <w:t>        </w:t>
      </w:r>
      <w:r>
        <w:rPr>
          <w:rFonts w:ascii="times" w:hAnsi="times"/>
          <w:sz w:val="20"/>
        </w:rPr>
        <w:t xml:space="preserve">Pursuant to the requirements of the Securities Exchange Act of 1934, this report has been signed below by the following persons on behalf of the registrant and in the capacities and on the dates indicated. </w:t>
      </w:r>
    </w:p>
    <w:tbl>
      <w:tblPr>
        <w:tblW w:w="5000" w:type="pct"/>
        <w:jc w:val="center"/>
        <w:tblInd w:w="0" w:type="dxa"/>
        <w:tblCellMar>
          <w:top w:w="0" w:type="dxa"/>
          <w:left w:w="0" w:type="dxa"/>
          <w:bottom w:w="0" w:type="dxa"/>
          <w:right w:w="0" w:type="dxa"/>
        </w:tblCellMar>
      </w:tblPr>
      <w:tblGrid>
        <w:gridCol w:w="1194"/>
        <w:gridCol w:w="185"/>
        <w:gridCol w:w="3832"/>
        <w:gridCol w:w="60"/>
        <w:gridCol w:w="3833"/>
        <w:gridCol w:w="60"/>
        <w:gridCol w:w="1041"/>
      </w:tblGrid>
      <w:tr>
        <w:trPr/>
        <w:tc>
          <w:tcPr>
            <w:tcW w:w="119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5211" w:type="dxa"/>
            <w:gridSpan w:val="3"/>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Name </w:t>
            </w:r>
          </w:p>
        </w:tc>
        <w:tc>
          <w:tcPr>
            <w:tcW w:w="60" w:type="dxa"/>
            <w:tcBorders/>
            <w:shd w:fill="auto" w:val="clear"/>
            <w:vAlign w:val="bottom"/>
          </w:tcPr>
          <w:p>
            <w:pPr>
              <w:pStyle w:val="TableHeading"/>
              <w:suppressLineNumbers/>
              <w:spacing w:before="0" w:after="283"/>
              <w:jc w:val="center"/>
              <w:rPr/>
            </w:pPr>
            <w:r>
              <w:rPr/>
              <w:t> </w:t>
            </w:r>
          </w:p>
        </w:tc>
        <w:tc>
          <w:tcPr>
            <w:tcW w:w="3833"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041"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1194" w:type="dxa"/>
            <w:tcBorders/>
            <w:shd w:fill="auto" w:val="clear"/>
          </w:tcPr>
          <w:p>
            <w:pPr>
              <w:pStyle w:val="TableContents"/>
              <w:spacing w:before="0" w:after="283"/>
              <w:jc w:val="center"/>
              <w:rPr>
                <w:rFonts w:ascii="times" w:hAnsi="times"/>
              </w:rPr>
            </w:pPr>
            <w:r>
              <w:rPr>
                <w:rFonts w:ascii="times" w:hAnsi="times"/>
              </w:rPr>
              <w:br/>
              <w:t> </w:t>
            </w:r>
          </w:p>
        </w:tc>
        <w:tc>
          <w:tcPr>
            <w:tcW w:w="185" w:type="dxa"/>
            <w:tcBorders/>
            <w:shd w:fill="auto" w:val="clear"/>
          </w:tcPr>
          <w:p>
            <w:pPr>
              <w:pStyle w:val="TableContents"/>
              <w:spacing w:before="0" w:after="283"/>
              <w:rPr>
                <w:rFonts w:ascii="times" w:hAnsi="times"/>
                <w:sz w:val="20"/>
              </w:rPr>
            </w:pPr>
            <w:r>
              <w:rPr>
                <w:rFonts w:ascii="times" w:hAnsi="times"/>
                <w:sz w:val="20"/>
              </w:rPr>
              <w:br/>
              <w:t> </w:t>
            </w:r>
          </w:p>
        </w:tc>
        <w:tc>
          <w:tcPr>
            <w:tcW w:w="383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rPr>
                <w:rFonts w:ascii="times" w:hAnsi="times"/>
                <w:sz w:val="20"/>
              </w:rPr>
            </w:pPr>
            <w:r>
              <w:rPr>
                <w:rFonts w:ascii="times" w:hAnsi="times"/>
                <w:sz w:val="20"/>
              </w:rPr>
              <w:br/>
              <w:t> </w:t>
            </w:r>
          </w:p>
        </w:tc>
      </w:tr>
      <w:tr>
        <w:trPr/>
        <w:tc>
          <w:tcPr>
            <w:tcW w:w="5211" w:type="dxa"/>
            <w:gridSpan w:val="3"/>
            <w:tcBorders/>
            <w:shd w:fill="auto" w:val="clear"/>
          </w:tcPr>
          <w:p>
            <w:pPr>
              <w:pStyle w:val="TableContents"/>
              <w:spacing w:before="0" w:after="0"/>
              <w:jc w:val="center"/>
              <w:rPr>
                <w:rFonts w:ascii="times" w:hAnsi="times"/>
              </w:rPr>
            </w:pPr>
            <w:r>
              <w:rPr>
                <w:rFonts w:ascii="times" w:hAnsi="times"/>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Greg L. Armstrong</w:t>
            </w:r>
          </w:p>
        </w:tc>
        <w:tc>
          <w:tcPr>
            <w:tcW w:w="60" w:type="dxa"/>
            <w:tcBorders/>
            <w:shd w:fill="auto" w:val="clear"/>
          </w:tcPr>
          <w:p>
            <w:pPr>
              <w:pStyle w:val="TableContents"/>
              <w:spacing w:before="0" w:after="283"/>
              <w:rPr/>
            </w:pPr>
            <w:r>
              <w:rPr/>
              <w:t> </w:t>
            </w:r>
          </w:p>
        </w:tc>
        <w:tc>
          <w:tcPr>
            <w:tcW w:w="3833" w:type="dxa"/>
            <w:tcBorders/>
            <w:shd w:fill="auto" w:val="clear"/>
          </w:tcPr>
          <w:p>
            <w:pPr>
              <w:pStyle w:val="TableContents"/>
              <w:spacing w:before="0" w:after="283"/>
              <w:rPr>
                <w:rFonts w:ascii="times" w:hAnsi="times"/>
                <w:sz w:val="20"/>
              </w:rPr>
            </w:pPr>
            <w:r>
              <w:rPr>
                <w:rFonts w:ascii="times" w:hAnsi="times"/>
                <w:sz w:val="20"/>
              </w:rPr>
              <w:t>Chairman of the Board, Chief Executive Officer and Director of Plains All American GP LLC (Principal Executive Officer)</w:t>
            </w:r>
          </w:p>
        </w:tc>
        <w:tc>
          <w:tcPr>
            <w:tcW w:w="60" w:type="dxa"/>
            <w:tcBorders/>
            <w:shd w:fill="auto" w:val="clear"/>
          </w:tcPr>
          <w:p>
            <w:pPr>
              <w:pStyle w:val="TableContents"/>
              <w:spacing w:before="0" w:after="283"/>
              <w:rPr/>
            </w:pPr>
            <w:r>
              <w:rPr/>
              <w:t> </w:t>
            </w:r>
          </w:p>
        </w:tc>
        <w:tc>
          <w:tcPr>
            <w:tcW w:w="1041" w:type="dxa"/>
            <w:tcBorders/>
            <w:shd w:fill="auto" w:val="clear"/>
          </w:tcPr>
          <w:p>
            <w:pPr>
              <w:pStyle w:val="TableContents"/>
              <w:spacing w:before="0" w:after="283"/>
              <w:jc w:val="center"/>
              <w:rPr>
                <w:rFonts w:ascii="times" w:hAnsi="times"/>
                <w:sz w:val="20"/>
              </w:rPr>
            </w:pP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br/>
              <w:t>/s/ HARRY N. PEFANIS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Harry N. Pefanis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President and Chief Operating Officer of Plains All American GP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rPr>
            </w:pPr>
            <w:r>
              <w:rPr>
                <w:rFonts w:ascii="times" w:hAnsi="times"/>
              </w:rPr>
              <w:br/>
              <w:t>/s/ AL SWANSON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Senior Vice President and Chief Financial Officer of Plains All American GP LLC (Principal Financial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br/>
              <w:t>/s/ TINA L. VAL</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Tina L. Val</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Vice PresidentAccounting and Chief Accounting Officer of Plains All American GP LLC (Principal Accounting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br/>
              <w:t>/s/ W. LANCE CONN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W. Lance Conn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w:t>
              <w:br/>
              <w:t>Plains All American GP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br/>
              <w:t>/s/ EVERARDO GOYANES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Everardo Goyanes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w:t>
              <w:br/>
              <w:t>Plains All American GP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br/>
              <w:t>/s/ GARY R. PETERSEN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Gary R. Petersen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w:t>
              <w:br/>
              <w:t>Plains All American GP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br/>
              <w:t>/s/ ROBERT V. SINNOTT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Robert V. Sinnott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w:t>
              <w:br/>
              <w:t>Plains All American GP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br/>
              <w:t>/s/ ARTHUR L. SMITH</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Arthur L. Smith</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33"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w:t>
              <w:br/>
              <w:t>Plains All American GP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4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February 26, 2009</w:t>
            </w:r>
          </w:p>
        </w:tc>
      </w:tr>
      <w:tr>
        <w:trPr/>
        <w:tc>
          <w:tcPr>
            <w:tcW w:w="5211" w:type="dxa"/>
            <w:gridSpan w:val="3"/>
            <w:tcBorders/>
            <w:shd w:fill="auto" w:val="clear"/>
          </w:tcPr>
          <w:p>
            <w:pPr>
              <w:pStyle w:val="TableContents"/>
              <w:spacing w:before="0" w:after="0"/>
              <w:jc w:val="center"/>
              <w:rPr>
                <w:rFonts w:ascii="times" w:hAnsi="times"/>
                <w:sz w:val="20"/>
              </w:rPr>
            </w:pPr>
            <w:r>
              <w:rPr>
                <w:rFonts w:ascii="times" w:hAnsi="times"/>
                <w:sz w:val="20"/>
              </w:rPr>
              <w:t>/s/ J. TAFT SYMONDS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J. Taft Symonds</w:t>
            </w:r>
          </w:p>
        </w:tc>
        <w:tc>
          <w:tcPr>
            <w:tcW w:w="60" w:type="dxa"/>
            <w:tcBorders/>
            <w:shd w:fill="auto" w:val="clear"/>
          </w:tcPr>
          <w:p>
            <w:pPr>
              <w:pStyle w:val="TableContents"/>
              <w:spacing w:before="0" w:after="283"/>
              <w:rPr/>
            </w:pPr>
            <w:r>
              <w:rPr/>
              <w:t> </w:t>
            </w:r>
          </w:p>
        </w:tc>
        <w:tc>
          <w:tcPr>
            <w:tcW w:w="3833" w:type="dxa"/>
            <w:tcBorders/>
            <w:shd w:fill="auto" w:val="clear"/>
          </w:tcPr>
          <w:p>
            <w:pPr>
              <w:pStyle w:val="TableContents"/>
              <w:spacing w:before="0" w:after="283"/>
              <w:rPr>
                <w:rFonts w:ascii="times" w:hAnsi="times"/>
                <w:sz w:val="20"/>
              </w:rPr>
            </w:pPr>
            <w:r>
              <w:rPr>
                <w:rFonts w:ascii="times" w:hAnsi="times"/>
                <w:sz w:val="20"/>
              </w:rPr>
              <w:t>Director of</w:t>
              <w:br/>
              <w:t>Plains All American GP LLC</w:t>
            </w:r>
          </w:p>
        </w:tc>
        <w:tc>
          <w:tcPr>
            <w:tcW w:w="60" w:type="dxa"/>
            <w:tcBorders/>
            <w:shd w:fill="auto" w:val="clear"/>
          </w:tcPr>
          <w:p>
            <w:pPr>
              <w:pStyle w:val="TableContents"/>
              <w:spacing w:before="0" w:after="283"/>
              <w:rPr/>
            </w:pPr>
            <w:r>
              <w:rPr/>
              <w:t> </w:t>
            </w:r>
          </w:p>
        </w:tc>
        <w:tc>
          <w:tcPr>
            <w:tcW w:w="1041" w:type="dxa"/>
            <w:tcBorders/>
            <w:shd w:fill="auto" w:val="clear"/>
          </w:tcPr>
          <w:p>
            <w:pPr>
              <w:pStyle w:val="TableContents"/>
              <w:spacing w:before="0" w:after="283"/>
              <w:jc w:val="center"/>
              <w:rPr>
                <w:rFonts w:ascii="times" w:hAnsi="times"/>
                <w:sz w:val="20"/>
              </w:rPr>
            </w:pPr>
            <w:r>
              <w:rPr>
                <w:rFonts w:ascii="times" w:hAnsi="times"/>
                <w:sz w:val="20"/>
              </w:rPr>
              <w:t>February 26, 2009</w:t>
            </w:r>
          </w:p>
        </w:tc>
      </w:tr>
    </w:tbl>
    <w:p>
      <w:pPr>
        <w:pStyle w:val="TextBody"/>
        <w:jc w:val="center"/>
        <w:rPr>
          <w:rFonts w:ascii="times" w:hAnsi="times"/>
          <w:sz w:val="20"/>
        </w:rPr>
      </w:pPr>
      <w:r>
        <w:rPr>
          <w:rFonts w:ascii="times" w:hAnsi="times"/>
          <w:sz w:val="20"/>
        </w:rPr>
        <w:t>154</w:t>
      </w:r>
    </w:p>
    <w:p>
      <w:pPr>
        <w:pStyle w:val="HorizontalLine"/>
        <w:pBdr>
          <w:bottom w:val="single" w:sz="20" w:space="0" w:color="808080"/>
        </w:pBdr>
        <w:rPr/>
      </w:pPr>
      <w:r>
        <w:rPr/>
      </w:r>
      <w:r>
        <w:br w:type="page"/>
      </w:r>
    </w:p>
    <w:p>
      <w:pPr>
        <w:pStyle w:val="TextBody"/>
        <w:rPr/>
      </w:pPr>
      <w:hyperlink w:anchor="bg12101a_main_toc">
        <w:bookmarkStart w:id="213" w:name="page_fa12101_1_1"/>
        <w:bookmarkEnd w:id="21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14" w:name="fa12101_plains_all_american_pipeline,___"/>
      <w:bookmarkEnd w:id="214"/>
      <w:r>
        <w:rPr>
          <w:rFonts w:ascii="times" w:hAnsi="times"/>
          <w:sz w:val="20"/>
        </w:rPr>
        <w:br/>
      </w:r>
      <w:r>
        <w:rPr>
          <w:rFonts w:ascii="times" w:hAnsi="times"/>
          <w:b/>
          <w:sz w:val="20"/>
        </w:rPr>
        <w:t xml:space="preserve">PLAINS ALL AMERICAN PIPELINE, L.P. AND SUBSIDIARIES </w:t>
        <w:br/>
        <w:br/>
        <w:t xml:space="preserve">INDEX TO THE CONSOLIDATED FINANCIAL STATEMENTS </w:t>
      </w:r>
    </w:p>
    <w:p>
      <w:pPr>
        <w:pStyle w:val="Normal"/>
        <w:spacing w:before="0" w:after="0"/>
        <w:rPr>
          <w:sz w:val="4"/>
          <w:szCs w:val="4"/>
        </w:rPr>
      </w:pPr>
      <w:r>
        <w:rPr>
          <w:sz w:val="4"/>
          <w:szCs w:val="4"/>
        </w:rPr>
      </w:r>
      <w:bookmarkStart w:id="215" w:name="FA12101_TOC"/>
      <w:bookmarkStart w:id="216" w:name="FA12101_TOC"/>
      <w:bookmarkEnd w:id="216"/>
    </w:p>
    <w:tbl>
      <w:tblPr>
        <w:tblW w:w="6920" w:type="dxa"/>
        <w:jc w:val="center"/>
        <w:tblInd w:w="0" w:type="dxa"/>
        <w:tblCellMar>
          <w:top w:w="0" w:type="dxa"/>
          <w:left w:w="0" w:type="dxa"/>
          <w:bottom w:w="0" w:type="dxa"/>
          <w:right w:w="0" w:type="dxa"/>
        </w:tblCellMar>
      </w:tblPr>
      <w:tblGrid>
        <w:gridCol w:w="6435"/>
        <w:gridCol w:w="180"/>
        <w:gridCol w:w="305"/>
      </w:tblGrid>
      <w:tr>
        <w:trPr/>
        <w:tc>
          <w:tcPr>
            <w:tcW w:w="64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643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r>
      <w:tr>
        <w:trPr/>
        <w:tc>
          <w:tcPr>
            <w:tcW w:w="6435" w:type="dxa"/>
            <w:tcBorders/>
            <w:shd w:fill="auto" w:val="clear"/>
          </w:tcPr>
          <w:p>
            <w:pPr>
              <w:pStyle w:val="TableContents"/>
              <w:spacing w:before="0" w:after="283"/>
              <w:ind w:left="200" w:right="0" w:hanging="200"/>
              <w:rPr>
                <w:rFonts w:ascii="times" w:hAnsi="times"/>
                <w:sz w:val="20"/>
              </w:rPr>
            </w:pPr>
            <w:r>
              <w:rPr>
                <w:rFonts w:ascii="times" w:hAnsi="times"/>
                <w:sz w:val="20"/>
              </w:rPr>
              <w:t>Consolidated Financial Statements</w:t>
            </w:r>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6435" w:type="dxa"/>
            <w:tcBorders/>
            <w:shd w:fill="auto" w:val="clear"/>
          </w:tcPr>
          <w:p>
            <w:pPr>
              <w:pStyle w:val="TableContents"/>
              <w:spacing w:before="0" w:after="283"/>
              <w:ind w:left="200" w:right="0" w:hanging="200"/>
              <w:rPr/>
            </w:pPr>
            <w:hyperlink w:anchor="fb12101_management_s_report_on_interna__man02650">
              <w:r>
                <w:rPr>
                  <w:rStyle w:val="InternetLink"/>
                  <w:rFonts w:ascii="times" w:hAnsi="times"/>
                  <w:sz w:val="20"/>
                </w:rPr>
                <w:t>Management's Report on Internal Control Over Financial Reporting</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fb12101_management_s_report_on_interna__man02650">
              <w:r>
                <w:rPr>
                  <w:rStyle w:val="InternetLink"/>
                  <w:rFonts w:ascii="times" w:hAnsi="times"/>
                  <w:sz w:val="20"/>
                </w:rPr>
                <w:t>F-2</w:t>
              </w:r>
            </w:hyperlink>
          </w:p>
        </w:tc>
      </w:tr>
      <w:tr>
        <w:trPr/>
        <w:tc>
          <w:tcPr>
            <w:tcW w:w="6435" w:type="dxa"/>
            <w:tcBorders/>
            <w:shd w:fill="auto" w:val="clear"/>
          </w:tcPr>
          <w:p>
            <w:pPr>
              <w:pStyle w:val="TableContents"/>
              <w:spacing w:before="0" w:after="283"/>
              <w:ind w:left="200" w:right="0" w:hanging="200"/>
              <w:rPr/>
            </w:pPr>
            <w:hyperlink w:anchor="fc12101_report_of_independent___fc102269">
              <w:r>
                <w:rPr>
                  <w:rStyle w:val="InternetLink"/>
                  <w:rFonts w:ascii="times" w:hAnsi="times"/>
                  <w:sz w:val="20"/>
                </w:rPr>
                <w:t>Report of Independent Registered Public Accounting Firm</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fc12101_report_of_independent___fc102269">
              <w:r>
                <w:rPr>
                  <w:rStyle w:val="InternetLink"/>
                  <w:rFonts w:ascii="times" w:hAnsi="times"/>
                  <w:sz w:val="20"/>
                </w:rPr>
                <w:t>F-3</w:t>
              </w:r>
            </w:hyperlink>
          </w:p>
        </w:tc>
      </w:tr>
      <w:tr>
        <w:trPr/>
        <w:tc>
          <w:tcPr>
            <w:tcW w:w="6435" w:type="dxa"/>
            <w:tcBorders/>
            <w:shd w:fill="auto" w:val="clear"/>
          </w:tcPr>
          <w:p>
            <w:pPr>
              <w:pStyle w:val="TableContents"/>
              <w:spacing w:before="0" w:after="283"/>
              <w:ind w:left="200" w:right="0" w:hanging="200"/>
              <w:rPr/>
            </w:pPr>
            <w:hyperlink w:anchor="page_fe12101_1_4">
              <w:r>
                <w:rPr>
                  <w:rStyle w:val="InternetLink"/>
                  <w:rFonts w:ascii="times" w:hAnsi="times"/>
                  <w:sz w:val="20"/>
                </w:rPr>
                <w:t>Consolidated Balance Sheets as of December 31, 2008 and 2007</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page_fe12101_1_4">
              <w:r>
                <w:rPr>
                  <w:rStyle w:val="InternetLink"/>
                  <w:rFonts w:ascii="times" w:hAnsi="times"/>
                  <w:sz w:val="20"/>
                </w:rPr>
                <w:t>F-4</w:t>
              </w:r>
            </w:hyperlink>
          </w:p>
        </w:tc>
      </w:tr>
      <w:tr>
        <w:trPr/>
        <w:tc>
          <w:tcPr>
            <w:tcW w:w="6435" w:type="dxa"/>
            <w:tcBorders/>
            <w:shd w:fill="auto" w:val="clear"/>
          </w:tcPr>
          <w:p>
            <w:pPr>
              <w:pStyle w:val="TableContents"/>
              <w:spacing w:before="0" w:after="283"/>
              <w:ind w:left="200" w:right="0" w:hanging="200"/>
              <w:rPr/>
            </w:pPr>
            <w:hyperlink w:anchor="page_fg12101_1_5">
              <w:r>
                <w:rPr>
                  <w:rStyle w:val="InternetLink"/>
                  <w:rFonts w:ascii="times" w:hAnsi="times"/>
                  <w:sz w:val="20"/>
                </w:rPr>
                <w:t>Consolidated Statements of Operations for the years ended December 31, 2008, 2007 and 2006</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page_fg12101_1_5">
              <w:r>
                <w:rPr>
                  <w:rStyle w:val="InternetLink"/>
                  <w:rFonts w:ascii="times" w:hAnsi="times"/>
                  <w:sz w:val="20"/>
                </w:rPr>
                <w:t>F-5</w:t>
              </w:r>
            </w:hyperlink>
          </w:p>
        </w:tc>
      </w:tr>
      <w:tr>
        <w:trPr/>
        <w:tc>
          <w:tcPr>
            <w:tcW w:w="6435" w:type="dxa"/>
            <w:tcBorders/>
            <w:shd w:fill="auto" w:val="clear"/>
          </w:tcPr>
          <w:p>
            <w:pPr>
              <w:pStyle w:val="TableContents"/>
              <w:spacing w:before="0" w:after="283"/>
              <w:ind w:left="200" w:right="0" w:hanging="200"/>
              <w:rPr/>
            </w:pPr>
            <w:hyperlink w:anchor="page_fi12101_1_6">
              <w:r>
                <w:rPr>
                  <w:rStyle w:val="InternetLink"/>
                  <w:rFonts w:ascii="times" w:hAnsi="times"/>
                  <w:sz w:val="20"/>
                </w:rPr>
                <w:t>Consolidated Statements of Cash Flows for the years ended December 31, 2008, 2007 and 2006</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page_fi12101_1_6">
              <w:r>
                <w:rPr>
                  <w:rStyle w:val="InternetLink"/>
                  <w:rFonts w:ascii="times" w:hAnsi="times"/>
                  <w:sz w:val="20"/>
                </w:rPr>
                <w:t>F-6</w:t>
              </w:r>
            </w:hyperlink>
          </w:p>
        </w:tc>
      </w:tr>
      <w:tr>
        <w:trPr/>
        <w:tc>
          <w:tcPr>
            <w:tcW w:w="6435" w:type="dxa"/>
            <w:tcBorders/>
            <w:shd w:fill="auto" w:val="clear"/>
          </w:tcPr>
          <w:p>
            <w:pPr>
              <w:pStyle w:val="TableContents"/>
              <w:spacing w:before="0" w:after="283"/>
              <w:ind w:left="200" w:right="0" w:hanging="200"/>
              <w:rPr/>
            </w:pPr>
            <w:hyperlink w:anchor="page_fk12101_1_7">
              <w:r>
                <w:rPr>
                  <w:rStyle w:val="InternetLink"/>
                  <w:rFonts w:ascii="times" w:hAnsi="times"/>
                  <w:sz w:val="20"/>
                </w:rPr>
                <w:t>Consolidated Statements of Changes in Partners' Capital for the years ended December 31, 2008, 2007 and 2006</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page_fk12101_1_7">
              <w:r>
                <w:rPr>
                  <w:rStyle w:val="InternetLink"/>
                  <w:rFonts w:ascii="times" w:hAnsi="times"/>
                  <w:sz w:val="20"/>
                </w:rPr>
                <w:t>F-7</w:t>
              </w:r>
            </w:hyperlink>
          </w:p>
        </w:tc>
      </w:tr>
      <w:tr>
        <w:trPr/>
        <w:tc>
          <w:tcPr>
            <w:tcW w:w="6435" w:type="dxa"/>
            <w:tcBorders/>
            <w:shd w:fill="auto" w:val="clear"/>
          </w:tcPr>
          <w:p>
            <w:pPr>
              <w:pStyle w:val="TableContents"/>
              <w:spacing w:before="0" w:after="283"/>
              <w:ind w:left="200" w:right="0" w:hanging="200"/>
              <w:rPr/>
            </w:pPr>
            <w:hyperlink w:anchor="page_fm12101_1_8">
              <w:r>
                <w:rPr>
                  <w:rStyle w:val="InternetLink"/>
                  <w:rFonts w:ascii="times" w:hAnsi="times"/>
                  <w:sz w:val="20"/>
                </w:rPr>
                <w:t>Consolidated Statements of Comprehensive Income for the years ended December 31, 2008, 2007 and 2006</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page_fm12101_1_8">
              <w:r>
                <w:rPr>
                  <w:rStyle w:val="InternetLink"/>
                  <w:rFonts w:ascii="times" w:hAnsi="times"/>
                  <w:sz w:val="20"/>
                </w:rPr>
                <w:t>F-8</w:t>
              </w:r>
            </w:hyperlink>
          </w:p>
        </w:tc>
      </w:tr>
      <w:tr>
        <w:trPr/>
        <w:tc>
          <w:tcPr>
            <w:tcW w:w="6435" w:type="dxa"/>
            <w:tcBorders/>
            <w:shd w:fill="auto" w:val="clear"/>
          </w:tcPr>
          <w:p>
            <w:pPr>
              <w:pStyle w:val="TableContents"/>
              <w:spacing w:before="0" w:after="283"/>
              <w:ind w:left="200" w:right="0" w:hanging="200"/>
              <w:rPr/>
            </w:pPr>
            <w:hyperlink w:anchor="fm12101_consolidated_statements_of_cha__con03087">
              <w:r>
                <w:rPr>
                  <w:rStyle w:val="InternetLink"/>
                  <w:rFonts w:ascii="times" w:hAnsi="times"/>
                  <w:sz w:val="20"/>
                </w:rPr>
                <w:t>Consolidated Statements of Changes in Accumulated Other Comprehensive Income for the years ended December 31, 2008, 2007 and 2006</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fm12101_consolidated_statements_of_cha__con03087">
              <w:r>
                <w:rPr>
                  <w:rStyle w:val="InternetLink"/>
                  <w:rFonts w:ascii="times" w:hAnsi="times"/>
                  <w:sz w:val="20"/>
                </w:rPr>
                <w:t>F-8</w:t>
              </w:r>
            </w:hyperlink>
          </w:p>
        </w:tc>
      </w:tr>
      <w:tr>
        <w:trPr/>
        <w:tc>
          <w:tcPr>
            <w:tcW w:w="6435" w:type="dxa"/>
            <w:tcBorders/>
            <w:shd w:fill="auto" w:val="clear"/>
          </w:tcPr>
          <w:p>
            <w:pPr>
              <w:pStyle w:val="TableContents"/>
              <w:spacing w:before="0" w:after="283"/>
              <w:ind w:left="200" w:right="0" w:hanging="200"/>
              <w:rPr/>
            </w:pPr>
            <w:hyperlink w:anchor="fo12101_plains_all_american_pipeline,___pla03769">
              <w:r>
                <w:rPr>
                  <w:rStyle w:val="InternetLink"/>
                  <w:rFonts w:ascii="times" w:hAnsi="times"/>
                  <w:sz w:val="20"/>
                </w:rPr>
                <w:t>Notes to the Consolidated Financial Statements</w:t>
              </w:r>
            </w:hyperlink>
          </w:p>
        </w:tc>
        <w:tc>
          <w:tcPr>
            <w:tcW w:w="180" w:type="dxa"/>
            <w:tcBorders/>
            <w:shd w:fill="auto" w:val="clear"/>
          </w:tcPr>
          <w:p>
            <w:pPr>
              <w:pStyle w:val="TableContents"/>
              <w:spacing w:before="0" w:after="283"/>
              <w:rPr/>
            </w:pPr>
            <w:r>
              <w:rPr/>
              <w:t> </w:t>
            </w:r>
          </w:p>
        </w:tc>
        <w:tc>
          <w:tcPr>
            <w:tcW w:w="305" w:type="dxa"/>
            <w:tcBorders/>
            <w:shd w:fill="auto" w:val="clear"/>
            <w:vAlign w:val="bottom"/>
          </w:tcPr>
          <w:p>
            <w:pPr>
              <w:pStyle w:val="TableContents"/>
              <w:spacing w:before="0" w:after="283"/>
              <w:jc w:val="right"/>
              <w:rPr/>
            </w:pPr>
            <w:hyperlink w:anchor="fo12101_plains_all_american_pipeline,___pla03769">
              <w:r>
                <w:rPr>
                  <w:rStyle w:val="InternetLink"/>
                  <w:rFonts w:ascii="times" w:hAnsi="times"/>
                  <w:sz w:val="20"/>
                </w:rPr>
                <w:t>F-9</w:t>
              </w:r>
            </w:hyperlink>
          </w:p>
        </w:tc>
      </w:tr>
    </w:tbl>
    <w:p>
      <w:pPr>
        <w:pStyle w:val="TextBody"/>
        <w:jc w:val="center"/>
        <w:rPr>
          <w:rFonts w:ascii="times" w:hAnsi="times"/>
          <w:sz w:val="20"/>
        </w:rPr>
      </w:pPr>
      <w:r>
        <w:rPr>
          <w:rFonts w:ascii="times" w:hAnsi="times"/>
          <w:sz w:val="20"/>
        </w:rPr>
        <w:t>F-1</w:t>
      </w:r>
    </w:p>
    <w:p>
      <w:pPr>
        <w:pStyle w:val="HorizontalLine"/>
        <w:pBdr>
          <w:bottom w:val="single" w:sz="20" w:space="0" w:color="808080"/>
        </w:pBdr>
        <w:rPr/>
      </w:pPr>
      <w:r>
        <w:rPr/>
      </w:r>
      <w:r>
        <w:br w:type="page"/>
      </w:r>
    </w:p>
    <w:p>
      <w:pPr>
        <w:pStyle w:val="TextBody"/>
        <w:rPr/>
      </w:pPr>
      <w:hyperlink w:anchor="bg12101a_main_toc">
        <w:bookmarkStart w:id="217" w:name="page_fb12101_1_2"/>
        <w:bookmarkEnd w:id="21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18" w:name="toc_fb12101_1"/>
      <w:bookmarkStart w:id="219" w:name="fb12101_management_s_report_on_interna__"/>
      <w:bookmarkEnd w:id="218"/>
      <w:bookmarkEnd w:id="219"/>
      <w:r>
        <w:rPr>
          <w:rFonts w:ascii="times" w:hAnsi="times"/>
          <w:sz w:val="20"/>
        </w:rPr>
        <w:br/>
      </w:r>
      <w:r>
        <w:rPr>
          <w:rFonts w:ascii="times" w:hAnsi="times"/>
          <w:b/>
          <w:sz w:val="20"/>
        </w:rPr>
        <w:t xml:space="preserve">MANAGEMENT'S REPORT ON INTERNAL CONTROL OVER FINANCIAL REPORTING </w:t>
      </w:r>
    </w:p>
    <w:p>
      <w:pPr>
        <w:pStyle w:val="TextBody"/>
        <w:rPr/>
      </w:pPr>
      <w:r>
        <w:rPr/>
        <w:t>        </w:t>
      </w:r>
      <w:r>
        <w:rPr>
          <w:rFonts w:ascii="times" w:hAnsi="times"/>
          <w:sz w:val="20"/>
        </w:rPr>
        <w:t xml:space="preserve">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w:t>
      </w:r>
    </w:p>
    <w:p>
      <w:pPr>
        <w:pStyle w:val="TextBody"/>
        <w:rPr/>
      </w:pPr>
      <w:r>
        <w:rPr/>
        <w:t>        </w:t>
      </w:r>
      <w:r>
        <w:rPr>
          <w:rFonts w:ascii="times" w:hAnsi="times"/>
          <w:sz w:val="20"/>
        </w:rPr>
        <w:t xml:space="preserve">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w:t>
      </w:r>
    </w:p>
    <w:p>
      <w:pPr>
        <w:pStyle w:val="TextBody"/>
        <w:rPr/>
      </w:pPr>
      <w:r>
        <w:rPr/>
        <w:t>        </w:t>
      </w:r>
      <w:r>
        <w:rPr>
          <w:rFonts w:ascii="times" w:hAnsi="times"/>
          <w:sz w:val="20"/>
        </w:rPr>
        <w:t xml:space="preserve">Management has used the framework set forth in the report entitled "Internal ControlIntegrated Framework"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2008. </w:t>
      </w:r>
    </w:p>
    <w:p>
      <w:pPr>
        <w:pStyle w:val="TextBody"/>
        <w:rPr/>
      </w:pPr>
      <w:r>
        <w:rPr/>
        <w:t>        </w:t>
      </w:r>
      <w:r>
        <w:rPr>
          <w:rFonts w:ascii="times" w:hAnsi="times"/>
          <w:sz w:val="20"/>
        </w:rPr>
        <w:t xml:space="preserve">The effectiveness of the Partnership's internal control over financial reporting as of December 31, 2008 has been audited by PricewaterhouseCoopers LLP, an independent registered public accounting firm, as stated in their report which appears on Page F-3.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0"/>
              <w:rPr>
                <w:rFonts w:ascii="times" w:hAnsi="times"/>
              </w:rPr>
            </w:pPr>
            <w:r>
              <w:rPr>
                <w:rFonts w:ascii="times" w:hAnsi="times"/>
              </w:rPr>
              <w:t>/s/ GREG L. ARMSTRONG</w:t>
            </w:r>
          </w:p>
          <w:p>
            <w:pPr>
              <w:pStyle w:val="HorizontalLine"/>
              <w:pBdr>
                <w:bottom w:val="single" w:sz="6" w:space="0" w:color="000000"/>
              </w:pBdr>
              <w:rPr/>
            </w:pPr>
            <w:r>
              <w:rPr/>
            </w:r>
          </w:p>
          <w:p>
            <w:pPr>
              <w:pStyle w:val="TableContents"/>
              <w:spacing w:before="0" w:after="283"/>
              <w:rPr>
                <w:rFonts w:ascii="times" w:hAnsi="times"/>
              </w:rPr>
            </w:pPr>
            <w:r>
              <w:rPr>
                <w:rFonts w:ascii="times" w:hAnsi="times"/>
                <w:sz w:val="20"/>
              </w:rPr>
              <w:t>Greg L. Armstrong</w:t>
              <w:br/>
            </w:r>
            <w:r>
              <w:rPr>
                <w:rFonts w:ascii="times" w:hAnsi="times"/>
                <w:i/>
                <w:sz w:val="20"/>
              </w:rPr>
              <w:t>Chairman of the Board, Chief Executive Officer and</w:t>
              <w:br/>
              <w:t>Director of Plains All American GP LLC</w:t>
              <w:br/>
              <w:t>(Principal Executive Officer)</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0"/>
              <w:rPr>
                <w:rFonts w:ascii="times" w:hAnsi="times"/>
              </w:rPr>
            </w:pPr>
            <w:r>
              <w:rPr>
                <w:rFonts w:ascii="times" w:hAnsi="times"/>
              </w:rPr>
              <w:br/>
            </w:r>
            <w:r>
              <w:rPr>
                <w:rFonts w:ascii="times" w:hAnsi="times"/>
                <w:sz w:val="20"/>
              </w:rPr>
              <w:t>/s/ AL SWANSON</w:t>
            </w:r>
          </w:p>
          <w:p>
            <w:pPr>
              <w:pStyle w:val="HorizontalLine"/>
              <w:pBdr>
                <w:bottom w:val="single" w:sz="6" w:space="0" w:color="000000"/>
              </w:pBdr>
              <w:rPr/>
            </w:pPr>
            <w:r>
              <w:rPr/>
            </w:r>
          </w:p>
          <w:p>
            <w:pPr>
              <w:pStyle w:val="TableContents"/>
              <w:spacing w:before="0" w:after="283"/>
              <w:rPr>
                <w:rFonts w:ascii="times" w:hAnsi="times"/>
              </w:rPr>
            </w:pPr>
            <w:r>
              <w:rPr>
                <w:rFonts w:ascii="times" w:hAnsi="times"/>
                <w:sz w:val="20"/>
              </w:rPr>
              <w:t>Al Swanson</w:t>
              <w:br/>
            </w:r>
            <w:r>
              <w:rPr>
                <w:rFonts w:ascii="times" w:hAnsi="times"/>
                <w:i/>
                <w:sz w:val="20"/>
              </w:rPr>
              <w:t>Senior Vice President and Chief Financial Officer of</w:t>
              <w:br/>
              <w:t>Plains All American GP LLC</w:t>
              <w:br/>
              <w:t>(Principal Financial Officer)</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February 26, 2009</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sz w:val="20"/>
              </w:rPr>
            </w:pPr>
            <w:r>
              <w:rPr>
                <w:rFonts w:ascii="times" w:hAnsi="times"/>
                <w:sz w:val="20"/>
              </w:rPr>
              <w:br/>
              <w:t> </w:t>
            </w:r>
          </w:p>
        </w:tc>
      </w:tr>
    </w:tbl>
    <w:p>
      <w:pPr>
        <w:pStyle w:val="TextBody"/>
        <w:jc w:val="center"/>
        <w:rPr>
          <w:rFonts w:ascii="times" w:hAnsi="times"/>
          <w:sz w:val="20"/>
        </w:rPr>
      </w:pPr>
      <w:r>
        <w:rPr>
          <w:rFonts w:ascii="times" w:hAnsi="times"/>
          <w:sz w:val="20"/>
        </w:rPr>
        <w:t>F-2</w:t>
      </w:r>
    </w:p>
    <w:p>
      <w:pPr>
        <w:pStyle w:val="HorizontalLine"/>
        <w:pBdr>
          <w:bottom w:val="single" w:sz="20" w:space="0" w:color="808080"/>
        </w:pBdr>
        <w:rPr/>
      </w:pPr>
      <w:r>
        <w:rPr/>
      </w:r>
      <w:r>
        <w:br w:type="page"/>
      </w:r>
    </w:p>
    <w:p>
      <w:pPr>
        <w:pStyle w:val="TextBody"/>
        <w:rPr/>
      </w:pPr>
      <w:hyperlink w:anchor="bg12101a_main_toc">
        <w:bookmarkStart w:id="220" w:name="page_fc12101_1_3"/>
        <w:bookmarkEnd w:id="22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21" w:name="toc_fc12101_1"/>
      <w:bookmarkStart w:id="222" w:name="fc12101_report_of_independent___fc102269"/>
      <w:bookmarkEnd w:id="221"/>
      <w:bookmarkEnd w:id="222"/>
      <w:r>
        <w:rPr>
          <w:rFonts w:ascii="times" w:hAnsi="times"/>
          <w:sz w:val="20"/>
        </w:rPr>
        <w:br/>
      </w:r>
      <w:r>
        <w:rPr>
          <w:rFonts w:ascii="times" w:hAnsi="times"/>
          <w:b/>
          <w:i/>
          <w:sz w:val="20"/>
        </w:rPr>
        <w:t xml:space="preserve">Report of Independent Registered Public Accounting Firm </w:t>
      </w:r>
    </w:p>
    <w:p>
      <w:pPr>
        <w:pStyle w:val="TextBody"/>
        <w:rPr>
          <w:rFonts w:ascii="times" w:hAnsi="times"/>
          <w:sz w:val="20"/>
        </w:rPr>
      </w:pPr>
      <w:r>
        <w:rPr>
          <w:rFonts w:ascii="times" w:hAnsi="times"/>
          <w:sz w:val="20"/>
        </w:rPr>
        <w:t>To the Board of Directors of the General Partner and Unitholders of</w:t>
        <w:br/>
        <w:t xml:space="preserve">Plains All American Pipeline, L.P.: </w:t>
      </w:r>
    </w:p>
    <w:p>
      <w:pPr>
        <w:pStyle w:val="TextBody"/>
        <w:rPr/>
      </w:pPr>
      <w:r>
        <w:rPr/>
        <w:t>        </w:t>
      </w:r>
      <w:r>
        <w:rPr>
          <w:rFonts w:ascii="times" w:hAnsi="times"/>
          <w:sz w:val="20"/>
        </w:rPr>
        <w:t xml:space="preserve">In our opinion, the accompanying consolidated balance sheets and the related consolidated statements of operations, of cash flows, of changes in partners' capital, of comprehensive income, and of changes in accumulated other comprehensive income, present fairly, in all material respects, the financial position of Plains All American Pipeline, L.P. and its subsidiaries at December 31, 2008 and 2007, and the results of their operations and their cash flows for each of the three years in the period ended December 31, 2008 in conformity with accounting principles generally accepted in the United States of America. Also in our opinion, the Partnership maintained, in all material respects, effective internal control over financial reporting as of December 31, 2008, based on criteria established in </w:t>
      </w:r>
      <w:r>
        <w:rPr>
          <w:rFonts w:ascii="times" w:hAnsi="times"/>
          <w:i/>
          <w:sz w:val="20"/>
        </w:rPr>
        <w:t>Internal ControlIntegrated Framework</w:t>
      </w:r>
      <w:r>
        <w:rPr>
          <w:rFonts w:ascii="times" w:hAnsi="times"/>
        </w:rPr>
        <w:t xml:space="preserve"> </w:t>
      </w:r>
      <w:r>
        <w:rPr>
          <w:rFonts w:ascii="times" w:hAnsi="times"/>
          <w:sz w:val="20"/>
        </w:rPr>
        <w:t xml:space="preserve">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rPr/>
      </w:pPr>
      <w:r>
        <w:rPr/>
        <w:t>        </w:t>
      </w:r>
      <w:r>
        <w:rPr>
          <w:rFonts w:ascii="times" w:hAnsi="times"/>
          <w:sz w:val="20"/>
        </w:rPr>
        <w:t xml:space="preserve">As discussed in Note 1 to the consolidated financial statements, the Partnership changed the manner in which it accounts for equity-based compensation and purchases and sales with the same counterparty in 2006. </w:t>
      </w:r>
    </w:p>
    <w:p>
      <w:pPr>
        <w:pStyle w:val="TextBody"/>
        <w:rPr/>
      </w:pPr>
      <w:r>
        <w:rPr/>
        <w:t>        </w:t>
      </w:r>
      <w:r>
        <w:rPr>
          <w:rFonts w:ascii="times" w:hAnsi="times"/>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rPr/>
      </w:pPr>
      <w:r>
        <w:rPr/>
        <w:t>        </w:t>
      </w:r>
      <w:r>
        <w:rPr>
          <w:rFonts w:ascii="times" w:hAnsi="times"/>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tbl>
      <w:tblPr>
        <w:tblW w:w="5000" w:type="pct"/>
        <w:jc w:val="center"/>
        <w:tblInd w:w="0" w:type="dxa"/>
        <w:tblCellMar>
          <w:top w:w="0" w:type="dxa"/>
          <w:left w:w="0" w:type="dxa"/>
          <w:bottom w:w="0" w:type="dxa"/>
          <w:right w:w="0" w:type="dxa"/>
        </w:tblCellMar>
      </w:tblPr>
      <w:tblGrid>
        <w:gridCol w:w="4968"/>
        <w:gridCol w:w="268"/>
        <w:gridCol w:w="4969"/>
      </w:tblGrid>
      <w:tr>
        <w:trPr/>
        <w:tc>
          <w:tcPr>
            <w:tcW w:w="49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969" w:type="dxa"/>
            <w:tcBorders/>
            <w:shd w:fill="auto" w:val="clear"/>
            <w:vAlign w:val="center"/>
          </w:tcPr>
          <w:p>
            <w:pPr>
              <w:pStyle w:val="TableContents"/>
              <w:spacing w:before="0" w:after="283"/>
              <w:rPr>
                <w:sz w:val="4"/>
                <w:szCs w:val="4"/>
              </w:rPr>
            </w:pPr>
            <w:r>
              <w:rPr>
                <w:sz w:val="4"/>
                <w:szCs w:val="4"/>
              </w:rPr>
            </w:r>
          </w:p>
        </w:tc>
      </w:tr>
      <w:tr>
        <w:trPr/>
        <w:tc>
          <w:tcPr>
            <w:tcW w:w="4968" w:type="dxa"/>
            <w:tcBorders/>
            <w:shd w:fill="auto" w:val="clear"/>
          </w:tcPr>
          <w:p>
            <w:pPr>
              <w:pStyle w:val="TableContents"/>
              <w:spacing w:before="0" w:after="283"/>
              <w:rPr>
                <w:rFonts w:ascii="times" w:hAnsi="times"/>
                <w:sz w:val="20"/>
              </w:rPr>
            </w:pPr>
            <w:r>
              <w:rPr>
                <w:rFonts w:ascii="times" w:hAnsi="times"/>
                <w:sz w:val="20"/>
              </w:rPr>
              <w:t>Houston, Texas</w:t>
              <w:br/>
              <w:t>February 26, 2009</w:t>
            </w:r>
          </w:p>
        </w:tc>
        <w:tc>
          <w:tcPr>
            <w:tcW w:w="268" w:type="dxa"/>
            <w:tcBorders/>
            <w:shd w:fill="auto" w:val="clear"/>
          </w:tcPr>
          <w:p>
            <w:pPr>
              <w:pStyle w:val="TableContents"/>
              <w:spacing w:before="0" w:after="283"/>
              <w:rPr/>
            </w:pPr>
            <w:r>
              <w:rPr/>
              <w:t> </w:t>
            </w:r>
          </w:p>
        </w:tc>
        <w:tc>
          <w:tcPr>
            <w:tcW w:w="4969" w:type="dxa"/>
            <w:tcBorders/>
            <w:shd w:fill="auto" w:val="clear"/>
          </w:tcPr>
          <w:p>
            <w:pPr>
              <w:pStyle w:val="TableContents"/>
              <w:spacing w:before="0" w:after="283"/>
              <w:rPr>
                <w:rFonts w:ascii="times" w:hAnsi="times"/>
                <w:b/>
                <w:sz w:val="20"/>
              </w:rPr>
            </w:pPr>
            <w:r>
              <w:rPr>
                <w:rFonts w:ascii="times" w:hAnsi="times"/>
                <w:b/>
                <w:sz w:val="20"/>
              </w:rPr>
              <w:t>PricewaterhouseCoopers LLP</w:t>
            </w:r>
          </w:p>
        </w:tc>
      </w:tr>
    </w:tbl>
    <w:p>
      <w:pPr>
        <w:pStyle w:val="TextBody"/>
        <w:jc w:val="center"/>
        <w:rPr>
          <w:rFonts w:ascii="times" w:hAnsi="times"/>
          <w:sz w:val="20"/>
        </w:rPr>
      </w:pPr>
      <w:r>
        <w:rPr>
          <w:rFonts w:ascii="times" w:hAnsi="times"/>
          <w:sz w:val="20"/>
        </w:rPr>
        <w:t>F-3</w:t>
      </w:r>
    </w:p>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4968"/>
        <w:gridCol w:w="268"/>
        <w:gridCol w:w="4969"/>
      </w:tblGrid>
      <w:tr>
        <w:trPr/>
        <w:tc>
          <w:tcPr>
            <w:tcW w:w="4968" w:type="dxa"/>
            <w:tcBorders/>
            <w:shd w:fill="auto" w:val="clear"/>
            <w:vAlign w:val="center"/>
          </w:tcPr>
          <w:p>
            <w:pPr>
              <w:pStyle w:val="TableContents"/>
              <w:pageBreakBefore/>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969" w:type="dxa"/>
            <w:tcBorders/>
            <w:shd w:fill="auto" w:val="clear"/>
            <w:vAlign w:val="center"/>
          </w:tcPr>
          <w:p>
            <w:pPr>
              <w:pStyle w:val="TableContents"/>
              <w:spacing w:before="0" w:after="283"/>
              <w:rPr>
                <w:sz w:val="4"/>
                <w:szCs w:val="4"/>
              </w:rPr>
            </w:pPr>
            <w:r>
              <w:rPr>
                <w:sz w:val="4"/>
                <w:szCs w:val="4"/>
              </w:rPr>
            </w:r>
          </w:p>
        </w:tc>
      </w:tr>
    </w:tbl>
    <w:p>
      <w:pPr>
        <w:pStyle w:val="TextBody"/>
        <w:rPr/>
      </w:pPr>
      <w:hyperlink w:anchor="bg12101a_main_toc">
        <w:bookmarkStart w:id="223" w:name="page_fe12101_1_4"/>
        <w:bookmarkEnd w:id="22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224" w:name="toc_fe12101_1"/>
      <w:bookmarkStart w:id="225" w:name="fe12101_plains_all_american_pipeline,___"/>
      <w:bookmarkEnd w:id="224"/>
      <w:bookmarkEnd w:id="225"/>
      <w:r>
        <w:rPr>
          <w:rFonts w:ascii="times" w:hAnsi="times"/>
          <w:b/>
          <w:sz w:val="20"/>
        </w:rPr>
        <w:br/>
        <w:t xml:space="preserve">PLAINS ALL AMERICAN PIPELINE, L.P. AND SUBSIDIARIES </w:t>
        <w:br/>
        <w:br/>
        <w:t xml:space="preserve">CONSOLIDATED BALANCE SHEETS </w:t>
      </w:r>
    </w:p>
    <w:tbl>
      <w:tblPr>
        <w:tblW w:w="9027" w:type="dxa"/>
        <w:jc w:val="center"/>
        <w:tblInd w:w="0" w:type="dxa"/>
        <w:tblCellMar>
          <w:top w:w="0" w:type="dxa"/>
          <w:left w:w="0" w:type="dxa"/>
          <w:bottom w:w="0" w:type="dxa"/>
          <w:right w:w="0" w:type="dxa"/>
        </w:tblCellMar>
      </w:tblPr>
      <w:tblGrid>
        <w:gridCol w:w="203"/>
        <w:gridCol w:w="6716"/>
        <w:gridCol w:w="180"/>
        <w:gridCol w:w="139"/>
        <w:gridCol w:w="661"/>
        <w:gridCol w:w="225"/>
        <w:gridCol w:w="163"/>
        <w:gridCol w:w="660"/>
        <w:gridCol w:w="80"/>
      </w:tblGrid>
      <w:tr>
        <w:trPr/>
        <w:tc>
          <w:tcPr>
            <w:tcW w:w="203" w:type="dxa"/>
            <w:tcBorders/>
            <w:shd w:fill="auto" w:val="clear"/>
            <w:vAlign w:val="center"/>
          </w:tcPr>
          <w:p>
            <w:pPr>
              <w:pStyle w:val="TableContents"/>
              <w:spacing w:before="0" w:after="283"/>
              <w:rPr>
                <w:sz w:val="4"/>
                <w:szCs w:val="4"/>
              </w:rPr>
            </w:pPr>
            <w:r>
              <w:rPr>
                <w:sz w:val="4"/>
                <w:szCs w:val="4"/>
              </w:rPr>
            </w:r>
          </w:p>
        </w:tc>
        <w:tc>
          <w:tcPr>
            <w:tcW w:w="671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691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8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2008 </w:t>
            </w:r>
          </w:p>
        </w:tc>
        <w:tc>
          <w:tcPr>
            <w:tcW w:w="225" w:type="dxa"/>
            <w:tcBorders/>
            <w:shd w:fill="auto" w:val="clear"/>
            <w:vAlign w:val="bottom"/>
          </w:tcPr>
          <w:p>
            <w:pPr>
              <w:pStyle w:val="TableHeading"/>
              <w:suppressLineNumbers/>
              <w:spacing w:before="0" w:after="283"/>
              <w:jc w:val="center"/>
              <w:rPr/>
            </w:pPr>
            <w:r>
              <w:rPr/>
              <w:t> </w:t>
            </w:r>
          </w:p>
        </w:tc>
        <w:tc>
          <w:tcPr>
            <w:tcW w:w="82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2007 </w:t>
            </w:r>
          </w:p>
        </w:tc>
        <w:tc>
          <w:tcPr>
            <w:tcW w:w="80" w:type="dxa"/>
            <w:tcBorders/>
            <w:shd w:fill="auto" w:val="clear"/>
            <w:vAlign w:val="bottom"/>
          </w:tcPr>
          <w:p>
            <w:pPr>
              <w:pStyle w:val="TableHeading"/>
              <w:suppressLineNumbers/>
              <w:spacing w:before="0" w:after="283"/>
              <w:jc w:val="center"/>
              <w:rPr/>
            </w:pPr>
            <w:r>
              <w:rPr/>
              <w:t> </w:t>
            </w:r>
          </w:p>
        </w:tc>
      </w:tr>
      <w:tr>
        <w:trPr/>
        <w:tc>
          <w:tcPr>
            <w:tcW w:w="691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848"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(in millions,</w:t>
              <w:br/>
              <w:t>except unit amounts)</w:t>
            </w:r>
          </w:p>
        </w:tc>
        <w:tc>
          <w:tcPr>
            <w:tcW w:w="80" w:type="dxa"/>
            <w:tcBorders/>
            <w:shd w:fill="auto" w:val="clear"/>
            <w:vAlign w:val="bottom"/>
          </w:tcPr>
          <w:p>
            <w:pPr>
              <w:pStyle w:val="TableHeading"/>
              <w:suppressLineNumbers/>
              <w:spacing w:before="0" w:after="283"/>
              <w:jc w:val="center"/>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ASSETS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CURRENT ASSETS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and cash equivalents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24</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Trade accounts receivable and other receivables, net</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1,525</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2,561</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801</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972</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current assets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259</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116</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03" w:type="dxa"/>
            <w:tcBorders/>
            <w:shd w:fill="CCEEFF" w:val="clear"/>
            <w:vAlign w:val="bottom"/>
          </w:tcPr>
          <w:p>
            <w:pPr>
              <w:pStyle w:val="TableContents"/>
              <w:spacing w:before="0" w:after="283"/>
              <w:rPr/>
            </w:pPr>
            <w:r>
              <w:rPr/>
              <w:t> </w:t>
            </w:r>
          </w:p>
        </w:tc>
        <w:tc>
          <w:tcPr>
            <w:tcW w:w="671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current assets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2,596</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3,673</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6919" w:type="dxa"/>
            <w:gridSpan w:val="2"/>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PROPERTY AND EQUIPMENT</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br/>
              <w:t>5,727</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br/>
              <w:t>4,938</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Accumulated depreciation</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(668</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(519</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sz w:val="4"/>
                <w:szCs w:val="4"/>
              </w:rPr>
            </w:pPr>
            <w:r>
              <w:rPr>
                <w:sz w:val="4"/>
                <w:szCs w:val="4"/>
              </w:rPr>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5,059</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4,419</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6919" w:type="dxa"/>
            <w:gridSpan w:val="2"/>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OTHER ASSETS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Pipeline linefill in owned assets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425</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284</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Long-term inventory</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139</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74</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Investment in unconsolidated entities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257</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215</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1,210</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1,072</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net</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346</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169</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03" w:type="dxa"/>
            <w:tcBorders/>
            <w:shd w:fill="CCEEFF" w:val="clear"/>
            <w:vAlign w:val="bottom"/>
          </w:tcPr>
          <w:p>
            <w:pPr>
              <w:pStyle w:val="TableContents"/>
              <w:spacing w:before="0" w:after="283"/>
              <w:rPr/>
            </w:pPr>
            <w:r>
              <w:rPr/>
              <w:t> </w:t>
            </w:r>
          </w:p>
        </w:tc>
        <w:tc>
          <w:tcPr>
            <w:tcW w:w="671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assets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10,032</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9,906</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6919" w:type="dxa"/>
            <w:gridSpan w:val="2"/>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LIABILITIES AND PARTNERS' CAPITAL</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CURRENT LIABILITIES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Accounts payable and accrued liabilities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1,507</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2,577</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Short-term debt</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1,027</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960</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current liabilities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426</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192</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03" w:type="dxa"/>
            <w:tcBorders/>
            <w:shd w:fill="CCEEFF" w:val="clear"/>
            <w:vAlign w:val="bottom"/>
          </w:tcPr>
          <w:p>
            <w:pPr>
              <w:pStyle w:val="TableContents"/>
              <w:spacing w:before="0" w:after="283"/>
              <w:rPr/>
            </w:pPr>
            <w:r>
              <w:rPr/>
              <w:t> </w:t>
            </w:r>
          </w:p>
        </w:tc>
        <w:tc>
          <w:tcPr>
            <w:tcW w:w="671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current liabilities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2,960</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3,729</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6919" w:type="dxa"/>
            <w:gridSpan w:val="2"/>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LONG-TERM LIABILITIES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Long-term debt under credit facilities and other</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Senior notes, net of unamortized net discount of $6 and $2, respectively</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3,219</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2,623</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long-term liabilities and deferred credits</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261</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129</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671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long-term liabilities</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3,520</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2,753</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6919" w:type="dxa"/>
            <w:gridSpan w:val="2"/>
            <w:tcBorders/>
            <w:shd w:fill="CCEEFF" w:val="clear"/>
            <w:vAlign w:val="bottom"/>
          </w:tcPr>
          <w:p>
            <w:pPr>
              <w:pStyle w:val="TableContents"/>
              <w:spacing w:before="240" w:after="283"/>
              <w:ind w:left="200" w:right="0" w:hanging="200"/>
              <w:rPr>
                <w:rFonts w:ascii="times" w:hAnsi="times"/>
                <w:b/>
                <w:sz w:val="20"/>
              </w:rPr>
            </w:pPr>
            <w:r>
              <w:rPr>
                <w:rFonts w:ascii="times" w:hAnsi="times"/>
                <w:b/>
                <w:sz w:val="20"/>
              </w:rPr>
              <w:t>COMMITMENTS AND CONTINGENCIES (NOTE 11)</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240" w:after="283"/>
              <w:ind w:left="200" w:right="0" w:hanging="200"/>
              <w:rPr>
                <w:rFonts w:ascii="times" w:hAnsi="times"/>
                <w:b/>
                <w:sz w:val="20"/>
              </w:rPr>
            </w:pPr>
            <w:r>
              <w:rPr>
                <w:rFonts w:ascii="times" w:hAnsi="times"/>
                <w:b/>
                <w:sz w:val="20"/>
              </w:rPr>
              <w:t>PARTNERS' CAPITAL</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Common unitholders (122,911,645 and 115,981,676 units outstanding, respectively)</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3,469</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3,343</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General partner</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rPr/>
            </w:pPr>
            <w:r>
              <w:rPr/>
              <w:t> </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83</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81</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03" w:type="dxa"/>
            <w:tcBorders/>
            <w:shd w:fill="CCEEFF" w:val="clear"/>
            <w:vAlign w:val="bottom"/>
          </w:tcPr>
          <w:p>
            <w:pPr>
              <w:pStyle w:val="TableContents"/>
              <w:spacing w:before="0" w:after="283"/>
              <w:rPr/>
            </w:pPr>
            <w:r>
              <w:rPr/>
              <w:t> </w:t>
            </w:r>
          </w:p>
        </w:tc>
        <w:tc>
          <w:tcPr>
            <w:tcW w:w="671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partners' capital</w:t>
            </w:r>
          </w:p>
        </w:tc>
        <w:tc>
          <w:tcPr>
            <w:tcW w:w="18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w:hAnsi="times"/>
                <w:sz w:val="20"/>
              </w:rPr>
            </w:pPr>
            <w:r>
              <w:rPr>
                <w:rFonts w:ascii="times" w:hAnsi="times"/>
                <w:sz w:val="20"/>
              </w:rPr>
              <w:t>3,552</w:t>
            </w:r>
          </w:p>
        </w:tc>
        <w:tc>
          <w:tcPr>
            <w:tcW w:w="22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w:hAnsi="times"/>
                <w:sz w:val="20"/>
              </w:rPr>
            </w:pPr>
            <w:r>
              <w:rPr>
                <w:rFonts w:ascii="times" w:hAnsi="times"/>
                <w:sz w:val="20"/>
              </w:rPr>
              <w:t>3,424</w:t>
            </w:r>
          </w:p>
        </w:tc>
        <w:tc>
          <w:tcPr>
            <w:tcW w:w="80" w:type="dxa"/>
            <w:tcBorders/>
            <w:shd w:fill="CCEE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6716"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liabilities and partners' capital</w:t>
            </w:r>
          </w:p>
        </w:tc>
        <w:tc>
          <w:tcPr>
            <w:tcW w:w="18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1" w:type="dxa"/>
            <w:tcBorders/>
            <w:shd w:fill="FFFFFF" w:val="clear"/>
            <w:vAlign w:val="bottom"/>
          </w:tcPr>
          <w:p>
            <w:pPr>
              <w:pStyle w:val="TableContents"/>
              <w:spacing w:before="0" w:after="283"/>
              <w:jc w:val="right"/>
              <w:rPr>
                <w:rFonts w:ascii="times" w:hAnsi="times"/>
                <w:sz w:val="20"/>
              </w:rPr>
            </w:pPr>
            <w:r>
              <w:rPr>
                <w:rFonts w:ascii="times" w:hAnsi="times"/>
                <w:sz w:val="20"/>
              </w:rPr>
              <w:t>10,032</w:t>
            </w:r>
          </w:p>
        </w:tc>
        <w:tc>
          <w:tcPr>
            <w:tcW w:w="22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60" w:type="dxa"/>
            <w:tcBorders/>
            <w:shd w:fill="FFFFFF" w:val="clear"/>
            <w:vAlign w:val="bottom"/>
          </w:tcPr>
          <w:p>
            <w:pPr>
              <w:pStyle w:val="TableContents"/>
              <w:spacing w:before="0" w:after="283"/>
              <w:jc w:val="right"/>
              <w:rPr>
                <w:rFonts w:ascii="times" w:hAnsi="times"/>
                <w:sz w:val="20"/>
              </w:rPr>
            </w:pPr>
            <w:r>
              <w:rPr>
                <w:rFonts w:ascii="times" w:hAnsi="times"/>
                <w:sz w:val="20"/>
              </w:rPr>
              <w:t>9,906</w:t>
            </w:r>
          </w:p>
        </w:tc>
        <w:tc>
          <w:tcPr>
            <w:tcW w:w="80" w:type="dxa"/>
            <w:tcBorders/>
            <w:shd w:fill="FFFFFF" w:val="clear"/>
            <w:vAlign w:val="bottom"/>
          </w:tcPr>
          <w:p>
            <w:pPr>
              <w:pStyle w:val="TableContents"/>
              <w:spacing w:before="0" w:after="283"/>
              <w:rPr/>
            </w:pPr>
            <w:r>
              <w:rPr/>
              <w:t> </w:t>
            </w:r>
          </w:p>
        </w:tc>
      </w:tr>
      <w:tr>
        <w:trPr/>
        <w:tc>
          <w:tcPr>
            <w:tcW w:w="691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80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23"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F-4</w:t>
      </w:r>
    </w:p>
    <w:p>
      <w:pPr>
        <w:pStyle w:val="HorizontalLine"/>
        <w:pBdr>
          <w:bottom w:val="single" w:sz="20" w:space="0" w:color="808080"/>
        </w:pBdr>
        <w:rPr/>
      </w:pPr>
      <w:r>
        <w:rPr/>
      </w:r>
      <w:r>
        <w:br w:type="page"/>
      </w:r>
    </w:p>
    <w:p>
      <w:pPr>
        <w:pStyle w:val="TextBody"/>
        <w:rPr/>
      </w:pPr>
      <w:hyperlink w:anchor="bg12101a_main_toc">
        <w:bookmarkStart w:id="226" w:name="page_fg12101_1_5"/>
        <w:bookmarkEnd w:id="22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227" w:name="toc_fg12101_1"/>
      <w:bookmarkStart w:id="228" w:name="fg12101_plains_all_american_pipeline,___"/>
      <w:bookmarkEnd w:id="227"/>
      <w:bookmarkEnd w:id="228"/>
      <w:r>
        <w:rPr>
          <w:rFonts w:ascii="times" w:hAnsi="times"/>
          <w:b/>
          <w:sz w:val="20"/>
        </w:rPr>
        <w:br/>
        <w:t xml:space="preserve">PLAINS ALL AMERICAN PIPELINE, L.P. AND SUBSIDIARIES </w:t>
        <w:br/>
        <w:br/>
        <w:t xml:space="preserve">CONSOLIDATED STATEMENTS OF OPERATIONS </w:t>
      </w:r>
    </w:p>
    <w:tbl>
      <w:tblPr>
        <w:tblW w:w="10205" w:type="dxa"/>
        <w:jc w:val="center"/>
        <w:tblInd w:w="0" w:type="dxa"/>
        <w:tblCellMar>
          <w:top w:w="0" w:type="dxa"/>
          <w:left w:w="0" w:type="dxa"/>
          <w:bottom w:w="0" w:type="dxa"/>
          <w:right w:w="0" w:type="dxa"/>
        </w:tblCellMar>
      </w:tblPr>
      <w:tblGrid>
        <w:gridCol w:w="313"/>
        <w:gridCol w:w="7161"/>
        <w:gridCol w:w="143"/>
        <w:gridCol w:w="125"/>
        <w:gridCol w:w="590"/>
        <w:gridCol w:w="180"/>
        <w:gridCol w:w="125"/>
        <w:gridCol w:w="590"/>
        <w:gridCol w:w="180"/>
        <w:gridCol w:w="125"/>
        <w:gridCol w:w="590"/>
        <w:gridCol w:w="83"/>
      </w:tblGrid>
      <w:tr>
        <w:trPr/>
        <w:tc>
          <w:tcPr>
            <w:tcW w:w="313" w:type="dxa"/>
            <w:tcBorders/>
            <w:shd w:fill="auto" w:val="clear"/>
            <w:vAlign w:val="center"/>
          </w:tcPr>
          <w:p>
            <w:pPr>
              <w:pStyle w:val="TableContents"/>
              <w:spacing w:before="0" w:after="283"/>
              <w:rPr>
                <w:sz w:val="4"/>
                <w:szCs w:val="4"/>
              </w:rPr>
            </w:pPr>
            <w:r>
              <w:rPr>
                <w:sz w:val="4"/>
                <w:szCs w:val="4"/>
              </w:rPr>
            </w:r>
          </w:p>
        </w:tc>
        <w:tc>
          <w:tcPr>
            <w:tcW w:w="716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474" w:type="dxa"/>
            <w:gridSpan w:val="2"/>
            <w:tcBorders/>
            <w:shd w:fill="auto" w:val="clear"/>
            <w:vAlign w:val="bottom"/>
          </w:tcPr>
          <w:p>
            <w:pPr>
              <w:pStyle w:val="TableHeading"/>
              <w:spacing w:before="0" w:after="283"/>
              <w:jc w:val="left"/>
              <w:rPr/>
            </w:pPr>
            <w:r>
              <w:rPr/>
              <w:t> </w:t>
            </w:r>
          </w:p>
        </w:tc>
        <w:tc>
          <w:tcPr>
            <w:tcW w:w="143" w:type="dxa"/>
            <w:tcBorders/>
            <w:shd w:fill="auto" w:val="clear"/>
            <w:vAlign w:val="bottom"/>
          </w:tcPr>
          <w:p>
            <w:pPr>
              <w:pStyle w:val="TableHeading"/>
              <w:suppressLineNumbers/>
              <w:spacing w:before="0" w:after="283"/>
              <w:jc w:val="center"/>
              <w:rPr/>
            </w:pPr>
            <w:r>
              <w:rPr/>
              <w:t> </w:t>
            </w:r>
          </w:p>
        </w:tc>
        <w:tc>
          <w:tcPr>
            <w:tcW w:w="250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83" w:type="dxa"/>
            <w:tcBorders/>
            <w:shd w:fill="auto" w:val="clear"/>
            <w:vAlign w:val="bottom"/>
          </w:tcPr>
          <w:p>
            <w:pPr>
              <w:pStyle w:val="TableHeading"/>
              <w:suppressLineNumbers/>
              <w:spacing w:before="0" w:after="283"/>
              <w:jc w:val="center"/>
              <w:rPr/>
            </w:pPr>
            <w:r>
              <w:rPr/>
              <w:t> </w:t>
            </w:r>
          </w:p>
        </w:tc>
      </w:tr>
      <w:tr>
        <w:trPr/>
        <w:tc>
          <w:tcPr>
            <w:tcW w:w="7474" w:type="dxa"/>
            <w:gridSpan w:val="2"/>
            <w:tcBorders/>
            <w:shd w:fill="auto" w:val="clear"/>
            <w:vAlign w:val="bottom"/>
          </w:tcPr>
          <w:p>
            <w:pPr>
              <w:pStyle w:val="TableHeading"/>
              <w:spacing w:before="0" w:after="283"/>
              <w:jc w:val="left"/>
              <w:rPr/>
            </w:pPr>
            <w:r>
              <w:rPr/>
              <w:t> </w:t>
            </w:r>
          </w:p>
        </w:tc>
        <w:tc>
          <w:tcPr>
            <w:tcW w:w="143"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80"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80"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83" w:type="dxa"/>
            <w:tcBorders/>
            <w:shd w:fill="auto" w:val="clear"/>
            <w:vAlign w:val="bottom"/>
          </w:tcPr>
          <w:p>
            <w:pPr>
              <w:pStyle w:val="TableHeading"/>
              <w:suppressLineNumbers/>
              <w:spacing w:before="0" w:after="283"/>
              <w:jc w:val="center"/>
              <w:rPr/>
            </w:pPr>
            <w:r>
              <w:rPr/>
              <w:t> </w:t>
            </w:r>
          </w:p>
        </w:tc>
      </w:tr>
      <w:tr>
        <w:trPr/>
        <w:tc>
          <w:tcPr>
            <w:tcW w:w="7474" w:type="dxa"/>
            <w:gridSpan w:val="2"/>
            <w:tcBorders/>
            <w:shd w:fill="auto" w:val="clear"/>
            <w:vAlign w:val="bottom"/>
          </w:tcPr>
          <w:p>
            <w:pPr>
              <w:pStyle w:val="TableHeading"/>
              <w:spacing w:before="0" w:after="283"/>
              <w:jc w:val="left"/>
              <w:rPr/>
            </w:pPr>
            <w:r>
              <w:rPr/>
              <w:t> </w:t>
            </w:r>
          </w:p>
        </w:tc>
        <w:tc>
          <w:tcPr>
            <w:tcW w:w="143" w:type="dxa"/>
            <w:tcBorders/>
            <w:shd w:fill="auto" w:val="clear"/>
            <w:vAlign w:val="bottom"/>
          </w:tcPr>
          <w:p>
            <w:pPr>
              <w:pStyle w:val="TableHeading"/>
              <w:suppressLineNumbers/>
              <w:spacing w:before="0" w:after="283"/>
              <w:jc w:val="center"/>
              <w:rPr/>
            </w:pPr>
            <w:r>
              <w:rPr/>
              <w:t> </w:t>
            </w:r>
          </w:p>
        </w:tc>
        <w:tc>
          <w:tcPr>
            <w:tcW w:w="2505"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unit data)</w:t>
            </w:r>
          </w:p>
        </w:tc>
        <w:tc>
          <w:tcPr>
            <w:tcW w:w="83" w:type="dxa"/>
            <w:tcBorders/>
            <w:shd w:fill="auto" w:val="clear"/>
            <w:vAlign w:val="bottom"/>
          </w:tcPr>
          <w:p>
            <w:pPr>
              <w:pStyle w:val="TableHeading"/>
              <w:suppressLineNumbers/>
              <w:spacing w:before="0" w:after="283"/>
              <w:jc w:val="center"/>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REVENUES</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Crude oil, refined products and LPG sales and related revenues (includes buy/sell transactions of $4,762 for the 2006 period)</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29,348</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19,834</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22,060</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Pipeline tariff activities, trucking and related revenues</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556</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439</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344</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Storage, terminalling, processing and related revenues</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157</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121</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41</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313" w:type="dxa"/>
            <w:tcBorders/>
            <w:shd w:fill="CCEEFF" w:val="clear"/>
            <w:vAlign w:val="bottom"/>
          </w:tcPr>
          <w:p>
            <w:pPr>
              <w:pStyle w:val="TableContents"/>
              <w:spacing w:before="0" w:after="283"/>
              <w:rPr/>
            </w:pPr>
            <w:r>
              <w:rPr/>
              <w:t> </w:t>
            </w:r>
          </w:p>
        </w:tc>
        <w:tc>
          <w:tcPr>
            <w:tcW w:w="716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revenues</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30,061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20,394</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22,445</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220" w:after="283"/>
              <w:ind w:left="200" w:right="0" w:hanging="200"/>
              <w:rPr>
                <w:rFonts w:ascii="times" w:hAnsi="times"/>
                <w:b/>
                <w:sz w:val="20"/>
              </w:rPr>
            </w:pPr>
            <w:r>
              <w:rPr>
                <w:rFonts w:ascii="times" w:hAnsi="times"/>
                <w:b/>
                <w:sz w:val="20"/>
              </w:rPr>
              <w:t>COSTS AND EXPENSES</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rPr/>
            </w:pPr>
            <w:r>
              <w:rPr/>
              <w:t> </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Crude oil, refined products and LPG purchases and related costs (includes buy/sell transactions of $4,795 for the 2006 period)</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28,479</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19,001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21,474</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Field operating costs</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617</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531</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382</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General and administrative expenses</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160</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164</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134</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Depreciation and amortization</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180</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100</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313" w:type="dxa"/>
            <w:tcBorders/>
            <w:shd w:fill="CCEEFF" w:val="clear"/>
            <w:vAlign w:val="bottom"/>
          </w:tcPr>
          <w:p>
            <w:pPr>
              <w:pStyle w:val="TableContents"/>
              <w:spacing w:before="0" w:after="283"/>
              <w:rPr/>
            </w:pPr>
            <w:r>
              <w:rPr/>
              <w:t> </w:t>
            </w:r>
          </w:p>
        </w:tc>
        <w:tc>
          <w:tcPr>
            <w:tcW w:w="716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costs and expenses</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29,467</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19,876</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22,090</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FFFFFF" w:val="clear"/>
            <w:vAlign w:val="bottom"/>
          </w:tcPr>
          <w:p>
            <w:pPr>
              <w:pStyle w:val="TableContents"/>
              <w:spacing w:before="220" w:after="283"/>
              <w:ind w:left="200" w:right="0" w:hanging="200"/>
              <w:rPr>
                <w:rFonts w:ascii="times" w:hAnsi="times"/>
                <w:b/>
                <w:sz w:val="20"/>
              </w:rPr>
            </w:pPr>
            <w:r>
              <w:rPr>
                <w:rFonts w:ascii="times" w:hAnsi="times"/>
                <w:b/>
                <w:sz w:val="20"/>
              </w:rPr>
              <w:t>OPERATING INCOME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594</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518</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355</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CCEEFF" w:val="clear"/>
            <w:vAlign w:val="bottom"/>
          </w:tcPr>
          <w:p>
            <w:pPr>
              <w:pStyle w:val="TableContents"/>
              <w:spacing w:before="220" w:after="283"/>
              <w:ind w:left="200" w:right="0" w:hanging="200"/>
              <w:rPr>
                <w:rFonts w:ascii="times" w:hAnsi="times"/>
                <w:b/>
                <w:sz w:val="20"/>
              </w:rPr>
            </w:pPr>
            <w:r>
              <w:rPr>
                <w:rFonts w:ascii="times" w:hAnsi="times"/>
                <w:b/>
                <w:sz w:val="20"/>
              </w:rPr>
              <w:t>OTHER INCOME/(EXPENSE)</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earnings in unconsolidated entities</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14</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15</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Interest expense (net of capitalized interest of $17, $14 and $6, respectively)</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(196</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(162</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(86</w:t>
            </w:r>
          </w:p>
        </w:tc>
        <w:tc>
          <w:tcPr>
            <w:tcW w:w="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Interest income and other income (expense), net</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33</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Income before tax</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445</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381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279</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220" w:after="283"/>
              <w:ind w:left="200" w:right="0" w:hanging="200"/>
              <w:rPr>
                <w:rFonts w:ascii="times" w:hAnsi="times"/>
                <w:sz w:val="20"/>
              </w:rPr>
            </w:pPr>
            <w:r>
              <w:rPr>
                <w:rFonts w:ascii="times" w:hAnsi="times"/>
                <w:sz w:val="20"/>
              </w:rPr>
              <w:t>Current income tax expense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(9</w:t>
            </w:r>
          </w:p>
        </w:tc>
        <w:tc>
          <w:tcPr>
            <w:tcW w:w="180" w:type="dxa"/>
            <w:tcBorders/>
            <w:shd w:fill="FFFFFF" w:val="clear"/>
            <w:vAlign w:val="bottom"/>
          </w:tcPr>
          <w:p>
            <w:pPr>
              <w:pStyle w:val="TableContents"/>
              <w:spacing w:before="0" w:after="283"/>
              <w:rPr>
                <w:rFonts w:ascii="times" w:hAnsi="times"/>
                <w:sz w:val="20"/>
              </w:rPr>
            </w:pPr>
            <w:r>
              <w:rPr>
                <w:rFonts w:ascii="times" w:hAnsi="times"/>
                <w:sz w:val="20"/>
              </w:rPr>
              <w:br/>
              <w:t>)</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(3</w:t>
            </w:r>
          </w:p>
        </w:tc>
        <w:tc>
          <w:tcPr>
            <w:tcW w:w="180" w:type="dxa"/>
            <w:tcBorders/>
            <w:shd w:fill="FFFFFF" w:val="clear"/>
            <w:vAlign w:val="bottom"/>
          </w:tcPr>
          <w:p>
            <w:pPr>
              <w:pStyle w:val="TableContents"/>
              <w:spacing w:before="0" w:after="283"/>
              <w:rPr>
                <w:rFonts w:ascii="times" w:hAnsi="times"/>
                <w:sz w:val="20"/>
              </w:rPr>
            </w:pPr>
            <w:r>
              <w:rPr>
                <w:rFonts w:ascii="times" w:hAnsi="times"/>
                <w:sz w:val="20"/>
              </w:rPr>
              <w:br/>
              <w:t>)</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income tax benefit (expense)</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18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Income before cumulative effect of change in accounting principle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437</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365</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279</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Cumulative effect of change in accounting principle</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NET INCOME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437</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365</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285</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CCEEFF" w:val="clear"/>
            <w:vAlign w:val="bottom"/>
          </w:tcPr>
          <w:p>
            <w:pPr>
              <w:pStyle w:val="TableContents"/>
              <w:spacing w:before="220" w:after="283"/>
              <w:ind w:left="200" w:right="0" w:hanging="200"/>
              <w:rPr>
                <w:rFonts w:ascii="times" w:hAnsi="times"/>
                <w:b/>
                <w:sz w:val="20"/>
              </w:rPr>
            </w:pPr>
            <w:r>
              <w:rPr>
                <w:rFonts w:ascii="times" w:hAnsi="times"/>
                <w:b/>
                <w:sz w:val="20"/>
              </w:rPr>
              <w:t>NET INCOMELIMITED PARTNERS</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br/>
              <w:t>325</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br/>
              <w:t>286</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br/>
              <w:t>247</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FFFFFF" w:val="clear"/>
            <w:vAlign w:val="bottom"/>
          </w:tcPr>
          <w:p>
            <w:pPr>
              <w:pStyle w:val="TableContents"/>
              <w:spacing w:before="220" w:after="283"/>
              <w:ind w:left="200" w:right="0" w:hanging="200"/>
              <w:rPr>
                <w:rFonts w:ascii="times" w:hAnsi="times"/>
                <w:b/>
                <w:sz w:val="20"/>
              </w:rPr>
            </w:pPr>
            <w:r>
              <w:rPr>
                <w:rFonts w:ascii="times" w:hAnsi="times"/>
                <w:b/>
                <w:sz w:val="20"/>
              </w:rPr>
              <w:t>NET INCOMEGENERAL PARTNER</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112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79</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38</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CCEEFF" w:val="clear"/>
            <w:vAlign w:val="bottom"/>
          </w:tcPr>
          <w:p>
            <w:pPr>
              <w:pStyle w:val="TableContents"/>
              <w:spacing w:before="220" w:after="283"/>
              <w:ind w:left="200" w:right="0" w:hanging="200"/>
              <w:rPr>
                <w:rFonts w:ascii="times" w:hAnsi="times"/>
                <w:b/>
                <w:sz w:val="20"/>
              </w:rPr>
            </w:pPr>
            <w:r>
              <w:rPr>
                <w:rFonts w:ascii="times" w:hAnsi="times"/>
                <w:b/>
                <w:sz w:val="20"/>
              </w:rPr>
              <w:t>BASIC NET INCOME PER LIMITED PARTNER UNIT</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Income before cumulative effect of change in accounting principle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2.70</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2.54</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2.84</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Cumulative effect of change in accounting principle</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0.07</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2.70</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2.54</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2.91</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CCEEFF" w:val="clear"/>
            <w:vAlign w:val="bottom"/>
          </w:tcPr>
          <w:p>
            <w:pPr>
              <w:pStyle w:val="TableContents"/>
              <w:spacing w:before="220" w:after="283"/>
              <w:ind w:left="200" w:right="0" w:hanging="200"/>
              <w:rPr>
                <w:rFonts w:ascii="times" w:hAnsi="times"/>
                <w:b/>
                <w:sz w:val="20"/>
              </w:rPr>
            </w:pPr>
            <w:r>
              <w:rPr>
                <w:rFonts w:ascii="times" w:hAnsi="times"/>
                <w:b/>
                <w:sz w:val="20"/>
              </w:rPr>
              <w:t>DILUTED NET INCOME PER LIMITED PARTNER UNIT</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Income before cumulative effect of change in accounting principle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2.67</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2.52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2.81</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Cumulative effect of change in accounting principle</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t>0.07</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2.67</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2.52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t>2.88</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CCEEFF" w:val="clear"/>
            <w:vAlign w:val="bottom"/>
          </w:tcPr>
          <w:p>
            <w:pPr>
              <w:pStyle w:val="TableContents"/>
              <w:spacing w:before="220" w:after="283"/>
              <w:ind w:left="200" w:right="0" w:hanging="200"/>
              <w:rPr>
                <w:rFonts w:ascii="times" w:hAnsi="times"/>
                <w:b/>
                <w:sz w:val="20"/>
              </w:rPr>
            </w:pPr>
            <w:r>
              <w:rPr>
                <w:rFonts w:ascii="times" w:hAnsi="times"/>
                <w:b/>
                <w:sz w:val="20"/>
              </w:rPr>
              <w:t>BASIC WEIGHTED AVERAGE UNITS OUTSTANDING</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br/>
              <w:t>120</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br/>
              <w:t>113</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w:hAnsi="times"/>
                <w:sz w:val="20"/>
              </w:rPr>
            </w:pPr>
            <w:r>
              <w:rPr>
                <w:rFonts w:ascii="times" w:hAnsi="times"/>
                <w:sz w:val="20"/>
              </w:rPr>
              <w:br/>
              <w:t>81</w:t>
            </w:r>
          </w:p>
        </w:tc>
        <w:tc>
          <w:tcPr>
            <w:tcW w:w="83" w:type="dxa"/>
            <w:tcBorders/>
            <w:shd w:fill="CCEE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474" w:type="dxa"/>
            <w:gridSpan w:val="2"/>
            <w:tcBorders/>
            <w:shd w:fill="FFFFFF" w:val="clear"/>
            <w:vAlign w:val="bottom"/>
          </w:tcPr>
          <w:p>
            <w:pPr>
              <w:pStyle w:val="TableContents"/>
              <w:spacing w:before="220" w:after="283"/>
              <w:ind w:left="200" w:right="0" w:hanging="200"/>
              <w:rPr>
                <w:rFonts w:ascii="times" w:hAnsi="times"/>
                <w:b/>
                <w:sz w:val="20"/>
              </w:rPr>
            </w:pPr>
            <w:r>
              <w:rPr>
                <w:rFonts w:ascii="times" w:hAnsi="times"/>
                <w:b/>
                <w:sz w:val="20"/>
              </w:rPr>
              <w:t>DILUTED WEIGHTED AVERAGE UNITS OUTSTANDING</w:t>
            </w:r>
          </w:p>
        </w:tc>
        <w:tc>
          <w:tcPr>
            <w:tcW w:w="14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121</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114</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90" w:type="dxa"/>
            <w:tcBorders/>
            <w:shd w:fill="FFFFFF" w:val="clear"/>
            <w:vAlign w:val="bottom"/>
          </w:tcPr>
          <w:p>
            <w:pPr>
              <w:pStyle w:val="TableContents"/>
              <w:spacing w:before="0" w:after="283"/>
              <w:jc w:val="right"/>
              <w:rPr>
                <w:rFonts w:ascii="times" w:hAnsi="times"/>
                <w:sz w:val="20"/>
              </w:rPr>
            </w:pPr>
            <w:r>
              <w:rPr>
                <w:rFonts w:ascii="times" w:hAnsi="times"/>
                <w:sz w:val="20"/>
              </w:rPr>
              <w:br/>
              <w:t>82</w:t>
            </w:r>
          </w:p>
        </w:tc>
        <w:tc>
          <w:tcPr>
            <w:tcW w:w="83" w:type="dxa"/>
            <w:tcBorders/>
            <w:shd w:fill="FFFFFF" w:val="clear"/>
            <w:vAlign w:val="bottom"/>
          </w:tcPr>
          <w:p>
            <w:pPr>
              <w:pStyle w:val="TableContents"/>
              <w:spacing w:before="0" w:after="283"/>
              <w:rPr/>
            </w:pPr>
            <w:r>
              <w:rPr/>
              <w:t> </w:t>
            </w:r>
          </w:p>
        </w:tc>
      </w:tr>
      <w:tr>
        <w:trPr/>
        <w:tc>
          <w:tcPr>
            <w:tcW w:w="7474" w:type="dxa"/>
            <w:gridSpan w:val="2"/>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F-5</w:t>
      </w:r>
    </w:p>
    <w:p>
      <w:pPr>
        <w:pStyle w:val="HorizontalLine"/>
        <w:pBdr>
          <w:bottom w:val="single" w:sz="20" w:space="0" w:color="808080"/>
        </w:pBdr>
        <w:rPr/>
      </w:pPr>
      <w:r>
        <w:rPr/>
      </w:r>
      <w:r>
        <w:br w:type="page"/>
      </w:r>
    </w:p>
    <w:p>
      <w:pPr>
        <w:pStyle w:val="TextBody"/>
        <w:rPr/>
      </w:pPr>
      <w:hyperlink w:anchor="bg12101a_main_toc">
        <w:bookmarkStart w:id="229" w:name="page_fi12101_1_6"/>
        <w:bookmarkEnd w:id="22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230" w:name="toc_fi12101_1"/>
      <w:bookmarkStart w:id="231" w:name="fi12101_plains_all_american_pipeline,___"/>
      <w:bookmarkEnd w:id="230"/>
      <w:bookmarkEnd w:id="231"/>
      <w:r>
        <w:rPr>
          <w:rFonts w:ascii="times" w:hAnsi="times"/>
          <w:b/>
          <w:sz w:val="20"/>
        </w:rPr>
        <w:br/>
        <w:t xml:space="preserve">PLAINS ALL AMERICAN PIPELINE, L.P. AND SUBSIDIARIES </w:t>
        <w:br/>
        <w:br/>
        <w:t xml:space="preserve">CONSOLIDATED STATEMENTS OF CASH FLOWS </w:t>
      </w:r>
    </w:p>
    <w:tbl>
      <w:tblPr>
        <w:tblW w:w="9714" w:type="dxa"/>
        <w:jc w:val="center"/>
        <w:tblInd w:w="0" w:type="dxa"/>
        <w:tblCellMar>
          <w:top w:w="0" w:type="dxa"/>
          <w:left w:w="0" w:type="dxa"/>
          <w:bottom w:w="0" w:type="dxa"/>
          <w:right w:w="0" w:type="dxa"/>
        </w:tblCellMar>
      </w:tblPr>
      <w:tblGrid>
        <w:gridCol w:w="211"/>
        <w:gridCol w:w="6933"/>
        <w:gridCol w:w="180"/>
        <w:gridCol w:w="125"/>
        <w:gridCol w:w="545"/>
        <w:gridCol w:w="225"/>
        <w:gridCol w:w="125"/>
        <w:gridCol w:w="395"/>
        <w:gridCol w:w="225"/>
        <w:gridCol w:w="125"/>
        <w:gridCol w:w="545"/>
        <w:gridCol w:w="80"/>
      </w:tblGrid>
      <w:tr>
        <w:trPr/>
        <w:tc>
          <w:tcPr>
            <w:tcW w:w="211" w:type="dxa"/>
            <w:tcBorders/>
            <w:shd w:fill="auto" w:val="clear"/>
            <w:vAlign w:val="center"/>
          </w:tcPr>
          <w:p>
            <w:pPr>
              <w:pStyle w:val="TableContents"/>
              <w:spacing w:before="0" w:after="283"/>
              <w:rPr>
                <w:sz w:val="4"/>
                <w:szCs w:val="4"/>
              </w:rPr>
            </w:pPr>
            <w:r>
              <w:rPr>
                <w:sz w:val="4"/>
                <w:szCs w:val="4"/>
              </w:rPr>
            </w:r>
          </w:p>
        </w:tc>
        <w:tc>
          <w:tcPr>
            <w:tcW w:w="693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714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310"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80" w:type="dxa"/>
            <w:tcBorders/>
            <w:shd w:fill="auto" w:val="clear"/>
            <w:vAlign w:val="bottom"/>
          </w:tcPr>
          <w:p>
            <w:pPr>
              <w:pStyle w:val="TableHeading"/>
              <w:suppressLineNumbers/>
              <w:spacing w:before="0" w:after="283"/>
              <w:jc w:val="center"/>
              <w:rPr/>
            </w:pPr>
            <w:r>
              <w:rPr/>
              <w:t> </w:t>
            </w:r>
          </w:p>
        </w:tc>
      </w:tr>
      <w:tr>
        <w:trPr/>
        <w:tc>
          <w:tcPr>
            <w:tcW w:w="714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6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6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80" w:type="dxa"/>
            <w:tcBorders/>
            <w:shd w:fill="auto" w:val="clear"/>
            <w:vAlign w:val="bottom"/>
          </w:tcPr>
          <w:p>
            <w:pPr>
              <w:pStyle w:val="TableHeading"/>
              <w:suppressLineNumbers/>
              <w:spacing w:before="0" w:after="283"/>
              <w:jc w:val="center"/>
              <w:rPr/>
            </w:pPr>
            <w:r>
              <w:rPr/>
              <w:t> </w:t>
            </w:r>
          </w:p>
        </w:tc>
      </w:tr>
      <w:tr>
        <w:trPr/>
        <w:tc>
          <w:tcPr>
            <w:tcW w:w="714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310"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80" w:type="dxa"/>
            <w:tcBorders/>
            <w:shd w:fill="auto" w:val="clear"/>
            <w:vAlign w:val="bottom"/>
          </w:tcPr>
          <w:p>
            <w:pPr>
              <w:pStyle w:val="TableHeading"/>
              <w:suppressLineNumbers/>
              <w:spacing w:before="0" w:after="283"/>
              <w:jc w:val="center"/>
              <w:rPr/>
            </w:pPr>
            <w:r>
              <w:rPr/>
              <w:t> </w:t>
            </w:r>
          </w:p>
        </w:tc>
      </w:tr>
      <w:tr>
        <w:trPr/>
        <w:tc>
          <w:tcPr>
            <w:tcW w:w="7144" w:type="dxa"/>
            <w:gridSpan w:val="2"/>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CASH FLOWS FROM OPERATING ACTIVITIES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437</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365</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285</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Adjustments to reconcile to cash flows from operating activities: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Depreciation and amortization</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180</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100</w:t>
            </w:r>
          </w:p>
        </w:tc>
        <w:tc>
          <w:tcPr>
            <w:tcW w:w="80" w:type="dxa"/>
            <w:tcBorders/>
            <w:shd w:fill="FFFFFF" w:val="clear"/>
            <w:vAlign w:val="bottom"/>
          </w:tcPr>
          <w:p>
            <w:pPr>
              <w:pStyle w:val="TableContents"/>
              <w:spacing w:before="0" w:after="283"/>
              <w:rPr/>
            </w:pPr>
            <w:r>
              <w:rPr/>
              <w:t> </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Cumulative effect of change in accounting principle</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(Gains)/losses from derivative activities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(141</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80" w:type="dxa"/>
            <w:tcBorders/>
            <w:shd w:fill="FFFFFF" w:val="clear"/>
            <w:vAlign w:val="bottom"/>
          </w:tcPr>
          <w:p>
            <w:pPr>
              <w:pStyle w:val="TableContents"/>
              <w:spacing w:before="0" w:after="283"/>
              <w:rPr/>
            </w:pPr>
            <w:r>
              <w:rPr/>
              <w:t> </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 valuation adjustments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168</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80" w:type="dxa"/>
            <w:tcBorders/>
            <w:shd w:fill="CCEEFF" w:val="clear"/>
            <w:vAlign w:val="bottom"/>
          </w:tcPr>
          <w:p>
            <w:pPr>
              <w:pStyle w:val="TableContents"/>
              <w:spacing w:before="0" w:after="283"/>
              <w:rPr/>
            </w:pPr>
            <w:r>
              <w:rPr/>
              <w:t> </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Gain on sale of linefill</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(12</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0" w:type="dxa"/>
            <w:tcBorders/>
            <w:shd w:fill="FFFFFF" w:val="clear"/>
            <w:vAlign w:val="bottom"/>
          </w:tcPr>
          <w:p>
            <w:pPr>
              <w:pStyle w:val="TableContents"/>
              <w:spacing w:before="0" w:after="283"/>
              <w:rPr/>
            </w:pPr>
            <w:r>
              <w:rPr/>
              <w:t> </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Gain on sale of investment assets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0" w:type="dxa"/>
            <w:tcBorders/>
            <w:shd w:fill="CCEEFF" w:val="clear"/>
            <w:vAlign w:val="bottom"/>
          </w:tcPr>
          <w:p>
            <w:pPr>
              <w:pStyle w:val="TableContents"/>
              <w:spacing w:before="0" w:after="283"/>
              <w:rPr/>
            </w:pPr>
            <w:r>
              <w:rPr/>
              <w:t> </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compensation expense</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49</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43</w:t>
            </w:r>
          </w:p>
        </w:tc>
        <w:tc>
          <w:tcPr>
            <w:tcW w:w="80" w:type="dxa"/>
            <w:tcBorders/>
            <w:shd w:fill="FFFFFF" w:val="clear"/>
            <w:vAlign w:val="bottom"/>
          </w:tcPr>
          <w:p>
            <w:pPr>
              <w:pStyle w:val="TableContents"/>
              <w:spacing w:before="0" w:after="283"/>
              <w:rPr/>
            </w:pPr>
            <w:r>
              <w:rPr/>
              <w:t> </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income tax (benefit) expense</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0" w:type="dxa"/>
            <w:tcBorders/>
            <w:shd w:fill="CCEEFF" w:val="clear"/>
            <w:vAlign w:val="bottom"/>
          </w:tcPr>
          <w:p>
            <w:pPr>
              <w:pStyle w:val="TableContents"/>
              <w:spacing w:before="0" w:after="283"/>
              <w:rPr/>
            </w:pPr>
            <w:r>
              <w:rPr/>
              <w:t> </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Non-cash amortization of terminated interest rate and foreign currency hedging instruments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80" w:type="dxa"/>
            <w:tcBorders/>
            <w:shd w:fill="FFFFFF" w:val="clear"/>
            <w:vAlign w:val="bottom"/>
          </w:tcPr>
          <w:p>
            <w:pPr>
              <w:pStyle w:val="TableContents"/>
              <w:spacing w:before="0" w:after="283"/>
              <w:rPr/>
            </w:pPr>
            <w:r>
              <w:rPr/>
              <w:t> </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Loss on foreign currency revaluation</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80" w:type="dxa"/>
            <w:tcBorders/>
            <w:shd w:fill="CCEEFF" w:val="clear"/>
            <w:vAlign w:val="bottom"/>
          </w:tcPr>
          <w:p>
            <w:pPr>
              <w:pStyle w:val="TableContents"/>
              <w:spacing w:before="0" w:after="283"/>
              <w:rPr/>
            </w:pPr>
            <w:r>
              <w:rPr/>
              <w:t> </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Equity earnings in unconsolidated entities, net of distributions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(14</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(7</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cash received/(paid) for terminated interest rate and foreign currency hedging instruments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Changes in assets and liabilities, net of acquisitions: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Trade accounts receivable and other</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948</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(743</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(731</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(120</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340</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(325</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Accounts payable and other current liabilities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(689</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596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351</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200" w:after="283"/>
              <w:ind w:left="200" w:right="0" w:hanging="200"/>
              <w:rPr>
                <w:rFonts w:ascii="times" w:hAnsi="times"/>
                <w:sz w:val="20"/>
              </w:rPr>
            </w:pPr>
            <w:r>
              <w:rPr>
                <w:rFonts w:ascii="times" w:hAnsi="times"/>
                <w:sz w:val="20"/>
              </w:rPr>
              <w:t>Net cash provided by (used in) operating activities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857</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br/>
              <w:t>796</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(276</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br/>
              <w:t>)</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7144" w:type="dxa"/>
            <w:gridSpan w:val="2"/>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CASH FLOWS FROM INVESTING ACTIVITIES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paid in connection with acquisitions (Note 3)</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(709</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(1,264</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Additions to property, equipment and other</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(589</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(548</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(341</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Investment in unconsolidated entities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(37</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(46</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cash paid for linefill in assets owned</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(55</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(19</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Proceeds from sales of assets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51</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11" w:type="dxa"/>
            <w:tcBorders/>
            <w:shd w:fill="FFFFFF" w:val="clear"/>
            <w:vAlign w:val="bottom"/>
          </w:tcPr>
          <w:p>
            <w:pPr>
              <w:pStyle w:val="TableContents"/>
              <w:spacing w:before="0" w:after="283"/>
              <w:rPr/>
            </w:pPr>
            <w:r>
              <w:rPr/>
              <w:t> </w:t>
            </w:r>
          </w:p>
        </w:tc>
        <w:tc>
          <w:tcPr>
            <w:tcW w:w="6933" w:type="dxa"/>
            <w:tcBorders/>
            <w:shd w:fill="FFFFFF" w:val="clear"/>
            <w:vAlign w:val="bottom"/>
          </w:tcPr>
          <w:p>
            <w:pPr>
              <w:pStyle w:val="TableContents"/>
              <w:spacing w:before="200" w:after="283"/>
              <w:ind w:left="200" w:right="0" w:hanging="200"/>
              <w:rPr>
                <w:rFonts w:ascii="times" w:hAnsi="times"/>
                <w:sz w:val="20"/>
              </w:rPr>
            </w:pPr>
            <w:r>
              <w:rPr>
                <w:rFonts w:ascii="times" w:hAnsi="times"/>
                <w:sz w:val="20"/>
              </w:rPr>
              <w:t>Net cash used in investing activities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br/>
              <w:t>(1,339</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b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br/>
              <w:t>(663</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b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br/>
              <w:t>(1,651</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br/>
              <w:t>)</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7144" w:type="dxa"/>
            <w:gridSpan w:val="2"/>
            <w:tcBorders/>
            <w:shd w:fill="CCEEFF" w:val="clear"/>
            <w:vAlign w:val="bottom"/>
          </w:tcPr>
          <w:p>
            <w:pPr>
              <w:pStyle w:val="TableContents"/>
              <w:spacing w:before="200" w:after="283"/>
              <w:ind w:left="200" w:right="0" w:hanging="200"/>
              <w:rPr>
                <w:rFonts w:ascii="times" w:hAnsi="times"/>
                <w:b/>
                <w:sz w:val="20"/>
              </w:rPr>
            </w:pPr>
            <w:r>
              <w:rPr>
                <w:rFonts w:ascii="times" w:hAnsi="times"/>
                <w:b/>
                <w:sz w:val="20"/>
              </w:rPr>
              <w:t>CASH FLOWS FROM FINANCING ACTIVITIES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borrowings/(repayments) on revolving credit facilities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286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305</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(296</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borrowings/(repayments) on short-term letter of credit and hedged inventory facility</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(196</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(359</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616</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Proceeds from the issuance of senior notes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597</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1,243</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proceeds from the issuance of common units (Note 5)</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315</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383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643</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Distributions paid to common unitholders (Note 5)</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(418</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(370</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(225</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 paid to general partner (Note 5)</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(114</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(81</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(38</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financing activities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11" w:type="dxa"/>
            <w:tcBorders/>
            <w:shd w:fill="CCEEFF" w:val="clear"/>
            <w:vAlign w:val="bottom"/>
          </w:tcPr>
          <w:p>
            <w:pPr>
              <w:pStyle w:val="TableContents"/>
              <w:spacing w:before="0" w:after="283"/>
              <w:rPr/>
            </w:pPr>
            <w:r>
              <w:rPr/>
              <w:t> </w:t>
            </w:r>
          </w:p>
        </w:tc>
        <w:tc>
          <w:tcPr>
            <w:tcW w:w="6933" w:type="dxa"/>
            <w:tcBorders/>
            <w:shd w:fill="CCEEFF" w:val="clear"/>
            <w:vAlign w:val="bottom"/>
          </w:tcPr>
          <w:p>
            <w:pPr>
              <w:pStyle w:val="TableContents"/>
              <w:spacing w:before="200" w:after="283"/>
              <w:ind w:left="200" w:right="0" w:hanging="200"/>
              <w:rPr>
                <w:rFonts w:ascii="times" w:hAnsi="times"/>
                <w:sz w:val="20"/>
              </w:rPr>
            </w:pPr>
            <w:r>
              <w:rPr>
                <w:rFonts w:ascii="times" w:hAnsi="times"/>
                <w:sz w:val="20"/>
              </w:rPr>
              <w:t>Net cash provided by (used in) financing activities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464</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br/>
              <w:t>(124</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br/>
              <w:t>)</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1,927</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7144" w:type="dxa"/>
            <w:gridSpan w:val="2"/>
            <w:tcBorders/>
            <w:shd w:fill="FFFFFF" w:val="clear"/>
            <w:vAlign w:val="bottom"/>
          </w:tcPr>
          <w:p>
            <w:pPr>
              <w:pStyle w:val="TableContents"/>
              <w:spacing w:before="200" w:after="283"/>
              <w:ind w:left="200" w:right="0" w:hanging="200"/>
              <w:rPr>
                <w:rFonts w:ascii="times" w:hAnsi="times"/>
                <w:sz w:val="20"/>
              </w:rPr>
            </w:pPr>
            <w:r>
              <w:rPr>
                <w:rFonts w:ascii="times" w:hAnsi="times"/>
                <w:sz w:val="20"/>
              </w:rPr>
              <w:t>Effect of translation adjustment on cash</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br/>
              <w:t>5</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br/>
              <w:t>4</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br/>
              <w:t>1</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increase (decrease) in cash and cash equivalents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Cash and cash equivalents, beginning of period</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24</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7144" w:type="dxa"/>
            <w:gridSpan w:val="2"/>
            <w:tcBorders/>
            <w:shd w:fill="CCEEFF" w:val="clear"/>
            <w:vAlign w:val="bottom"/>
          </w:tcPr>
          <w:p>
            <w:pPr>
              <w:pStyle w:val="TableContents"/>
              <w:spacing w:before="200" w:after="283"/>
              <w:ind w:left="200" w:right="0" w:hanging="200"/>
              <w:rPr>
                <w:rFonts w:ascii="times" w:hAnsi="times"/>
                <w:sz w:val="20"/>
              </w:rPr>
            </w:pPr>
            <w:r>
              <w:rPr>
                <w:rFonts w:ascii="times" w:hAnsi="times"/>
                <w:sz w:val="20"/>
              </w:rPr>
              <w:t>Cash and cash equivalents, end of period</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11</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br/>
              <w:t>24</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11</w:t>
            </w:r>
          </w:p>
        </w:tc>
        <w:tc>
          <w:tcPr>
            <w:tcW w:w="80" w:type="dxa"/>
            <w:tcBorders/>
            <w:shd w:fill="CCEEFF" w:val="clear"/>
            <w:vAlign w:val="bottom"/>
          </w:tcPr>
          <w:p>
            <w:pPr>
              <w:pStyle w:val="TableContents"/>
              <w:spacing w:before="0" w:after="283"/>
              <w:rPr/>
            </w:pPr>
            <w:r>
              <w:rPr/>
              <w:t> </w:t>
            </w:r>
          </w:p>
        </w:tc>
      </w:tr>
      <w:tr>
        <w:trPr/>
        <w:tc>
          <w:tcPr>
            <w:tcW w:w="714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7144" w:type="dxa"/>
            <w:gridSpan w:val="2"/>
            <w:tcBorders/>
            <w:shd w:fill="FFFFFF" w:val="clear"/>
            <w:vAlign w:val="bottom"/>
          </w:tcPr>
          <w:p>
            <w:pPr>
              <w:pStyle w:val="TableContents"/>
              <w:spacing w:before="200" w:after="283"/>
              <w:ind w:left="200" w:right="0" w:hanging="200"/>
              <w:rPr>
                <w:rFonts w:ascii="times" w:hAnsi="times"/>
                <w:sz w:val="20"/>
              </w:rPr>
            </w:pPr>
            <w:r>
              <w:rPr>
                <w:rFonts w:ascii="times" w:hAnsi="times"/>
                <w:sz w:val="20"/>
              </w:rPr>
              <w:t>Cash paid for interest, net of amounts capitalized</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br/>
              <w:t>206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br/>
              <w:t>186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545" w:type="dxa"/>
            <w:tcBorders/>
            <w:shd w:fill="FFFFFF" w:val="clear"/>
            <w:vAlign w:val="bottom"/>
          </w:tcPr>
          <w:p>
            <w:pPr>
              <w:pStyle w:val="TableContents"/>
              <w:spacing w:before="0" w:after="283"/>
              <w:jc w:val="right"/>
              <w:rPr>
                <w:rFonts w:ascii="times" w:hAnsi="times"/>
                <w:sz w:val="20"/>
              </w:rPr>
            </w:pPr>
            <w:r>
              <w:rPr>
                <w:rFonts w:ascii="times" w:hAnsi="times"/>
                <w:sz w:val="20"/>
              </w:rPr>
              <w:br/>
              <w:t>122</w:t>
            </w:r>
          </w:p>
        </w:tc>
        <w:tc>
          <w:tcPr>
            <w:tcW w:w="80" w:type="dxa"/>
            <w:tcBorders/>
            <w:shd w:fill="FFFFFF" w:val="clear"/>
            <w:vAlign w:val="bottom"/>
          </w:tcPr>
          <w:p>
            <w:pPr>
              <w:pStyle w:val="TableContents"/>
              <w:spacing w:before="0" w:after="283"/>
              <w:rPr/>
            </w:pPr>
            <w:r>
              <w:rPr/>
              <w:t> </w:t>
            </w:r>
          </w:p>
        </w:tc>
      </w:tr>
      <w:tr>
        <w:trPr/>
        <w:tc>
          <w:tcPr>
            <w:tcW w:w="7144" w:type="dxa"/>
            <w:gridSpan w:val="2"/>
            <w:tcBorders/>
            <w:shd w:fill="CCEEFF" w:val="clear"/>
            <w:vAlign w:val="bottom"/>
          </w:tcPr>
          <w:p>
            <w:pPr>
              <w:pStyle w:val="TableContents"/>
              <w:spacing w:before="200" w:after="283"/>
              <w:ind w:left="200" w:right="0" w:hanging="200"/>
              <w:rPr>
                <w:rFonts w:ascii="times" w:hAnsi="times"/>
                <w:sz w:val="20"/>
              </w:rPr>
            </w:pPr>
            <w:r>
              <w:rPr>
                <w:rFonts w:ascii="times" w:hAnsi="times"/>
                <w:sz w:val="20"/>
              </w:rPr>
              <w:t>Cash paid for income taxes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15</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br/>
              <w:t>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54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80" w:type="dxa"/>
            <w:tcBorders/>
            <w:shd w:fill="CCEEFF"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F-6</w:t>
      </w:r>
    </w:p>
    <w:p>
      <w:pPr>
        <w:pStyle w:val="HorizontalLine"/>
        <w:pBdr>
          <w:bottom w:val="single" w:sz="20" w:space="0" w:color="808080"/>
        </w:pBdr>
        <w:rPr/>
      </w:pPr>
      <w:r>
        <w:rPr/>
      </w:r>
      <w:r>
        <w:br w:type="page"/>
      </w:r>
    </w:p>
    <w:p>
      <w:pPr>
        <w:pStyle w:val="TextBody"/>
        <w:rPr/>
      </w:pPr>
      <w:hyperlink w:anchor="bg12101a_main_toc">
        <w:bookmarkStart w:id="232" w:name="page_fk12101_1_7"/>
        <w:bookmarkEnd w:id="23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233" w:name="toc_fk12101_1"/>
      <w:bookmarkStart w:id="234" w:name="fk12101_plains_all_american_pipeline,___"/>
      <w:bookmarkEnd w:id="233"/>
      <w:bookmarkEnd w:id="234"/>
      <w:r>
        <w:rPr>
          <w:rFonts w:ascii="times" w:hAnsi="times"/>
          <w:b/>
          <w:sz w:val="20"/>
        </w:rPr>
        <w:br/>
        <w:t xml:space="preserve">PLAINS ALL AMERICAN PIPELINE, L.P. AND SUBSIDIARIES </w:t>
        <w:br/>
        <w:br/>
        <w:t xml:space="preserve">CONSOLIDATED STATEMENTS OF CHANGES IN PARTNERS' CAPITAL </w:t>
        <w:br/>
        <w:br/>
        <w:t xml:space="preserve">(in millions) </w:t>
      </w:r>
    </w:p>
    <w:tbl>
      <w:tblPr>
        <w:tblW w:w="7630" w:type="dxa"/>
        <w:jc w:val="center"/>
        <w:tblInd w:w="0" w:type="dxa"/>
        <w:tblCellMar>
          <w:top w:w="0" w:type="dxa"/>
          <w:left w:w="0" w:type="dxa"/>
          <w:bottom w:w="0" w:type="dxa"/>
          <w:right w:w="0" w:type="dxa"/>
        </w:tblCellMar>
      </w:tblPr>
      <w:tblGrid>
        <w:gridCol w:w="4545"/>
        <w:gridCol w:w="180"/>
        <w:gridCol w:w="75"/>
        <w:gridCol w:w="335"/>
        <w:gridCol w:w="225"/>
        <w:gridCol w:w="125"/>
        <w:gridCol w:w="485"/>
        <w:gridCol w:w="225"/>
        <w:gridCol w:w="125"/>
        <w:gridCol w:w="395"/>
        <w:gridCol w:w="225"/>
        <w:gridCol w:w="125"/>
        <w:gridCol w:w="485"/>
        <w:gridCol w:w="80"/>
      </w:tblGrid>
      <w:tr>
        <w:trPr/>
        <w:tc>
          <w:tcPr>
            <w:tcW w:w="45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4545" w:type="dxa"/>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245"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Common Units </w:t>
            </w:r>
          </w:p>
        </w:tc>
        <w:tc>
          <w:tcPr>
            <w:tcW w:w="225" w:type="dxa"/>
            <w:tcBorders/>
            <w:shd w:fill="auto" w:val="clear"/>
            <w:vAlign w:val="bottom"/>
          </w:tcPr>
          <w:p>
            <w:pPr>
              <w:pStyle w:val="TableHeading"/>
              <w:suppressLineNumbers/>
              <w:spacing w:before="0" w:after="283"/>
              <w:jc w:val="center"/>
              <w:rPr/>
            </w:pPr>
            <w:r>
              <w:rPr/>
              <w:t> </w:t>
            </w:r>
          </w:p>
        </w:tc>
        <w:tc>
          <w:tcPr>
            <w:tcW w:w="520"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r>
      <w:tr>
        <w:trPr/>
        <w:tc>
          <w:tcPr>
            <w:tcW w:w="4545" w:type="dxa"/>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1245" w:type="dxa"/>
            <w:gridSpan w:val="5"/>
            <w:vMerge w:val="continue"/>
            <w:tcBorders>
              <w:bottom w:val="single" w:sz="8" w:space="0" w:color="000000"/>
            </w:tcBorders>
            <w:shd w:fill="auto" w:val="clear"/>
            <w:tcMar>
              <w:bottom w:w="28" w:type="dxa"/>
            </w:tcMar>
            <w:vAlign w:val="bottom"/>
          </w:tcPr>
          <w:p>
            <w:pPr>
              <w:pStyle w:val="Normal"/>
              <w:rPr/>
            </w:pPr>
            <w:r>
              <w:rPr/>
            </w:r>
          </w:p>
        </w:tc>
        <w:tc>
          <w:tcPr>
            <w:tcW w:w="225" w:type="dxa"/>
            <w:vMerge w:val="restart"/>
            <w:tcBorders/>
            <w:shd w:fill="auto" w:val="clear"/>
            <w:vAlign w:val="bottom"/>
          </w:tcPr>
          <w:p>
            <w:pPr>
              <w:pStyle w:val="TableHeading"/>
              <w:suppressLineNumbers/>
              <w:spacing w:before="0" w:after="283"/>
              <w:jc w:val="center"/>
              <w:rPr/>
            </w:pPr>
            <w:r>
              <w:rPr/>
              <w:t> </w:t>
            </w:r>
          </w:p>
        </w:tc>
        <w:tc>
          <w:tcPr>
            <w:tcW w:w="52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General</w:t>
              <w:br/>
              <w:t>Partner</w:t>
              <w:br/>
              <w:t xml:space="preserve">Amount </w:t>
            </w:r>
          </w:p>
        </w:tc>
        <w:tc>
          <w:tcPr>
            <w:tcW w:w="225" w:type="dxa"/>
            <w:vMerge w:val="restart"/>
            <w:tcBorders/>
            <w:shd w:fill="auto" w:val="clear"/>
            <w:vAlign w:val="bottom"/>
          </w:tcPr>
          <w:p>
            <w:pPr>
              <w:pStyle w:val="TableHeading"/>
              <w:suppressLineNumbers/>
              <w:spacing w:before="0" w:after="283"/>
              <w:jc w:val="center"/>
              <w:rPr/>
            </w:pPr>
            <w:r>
              <w:rPr/>
              <w:t> </w:t>
            </w:r>
          </w:p>
        </w:tc>
        <w:tc>
          <w:tcPr>
            <w:tcW w:w="610"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Partners'</w:t>
              <w:br/>
              <w:t>Capital</w:t>
              <w:br/>
              <w:t xml:space="preserve">Amount </w:t>
            </w:r>
          </w:p>
        </w:tc>
        <w:tc>
          <w:tcPr>
            <w:tcW w:w="80" w:type="dxa"/>
            <w:tcBorders/>
            <w:shd w:fill="auto" w:val="clear"/>
            <w:vAlign w:val="bottom"/>
          </w:tcPr>
          <w:p>
            <w:pPr>
              <w:pStyle w:val="TableHeading"/>
              <w:suppressLineNumbers/>
              <w:spacing w:before="0" w:after="283"/>
              <w:jc w:val="center"/>
              <w:rPr/>
            </w:pPr>
            <w:r>
              <w:rPr/>
              <w:t> </w:t>
            </w:r>
          </w:p>
        </w:tc>
      </w:tr>
      <w:tr>
        <w:trPr/>
        <w:tc>
          <w:tcPr>
            <w:tcW w:w="454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w:t>
            </w:r>
          </w:p>
        </w:tc>
        <w:tc>
          <w:tcPr>
            <w:tcW w:w="225" w:type="dxa"/>
            <w:vMerge w:val="continue"/>
            <w:tcBorders/>
            <w:shd w:fill="auto" w:val="clear"/>
            <w:vAlign w:val="bottom"/>
          </w:tcPr>
          <w:p>
            <w:pPr>
              <w:pStyle w:val="Normal"/>
              <w:rPr/>
            </w:pPr>
            <w:r>
              <w:rPr/>
            </w:r>
          </w:p>
        </w:tc>
        <w:tc>
          <w:tcPr>
            <w:tcW w:w="520" w:type="dxa"/>
            <w:gridSpan w:val="2"/>
            <w:vMerge w:val="continue"/>
            <w:tcBorders>
              <w:bottom w:val="single" w:sz="8" w:space="0" w:color="000000"/>
            </w:tcBorders>
            <w:shd w:fill="auto" w:val="clear"/>
            <w:tcMar>
              <w:bottom w:w="28" w:type="dxa"/>
            </w:tcMar>
            <w:vAlign w:val="bottom"/>
          </w:tcPr>
          <w:p>
            <w:pPr>
              <w:pStyle w:val="Normal"/>
              <w:rPr/>
            </w:pPr>
            <w:r>
              <w:rPr/>
            </w:r>
          </w:p>
        </w:tc>
        <w:tc>
          <w:tcPr>
            <w:tcW w:w="225" w:type="dxa"/>
            <w:vMerge w:val="continue"/>
            <w:tcBorders/>
            <w:shd w:fill="auto" w:val="clear"/>
            <w:vAlign w:val="bottom"/>
          </w:tcPr>
          <w:p>
            <w:pPr>
              <w:pStyle w:val="Normal"/>
              <w:rPr/>
            </w:pPr>
            <w:r>
              <w:rPr/>
            </w:r>
          </w:p>
        </w:tc>
        <w:tc>
          <w:tcPr>
            <w:tcW w:w="610" w:type="dxa"/>
            <w:gridSpan w:val="2"/>
            <w:vMerge w:val="continue"/>
            <w:tcBorders>
              <w:bottom w:val="single" w:sz="8" w:space="0" w:color="000000"/>
            </w:tcBorders>
            <w:shd w:fill="auto" w:val="clear"/>
            <w:tcMar>
              <w:bottom w:w="28" w:type="dxa"/>
            </w:tcMar>
            <w:vAlign w:val="bottom"/>
          </w:tcPr>
          <w:p>
            <w:pPr>
              <w:pStyle w:val="Normal"/>
              <w:rPr/>
            </w:pPr>
            <w:r>
              <w:rPr/>
            </w:r>
          </w:p>
        </w:tc>
        <w:tc>
          <w:tcPr>
            <w:tcW w:w="80" w:type="dxa"/>
            <w:tcBorders/>
            <w:shd w:fill="auto" w:val="clear"/>
            <w:vAlign w:val="bottom"/>
          </w:tcPr>
          <w:p>
            <w:pPr>
              <w:pStyle w:val="TableHeading"/>
              <w:suppressLineNumbers/>
              <w:spacing w:before="0" w:after="283"/>
              <w:jc w:val="center"/>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2005</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b/>
                <w:sz w:val="20"/>
              </w:rPr>
            </w:pPr>
            <w:r>
              <w:rPr>
                <w:rFonts w:ascii="times" w:hAnsi="times"/>
                <w:b/>
                <w:sz w:val="20"/>
              </w:rPr>
              <w:t>74</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CCEEFF" w:val="clear"/>
            <w:vAlign w:val="bottom"/>
          </w:tcPr>
          <w:p>
            <w:pPr>
              <w:pStyle w:val="TableContents"/>
              <w:spacing w:before="0" w:after="283"/>
              <w:jc w:val="right"/>
              <w:rPr>
                <w:rFonts w:ascii="times" w:hAnsi="times"/>
                <w:b/>
                <w:sz w:val="20"/>
              </w:rPr>
            </w:pPr>
            <w:r>
              <w:rPr>
                <w:rFonts w:ascii="times" w:hAnsi="times"/>
                <w:b/>
                <w:sz w:val="20"/>
              </w:rPr>
              <w:t>1,294</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395" w:type="dxa"/>
            <w:tcBorders/>
            <w:shd w:fill="CCEEFF" w:val="clear"/>
            <w:vAlign w:val="bottom"/>
          </w:tcPr>
          <w:p>
            <w:pPr>
              <w:pStyle w:val="TableContents"/>
              <w:spacing w:before="0" w:after="283"/>
              <w:jc w:val="right"/>
              <w:rPr>
                <w:rFonts w:ascii="times" w:hAnsi="times"/>
                <w:b/>
                <w:sz w:val="20"/>
              </w:rPr>
            </w:pPr>
            <w:r>
              <w:rPr>
                <w:rFonts w:ascii="times" w:hAnsi="times"/>
                <w:b/>
                <w:sz w:val="20"/>
              </w:rPr>
              <w:t>37</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CCEEFF" w:val="clear"/>
            <w:vAlign w:val="bottom"/>
          </w:tcPr>
          <w:p>
            <w:pPr>
              <w:pStyle w:val="TableContents"/>
              <w:spacing w:before="0" w:after="283"/>
              <w:jc w:val="right"/>
              <w:rPr>
                <w:rFonts w:ascii="times" w:hAnsi="times"/>
                <w:b/>
                <w:sz w:val="20"/>
              </w:rPr>
            </w:pPr>
            <w:r>
              <w:rPr>
                <w:rFonts w:ascii="times" w:hAnsi="times"/>
                <w:b/>
                <w:sz w:val="20"/>
              </w:rPr>
              <w:t>1,331</w:t>
            </w:r>
          </w:p>
        </w:tc>
        <w:tc>
          <w:tcPr>
            <w:tcW w:w="80" w:type="dxa"/>
            <w:tcBorders/>
            <w:shd w:fill="CCEEFF" w:val="clear"/>
            <w:vAlign w:val="bottom"/>
          </w:tcPr>
          <w:p>
            <w:pPr>
              <w:pStyle w:val="TableContents"/>
              <w:spacing w:before="0" w:after="283"/>
              <w:rPr/>
            </w:pPr>
            <w:r>
              <w:rPr/>
              <w:t> </w:t>
            </w:r>
          </w:p>
        </w:tc>
      </w:tr>
      <w:tr>
        <w:trPr/>
        <w:tc>
          <w:tcPr>
            <w:tcW w:w="454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247</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38</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285</w:t>
            </w:r>
          </w:p>
        </w:tc>
        <w:tc>
          <w:tcPr>
            <w:tcW w:w="80" w:type="dxa"/>
            <w:tcBorders/>
            <w:shd w:fill="FFFFFF" w:val="clear"/>
            <w:vAlign w:val="bottom"/>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(225</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(38</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(263</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common units in connection with Pacific acquisition</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1,002</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1,024</w:t>
            </w:r>
          </w:p>
        </w:tc>
        <w:tc>
          <w:tcPr>
            <w:tcW w:w="80" w:type="dxa"/>
            <w:tcBorders/>
            <w:shd w:fill="FFFFFF" w:val="clear"/>
            <w:vAlign w:val="bottom"/>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common units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609</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621</w:t>
            </w:r>
          </w:p>
        </w:tc>
        <w:tc>
          <w:tcPr>
            <w:tcW w:w="80" w:type="dxa"/>
            <w:tcBorders/>
            <w:shd w:fill="CCEEFF" w:val="clear"/>
            <w:vAlign w:val="bottom"/>
          </w:tcPr>
          <w:p>
            <w:pPr>
              <w:pStyle w:val="TableContents"/>
              <w:spacing w:before="0" w:after="283"/>
              <w:rPr/>
            </w:pPr>
            <w:r>
              <w:rPr/>
              <w:t> </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comprehensive loss</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(21</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54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2006</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b/>
                <w:sz w:val="20"/>
              </w:rPr>
            </w:pPr>
            <w:r>
              <w:rPr>
                <w:rFonts w:ascii="times" w:hAnsi="times"/>
                <w:b/>
                <w:sz w:val="20"/>
              </w:rPr>
              <w:t>109</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CCEEFF" w:val="clear"/>
            <w:vAlign w:val="bottom"/>
          </w:tcPr>
          <w:p>
            <w:pPr>
              <w:pStyle w:val="TableContents"/>
              <w:spacing w:before="0" w:after="283"/>
              <w:jc w:val="right"/>
              <w:rPr>
                <w:rFonts w:ascii="times" w:hAnsi="times"/>
                <w:b/>
                <w:sz w:val="20"/>
              </w:rPr>
            </w:pPr>
            <w:r>
              <w:rPr>
                <w:rFonts w:ascii="times" w:hAnsi="times"/>
                <w:b/>
                <w:sz w:val="20"/>
              </w:rPr>
              <w:t>2,906</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395" w:type="dxa"/>
            <w:tcBorders/>
            <w:shd w:fill="CCEEFF" w:val="clear"/>
            <w:vAlign w:val="bottom"/>
          </w:tcPr>
          <w:p>
            <w:pPr>
              <w:pStyle w:val="TableContents"/>
              <w:spacing w:before="0" w:after="283"/>
              <w:jc w:val="right"/>
              <w:rPr>
                <w:rFonts w:ascii="times" w:hAnsi="times"/>
                <w:b/>
                <w:sz w:val="20"/>
              </w:rPr>
            </w:pPr>
            <w:r>
              <w:rPr>
                <w:rFonts w:ascii="times" w:hAnsi="times"/>
                <w:b/>
                <w:sz w:val="20"/>
              </w:rPr>
              <w:t>71</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CCEEFF" w:val="clear"/>
            <w:vAlign w:val="bottom"/>
          </w:tcPr>
          <w:p>
            <w:pPr>
              <w:pStyle w:val="TableContents"/>
              <w:spacing w:before="0" w:after="283"/>
              <w:jc w:val="right"/>
              <w:rPr>
                <w:rFonts w:ascii="times" w:hAnsi="times"/>
                <w:b/>
                <w:sz w:val="20"/>
              </w:rPr>
            </w:pPr>
            <w:r>
              <w:rPr>
                <w:rFonts w:ascii="times" w:hAnsi="times"/>
                <w:b/>
                <w:sz w:val="20"/>
              </w:rPr>
              <w:t>2,977</w:t>
            </w:r>
          </w:p>
        </w:tc>
        <w:tc>
          <w:tcPr>
            <w:tcW w:w="80" w:type="dxa"/>
            <w:tcBorders/>
            <w:shd w:fill="CCEEFF" w:val="clear"/>
            <w:vAlign w:val="bottom"/>
          </w:tcPr>
          <w:p>
            <w:pPr>
              <w:pStyle w:val="TableContents"/>
              <w:spacing w:before="0" w:after="283"/>
              <w:rPr/>
            </w:pPr>
            <w:r>
              <w:rPr/>
              <w:t> </w:t>
            </w:r>
          </w:p>
        </w:tc>
      </w:tr>
      <w:tr>
        <w:trPr/>
        <w:tc>
          <w:tcPr>
            <w:tcW w:w="454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45" w:type="dxa"/>
            <w:tcBorders/>
            <w:shd w:fill="FFFFFF" w:val="clear"/>
            <w:vAlign w:val="bottom"/>
          </w:tcPr>
          <w:p>
            <w:pPr>
              <w:pStyle w:val="TableContents"/>
              <w:spacing w:before="240" w:after="283"/>
              <w:ind w:left="200" w:right="0" w:hanging="200"/>
              <w:rPr>
                <w:rFonts w:ascii="times" w:hAnsi="times"/>
                <w:sz w:val="20"/>
              </w:rPr>
            </w:pPr>
            <w:r>
              <w:rPr>
                <w:rFonts w:ascii="times" w:hAnsi="times"/>
                <w:sz w:val="20"/>
              </w:rPr>
              <w:t>Net income</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br/>
              <w:t>286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br/>
              <w:t>79</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br/>
              <w:t>365</w:t>
            </w:r>
          </w:p>
        </w:tc>
        <w:tc>
          <w:tcPr>
            <w:tcW w:w="80" w:type="dxa"/>
            <w:tcBorders/>
            <w:shd w:fill="FFFFFF" w:val="clear"/>
            <w:vAlign w:val="bottom"/>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(370</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(81</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(451</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common units</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375</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383</w:t>
            </w:r>
          </w:p>
        </w:tc>
        <w:tc>
          <w:tcPr>
            <w:tcW w:w="80" w:type="dxa"/>
            <w:tcBorders/>
            <w:shd w:fill="FFFFFF" w:val="clear"/>
            <w:vAlign w:val="bottom"/>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common units under Long Term Incentive Plans ("LTIP")</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80" w:type="dxa"/>
            <w:tcBorders/>
            <w:shd w:fill="CCEEFF" w:val="clear"/>
            <w:vAlign w:val="bottom"/>
          </w:tcPr>
          <w:p>
            <w:pPr>
              <w:pStyle w:val="TableContents"/>
              <w:spacing w:before="0" w:after="283"/>
              <w:rPr/>
            </w:pPr>
            <w:r>
              <w:rPr/>
              <w:t> </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Class B Units of Plains AAP, L.P. (Note 10)</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80" w:type="dxa"/>
            <w:tcBorders/>
            <w:shd w:fill="FFFFFF" w:val="clear"/>
            <w:vAlign w:val="bottom"/>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Other comprehensive income</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130</w:t>
            </w:r>
          </w:p>
        </w:tc>
        <w:tc>
          <w:tcPr>
            <w:tcW w:w="80" w:type="dxa"/>
            <w:tcBorders/>
            <w:shd w:fill="CCEEFF" w:val="clear"/>
            <w:vAlign w:val="bottom"/>
          </w:tcPr>
          <w:p>
            <w:pPr>
              <w:pStyle w:val="TableContents"/>
              <w:spacing w:before="0" w:after="283"/>
              <w:rPr/>
            </w:pPr>
            <w:r>
              <w:rPr/>
              <w:t> </w:t>
            </w:r>
          </w:p>
        </w:tc>
      </w:tr>
      <w:tr>
        <w:trPr/>
        <w:tc>
          <w:tcPr>
            <w:tcW w:w="454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Balance at December 31, 2007</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b/>
                <w:sz w:val="20"/>
              </w:rPr>
            </w:pPr>
            <w:r>
              <w:rPr>
                <w:rFonts w:ascii="times" w:hAnsi="times"/>
                <w:b/>
                <w:sz w:val="20"/>
              </w:rPr>
              <w:t>116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FFFFFF" w:val="clear"/>
            <w:vAlign w:val="bottom"/>
          </w:tcPr>
          <w:p>
            <w:pPr>
              <w:pStyle w:val="TableContents"/>
              <w:spacing w:before="0" w:after="283"/>
              <w:jc w:val="right"/>
              <w:rPr>
                <w:rFonts w:ascii="times" w:hAnsi="times"/>
                <w:b/>
                <w:sz w:val="20"/>
              </w:rPr>
            </w:pPr>
            <w:r>
              <w:rPr>
                <w:rFonts w:ascii="times" w:hAnsi="times"/>
                <w:b/>
                <w:sz w:val="20"/>
              </w:rPr>
              <w:t>3,343</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395" w:type="dxa"/>
            <w:tcBorders/>
            <w:shd w:fill="FFFFFF" w:val="clear"/>
            <w:vAlign w:val="bottom"/>
          </w:tcPr>
          <w:p>
            <w:pPr>
              <w:pStyle w:val="TableContents"/>
              <w:spacing w:before="0" w:after="283"/>
              <w:jc w:val="right"/>
              <w:rPr>
                <w:rFonts w:ascii="times" w:hAnsi="times"/>
                <w:b/>
                <w:sz w:val="20"/>
              </w:rPr>
            </w:pPr>
            <w:r>
              <w:rPr>
                <w:rFonts w:ascii="times" w:hAnsi="times"/>
                <w:b/>
                <w:sz w:val="20"/>
              </w:rPr>
              <w:t>81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FFFFFF" w:val="clear"/>
            <w:vAlign w:val="bottom"/>
          </w:tcPr>
          <w:p>
            <w:pPr>
              <w:pStyle w:val="TableContents"/>
              <w:spacing w:before="0" w:after="283"/>
              <w:jc w:val="right"/>
              <w:rPr>
                <w:rFonts w:ascii="times" w:hAnsi="times"/>
                <w:b/>
                <w:sz w:val="20"/>
              </w:rPr>
            </w:pPr>
            <w:r>
              <w:rPr>
                <w:rFonts w:ascii="times" w:hAnsi="times"/>
                <w:b/>
                <w:sz w:val="20"/>
              </w:rPr>
              <w:t>3,424</w:t>
            </w:r>
          </w:p>
        </w:tc>
        <w:tc>
          <w:tcPr>
            <w:tcW w:w="80" w:type="dxa"/>
            <w:tcBorders/>
            <w:shd w:fill="FFFFFF" w:val="clear"/>
            <w:vAlign w:val="bottom"/>
          </w:tcPr>
          <w:p>
            <w:pPr>
              <w:pStyle w:val="TableContents"/>
              <w:spacing w:before="0" w:after="283"/>
              <w:rPr/>
            </w:pPr>
            <w:r>
              <w:rPr/>
              <w:t> </w:t>
            </w:r>
          </w:p>
        </w:tc>
      </w:tr>
      <w:tr>
        <w:trPr/>
        <w:tc>
          <w:tcPr>
            <w:tcW w:w="454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45" w:type="dxa"/>
            <w:tcBorders/>
            <w:shd w:fill="CCEEFF" w:val="clear"/>
            <w:vAlign w:val="bottom"/>
          </w:tcPr>
          <w:p>
            <w:pPr>
              <w:pStyle w:val="TableContents"/>
              <w:spacing w:before="240" w:after="283"/>
              <w:ind w:left="200" w:right="0" w:hanging="200"/>
              <w:rPr>
                <w:rFonts w:ascii="times" w:hAnsi="times"/>
                <w:sz w:val="20"/>
              </w:rPr>
            </w:pPr>
            <w:r>
              <w:rPr>
                <w:rFonts w:ascii="times" w:hAnsi="times"/>
                <w:sz w:val="20"/>
              </w:rPr>
              <w:t>Net income</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b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br/>
              <w:t>325</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br/>
              <w:t>112</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br/>
              <w:t>437</w:t>
            </w:r>
          </w:p>
        </w:tc>
        <w:tc>
          <w:tcPr>
            <w:tcW w:w="80" w:type="dxa"/>
            <w:tcBorders/>
            <w:shd w:fill="CCEEFF" w:val="clear"/>
            <w:vAlign w:val="bottom"/>
          </w:tcPr>
          <w:p>
            <w:pPr>
              <w:pStyle w:val="TableContents"/>
              <w:spacing w:before="0" w:after="283"/>
              <w:rPr/>
            </w:pPr>
            <w:r>
              <w:rPr/>
              <w:t> </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Distributions</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(418</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(114</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(532</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Issuance of common units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309</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315</w:t>
            </w:r>
          </w:p>
        </w:tc>
        <w:tc>
          <w:tcPr>
            <w:tcW w:w="80" w:type="dxa"/>
            <w:tcBorders/>
            <w:shd w:fill="CCEEFF" w:val="clear"/>
            <w:vAlign w:val="bottom"/>
          </w:tcPr>
          <w:p>
            <w:pPr>
              <w:pStyle w:val="TableContents"/>
              <w:spacing w:before="0" w:after="283"/>
              <w:rPr/>
            </w:pPr>
            <w:r>
              <w:rPr/>
              <w:t> </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Issuance of common units under LTIP</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80" w:type="dxa"/>
            <w:tcBorders/>
            <w:shd w:fill="FFFFFF" w:val="clear"/>
            <w:vAlign w:val="bottom"/>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Class B Units of Plains AAP, L.P. (Note 10)</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80" w:type="dxa"/>
            <w:tcBorders/>
            <w:shd w:fill="CCEEFF" w:val="clear"/>
            <w:vAlign w:val="bottom"/>
          </w:tcPr>
          <w:p>
            <w:pPr>
              <w:pStyle w:val="TableContents"/>
              <w:spacing w:before="0" w:after="283"/>
              <w:rPr/>
            </w:pPr>
            <w:r>
              <w:rPr/>
              <w:t> </w:t>
            </w:r>
          </w:p>
        </w:tc>
      </w:tr>
      <w:tr>
        <w:trPr/>
        <w:tc>
          <w:tcPr>
            <w:tcW w:w="454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 comprehensive loss</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(103</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(105</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54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4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at December 31, 2008</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b/>
                <w:sz w:val="20"/>
              </w:rPr>
            </w:pPr>
            <w:r>
              <w:rPr>
                <w:rFonts w:ascii="times" w:hAnsi="times"/>
                <w:b/>
                <w:sz w:val="20"/>
              </w:rPr>
              <w:t>123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CCEEFF" w:val="clear"/>
            <w:vAlign w:val="bottom"/>
          </w:tcPr>
          <w:p>
            <w:pPr>
              <w:pStyle w:val="TableContents"/>
              <w:spacing w:before="0" w:after="283"/>
              <w:jc w:val="right"/>
              <w:rPr>
                <w:rFonts w:ascii="times" w:hAnsi="times"/>
                <w:b/>
                <w:sz w:val="20"/>
              </w:rPr>
            </w:pPr>
            <w:r>
              <w:rPr>
                <w:rFonts w:ascii="times" w:hAnsi="times"/>
                <w:b/>
                <w:sz w:val="20"/>
              </w:rPr>
              <w:t>3,469</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395" w:type="dxa"/>
            <w:tcBorders/>
            <w:shd w:fill="CCEEFF" w:val="clear"/>
            <w:vAlign w:val="bottom"/>
          </w:tcPr>
          <w:p>
            <w:pPr>
              <w:pStyle w:val="TableContents"/>
              <w:spacing w:before="0" w:after="283"/>
              <w:jc w:val="right"/>
              <w:rPr>
                <w:rFonts w:ascii="times" w:hAnsi="times"/>
                <w:b/>
                <w:sz w:val="20"/>
              </w:rPr>
            </w:pPr>
            <w:r>
              <w:rPr>
                <w:rFonts w:ascii="times" w:hAnsi="times"/>
                <w:b/>
                <w:sz w:val="20"/>
              </w:rPr>
              <w:t>83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b/>
                <w:sz w:val="20"/>
              </w:rPr>
            </w:pPr>
            <w:r>
              <w:rPr>
                <w:rFonts w:ascii="times" w:hAnsi="times"/>
                <w:b/>
                <w:sz w:val="20"/>
              </w:rPr>
              <w:t>$</w:t>
            </w:r>
          </w:p>
        </w:tc>
        <w:tc>
          <w:tcPr>
            <w:tcW w:w="485" w:type="dxa"/>
            <w:tcBorders/>
            <w:shd w:fill="CCEEFF" w:val="clear"/>
            <w:vAlign w:val="bottom"/>
          </w:tcPr>
          <w:p>
            <w:pPr>
              <w:pStyle w:val="TableContents"/>
              <w:spacing w:before="0" w:after="283"/>
              <w:jc w:val="right"/>
              <w:rPr>
                <w:rFonts w:ascii="times" w:hAnsi="times"/>
                <w:b/>
                <w:sz w:val="20"/>
              </w:rPr>
            </w:pPr>
            <w:r>
              <w:rPr>
                <w:rFonts w:ascii="times" w:hAnsi="times"/>
                <w:b/>
                <w:sz w:val="20"/>
              </w:rPr>
              <w:t>3,552</w:t>
            </w:r>
          </w:p>
        </w:tc>
        <w:tc>
          <w:tcPr>
            <w:tcW w:w="80" w:type="dxa"/>
            <w:tcBorders/>
            <w:shd w:fill="CCEEFF" w:val="clear"/>
            <w:vAlign w:val="bottom"/>
          </w:tcPr>
          <w:p>
            <w:pPr>
              <w:pStyle w:val="TableContents"/>
              <w:spacing w:before="0" w:after="283"/>
              <w:rPr/>
            </w:pPr>
            <w:r>
              <w:rPr/>
              <w:t> </w:t>
            </w:r>
          </w:p>
        </w:tc>
      </w:tr>
      <w:tr>
        <w:trPr/>
        <w:tc>
          <w:tcPr>
            <w:tcW w:w="454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F-7</w:t>
      </w:r>
    </w:p>
    <w:p>
      <w:pPr>
        <w:pStyle w:val="HorizontalLine"/>
        <w:pBdr>
          <w:bottom w:val="single" w:sz="20" w:space="0" w:color="808080"/>
        </w:pBdr>
        <w:rPr/>
      </w:pPr>
      <w:r>
        <w:rPr/>
      </w:r>
      <w:r>
        <w:br w:type="page"/>
      </w:r>
    </w:p>
    <w:p>
      <w:pPr>
        <w:pStyle w:val="TextBody"/>
        <w:rPr/>
      </w:pPr>
      <w:hyperlink w:anchor="bg12101a_main_toc">
        <w:bookmarkStart w:id="235" w:name="page_fm12101_1_8"/>
        <w:bookmarkEnd w:id="23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236" w:name="toc_fm12101_1"/>
      <w:bookmarkStart w:id="237" w:name="fm12101_plains_all_american_pipeline,___"/>
      <w:bookmarkEnd w:id="236"/>
      <w:bookmarkEnd w:id="237"/>
      <w:r>
        <w:rPr>
          <w:rFonts w:ascii="times" w:hAnsi="times"/>
          <w:b/>
          <w:sz w:val="20"/>
        </w:rPr>
        <w:br/>
        <w:t xml:space="preserve">PLAINS ALL AMERICAN PIPELINE, L.P. AND SUBSIDIARIES </w:t>
        <w:br/>
        <w:br/>
        <w:t xml:space="preserve">CONSOLIDATED STATEMENTS OF COMPREHENSIVE INCOME </w:t>
      </w:r>
    </w:p>
    <w:tbl>
      <w:tblPr>
        <w:tblW w:w="7415" w:type="dxa"/>
        <w:jc w:val="center"/>
        <w:tblInd w:w="0" w:type="dxa"/>
        <w:tblCellMar>
          <w:top w:w="0" w:type="dxa"/>
          <w:left w:w="0" w:type="dxa"/>
          <w:bottom w:w="0" w:type="dxa"/>
          <w:right w:w="0" w:type="dxa"/>
        </w:tblCellMar>
      </w:tblPr>
      <w:tblGrid>
        <w:gridCol w:w="5175"/>
        <w:gridCol w:w="180"/>
        <w:gridCol w:w="125"/>
        <w:gridCol w:w="395"/>
        <w:gridCol w:w="270"/>
        <w:gridCol w:w="125"/>
        <w:gridCol w:w="335"/>
        <w:gridCol w:w="270"/>
        <w:gridCol w:w="125"/>
        <w:gridCol w:w="335"/>
        <w:gridCol w:w="80"/>
      </w:tblGrid>
      <w:tr>
        <w:trPr/>
        <w:tc>
          <w:tcPr>
            <w:tcW w:w="517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980"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80" w:type="dxa"/>
            <w:tcBorders/>
            <w:shd w:fill="auto" w:val="clear"/>
            <w:vAlign w:val="bottom"/>
          </w:tcPr>
          <w:p>
            <w:pPr>
              <w:pStyle w:val="TableHeading"/>
              <w:suppressLineNumbers/>
              <w:spacing w:before="0" w:after="283"/>
              <w:jc w:val="center"/>
              <w:rPr/>
            </w:pPr>
            <w:r>
              <w:rPr/>
              <w:t> </w:t>
            </w:r>
          </w:p>
        </w:tc>
      </w:tr>
      <w:tr>
        <w:trPr/>
        <w:tc>
          <w:tcPr>
            <w:tcW w:w="517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7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7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80" w:type="dxa"/>
            <w:tcBorders/>
            <w:shd w:fill="auto" w:val="clear"/>
            <w:vAlign w:val="bottom"/>
          </w:tcPr>
          <w:p>
            <w:pPr>
              <w:pStyle w:val="TableHeading"/>
              <w:suppressLineNumbers/>
              <w:spacing w:before="0" w:after="283"/>
              <w:jc w:val="center"/>
              <w:rPr/>
            </w:pPr>
            <w:r>
              <w:rPr/>
              <w:t> </w:t>
            </w:r>
          </w:p>
        </w:tc>
      </w:tr>
      <w:tr>
        <w:trPr/>
        <w:tc>
          <w:tcPr>
            <w:tcW w:w="517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980"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80" w:type="dxa"/>
            <w:tcBorders/>
            <w:shd w:fill="auto" w:val="clear"/>
            <w:vAlign w:val="bottom"/>
          </w:tcPr>
          <w:p>
            <w:pPr>
              <w:pStyle w:val="TableHeading"/>
              <w:suppressLineNumbers/>
              <w:spacing w:before="0" w:after="283"/>
              <w:jc w:val="center"/>
              <w:rPr/>
            </w:pPr>
            <w:r>
              <w:rPr/>
              <w:t> </w:t>
            </w:r>
          </w:p>
        </w:tc>
      </w:tr>
      <w:tr>
        <w:trPr/>
        <w:tc>
          <w:tcPr>
            <w:tcW w:w="5175" w:type="dxa"/>
            <w:tcBorders/>
            <w:shd w:fill="CCEEFF" w:val="clear"/>
          </w:tcPr>
          <w:p>
            <w:pPr>
              <w:pStyle w:val="TableContents"/>
              <w:spacing w:before="0" w:after="283"/>
              <w:ind w:left="200" w:right="0" w:hanging="200"/>
              <w:rPr>
                <w:rFonts w:ascii="times" w:hAnsi="times"/>
                <w:sz w:val="20"/>
              </w:rPr>
            </w:pPr>
            <w:r>
              <w:rPr>
                <w:rFonts w:ascii="times" w:hAnsi="times"/>
                <w:sz w:val="20"/>
              </w:rPr>
              <w:t>Net income</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437</w:t>
            </w:r>
          </w:p>
        </w:tc>
        <w:tc>
          <w:tcPr>
            <w:tcW w:w="27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365</w:t>
            </w:r>
          </w:p>
        </w:tc>
        <w:tc>
          <w:tcPr>
            <w:tcW w:w="27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285</w:t>
            </w:r>
          </w:p>
        </w:tc>
        <w:tc>
          <w:tcPr>
            <w:tcW w:w="80" w:type="dxa"/>
            <w:tcBorders/>
            <w:shd w:fill="CCEEFF" w:val="clear"/>
          </w:tcPr>
          <w:p>
            <w:pPr>
              <w:pStyle w:val="TableContents"/>
              <w:spacing w:before="0" w:after="283"/>
              <w:rPr/>
            </w:pPr>
            <w:r>
              <w:rPr/>
              <w:t> </w:t>
            </w:r>
          </w:p>
        </w:tc>
      </w:tr>
      <w:tr>
        <w:trPr/>
        <w:tc>
          <w:tcPr>
            <w:tcW w:w="5175" w:type="dxa"/>
            <w:tcBorders/>
            <w:shd w:fill="FFFFFF" w:val="clear"/>
          </w:tcPr>
          <w:p>
            <w:pPr>
              <w:pStyle w:val="TableContents"/>
              <w:spacing w:before="0" w:after="283"/>
              <w:ind w:left="200" w:right="0" w:hanging="200"/>
              <w:rPr>
                <w:rFonts w:ascii="times" w:hAnsi="times"/>
                <w:sz w:val="20"/>
              </w:rPr>
            </w:pPr>
            <w:r>
              <w:rPr>
                <w:rFonts w:ascii="times" w:hAnsi="times"/>
                <w:sz w:val="20"/>
              </w:rPr>
              <w:t>Other comprehensive income/(loss)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(105</w:t>
            </w:r>
          </w:p>
        </w:tc>
        <w:tc>
          <w:tcPr>
            <w:tcW w:w="270"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130</w:t>
            </w:r>
          </w:p>
        </w:tc>
        <w:tc>
          <w:tcPr>
            <w:tcW w:w="27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(21</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5175" w:type="dxa"/>
            <w:tcBorders/>
            <w:shd w:fill="CCEEFF" w:val="clear"/>
          </w:tcPr>
          <w:p>
            <w:pPr>
              <w:pStyle w:val="TableContents"/>
              <w:spacing w:before="0" w:after="283"/>
              <w:ind w:left="200" w:right="0" w:hanging="200"/>
              <w:rPr>
                <w:rFonts w:ascii="times" w:hAnsi="times"/>
                <w:sz w:val="20"/>
              </w:rPr>
            </w:pPr>
            <w:r>
              <w:rPr>
                <w:rFonts w:ascii="times" w:hAnsi="times"/>
                <w:sz w:val="20"/>
              </w:rPr>
              <w:t>Comprehensive income</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332</w:t>
            </w:r>
          </w:p>
        </w:tc>
        <w:tc>
          <w:tcPr>
            <w:tcW w:w="27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495</w:t>
            </w:r>
          </w:p>
        </w:tc>
        <w:tc>
          <w:tcPr>
            <w:tcW w:w="27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264</w:t>
            </w:r>
          </w:p>
        </w:tc>
        <w:tc>
          <w:tcPr>
            <w:tcW w:w="80" w:type="dxa"/>
            <w:tcBorders/>
            <w:shd w:fill="CCEEFF" w:val="clear"/>
          </w:tcPr>
          <w:p>
            <w:pPr>
              <w:pStyle w:val="TableContents"/>
              <w:spacing w:before="0" w:after="283"/>
              <w:rPr/>
            </w:pPr>
            <w:r>
              <w:rPr/>
              <w:t> </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jc w:val="center"/>
        <w:rPr>
          <w:rFonts w:ascii="times" w:hAnsi="times"/>
        </w:rPr>
      </w:pPr>
      <w:bookmarkStart w:id="238" w:name="toc_fm12101_2"/>
      <w:bookmarkStart w:id="239" w:name="fm12101_consolidated_statements_of_cha__"/>
      <w:bookmarkEnd w:id="238"/>
      <w:bookmarkEnd w:id="239"/>
      <w:r>
        <w:rPr>
          <w:rFonts w:ascii="times" w:hAnsi="times"/>
          <w:sz w:val="20"/>
        </w:rPr>
        <w:br/>
      </w:r>
      <w:r>
        <w:rPr>
          <w:rFonts w:ascii="times" w:hAnsi="times"/>
          <w:b/>
          <w:sz w:val="20"/>
        </w:rPr>
        <w:t>CONSOLIDATED STATEMENTS OF CHANGES IN ACCUMULATED</w:t>
        <w:br/>
        <w:t xml:space="preserve">OTHER COMPREHENSIVE INCOME </w:t>
      </w:r>
    </w:p>
    <w:tbl>
      <w:tblPr>
        <w:tblW w:w="7448" w:type="dxa"/>
        <w:jc w:val="center"/>
        <w:tblInd w:w="0" w:type="dxa"/>
        <w:tblCellMar>
          <w:top w:w="0" w:type="dxa"/>
          <w:left w:w="0" w:type="dxa"/>
          <w:bottom w:w="0" w:type="dxa"/>
          <w:right w:w="0" w:type="dxa"/>
        </w:tblCellMar>
      </w:tblPr>
      <w:tblGrid>
        <w:gridCol w:w="150"/>
        <w:gridCol w:w="4515"/>
        <w:gridCol w:w="180"/>
        <w:gridCol w:w="178"/>
        <w:gridCol w:w="591"/>
        <w:gridCol w:w="225"/>
        <w:gridCol w:w="181"/>
        <w:gridCol w:w="603"/>
        <w:gridCol w:w="225"/>
        <w:gridCol w:w="125"/>
        <w:gridCol w:w="395"/>
        <w:gridCol w:w="80"/>
      </w:tblGrid>
      <w:tr>
        <w:trPr/>
        <w:tc>
          <w:tcPr>
            <w:tcW w:w="150" w:type="dxa"/>
            <w:tcBorders/>
            <w:shd w:fill="auto" w:val="clear"/>
            <w:vAlign w:val="center"/>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46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76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Derivative</w:t>
              <w:br/>
              <w:t xml:space="preserve">Instruments </w:t>
            </w:r>
          </w:p>
        </w:tc>
        <w:tc>
          <w:tcPr>
            <w:tcW w:w="225"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Translation</w:t>
              <w:br/>
              <w:t xml:space="preserve">Adjustments </w:t>
            </w:r>
          </w:p>
        </w:tc>
        <w:tc>
          <w:tcPr>
            <w:tcW w:w="22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80" w:type="dxa"/>
            <w:tcBorders/>
            <w:shd w:fill="auto" w:val="clear"/>
            <w:vAlign w:val="bottom"/>
          </w:tcPr>
          <w:p>
            <w:pPr>
              <w:pStyle w:val="TableHeading"/>
              <w:suppressLineNumbers/>
              <w:spacing w:before="0" w:after="283"/>
              <w:jc w:val="center"/>
              <w:rPr/>
            </w:pPr>
            <w:r>
              <w:rPr/>
              <w:t> </w:t>
            </w:r>
          </w:p>
        </w:tc>
      </w:tr>
      <w:tr>
        <w:trPr/>
        <w:tc>
          <w:tcPr>
            <w:tcW w:w="46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523"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millions)</w:t>
            </w:r>
          </w:p>
        </w:tc>
        <w:tc>
          <w:tcPr>
            <w:tcW w:w="80" w:type="dxa"/>
            <w:tcBorders/>
            <w:shd w:fill="auto" w:val="clear"/>
            <w:vAlign w:val="bottom"/>
          </w:tcPr>
          <w:p>
            <w:pPr>
              <w:pStyle w:val="TableHeading"/>
              <w:suppressLineNumbers/>
              <w:spacing w:before="0" w:after="283"/>
              <w:jc w:val="center"/>
              <w:rPr/>
            </w:pPr>
            <w:r>
              <w:rPr/>
              <w:t> </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Balance at December 31, 2005</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jc w:val="right"/>
              <w:rPr>
                <w:rFonts w:ascii="times" w:hAnsi="times"/>
                <w:sz w:val="20"/>
              </w:rPr>
            </w:pPr>
            <w:r>
              <w:rPr>
                <w:rFonts w:ascii="times" w:hAnsi="times"/>
                <w:sz w:val="20"/>
              </w:rPr>
              <w:t>$</w:t>
            </w:r>
          </w:p>
        </w:tc>
        <w:tc>
          <w:tcPr>
            <w:tcW w:w="591" w:type="dxa"/>
            <w:tcBorders/>
            <w:shd w:fill="CCEEFF" w:val="clear"/>
          </w:tcPr>
          <w:p>
            <w:pPr>
              <w:pStyle w:val="TableContents"/>
              <w:spacing w:before="0" w:after="283"/>
              <w:jc w:val="right"/>
              <w:rPr>
                <w:rFonts w:ascii="times" w:hAnsi="times"/>
                <w:sz w:val="20"/>
              </w:rPr>
            </w:pPr>
            <w:r>
              <w:rPr>
                <w:rFonts w:ascii="times" w:hAnsi="times"/>
                <w:sz w:val="20"/>
              </w:rPr>
              <w:t>(16</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81" w:type="dxa"/>
            <w:tcBorders/>
            <w:shd w:fill="CCEEFF" w:val="clear"/>
          </w:tcPr>
          <w:p>
            <w:pPr>
              <w:pStyle w:val="TableContents"/>
              <w:spacing w:before="0" w:after="283"/>
              <w:jc w:val="right"/>
              <w:rPr>
                <w:rFonts w:ascii="times" w:hAnsi="times"/>
                <w:sz w:val="20"/>
              </w:rPr>
            </w:pPr>
            <w:r>
              <w:rPr>
                <w:rFonts w:ascii="times" w:hAnsi="times"/>
                <w:sz w:val="20"/>
              </w:rPr>
              <w:t>$</w:t>
            </w:r>
          </w:p>
        </w:tc>
        <w:tc>
          <w:tcPr>
            <w:tcW w:w="603" w:type="dxa"/>
            <w:tcBorders/>
            <w:shd w:fill="CCEEFF" w:val="clear"/>
          </w:tcPr>
          <w:p>
            <w:pPr>
              <w:pStyle w:val="TableContents"/>
              <w:spacing w:before="0" w:after="283"/>
              <w:jc w:val="right"/>
              <w:rPr>
                <w:rFonts w:ascii="times" w:hAnsi="times"/>
                <w:sz w:val="20"/>
              </w:rPr>
            </w:pPr>
            <w:r>
              <w:rPr>
                <w:rFonts w:ascii="times" w:hAnsi="times"/>
                <w:sz w:val="20"/>
              </w:rPr>
              <w:t>87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71</w:t>
            </w:r>
          </w:p>
        </w:tc>
        <w:tc>
          <w:tcPr>
            <w:tcW w:w="80" w:type="dxa"/>
            <w:tcBorders/>
            <w:shd w:fill="CCEEFF"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Reclassification adjustments</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91" w:type="dxa"/>
            <w:tcBorders/>
            <w:shd w:fill="FFFFFF" w:val="clear"/>
          </w:tcPr>
          <w:p>
            <w:pPr>
              <w:pStyle w:val="TableContents"/>
              <w:spacing w:before="0" w:after="283"/>
              <w:jc w:val="right"/>
              <w:rPr>
                <w:rFonts w:ascii="times" w:hAnsi="times"/>
                <w:sz w:val="20"/>
              </w:rPr>
            </w:pPr>
            <w:r>
              <w:rPr>
                <w:rFonts w:ascii="times" w:hAnsi="times"/>
                <w:sz w:val="20"/>
              </w:rPr>
              <w:t>(144</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81" w:type="dxa"/>
            <w:tcBorders/>
            <w:shd w:fill="FFFFFF" w:val="clear"/>
          </w:tcPr>
          <w:p>
            <w:pPr>
              <w:pStyle w:val="TableContents"/>
              <w:spacing w:before="0" w:after="283"/>
              <w:rPr/>
            </w:pPr>
            <w:r>
              <w:rPr/>
              <w:t> </w:t>
            </w:r>
          </w:p>
        </w:tc>
        <w:tc>
          <w:tcPr>
            <w:tcW w:w="603"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(144</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Changes in fair value of outstanding hedge positions</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w:hAnsi="times"/>
                <w:sz w:val="20"/>
              </w:rPr>
            </w:pPr>
            <w:r>
              <w:rPr>
                <w:rFonts w:ascii="times" w:hAnsi="times"/>
                <w:sz w:val="20"/>
              </w:rPr>
              <w:t>142</w:t>
            </w:r>
          </w:p>
        </w:tc>
        <w:tc>
          <w:tcPr>
            <w:tcW w:w="225" w:type="dxa"/>
            <w:tcBorders/>
            <w:shd w:fill="CCEEFF" w:val="clear"/>
          </w:tcPr>
          <w:p>
            <w:pPr>
              <w:pStyle w:val="TableContents"/>
              <w:spacing w:before="0" w:after="283"/>
              <w:rPr/>
            </w:pPr>
            <w:r>
              <w:rPr/>
              <w:t> </w:t>
            </w:r>
          </w:p>
        </w:tc>
        <w:tc>
          <w:tcPr>
            <w:tcW w:w="181" w:type="dxa"/>
            <w:tcBorders/>
            <w:shd w:fill="CCEEFF" w:val="clear"/>
          </w:tcPr>
          <w:p>
            <w:pPr>
              <w:pStyle w:val="TableContents"/>
              <w:spacing w:before="0" w:after="283"/>
              <w:rPr/>
            </w:pPr>
            <w:r>
              <w:rPr/>
              <w:t> </w:t>
            </w:r>
          </w:p>
        </w:tc>
        <w:tc>
          <w:tcPr>
            <w:tcW w:w="603"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142</w:t>
            </w:r>
          </w:p>
        </w:tc>
        <w:tc>
          <w:tcPr>
            <w:tcW w:w="80" w:type="dxa"/>
            <w:tcBorders/>
            <w:shd w:fill="CCEEFF"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Currency translation adjustment</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9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81" w:type="dxa"/>
            <w:tcBorders/>
            <w:shd w:fill="FFFFFF" w:val="clear"/>
          </w:tcPr>
          <w:p>
            <w:pPr>
              <w:pStyle w:val="TableContents"/>
              <w:spacing w:before="0" w:after="283"/>
              <w:rPr/>
            </w:pPr>
            <w:r>
              <w:rPr/>
              <w:t> </w:t>
            </w:r>
          </w:p>
        </w:tc>
        <w:tc>
          <w:tcPr>
            <w:tcW w:w="603" w:type="dxa"/>
            <w:tcBorders/>
            <w:shd w:fill="FFFFFF" w:val="clear"/>
          </w:tcPr>
          <w:p>
            <w:pPr>
              <w:pStyle w:val="TableContents"/>
              <w:spacing w:before="0" w:after="283"/>
              <w:jc w:val="right"/>
              <w:rPr>
                <w:rFonts w:ascii="times" w:hAnsi="times"/>
                <w:sz w:val="20"/>
              </w:rPr>
            </w:pPr>
            <w:r>
              <w:rPr>
                <w:rFonts w:ascii="times" w:hAnsi="times"/>
                <w:sz w:val="20"/>
              </w:rPr>
              <w:t>(17</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(17</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Deferred losses on settled hedges, net</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w:hAnsi="times"/>
                <w:sz w:val="20"/>
              </w:rPr>
            </w:pPr>
            <w:r>
              <w:rPr>
                <w:rFonts w:ascii="times" w:hAnsi="times"/>
                <w:sz w:val="20"/>
              </w:rPr>
              <w:t>(2</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81" w:type="dxa"/>
            <w:tcBorders/>
            <w:shd w:fill="CCEEFF" w:val="clear"/>
          </w:tcPr>
          <w:p>
            <w:pPr>
              <w:pStyle w:val="TableContents"/>
              <w:spacing w:before="0" w:after="283"/>
              <w:rPr/>
            </w:pPr>
            <w:r>
              <w:rPr/>
              <w:t> </w:t>
            </w:r>
          </w:p>
        </w:tc>
        <w:tc>
          <w:tcPr>
            <w:tcW w:w="603" w:type="dxa"/>
            <w:tcBorders/>
            <w:shd w:fill="CCEEFF" w:val="clear"/>
          </w:tcPr>
          <w:p>
            <w:pPr>
              <w:pStyle w:val="TableContents"/>
              <w:spacing w:before="0" w:after="283"/>
              <w:jc w:val="right"/>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(2</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515" w:type="dxa"/>
            <w:tcBorders/>
            <w:shd w:fill="FFFFFF" w:val="clear"/>
          </w:tcPr>
          <w:p>
            <w:pPr>
              <w:pStyle w:val="TableContents"/>
              <w:spacing w:before="0" w:after="283"/>
              <w:ind w:left="200" w:right="0" w:hanging="200"/>
              <w:rPr>
                <w:rFonts w:ascii="times" w:hAnsi="times"/>
                <w:sz w:val="20"/>
              </w:rPr>
            </w:pPr>
            <w:r>
              <w:rPr>
                <w:rFonts w:ascii="times" w:hAnsi="times"/>
                <w:sz w:val="20"/>
              </w:rPr>
              <w:t>2006 Activity</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91" w:type="dxa"/>
            <w:tcBorders/>
            <w:shd w:fill="FFFFFF" w:val="clear"/>
          </w:tcPr>
          <w:p>
            <w:pPr>
              <w:pStyle w:val="TableContents"/>
              <w:spacing w:before="0" w:after="283"/>
              <w:jc w:val="right"/>
              <w:rPr>
                <w:rFonts w:ascii="times" w:hAnsi="times"/>
                <w:sz w:val="20"/>
              </w:rPr>
            </w:pPr>
            <w:r>
              <w:rPr>
                <w:rFonts w:ascii="times" w:hAnsi="times"/>
                <w:sz w:val="20"/>
              </w:rPr>
              <w:t>(4</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81" w:type="dxa"/>
            <w:tcBorders/>
            <w:shd w:fill="FFFFFF" w:val="clear"/>
          </w:tcPr>
          <w:p>
            <w:pPr>
              <w:pStyle w:val="TableContents"/>
              <w:spacing w:before="0" w:after="283"/>
              <w:rPr/>
            </w:pPr>
            <w:r>
              <w:rPr/>
              <w:t> </w:t>
            </w:r>
          </w:p>
        </w:tc>
        <w:tc>
          <w:tcPr>
            <w:tcW w:w="603" w:type="dxa"/>
            <w:tcBorders/>
            <w:shd w:fill="FFFFFF" w:val="clear"/>
          </w:tcPr>
          <w:p>
            <w:pPr>
              <w:pStyle w:val="TableContents"/>
              <w:spacing w:before="0" w:after="283"/>
              <w:jc w:val="right"/>
              <w:rPr>
                <w:rFonts w:ascii="times" w:hAnsi="times"/>
                <w:sz w:val="20"/>
              </w:rPr>
            </w:pPr>
            <w:r>
              <w:rPr>
                <w:rFonts w:ascii="times" w:hAnsi="times"/>
                <w:sz w:val="20"/>
              </w:rPr>
              <w:t>(17</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(21</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Balance at December 31, 2006</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jc w:val="right"/>
              <w:rPr>
                <w:rFonts w:ascii="times" w:hAnsi="times"/>
                <w:sz w:val="20"/>
              </w:rPr>
            </w:pPr>
            <w:r>
              <w:rPr>
                <w:rFonts w:ascii="times" w:hAnsi="times"/>
                <w:sz w:val="20"/>
              </w:rPr>
              <w:t>$</w:t>
            </w:r>
          </w:p>
        </w:tc>
        <w:tc>
          <w:tcPr>
            <w:tcW w:w="591" w:type="dxa"/>
            <w:tcBorders/>
            <w:shd w:fill="CCEEFF" w:val="clear"/>
          </w:tcPr>
          <w:p>
            <w:pPr>
              <w:pStyle w:val="TableContents"/>
              <w:spacing w:before="0" w:after="283"/>
              <w:jc w:val="right"/>
              <w:rPr>
                <w:rFonts w:ascii="times" w:hAnsi="times"/>
                <w:sz w:val="20"/>
              </w:rPr>
            </w:pPr>
            <w:r>
              <w:rPr>
                <w:rFonts w:ascii="times" w:hAnsi="times"/>
                <w:sz w:val="20"/>
              </w:rPr>
              <w:t>(20</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81" w:type="dxa"/>
            <w:tcBorders/>
            <w:shd w:fill="CCEEFF" w:val="clear"/>
          </w:tcPr>
          <w:p>
            <w:pPr>
              <w:pStyle w:val="TableContents"/>
              <w:spacing w:before="0" w:after="283"/>
              <w:jc w:val="right"/>
              <w:rPr>
                <w:rFonts w:ascii="times" w:hAnsi="times"/>
                <w:sz w:val="20"/>
              </w:rPr>
            </w:pPr>
            <w:r>
              <w:rPr>
                <w:rFonts w:ascii="times" w:hAnsi="times"/>
                <w:sz w:val="20"/>
              </w:rPr>
              <w:t>$</w:t>
            </w:r>
          </w:p>
        </w:tc>
        <w:tc>
          <w:tcPr>
            <w:tcW w:w="603" w:type="dxa"/>
            <w:tcBorders/>
            <w:shd w:fill="CCEEFF" w:val="clear"/>
          </w:tcPr>
          <w:p>
            <w:pPr>
              <w:pStyle w:val="TableContents"/>
              <w:spacing w:before="0" w:after="283"/>
              <w:jc w:val="right"/>
              <w:rPr>
                <w:rFonts w:ascii="times" w:hAnsi="times"/>
                <w:sz w:val="20"/>
              </w:rPr>
            </w:pPr>
            <w:r>
              <w:rPr>
                <w:rFonts w:ascii="times" w:hAnsi="times"/>
                <w:sz w:val="20"/>
              </w:rPr>
              <w:t>70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50</w:t>
            </w:r>
          </w:p>
        </w:tc>
        <w:tc>
          <w:tcPr>
            <w:tcW w:w="80" w:type="dxa"/>
            <w:tcBorders/>
            <w:shd w:fill="CCEEFF" w:val="clear"/>
          </w:tcPr>
          <w:p>
            <w:pPr>
              <w:pStyle w:val="TableContents"/>
              <w:spacing w:before="0" w:after="283"/>
              <w:rPr/>
            </w:pPr>
            <w:r>
              <w:rPr/>
              <w:t> </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Reclassification adjustments</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91" w:type="dxa"/>
            <w:tcBorders/>
            <w:shd w:fill="FFFFFF" w:val="clear"/>
          </w:tcPr>
          <w:p>
            <w:pPr>
              <w:pStyle w:val="TableContents"/>
              <w:spacing w:before="0" w:after="283"/>
              <w:jc w:val="right"/>
              <w:rPr>
                <w:rFonts w:ascii="times" w:hAnsi="times"/>
                <w:sz w:val="20"/>
              </w:rPr>
            </w:pPr>
            <w:r>
              <w:rPr>
                <w:rFonts w:ascii="times" w:hAnsi="times"/>
                <w:sz w:val="20"/>
              </w:rPr>
              <w:t>11</w:t>
            </w:r>
          </w:p>
        </w:tc>
        <w:tc>
          <w:tcPr>
            <w:tcW w:w="225" w:type="dxa"/>
            <w:tcBorders/>
            <w:shd w:fill="FFFFFF" w:val="clear"/>
          </w:tcPr>
          <w:p>
            <w:pPr>
              <w:pStyle w:val="TableContents"/>
              <w:spacing w:before="0" w:after="283"/>
              <w:rPr/>
            </w:pPr>
            <w:r>
              <w:rPr/>
              <w:t> </w:t>
            </w:r>
          </w:p>
        </w:tc>
        <w:tc>
          <w:tcPr>
            <w:tcW w:w="181" w:type="dxa"/>
            <w:tcBorders/>
            <w:shd w:fill="FFFFFF" w:val="clear"/>
          </w:tcPr>
          <w:p>
            <w:pPr>
              <w:pStyle w:val="TableContents"/>
              <w:spacing w:before="0" w:after="283"/>
              <w:rPr/>
            </w:pPr>
            <w:r>
              <w:rPr/>
              <w:t> </w:t>
            </w:r>
          </w:p>
        </w:tc>
        <w:tc>
          <w:tcPr>
            <w:tcW w:w="603"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11</w:t>
            </w:r>
          </w:p>
        </w:tc>
        <w:tc>
          <w:tcPr>
            <w:tcW w:w="80" w:type="dxa"/>
            <w:tcBorders/>
            <w:shd w:fill="FFFFFF" w:val="clear"/>
          </w:tcPr>
          <w:p>
            <w:pPr>
              <w:pStyle w:val="TableContents"/>
              <w:spacing w:before="0" w:after="283"/>
              <w:rPr/>
            </w:pPr>
            <w:r>
              <w:rPr/>
              <w:t> </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Changes in fair value of outstanding hedge positions</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tcPr>
          <w:p>
            <w:pPr>
              <w:pStyle w:val="TableContents"/>
              <w:spacing w:before="0" w:after="283"/>
              <w:rPr/>
            </w:pPr>
            <w:r>
              <w:rPr/>
              <w:t> </w:t>
            </w:r>
          </w:p>
        </w:tc>
        <w:tc>
          <w:tcPr>
            <w:tcW w:w="181" w:type="dxa"/>
            <w:tcBorders/>
            <w:shd w:fill="CCEEFF" w:val="clear"/>
          </w:tcPr>
          <w:p>
            <w:pPr>
              <w:pStyle w:val="TableContents"/>
              <w:spacing w:before="0" w:after="283"/>
              <w:rPr/>
            </w:pPr>
            <w:r>
              <w:rPr/>
              <w:t> </w:t>
            </w:r>
          </w:p>
        </w:tc>
        <w:tc>
          <w:tcPr>
            <w:tcW w:w="603"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13</w:t>
            </w:r>
          </w:p>
        </w:tc>
        <w:tc>
          <w:tcPr>
            <w:tcW w:w="80" w:type="dxa"/>
            <w:tcBorders/>
            <w:shd w:fill="CCEEFF"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Currency translation adjustment</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9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81" w:type="dxa"/>
            <w:tcBorders/>
            <w:shd w:fill="FFFFFF" w:val="clear"/>
          </w:tcPr>
          <w:p>
            <w:pPr>
              <w:pStyle w:val="TableContents"/>
              <w:spacing w:before="0" w:after="283"/>
              <w:rPr/>
            </w:pPr>
            <w:r>
              <w:rPr/>
              <w:t> </w:t>
            </w:r>
          </w:p>
        </w:tc>
        <w:tc>
          <w:tcPr>
            <w:tcW w:w="603" w:type="dxa"/>
            <w:tcBorders/>
            <w:shd w:fill="FFFFFF" w:val="clear"/>
          </w:tcPr>
          <w:p>
            <w:pPr>
              <w:pStyle w:val="TableContents"/>
              <w:spacing w:before="0" w:after="283"/>
              <w:jc w:val="right"/>
              <w:rPr>
                <w:rFonts w:ascii="times" w:hAnsi="times"/>
                <w:sz w:val="20"/>
              </w:rPr>
            </w:pPr>
            <w:r>
              <w:rPr>
                <w:rFonts w:ascii="times" w:hAnsi="times"/>
                <w:sz w:val="20"/>
              </w:rPr>
              <w:t>106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106</w:t>
            </w:r>
          </w:p>
        </w:tc>
        <w:tc>
          <w:tcPr>
            <w:tcW w:w="80" w:type="dxa"/>
            <w:tcBorders/>
            <w:shd w:fill="FFFFFF" w:val="clear"/>
          </w:tcPr>
          <w:p>
            <w:pPr>
              <w:pStyle w:val="TableContents"/>
              <w:spacing w:before="0" w:after="283"/>
              <w:rPr/>
            </w:pPr>
            <w:r>
              <w:rPr/>
              <w:t> </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515" w:type="dxa"/>
            <w:tcBorders/>
            <w:shd w:fill="CCEEFF" w:val="clear"/>
          </w:tcPr>
          <w:p>
            <w:pPr>
              <w:pStyle w:val="TableContents"/>
              <w:spacing w:before="0" w:after="283"/>
              <w:ind w:left="200" w:right="0" w:hanging="200"/>
              <w:rPr>
                <w:rFonts w:ascii="times" w:hAnsi="times"/>
                <w:sz w:val="20"/>
              </w:rPr>
            </w:pPr>
            <w:r>
              <w:rPr>
                <w:rFonts w:ascii="times" w:hAnsi="times"/>
                <w:sz w:val="20"/>
              </w:rPr>
              <w:t>2007 Activity</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w:hAnsi="times"/>
                <w:sz w:val="20"/>
              </w:rPr>
            </w:pPr>
            <w:r>
              <w:rPr>
                <w:rFonts w:ascii="times" w:hAnsi="times"/>
                <w:sz w:val="20"/>
              </w:rPr>
              <w:t>24</w:t>
            </w:r>
          </w:p>
        </w:tc>
        <w:tc>
          <w:tcPr>
            <w:tcW w:w="225" w:type="dxa"/>
            <w:tcBorders/>
            <w:shd w:fill="CCEEFF" w:val="clear"/>
          </w:tcPr>
          <w:p>
            <w:pPr>
              <w:pStyle w:val="TableContents"/>
              <w:spacing w:before="0" w:after="283"/>
              <w:rPr/>
            </w:pPr>
            <w:r>
              <w:rPr/>
              <w:t> </w:t>
            </w:r>
          </w:p>
        </w:tc>
        <w:tc>
          <w:tcPr>
            <w:tcW w:w="181" w:type="dxa"/>
            <w:tcBorders/>
            <w:shd w:fill="CCEEFF" w:val="clear"/>
          </w:tcPr>
          <w:p>
            <w:pPr>
              <w:pStyle w:val="TableContents"/>
              <w:spacing w:before="0" w:after="283"/>
              <w:rPr/>
            </w:pPr>
            <w:r>
              <w:rPr/>
              <w:t> </w:t>
            </w:r>
          </w:p>
        </w:tc>
        <w:tc>
          <w:tcPr>
            <w:tcW w:w="603" w:type="dxa"/>
            <w:tcBorders/>
            <w:shd w:fill="CCEEFF" w:val="clear"/>
          </w:tcPr>
          <w:p>
            <w:pPr>
              <w:pStyle w:val="TableContents"/>
              <w:spacing w:before="0" w:after="283"/>
              <w:jc w:val="right"/>
              <w:rPr>
                <w:rFonts w:ascii="times" w:hAnsi="times"/>
                <w:sz w:val="20"/>
              </w:rPr>
            </w:pPr>
            <w:r>
              <w:rPr>
                <w:rFonts w:ascii="times" w:hAnsi="times"/>
                <w:sz w:val="20"/>
              </w:rPr>
              <w:t>106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130</w:t>
            </w:r>
          </w:p>
        </w:tc>
        <w:tc>
          <w:tcPr>
            <w:tcW w:w="80" w:type="dxa"/>
            <w:tcBorders/>
            <w:shd w:fill="CCEEFF" w:val="clear"/>
          </w:tcPr>
          <w:p>
            <w:pPr>
              <w:pStyle w:val="TableContents"/>
              <w:spacing w:before="0" w:after="283"/>
              <w:rPr/>
            </w:pPr>
            <w:r>
              <w:rPr/>
              <w:t> </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Balance at December 31, 2007</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jc w:val="right"/>
              <w:rPr>
                <w:rFonts w:ascii="times" w:hAnsi="times"/>
                <w:sz w:val="20"/>
              </w:rPr>
            </w:pPr>
            <w:r>
              <w:rPr>
                <w:rFonts w:ascii="times" w:hAnsi="times"/>
                <w:sz w:val="20"/>
              </w:rPr>
              <w:t>$</w:t>
            </w:r>
          </w:p>
        </w:tc>
        <w:tc>
          <w:tcPr>
            <w:tcW w:w="591" w:type="dxa"/>
            <w:tcBorders/>
            <w:shd w:fill="FFFFFF" w:val="clear"/>
          </w:tcPr>
          <w:p>
            <w:pPr>
              <w:pStyle w:val="TableContents"/>
              <w:spacing w:before="0" w:after="283"/>
              <w:jc w:val="right"/>
              <w:rPr>
                <w:rFonts w:ascii="times" w:hAnsi="times"/>
                <w:sz w:val="20"/>
              </w:rPr>
            </w:pPr>
            <w:r>
              <w:rPr>
                <w:rFonts w:ascii="times" w:hAnsi="times"/>
                <w:sz w:val="20"/>
              </w:rPr>
              <w:t>4</w:t>
            </w:r>
          </w:p>
        </w:tc>
        <w:tc>
          <w:tcPr>
            <w:tcW w:w="225" w:type="dxa"/>
            <w:tcBorders/>
            <w:shd w:fill="FFFFFF" w:val="clear"/>
          </w:tcPr>
          <w:p>
            <w:pPr>
              <w:pStyle w:val="TableContents"/>
              <w:spacing w:before="0" w:after="283"/>
              <w:rPr/>
            </w:pPr>
            <w:r>
              <w:rPr/>
              <w:t> </w:t>
            </w:r>
          </w:p>
        </w:tc>
        <w:tc>
          <w:tcPr>
            <w:tcW w:w="181" w:type="dxa"/>
            <w:tcBorders/>
            <w:shd w:fill="FFFFFF" w:val="clear"/>
          </w:tcPr>
          <w:p>
            <w:pPr>
              <w:pStyle w:val="TableContents"/>
              <w:spacing w:before="0" w:after="283"/>
              <w:jc w:val="right"/>
              <w:rPr>
                <w:rFonts w:ascii="times" w:hAnsi="times"/>
                <w:sz w:val="20"/>
              </w:rPr>
            </w:pPr>
            <w:r>
              <w:rPr>
                <w:rFonts w:ascii="times" w:hAnsi="times"/>
                <w:sz w:val="20"/>
              </w:rPr>
              <w:t>$</w:t>
            </w:r>
          </w:p>
        </w:tc>
        <w:tc>
          <w:tcPr>
            <w:tcW w:w="603" w:type="dxa"/>
            <w:tcBorders/>
            <w:shd w:fill="FFFFFF" w:val="clear"/>
          </w:tcPr>
          <w:p>
            <w:pPr>
              <w:pStyle w:val="TableContents"/>
              <w:spacing w:before="0" w:after="283"/>
              <w:jc w:val="right"/>
              <w:rPr>
                <w:rFonts w:ascii="times" w:hAnsi="times"/>
                <w:sz w:val="20"/>
              </w:rPr>
            </w:pPr>
            <w:r>
              <w:rPr>
                <w:rFonts w:ascii="times" w:hAnsi="times"/>
                <w:sz w:val="20"/>
              </w:rPr>
              <w:t>176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180</w:t>
            </w:r>
          </w:p>
        </w:tc>
        <w:tc>
          <w:tcPr>
            <w:tcW w:w="80" w:type="dxa"/>
            <w:tcBorders/>
            <w:shd w:fill="FFFFFF" w:val="clear"/>
          </w:tcPr>
          <w:p>
            <w:pPr>
              <w:pStyle w:val="TableContents"/>
              <w:spacing w:before="0" w:after="283"/>
              <w:rPr/>
            </w:pPr>
            <w:r>
              <w:rPr/>
              <w:t> </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Reclassification adjustments</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w:hAnsi="times"/>
                <w:sz w:val="20"/>
              </w:rPr>
            </w:pPr>
            <w:r>
              <w:rPr>
                <w:rFonts w:ascii="times" w:hAnsi="times"/>
                <w:sz w:val="20"/>
              </w:rPr>
              <w:t>46</w:t>
            </w:r>
          </w:p>
        </w:tc>
        <w:tc>
          <w:tcPr>
            <w:tcW w:w="225" w:type="dxa"/>
            <w:tcBorders/>
            <w:shd w:fill="CCEEFF" w:val="clear"/>
          </w:tcPr>
          <w:p>
            <w:pPr>
              <w:pStyle w:val="TableContents"/>
              <w:spacing w:before="0" w:after="283"/>
              <w:rPr/>
            </w:pPr>
            <w:r>
              <w:rPr/>
              <w:t> </w:t>
            </w:r>
          </w:p>
        </w:tc>
        <w:tc>
          <w:tcPr>
            <w:tcW w:w="181" w:type="dxa"/>
            <w:tcBorders/>
            <w:shd w:fill="CCEEFF" w:val="clear"/>
          </w:tcPr>
          <w:p>
            <w:pPr>
              <w:pStyle w:val="TableContents"/>
              <w:spacing w:before="0" w:after="283"/>
              <w:rPr/>
            </w:pPr>
            <w:r>
              <w:rPr/>
              <w:t> </w:t>
            </w:r>
          </w:p>
        </w:tc>
        <w:tc>
          <w:tcPr>
            <w:tcW w:w="603"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46</w:t>
            </w:r>
          </w:p>
        </w:tc>
        <w:tc>
          <w:tcPr>
            <w:tcW w:w="80" w:type="dxa"/>
            <w:tcBorders/>
            <w:shd w:fill="CCEEFF"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Changes in fair value of outstanding hedge positions</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91" w:type="dxa"/>
            <w:tcBorders/>
            <w:shd w:fill="FFFFFF" w:val="clear"/>
          </w:tcPr>
          <w:p>
            <w:pPr>
              <w:pStyle w:val="TableContents"/>
              <w:spacing w:before="0" w:after="283"/>
              <w:jc w:val="right"/>
              <w:rPr>
                <w:rFonts w:ascii="times" w:hAnsi="times"/>
                <w:sz w:val="20"/>
              </w:rPr>
            </w:pPr>
            <w:r>
              <w:rPr>
                <w:rFonts w:ascii="times" w:hAnsi="times"/>
                <w:sz w:val="20"/>
              </w:rPr>
              <w:t>(131</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81" w:type="dxa"/>
            <w:tcBorders/>
            <w:shd w:fill="FFFFFF" w:val="clear"/>
          </w:tcPr>
          <w:p>
            <w:pPr>
              <w:pStyle w:val="TableContents"/>
              <w:spacing w:before="0" w:after="283"/>
              <w:rPr/>
            </w:pPr>
            <w:r>
              <w:rPr/>
              <w:t> </w:t>
            </w:r>
          </w:p>
        </w:tc>
        <w:tc>
          <w:tcPr>
            <w:tcW w:w="603"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(131</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Deferred gains on settled hedges, net</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w:hAnsi="times"/>
                <w:sz w:val="20"/>
              </w:rPr>
            </w:pPr>
            <w:r>
              <w:rPr>
                <w:rFonts w:ascii="times" w:hAnsi="times"/>
                <w:sz w:val="20"/>
              </w:rPr>
              <w:t>242</w:t>
            </w:r>
          </w:p>
        </w:tc>
        <w:tc>
          <w:tcPr>
            <w:tcW w:w="225" w:type="dxa"/>
            <w:tcBorders/>
            <w:shd w:fill="CCEEFF" w:val="clear"/>
          </w:tcPr>
          <w:p>
            <w:pPr>
              <w:pStyle w:val="TableContents"/>
              <w:spacing w:before="0" w:after="283"/>
              <w:rPr/>
            </w:pPr>
            <w:r>
              <w:rPr/>
              <w:t> </w:t>
            </w:r>
          </w:p>
        </w:tc>
        <w:tc>
          <w:tcPr>
            <w:tcW w:w="181" w:type="dxa"/>
            <w:tcBorders/>
            <w:shd w:fill="CCEEFF" w:val="clear"/>
          </w:tcPr>
          <w:p>
            <w:pPr>
              <w:pStyle w:val="TableContents"/>
              <w:spacing w:before="0" w:after="283"/>
              <w:rPr/>
            </w:pPr>
            <w:r>
              <w:rPr/>
              <w:t> </w:t>
            </w:r>
          </w:p>
        </w:tc>
        <w:tc>
          <w:tcPr>
            <w:tcW w:w="603"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242</w:t>
            </w:r>
          </w:p>
        </w:tc>
        <w:tc>
          <w:tcPr>
            <w:tcW w:w="80" w:type="dxa"/>
            <w:tcBorders/>
            <w:shd w:fill="CCEEFF"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Currency translation adjustment</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91"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81" w:type="dxa"/>
            <w:tcBorders/>
            <w:shd w:fill="FFFFFF" w:val="clear"/>
          </w:tcPr>
          <w:p>
            <w:pPr>
              <w:pStyle w:val="TableContents"/>
              <w:spacing w:before="0" w:after="283"/>
              <w:rPr/>
            </w:pPr>
            <w:r>
              <w:rPr/>
              <w:t> </w:t>
            </w:r>
          </w:p>
        </w:tc>
        <w:tc>
          <w:tcPr>
            <w:tcW w:w="603" w:type="dxa"/>
            <w:tcBorders/>
            <w:shd w:fill="FFFFFF" w:val="clear"/>
          </w:tcPr>
          <w:p>
            <w:pPr>
              <w:pStyle w:val="TableContents"/>
              <w:spacing w:before="0" w:after="283"/>
              <w:jc w:val="right"/>
              <w:rPr>
                <w:rFonts w:ascii="times" w:hAnsi="times"/>
                <w:sz w:val="20"/>
              </w:rPr>
            </w:pPr>
            <w:r>
              <w:rPr>
                <w:rFonts w:ascii="times" w:hAnsi="times"/>
                <w:sz w:val="20"/>
              </w:rPr>
              <w:t>(262</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(262</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515" w:type="dxa"/>
            <w:tcBorders/>
            <w:shd w:fill="CCEEFF" w:val="clear"/>
          </w:tcPr>
          <w:p>
            <w:pPr>
              <w:pStyle w:val="TableContents"/>
              <w:spacing w:before="0" w:after="283"/>
              <w:ind w:left="200" w:right="0" w:hanging="200"/>
              <w:rPr>
                <w:rFonts w:ascii="times" w:hAnsi="times"/>
                <w:sz w:val="20"/>
              </w:rPr>
            </w:pPr>
            <w:r>
              <w:rPr>
                <w:rFonts w:ascii="times" w:hAnsi="times"/>
                <w:sz w:val="20"/>
              </w:rPr>
              <w:t>2008 Activity</w:t>
            </w:r>
          </w:p>
        </w:tc>
        <w:tc>
          <w:tcPr>
            <w:tcW w:w="180"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w:hAnsi="times"/>
                <w:sz w:val="20"/>
              </w:rPr>
            </w:pPr>
            <w:r>
              <w:rPr>
                <w:rFonts w:ascii="times" w:hAnsi="times"/>
                <w:sz w:val="20"/>
              </w:rPr>
              <w:t>157</w:t>
            </w:r>
          </w:p>
        </w:tc>
        <w:tc>
          <w:tcPr>
            <w:tcW w:w="225" w:type="dxa"/>
            <w:tcBorders/>
            <w:shd w:fill="CCEEFF" w:val="clear"/>
          </w:tcPr>
          <w:p>
            <w:pPr>
              <w:pStyle w:val="TableContents"/>
              <w:spacing w:before="0" w:after="283"/>
              <w:rPr/>
            </w:pPr>
            <w:r>
              <w:rPr/>
              <w:t> </w:t>
            </w:r>
          </w:p>
        </w:tc>
        <w:tc>
          <w:tcPr>
            <w:tcW w:w="181" w:type="dxa"/>
            <w:tcBorders/>
            <w:shd w:fill="CCEEFF" w:val="clear"/>
          </w:tcPr>
          <w:p>
            <w:pPr>
              <w:pStyle w:val="TableContents"/>
              <w:spacing w:before="0" w:after="283"/>
              <w:rPr/>
            </w:pPr>
            <w:r>
              <w:rPr/>
              <w:t> </w:t>
            </w:r>
          </w:p>
        </w:tc>
        <w:tc>
          <w:tcPr>
            <w:tcW w:w="603" w:type="dxa"/>
            <w:tcBorders/>
            <w:shd w:fill="CCEEFF" w:val="clear"/>
          </w:tcPr>
          <w:p>
            <w:pPr>
              <w:pStyle w:val="TableContents"/>
              <w:spacing w:before="0" w:after="283"/>
              <w:jc w:val="right"/>
              <w:rPr>
                <w:rFonts w:ascii="times" w:hAnsi="times"/>
                <w:sz w:val="20"/>
              </w:rPr>
            </w:pPr>
            <w:r>
              <w:rPr>
                <w:rFonts w:ascii="times" w:hAnsi="times"/>
                <w:sz w:val="20"/>
              </w:rPr>
              <w:t>(262</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(105</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Balance at December 31, 2008</w:t>
            </w:r>
          </w:p>
        </w:tc>
        <w:tc>
          <w:tcPr>
            <w:tcW w:w="180"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jc w:val="right"/>
              <w:rPr>
                <w:rFonts w:ascii="times" w:hAnsi="times"/>
                <w:sz w:val="20"/>
              </w:rPr>
            </w:pPr>
            <w:r>
              <w:rPr>
                <w:rFonts w:ascii="times" w:hAnsi="times"/>
                <w:sz w:val="20"/>
              </w:rPr>
              <w:t>$</w:t>
            </w:r>
          </w:p>
        </w:tc>
        <w:tc>
          <w:tcPr>
            <w:tcW w:w="591" w:type="dxa"/>
            <w:tcBorders/>
            <w:shd w:fill="FFFFFF" w:val="clear"/>
          </w:tcPr>
          <w:p>
            <w:pPr>
              <w:pStyle w:val="TableContents"/>
              <w:spacing w:before="0" w:after="283"/>
              <w:jc w:val="right"/>
              <w:rPr>
                <w:rFonts w:ascii="times" w:hAnsi="times"/>
                <w:sz w:val="20"/>
              </w:rPr>
            </w:pPr>
            <w:r>
              <w:rPr>
                <w:rFonts w:ascii="times" w:hAnsi="times"/>
                <w:sz w:val="20"/>
              </w:rPr>
              <w:t>161</w:t>
            </w:r>
          </w:p>
        </w:tc>
        <w:tc>
          <w:tcPr>
            <w:tcW w:w="225" w:type="dxa"/>
            <w:tcBorders/>
            <w:shd w:fill="FFFFFF" w:val="clear"/>
          </w:tcPr>
          <w:p>
            <w:pPr>
              <w:pStyle w:val="TableContents"/>
              <w:spacing w:before="0" w:after="283"/>
              <w:rPr/>
            </w:pPr>
            <w:r>
              <w:rPr/>
              <w:t> </w:t>
            </w:r>
          </w:p>
        </w:tc>
        <w:tc>
          <w:tcPr>
            <w:tcW w:w="181" w:type="dxa"/>
            <w:tcBorders/>
            <w:shd w:fill="FFFFFF" w:val="clear"/>
          </w:tcPr>
          <w:p>
            <w:pPr>
              <w:pStyle w:val="TableContents"/>
              <w:spacing w:before="0" w:after="283"/>
              <w:jc w:val="right"/>
              <w:rPr>
                <w:rFonts w:ascii="times" w:hAnsi="times"/>
                <w:sz w:val="20"/>
              </w:rPr>
            </w:pPr>
            <w:r>
              <w:rPr>
                <w:rFonts w:ascii="times" w:hAnsi="times"/>
                <w:sz w:val="20"/>
              </w:rPr>
              <w:t>$</w:t>
            </w:r>
          </w:p>
        </w:tc>
        <w:tc>
          <w:tcPr>
            <w:tcW w:w="603" w:type="dxa"/>
            <w:tcBorders/>
            <w:shd w:fill="FFFFFF" w:val="clear"/>
          </w:tcPr>
          <w:p>
            <w:pPr>
              <w:pStyle w:val="TableContents"/>
              <w:spacing w:before="0" w:after="283"/>
              <w:jc w:val="right"/>
              <w:rPr>
                <w:rFonts w:ascii="times" w:hAnsi="times"/>
                <w:sz w:val="20"/>
              </w:rPr>
            </w:pPr>
            <w:r>
              <w:rPr>
                <w:rFonts w:ascii="times" w:hAnsi="times"/>
                <w:sz w:val="20"/>
              </w:rPr>
              <w:t>(86</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t>75</w:t>
            </w:r>
          </w:p>
        </w:tc>
        <w:tc>
          <w:tcPr>
            <w:tcW w:w="80" w:type="dxa"/>
            <w:tcBorders/>
            <w:shd w:fill="FFFFFF" w:val="clear"/>
          </w:tcPr>
          <w:p>
            <w:pPr>
              <w:pStyle w:val="TableContents"/>
              <w:spacing w:before="0" w:after="283"/>
              <w:rPr/>
            </w:pPr>
            <w:r>
              <w:rPr/>
              <w:t> </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6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8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 xml:space="preserve">The accompanying notes are an integral part of these consolidated financial statements. </w:t>
      </w:r>
    </w:p>
    <w:p>
      <w:pPr>
        <w:pStyle w:val="TextBody"/>
        <w:jc w:val="center"/>
        <w:rPr>
          <w:rFonts w:ascii="times" w:hAnsi="times"/>
          <w:sz w:val="20"/>
        </w:rPr>
      </w:pPr>
      <w:r>
        <w:rPr>
          <w:rFonts w:ascii="times" w:hAnsi="times"/>
          <w:sz w:val="20"/>
        </w:rPr>
        <w:t>F-8</w:t>
      </w:r>
    </w:p>
    <w:p>
      <w:pPr>
        <w:pStyle w:val="HorizontalLine"/>
        <w:pBdr>
          <w:bottom w:val="single" w:sz="20" w:space="0" w:color="808080"/>
        </w:pBdr>
        <w:rPr/>
      </w:pPr>
      <w:r>
        <w:rPr/>
      </w:r>
      <w:r>
        <w:br w:type="page"/>
      </w:r>
    </w:p>
    <w:p>
      <w:pPr>
        <w:pStyle w:val="TextBody"/>
        <w:rPr/>
      </w:pPr>
      <w:hyperlink w:anchor="bg12101a_main_toc">
        <w:bookmarkStart w:id="240" w:name="page_fo12101_1_9"/>
        <w:bookmarkEnd w:id="24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241" w:name="toc_fo12101_1"/>
      <w:bookmarkStart w:id="242" w:name="fo12101_plains_all_american_pipeline,___"/>
      <w:bookmarkEnd w:id="241"/>
      <w:bookmarkEnd w:id="242"/>
      <w:r>
        <w:rPr>
          <w:rFonts w:ascii="times" w:hAnsi="times"/>
          <w:b/>
          <w:sz w:val="20"/>
        </w:rPr>
        <w:br/>
        <w:t xml:space="preserve">PLAINS ALL AMERICAN PIPELINE, L.P. AND SUBSIDIARIES </w:t>
        <w:br/>
        <w:br/>
        <w:t xml:space="preserve">NOTES TO THE CONSOLIDATED FINANCIAL STATEMENTS </w:t>
      </w:r>
    </w:p>
    <w:p>
      <w:pPr>
        <w:pStyle w:val="TextBody"/>
        <w:rPr>
          <w:rFonts w:ascii="times" w:hAnsi="times"/>
          <w:b/>
          <w:sz w:val="20"/>
        </w:rPr>
      </w:pPr>
      <w:r>
        <w:rPr>
          <w:rFonts w:ascii="times" w:hAnsi="times"/>
          <w:b/>
          <w:sz w:val="20"/>
        </w:rPr>
        <w:t xml:space="preserve">Note 1Organization and Basis of Presentation </w:t>
      </w:r>
    </w:p>
    <w:p>
      <w:pPr>
        <w:pStyle w:val="TextBody"/>
        <w:rPr>
          <w:rFonts w:ascii="times" w:hAnsi="times"/>
          <w:b/>
          <w:i/>
          <w:sz w:val="20"/>
        </w:rPr>
      </w:pPr>
      <w:r>
        <w:rPr>
          <w:rFonts w:ascii="times" w:hAnsi="times"/>
          <w:b/>
          <w:i/>
          <w:sz w:val="20"/>
        </w:rPr>
        <w:t xml:space="preserve">Organization </w:t>
      </w:r>
    </w:p>
    <w:p>
      <w:pPr>
        <w:pStyle w:val="TextBody"/>
        <w:rPr/>
      </w:pPr>
      <w:r>
        <w:rPr/>
        <w:t>        </w:t>
      </w:r>
      <w:r>
        <w:rPr>
          <w:rFonts w:ascii="times" w:hAnsi="times"/>
          <w:sz w:val="20"/>
        </w:rPr>
        <w:t xml:space="preserve">Plains All American Pipeline, L.P. is a Delaware limited partnership formed in 1998. Our operations are conducted directly and indirectly through our primary operating subsidiaries. As used in this Form 10-K, the terms "Partnership," "Plains," "we," "us," "our," "ours" and similar terms refer to Plains All American Pipeline, L.P. and its subsidiaries, unless the context indicates otherwise. </w:t>
      </w:r>
    </w:p>
    <w:p>
      <w:pPr>
        <w:pStyle w:val="TextBody"/>
        <w:rPr/>
      </w:pPr>
      <w:r>
        <w:rPr/>
        <w:t>        </w:t>
      </w:r>
      <w:r>
        <w:rPr>
          <w:rFonts w:ascii="times" w:hAnsi="times"/>
          <w:sz w:val="20"/>
        </w:rPr>
        <w:t xml:space="preserve">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Through our 50% equity ownership in PAA/Vulcan Gas Storage, LLC ("PAA/Vulcan"), we are also involved in the development and operation of natural gas storage facilities. We manage our operations through three operating segments: (i) Transportation, (ii) Facilities and (iii) Marketing. See Note 15. </w:t>
      </w:r>
    </w:p>
    <w:p>
      <w:pPr>
        <w:pStyle w:val="TextBody"/>
        <w:rPr/>
      </w:pPr>
      <w:r>
        <w:rPr/>
        <w:t>        </w:t>
      </w:r>
      <w:r>
        <w:rPr>
          <w:rFonts w:ascii="times" w:hAnsi="times"/>
          <w:sz w:val="20"/>
        </w:rPr>
        <w:t xml:space="preserve">Our 2% general partner interest is held by PAA GP LLC, a Delaware limited liability company, whose sole member is Plains AAP, L.P., a Delaware limited partnership. Plains All American GP LLC, a Delaware limited liability company, is Plains AAP, L.P.'s general partner. Plains All American GP LLC manages our operations and activities and employs our domestic officers and personnel. Our Canadian officers and personnel are employed by our subsidiary PMC (Nova Scotia) Company, the general partner of Plains Marketing Canada, L.P. References to our "general partner," as the context requires, include any or all of PAA GP LLC, Plains AAP, L.P. and Plains All American GP LLC. Plains AAP, L.P. and Plains All American GP LLC are essentially held by 17 owners with interests ranging from approximately 50% to less than 1%. </w:t>
      </w:r>
    </w:p>
    <w:p>
      <w:pPr>
        <w:pStyle w:val="TextBody"/>
        <w:rPr>
          <w:rFonts w:ascii="times" w:hAnsi="times"/>
          <w:b/>
          <w:i/>
          <w:sz w:val="20"/>
        </w:rPr>
      </w:pPr>
      <w:r>
        <w:rPr>
          <w:rFonts w:ascii="times" w:hAnsi="times"/>
          <w:b/>
          <w:i/>
          <w:sz w:val="20"/>
        </w:rPr>
        <w:t xml:space="preserve">Basis of Consolidation and Presentation </w:t>
      </w:r>
    </w:p>
    <w:p>
      <w:pPr>
        <w:pStyle w:val="TextBody"/>
        <w:rPr/>
      </w:pPr>
      <w:r>
        <w:rPr/>
        <w:t>        </w:t>
      </w:r>
      <w:r>
        <w:rPr>
          <w:rFonts w:ascii="times" w:hAnsi="times"/>
          <w:sz w:val="20"/>
        </w:rPr>
        <w:t xml:space="preserve">The accompanying financial statements and related notes present our consolidated financial position as of December 31, 2008 and 2007, and the consolidated results of our operations, cash flows, changes in partners' capital, comprehensive income and changes in accumulated other comprehensive income for the years ended December 31, 2008, 2007 and 2006. All significant intercompany transactions have been eliminated. Certain reclassifications have been made to the previous years to conform to the 2008 presentation. These reclassifications do not affect net income. The accompanying consolidated financial statements include Plains and all of its wholly owned subsidiaries. Investments in entities over which we have significant influence but not control are accounted for by the equity method. We evaluate our equity investments for impairment in accordance with Accounting Principles Board Opinion No. 18, "The Equity Method of Accounting for Investments in Common Stock" ("APB 18"). An impairment of an equity investment results when factors indicate that the investment's fair value is less than its carrying value and the reduction in value is other than temporary in nature. </w:t>
      </w:r>
    </w:p>
    <w:p>
      <w:pPr>
        <w:pStyle w:val="TextBody"/>
        <w:rPr>
          <w:rFonts w:ascii="times" w:hAnsi="times"/>
          <w:b/>
          <w:i/>
          <w:sz w:val="20"/>
        </w:rPr>
      </w:pPr>
      <w:r>
        <w:rPr>
          <w:rFonts w:ascii="times" w:hAnsi="times"/>
          <w:b/>
          <w:i/>
          <w:sz w:val="20"/>
        </w:rPr>
        <w:t xml:space="preserve">Changes in Accounting Principles </w:t>
      </w:r>
    </w:p>
    <w:p>
      <w:pPr>
        <w:pStyle w:val="TextBody"/>
        <w:rPr/>
      </w:pPr>
      <w:r>
        <w:rPr/>
        <w:t>        </w:t>
      </w:r>
      <w:r>
        <w:rPr>
          <w:rFonts w:ascii="times" w:hAnsi="times"/>
          <w:i/>
          <w:sz w:val="20"/>
        </w:rPr>
        <w:t>Stock-Based Compensation.</w:t>
      </w:r>
      <w:r>
        <w:rPr>
          <w:rFonts w:ascii="times" w:hAnsi="times"/>
        </w:rPr>
        <w:t>    </w:t>
      </w:r>
      <w:r>
        <w:rPr>
          <w:rFonts w:ascii="times" w:hAnsi="times"/>
          <w:sz w:val="20"/>
        </w:rPr>
        <w:t xml:space="preserve">In December 2004, Statement of Financial Accounting Standards ("SFAS") No. 123 (revised 2004), "Share-Based Payment" ("SFAS 123(R)") was issued, which amended SFAS No. 123, "Accounting for Stock-Based Compensation," and established accounting for transactions in which an entity exchanges its equity instruments for goods or services. This statement requires that the cost resulting from such share-based payment transactions be recognized in the financial statements at fair value. Following our general partner's adoption of Emerging Issues Task Force Issue No. 04-05, "Determining Whether a General Partner, or the General Partners as a Group, </w:t>
      </w:r>
    </w:p>
    <w:p>
      <w:pPr>
        <w:pStyle w:val="TextBody"/>
        <w:jc w:val="center"/>
        <w:rPr>
          <w:rFonts w:ascii="times" w:hAnsi="times"/>
          <w:sz w:val="20"/>
        </w:rPr>
      </w:pPr>
      <w:r>
        <w:rPr>
          <w:rFonts w:ascii="times" w:hAnsi="times"/>
          <w:sz w:val="20"/>
        </w:rPr>
        <w:t>F-9</w:t>
      </w:r>
    </w:p>
    <w:p>
      <w:pPr>
        <w:pStyle w:val="HorizontalLine"/>
        <w:pBdr>
          <w:bottom w:val="single" w:sz="20" w:space="0" w:color="808080"/>
        </w:pBdr>
        <w:rPr/>
      </w:pPr>
      <w:r>
        <w:rPr/>
      </w:r>
      <w:r>
        <w:br w:type="page"/>
      </w:r>
    </w:p>
    <w:p>
      <w:pPr>
        <w:pStyle w:val="TextBody"/>
        <w:rPr/>
      </w:pPr>
      <w:hyperlink w:anchor="bg12101a_main_toc">
        <w:bookmarkStart w:id="243" w:name="page_fo12101_1_10"/>
        <w:bookmarkEnd w:id="24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1Organization and Basis of Presentation (Continued) </w:t>
      </w:r>
    </w:p>
    <w:p>
      <w:pPr>
        <w:pStyle w:val="TextBody"/>
        <w:rPr>
          <w:rFonts w:ascii="times" w:hAnsi="times"/>
          <w:sz w:val="20"/>
        </w:rPr>
      </w:pPr>
      <w:r>
        <w:rPr>
          <w:rFonts w:ascii="times" w:hAnsi="times"/>
          <w:sz w:val="20"/>
        </w:rPr>
        <w:t xml:space="preserve">Controls a Limited Partnership or Similar Entity When the Limited Partners Have Certain Rights," we are now part of the same consolidated group and thus SFAS 123(R) is applicable to our general partner's long-term incentive plan. We adopted SFAS 123(R) on January 1, 2006 under the modified prospective transition method, as defined in SFAS 123(R), and recognized a gain of approximately $6 million related to the cumulative effect of change in accounting principle. The cumulative effect adjustment represents a decrease to our LTIP life-to-date accrued expense and related liability under our previous cash-plan, probability-based accounting model and adjusts our aggregate liability to the appropriate fair value-based liability as calculated under a SFAS 123(R) methodology. Our LTIPs are administered by our general partner. We are required to reimburse all costs incurred by our general partner related to LTIP settlements. Our LTIP awards are classified as liabilities under SFAS 123(R) as the awards are primarily paid in cash. </w:t>
      </w:r>
    </w:p>
    <w:p>
      <w:pPr>
        <w:pStyle w:val="TextBody"/>
        <w:rPr/>
      </w:pPr>
      <w:r>
        <w:rPr/>
        <w:t>        </w:t>
      </w:r>
      <w:r>
        <w:rPr>
          <w:rFonts w:ascii="times" w:hAnsi="times"/>
          <w:i/>
          <w:sz w:val="20"/>
        </w:rPr>
        <w:t>Purchases and Sales of Inventory with the Same Counterparty.</w:t>
      </w:r>
      <w:r>
        <w:rPr>
          <w:rFonts w:ascii="times" w:hAnsi="times"/>
        </w:rPr>
        <w:t>    </w:t>
      </w:r>
      <w:r>
        <w:rPr>
          <w:rFonts w:ascii="times" w:hAnsi="times"/>
          <w:sz w:val="20"/>
        </w:rPr>
        <w:t xml:space="preserve">In September 2005, the Emerging Issues Task Force ("EITF") issued Issue No. 04-13 ("EITF 04-13"), "Accounting for Purchases and Sales of Inventory with the Same Counterparty." EITF 04-13 requires that inventory purchase and sale transactions with the same counterparty should be combined for accounting purposes if they were entered into in contemplation of each other. EITF 04-13 includes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became effective for reporting periods beginning after March 15, 2006. </w:t>
      </w:r>
    </w:p>
    <w:p>
      <w:pPr>
        <w:pStyle w:val="TextBody"/>
        <w:rPr/>
      </w:pPr>
      <w:r>
        <w:rPr/>
        <w:t>        </w:t>
      </w:r>
      <w:r>
        <w:rPr>
          <w:rFonts w:ascii="times" w:hAnsi="times"/>
          <w:sz w:val="20"/>
        </w:rPr>
        <w:t xml:space="preserve">We adopted EITF 04-13 on April 1, 2006. The adoption of EITF 04-13 resulted in inventory purchases and sales under buy/sell transactions, which historically would have been recorded gross as purchases and sales, to be treated as inventory exchanges in our consolidated statements of operations. In conformity with EITF 04-13, prior periods are not affected, although we have parenthetically disclosed prior period buy/sell transactions in our consolidated statements of operations. The treatment of buy/sell transactions under EITF 04-13 reduces both revenues and purchases and related costs on our income statement but does not impact our financial position, net income or liquidity. </w:t>
      </w:r>
    </w:p>
    <w:p>
      <w:pPr>
        <w:pStyle w:val="TextBody"/>
        <w:rPr>
          <w:rFonts w:ascii="times" w:hAnsi="times"/>
          <w:b/>
          <w:sz w:val="20"/>
        </w:rPr>
      </w:pPr>
      <w:r>
        <w:rPr>
          <w:rFonts w:ascii="times" w:hAnsi="times"/>
          <w:b/>
          <w:sz w:val="20"/>
        </w:rPr>
        <w:t xml:space="preserve">Note 2Summary of Significant Accounting Policies </w:t>
      </w:r>
    </w:p>
    <w:p>
      <w:pPr>
        <w:pStyle w:val="TextBody"/>
        <w:rPr>
          <w:rFonts w:ascii="times" w:hAnsi="times"/>
          <w:b/>
          <w:i/>
          <w:sz w:val="20"/>
        </w:rPr>
      </w:pPr>
      <w:r>
        <w:rPr>
          <w:rFonts w:ascii="times" w:hAnsi="times"/>
          <w:b/>
          <w:i/>
          <w:sz w:val="20"/>
        </w:rPr>
        <w:t xml:space="preserve">Use of Estimates </w:t>
      </w:r>
    </w:p>
    <w:p>
      <w:pPr>
        <w:pStyle w:val="TextBody"/>
        <w:rPr/>
      </w:pPr>
      <w:r>
        <w:rPr/>
        <w:t>        </w:t>
      </w:r>
      <w:r>
        <w:rPr>
          <w:rFonts w:ascii="times" w:hAnsi="times"/>
          <w:sz w:val="20"/>
        </w:rPr>
        <w:t xml:space="preserve">The preparation of financial statements in conformity with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accruals related to purchases and sales, (ii) mark-to-market gains and losses pursuant to SFAS No. 133, "Accounting For Derivative Instruments and Hedging Activities," as amended ("SFAS 133"), and SFAS No. 157, "Fair Value Measurements" ("SFAS 157"), (iii) accruals and contingent liabilities, (iv) estimated fair value of assets and liabilities acquired and identification of associated goodwill and intangible assets, (v) accruals related to our equity compensation plans and (vi) property, plant and equipment and depreciation expense. Although we believe these estimates are reasonable, actual results could differ from these estimates. </w:t>
      </w:r>
    </w:p>
    <w:p>
      <w:pPr>
        <w:pStyle w:val="TextBody"/>
        <w:jc w:val="center"/>
        <w:rPr>
          <w:rFonts w:ascii="times" w:hAnsi="times"/>
          <w:sz w:val="20"/>
        </w:rPr>
      </w:pPr>
      <w:r>
        <w:rPr>
          <w:rFonts w:ascii="times" w:hAnsi="times"/>
          <w:sz w:val="20"/>
        </w:rPr>
        <w:t>F-10</w:t>
      </w:r>
    </w:p>
    <w:p>
      <w:pPr>
        <w:pStyle w:val="HorizontalLine"/>
        <w:pBdr>
          <w:bottom w:val="single" w:sz="20" w:space="0" w:color="808080"/>
        </w:pBdr>
        <w:rPr/>
      </w:pPr>
      <w:r>
        <w:rPr/>
      </w:r>
      <w:r>
        <w:br w:type="page"/>
      </w:r>
    </w:p>
    <w:p>
      <w:pPr>
        <w:pStyle w:val="TextBody"/>
        <w:rPr/>
      </w:pPr>
      <w:hyperlink w:anchor="bg12101a_main_toc">
        <w:bookmarkStart w:id="244" w:name="page_fo12101_1_11"/>
        <w:bookmarkEnd w:id="24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rFonts w:ascii="times" w:hAnsi="times"/>
          <w:b/>
          <w:i/>
          <w:sz w:val="20"/>
        </w:rPr>
      </w:pPr>
      <w:r>
        <w:rPr>
          <w:rFonts w:ascii="times" w:hAnsi="times"/>
          <w:b/>
          <w:i/>
          <w:sz w:val="20"/>
        </w:rPr>
        <w:t xml:space="preserve">Revenue Recognition </w:t>
      </w:r>
    </w:p>
    <w:p>
      <w:pPr>
        <w:pStyle w:val="TextBody"/>
        <w:rPr/>
      </w:pPr>
      <w:r>
        <w:rPr/>
        <w:t>        </w:t>
      </w:r>
      <w:r>
        <w:rPr>
          <w:rFonts w:ascii="times" w:hAnsi="times"/>
          <w:i/>
          <w:sz w:val="20"/>
        </w:rPr>
        <w:t>Transportation Segment Revenues.</w:t>
      </w:r>
      <w:r>
        <w:rPr>
          <w:rFonts w:ascii="times" w:hAnsi="times"/>
        </w:rPr>
        <w:t>    </w:t>
      </w:r>
      <w:r>
        <w:rPr>
          <w:rFonts w:ascii="times" w:hAnsi="times"/>
          <w:sz w:val="20"/>
        </w:rPr>
        <w:t xml:space="preserve">Revenues from pipeline tariffs and fees are associated with the transportation of crude oil and refined products at a published tariff as well as revenues associated with line leases for committed space on a particular system that may or may not be utilized. Tariff revenues are recognized either at the point of delivery or at the point of receipt pursuant to specifications outlined in the regulated and non-regulated tariffs. Revenues associated with line-lease fees are recognized in the month to which the lease applies, whether or not the space is actually utilized and are subject to make up rights for take or pay arrangements. All pipeline tariff and fee revenues are based on actual volumes and rates.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 </w:t>
      </w:r>
    </w:p>
    <w:p>
      <w:pPr>
        <w:pStyle w:val="TextBody"/>
        <w:rPr/>
      </w:pPr>
      <w:r>
        <w:rPr/>
        <w:t>        </w:t>
      </w:r>
      <w:r>
        <w:rPr>
          <w:rFonts w:ascii="times" w:hAnsi="times"/>
          <w:i/>
          <w:sz w:val="20"/>
        </w:rPr>
        <w:t>Facilities Segment Revenues.</w:t>
      </w:r>
      <w:r>
        <w:rPr>
          <w:rFonts w:ascii="times" w:hAnsi="times"/>
        </w:rPr>
        <w:t>    </w:t>
      </w:r>
      <w:r>
        <w:rPr>
          <w:rFonts w:ascii="times" w:hAnsi="times"/>
          <w:sz w:val="20"/>
        </w:rPr>
        <w:t xml:space="preserve">Storage and terminalling revenues consist of (i) storage fees from actual storage used on a month-to-month basis; (ii) storage fees resulting from short-term and long-term contracts for committed space that may or may not be utilized by the customer in a given month; and (iii) terminal throughput charges to pump to connecting carriers. Revenues from storage are recognized ratably over the term of the contract. Terminal throughput charges are recognized as the crude oil, LPG or refined product exits the terminal and is delivered to the connecting carrier or third-party terminal. All terminalling and storage revenues are based on actual volumes and rates. In addition, we have certain agreements that require counterparties to throughput a minimum volume over an agreed upon period. Revenue is recognized at the latter of when the volume exits the terminal or when the counterparty's ability to make up the minimum volume has expired. </w:t>
      </w:r>
    </w:p>
    <w:p>
      <w:pPr>
        <w:pStyle w:val="TextBody"/>
        <w:rPr/>
      </w:pPr>
      <w:r>
        <w:rPr/>
        <w:t>        </w:t>
      </w:r>
      <w:r>
        <w:rPr>
          <w:rFonts w:ascii="times" w:hAnsi="times"/>
          <w:i/>
          <w:sz w:val="20"/>
        </w:rPr>
        <w:t>Marketing Segment Revenues.</w:t>
      </w:r>
      <w:r>
        <w:rPr>
          <w:rFonts w:ascii="times" w:hAnsi="times"/>
        </w:rPr>
        <w:t>    </w:t>
      </w:r>
      <w:r>
        <w:rPr>
          <w:rFonts w:ascii="times" w:hAnsi="times"/>
          <w:sz w:val="20"/>
        </w:rPr>
        <w:t xml:space="preserve">Revenues from sales of crude oil, LPG and refined products are recognized at the time title to the product sold transfers to the purchaser, which occurs upon delivery of the product to the purchaser or its designee. Sales of crude oil, LPG and refined products consist of outright sales contracts and buy/sell arrangements as well as exchanges. </w:t>
      </w:r>
    </w:p>
    <w:p>
      <w:pPr>
        <w:pStyle w:val="TextBody"/>
        <w:rPr/>
      </w:pPr>
      <w:r>
        <w:rPr/>
        <w:t>        </w:t>
      </w:r>
      <w:r>
        <w:rPr>
          <w:rFonts w:ascii="times" w:hAnsi="times"/>
          <w:sz w:val="20"/>
        </w:rPr>
        <w:t xml:space="preserve">The adoption of EITF 04-13 resulted in inventory purchases and sales under buy/sell transactions, which historically would have been recorded gross as purchases and sales, to be treated as inventory exchanges in our consolidated statements of operations. See Note 1 for further discussion. </w:t>
      </w:r>
    </w:p>
    <w:p>
      <w:pPr>
        <w:pStyle w:val="TextBody"/>
        <w:rPr>
          <w:rFonts w:ascii="times" w:hAnsi="times"/>
          <w:b/>
          <w:i/>
          <w:sz w:val="20"/>
        </w:rPr>
      </w:pPr>
      <w:r>
        <w:rPr>
          <w:rFonts w:ascii="times" w:hAnsi="times"/>
          <w:b/>
          <w:i/>
          <w:sz w:val="20"/>
        </w:rPr>
        <w:t xml:space="preserve">Purchases and Related Costs </w:t>
      </w:r>
    </w:p>
    <w:p>
      <w:pPr>
        <w:pStyle w:val="TextBody"/>
        <w:rPr/>
      </w:pPr>
      <w:r>
        <w:rPr/>
        <w:t>        </w:t>
      </w:r>
      <w:r>
        <w:rPr>
          <w:rFonts w:ascii="times" w:hAnsi="times"/>
          <w:sz w:val="20"/>
        </w:rPr>
        <w:t xml:space="preserve">Purchases and related costs include: (i) the cost of crude oil, LPG and refined products purchased in outright purchases as well as buy/sell arrangements prior to the adoption of EITF 04-13; (ii) third-party transportation and storage, whether by pipeline, truck or barge; (iii) interest cost attributable to borrowings for inventory stored in a contango market; (iv) performance-related bonus accruals; and (v) expenses of issuing letters of credit to support these purchases. These costs are recognized when incurred except in the case of products purchased, which are recognized at the time title transfers to us. </w:t>
      </w:r>
    </w:p>
    <w:p>
      <w:pPr>
        <w:pStyle w:val="TextBody"/>
        <w:jc w:val="center"/>
        <w:rPr>
          <w:rFonts w:ascii="times" w:hAnsi="times"/>
          <w:sz w:val="20"/>
        </w:rPr>
      </w:pPr>
      <w:r>
        <w:rPr>
          <w:rFonts w:ascii="times" w:hAnsi="times"/>
          <w:sz w:val="20"/>
        </w:rPr>
        <w:t>F-11</w:t>
      </w:r>
    </w:p>
    <w:p>
      <w:pPr>
        <w:pStyle w:val="HorizontalLine"/>
        <w:pBdr>
          <w:bottom w:val="single" w:sz="20" w:space="0" w:color="808080"/>
        </w:pBdr>
        <w:rPr/>
      </w:pPr>
      <w:r>
        <w:rPr/>
      </w:r>
      <w:r>
        <w:br w:type="page"/>
      </w:r>
    </w:p>
    <w:p>
      <w:pPr>
        <w:pStyle w:val="TextBody"/>
        <w:rPr/>
      </w:pPr>
      <w:hyperlink w:anchor="bg12101a_main_toc">
        <w:bookmarkStart w:id="245" w:name="page_fo12101_1_12"/>
        <w:bookmarkEnd w:id="24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rFonts w:ascii="times" w:hAnsi="times"/>
          <w:b/>
          <w:i/>
          <w:sz w:val="20"/>
        </w:rPr>
      </w:pPr>
      <w:r>
        <w:rPr>
          <w:rFonts w:ascii="times" w:hAnsi="times"/>
          <w:b/>
          <w:i/>
          <w:sz w:val="20"/>
        </w:rPr>
        <w:t xml:space="preserve">Field Operating Costs and General and Administrative Expenses </w:t>
      </w:r>
    </w:p>
    <w:p>
      <w:pPr>
        <w:pStyle w:val="TextBody"/>
        <w:rPr/>
      </w:pPr>
      <w:r>
        <w:rPr/>
        <w:t>        </w:t>
      </w:r>
      <w:r>
        <w:rPr>
          <w:rFonts w:ascii="times" w:hAnsi="times"/>
          <w:sz w:val="20"/>
        </w:rPr>
        <w:t xml:space="preserve">Field operating costs consist of various field and pipeline operating expenses, including fuel and power costs, telecommunications, payroll and benefit costs (including equity compensation expense) for truck drivers and pipeline field personnel, maintenance costs, regulatory compliance, environmental remediation, insurance, vehicle leases, and property taxes. General and administrative expenses consist primarily of payroll and benefit costs (including equity compensation expense), certain information system and legal costs, office rent, contract and consultant costs, and audit and tax fees. </w:t>
      </w:r>
    </w:p>
    <w:p>
      <w:pPr>
        <w:pStyle w:val="TextBody"/>
        <w:rPr>
          <w:rFonts w:ascii="times" w:hAnsi="times"/>
          <w:b/>
          <w:i/>
          <w:sz w:val="20"/>
        </w:rPr>
      </w:pPr>
      <w:r>
        <w:rPr>
          <w:rFonts w:ascii="times" w:hAnsi="times"/>
          <w:b/>
          <w:i/>
          <w:sz w:val="20"/>
        </w:rPr>
        <w:t xml:space="preserve">Foreign Currency Transactions </w:t>
      </w:r>
    </w:p>
    <w:p>
      <w:pPr>
        <w:pStyle w:val="TextBody"/>
        <w:rPr/>
      </w:pPr>
      <w:r>
        <w:rPr/>
        <w:t>        </w:t>
      </w:r>
      <w:r>
        <w:rPr>
          <w:rFonts w:ascii="times" w:hAnsi="times"/>
          <w:sz w:val="20"/>
        </w:rPr>
        <w:t xml:space="preserve">Certain of our subsidiaries are based in Canada and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in partners' capital. </w:t>
      </w:r>
    </w:p>
    <w:p>
      <w:pPr>
        <w:pStyle w:val="TextBody"/>
        <w:rPr/>
      </w:pPr>
      <w:r>
        <w:rPr/>
        <w:t>        </w:t>
      </w:r>
      <w:r>
        <w:rPr>
          <w:rFonts w:ascii="times" w:hAnsi="times"/>
          <w:sz w:val="20"/>
        </w:rPr>
        <w:t xml:space="preserve">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within crude oil, refined products and LPG sales and related revenues. The revaluation of foreign currency transactions and monetary assets and liabilities resulted in a loss of approximately $31 million for the year ended December 31, 2008, a gain of less than $1 million for the year ended December 31, 2007 and a loss of approximately $4 million for the year ended December 31, 2006. </w:t>
      </w:r>
    </w:p>
    <w:p>
      <w:pPr>
        <w:pStyle w:val="TextBody"/>
        <w:rPr>
          <w:rFonts w:ascii="times" w:hAnsi="times"/>
          <w:b/>
          <w:i/>
          <w:sz w:val="20"/>
        </w:rPr>
      </w:pPr>
      <w:r>
        <w:rPr>
          <w:rFonts w:ascii="times" w:hAnsi="times"/>
          <w:b/>
          <w:i/>
          <w:sz w:val="20"/>
        </w:rPr>
        <w:t xml:space="preserve">Cash and Cash Equivalents </w:t>
      </w:r>
    </w:p>
    <w:p>
      <w:pPr>
        <w:pStyle w:val="TextBody"/>
        <w:rPr/>
      </w:pPr>
      <w:r>
        <w:rPr/>
        <w:t>        </w:t>
      </w:r>
      <w:r>
        <w:rPr>
          <w:rFonts w:ascii="times" w:hAnsi="times"/>
          <w:sz w:val="20"/>
        </w:rPr>
        <w:t xml:space="preserve">Cash and cash equivalents consist of all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2008 and 2007, accounts payable included approximately $44 million and $63 million, respectively, of outstanding checks that were reclassed from cash and cash equivalents. </w:t>
      </w:r>
    </w:p>
    <w:p>
      <w:pPr>
        <w:pStyle w:val="TextBody"/>
        <w:rPr>
          <w:rFonts w:ascii="times" w:hAnsi="times"/>
          <w:b/>
          <w:i/>
          <w:sz w:val="20"/>
        </w:rPr>
      </w:pPr>
      <w:r>
        <w:rPr>
          <w:rFonts w:ascii="times" w:hAnsi="times"/>
          <w:b/>
          <w:i/>
          <w:sz w:val="20"/>
        </w:rPr>
        <w:t xml:space="preserve">Accounts Receivable </w:t>
      </w:r>
    </w:p>
    <w:p>
      <w:pPr>
        <w:pStyle w:val="TextBody"/>
        <w:rPr/>
      </w:pPr>
      <w:r>
        <w:rPr/>
        <w:t>        </w:t>
      </w:r>
      <w:r>
        <w:rPr>
          <w:rFonts w:ascii="times" w:hAnsi="times"/>
          <w:sz w:val="20"/>
        </w:rPr>
        <w:t xml:space="preserve">Our accounts receivable are primarily from purchasers and shippers of crude oil and, to a lesser extent, purchasers of LPG and refined products. These purchasers include refineries, producers, marketing and trading companies and financial institutions that are active in the physical and financial commodity markets. The majority of our accounts receivable relate to our crude oil marketing activities that can generally be described as high volume and low margin activities, in many cases involving exchanges of crude oil volumes. </w:t>
      </w:r>
    </w:p>
    <w:p>
      <w:pPr>
        <w:pStyle w:val="TextBody"/>
        <w:rPr/>
      </w:pPr>
      <w:r>
        <w:rPr/>
        <w:t>        </w:t>
      </w:r>
      <w:r>
        <w:rPr>
          <w:rFonts w:ascii="times" w:hAnsi="times"/>
          <w:sz w:val="20"/>
        </w:rPr>
        <w:t xml:space="preserve">During 2008, the U.S. and world financial markets were extremely volatile and the global economies substantially weakened. In addition, during the first seven months of 2008, the values of crude oil and refined products reached historically high levels, but energy prices dropped precipitously </w:t>
      </w:r>
    </w:p>
    <w:p>
      <w:pPr>
        <w:pStyle w:val="TextBody"/>
        <w:jc w:val="center"/>
        <w:rPr>
          <w:rFonts w:ascii="times" w:hAnsi="times"/>
          <w:sz w:val="20"/>
        </w:rPr>
      </w:pPr>
      <w:r>
        <w:rPr>
          <w:rFonts w:ascii="times" w:hAnsi="times"/>
          <w:sz w:val="20"/>
        </w:rPr>
        <w:t>F-12</w:t>
      </w:r>
    </w:p>
    <w:p>
      <w:pPr>
        <w:pStyle w:val="HorizontalLine"/>
        <w:pBdr>
          <w:bottom w:val="single" w:sz="20" w:space="0" w:color="808080"/>
        </w:pBdr>
        <w:rPr/>
      </w:pPr>
      <w:r>
        <w:rPr/>
      </w:r>
      <w:r>
        <w:br w:type="page"/>
      </w:r>
    </w:p>
    <w:p>
      <w:pPr>
        <w:pStyle w:val="TextBody"/>
        <w:rPr/>
      </w:pPr>
      <w:hyperlink w:anchor="bg12101a_main_toc">
        <w:bookmarkStart w:id="246" w:name="page_fo12101_1_13"/>
        <w:bookmarkEnd w:id="24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r>
    </w:p>
    <w:p>
      <w:pPr>
        <w:pStyle w:val="TextBody"/>
        <w:rPr>
          <w:rFonts w:ascii="times" w:hAnsi="times"/>
          <w:sz w:val="20"/>
        </w:rPr>
      </w:pPr>
      <w:r>
        <w:rPr>
          <w:rFonts w:ascii="times" w:hAnsi="times"/>
          <w:sz w:val="20"/>
        </w:rPr>
        <w:t xml:space="preserve">during the remainder of the year to much lower levels. This volatility in the financial markets combined with the significant energy price volatility has caused liquidity issues impacting many companies, which in turn have increased the potential credit risks associated with certain counterparties with which we do business. </w:t>
      </w:r>
    </w:p>
    <w:p>
      <w:pPr>
        <w:pStyle w:val="TextBody"/>
        <w:rPr/>
      </w:pPr>
      <w:r>
        <w:rPr/>
        <w:t>        </w:t>
      </w:r>
      <w:r>
        <w:rPr>
          <w:rFonts w:ascii="times" w:hAnsi="times"/>
          <w:sz w:val="20"/>
        </w:rPr>
        <w:t xml:space="preserve">We have a rigorous credit review process and closely monitor these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advance cash payments or "parental" guarantees. </w:t>
      </w:r>
    </w:p>
    <w:p>
      <w:pPr>
        <w:pStyle w:val="TextBody"/>
        <w:rPr/>
      </w:pPr>
      <w:r>
        <w:rPr/>
        <w:t>        </w:t>
      </w:r>
      <w:r>
        <w:rPr>
          <w:rFonts w:ascii="times" w:hAnsi="times"/>
          <w:sz w:val="20"/>
        </w:rPr>
        <w:t xml:space="preserve">At December 31, 2008 and 2007, we had received approximately $66 million and $57 million, respectively, of advance cash payments from third parties to mitigate credit risk. In addition, we enter into netting arrangements with our counterparties. These arrangements cover a significant part of our transactions and also serve to mitigate credit risk. </w:t>
      </w:r>
    </w:p>
    <w:p>
      <w:pPr>
        <w:pStyle w:val="TextBody"/>
        <w:rPr/>
      </w:pPr>
      <w:r>
        <w:rPr/>
        <w:t>        </w:t>
      </w:r>
      <w:r>
        <w:rPr>
          <w:rFonts w:ascii="times" w:hAnsi="times"/>
          <w:sz w:val="20"/>
        </w:rPr>
        <w:t xml:space="preserve">We review all outstanding accounts receivable balances on a monthly basis and record a reserve for amounts that we expect will not be fully recovered. Actual balances are not applied against the reserve until substantially all collection efforts have been exhausted. At December 31, 2008 and 2007, substantially all of our net accounts receivable classified as current assets were less than 60 days past their scheduled invoice date. Our allowance for doubtful accounts receivable totaled $5 million and $1 million at December 31, 2008 and 2007, respectively. Although we consider our allowance for doubtful trade accounts receivable to be adequate, actual amounts could vary significantly from estimated amounts. </w:t>
      </w:r>
    </w:p>
    <w:p>
      <w:pPr>
        <w:pStyle w:val="TextBody"/>
        <w:rPr>
          <w:rFonts w:ascii="times" w:hAnsi="times"/>
          <w:b/>
          <w:i/>
          <w:sz w:val="20"/>
        </w:rPr>
      </w:pPr>
      <w:r>
        <w:rPr>
          <w:rFonts w:ascii="times" w:hAnsi="times"/>
          <w:b/>
          <w:i/>
          <w:sz w:val="20"/>
        </w:rPr>
        <w:t xml:space="preserve">Inventory and Pipeline Linefill </w:t>
      </w:r>
    </w:p>
    <w:p>
      <w:pPr>
        <w:pStyle w:val="TextBody"/>
        <w:rPr/>
      </w:pPr>
      <w:r>
        <w:rPr/>
        <w:t>        </w:t>
      </w:r>
      <w:r>
        <w:rPr>
          <w:rFonts w:ascii="times" w:hAnsi="times"/>
          <w:sz w:val="20"/>
        </w:rPr>
        <w:t xml:space="preserve">Inventory primarily consists of crude oil, LPG and refined products in pipelines, storage tanks and rail cars that is valued at the lower of cost or market, with cost determined using an average cost method within specific inventory pools. </w:t>
      </w:r>
    </w:p>
    <w:p>
      <w:pPr>
        <w:pStyle w:val="TextBody"/>
        <w:rPr/>
      </w:pPr>
      <w:r>
        <w:rPr/>
        <w:t>        </w:t>
      </w:r>
      <w:r>
        <w:rPr>
          <w:rFonts w:ascii="times" w:hAnsi="times"/>
          <w:sz w:val="20"/>
        </w:rPr>
        <w:t xml:space="preserve">At the end of each reporting period we assess the carrying value of our inventory and make any adjustments necessary to reduce the carrying value to the applicable net realizable value. During 2008, we recorded a non-cash charge of approximately $168 million related to the writedown of our crude oil and LPG inventory due to declines in oil prices during the third and fourth quarters of 2008. During 2007 and 2006, we recorded non-cash charges of approximately $1 million and $6 million, respectively, related to the writedown of such inventory. Linefill and minimum working inventory requirements in assets we own are recorded at historical cost and consist of crude oil and LPG used to pack the pipeline such that when an incremental barrel enters a pipeline it forces a barrel out at another location, as well as the minimum amount of crude oil necessary to operate our storage and terminalling facilities. During 2008 and 2007, we recorded gains of approximately $3 million and $12 million, respectively, on the sale of pipeline linefill for proceeds of approximately $23 million and $20 million, respectively. During 2006, both the gain and applicable proceeds for the sale of pipeline linefill were immaterial. </w:t>
      </w:r>
    </w:p>
    <w:p>
      <w:pPr>
        <w:pStyle w:val="TextBody"/>
        <w:rPr/>
      </w:pPr>
      <w:r>
        <w:rPr/>
        <w:t>        </w:t>
      </w:r>
      <w:r>
        <w:rPr>
          <w:rFonts w:ascii="times" w:hAnsi="times"/>
          <w:sz w:val="20"/>
        </w:rPr>
        <w:t xml:space="preserve">Minimum working inventory requirements in third-party assets and other working inventory in our assets that is needed for our commercial operations are included in Inventory (a current asset) in determining the average cost of operating inventory. At the end of each period, we reclassify the </w:t>
      </w:r>
    </w:p>
    <w:p>
      <w:pPr>
        <w:pStyle w:val="TextBody"/>
        <w:jc w:val="center"/>
        <w:rPr>
          <w:rFonts w:ascii="times" w:hAnsi="times"/>
          <w:sz w:val="20"/>
        </w:rPr>
      </w:pPr>
      <w:r>
        <w:rPr>
          <w:rFonts w:ascii="times" w:hAnsi="times"/>
          <w:sz w:val="20"/>
        </w:rPr>
        <w:t>F-13</w:t>
      </w:r>
    </w:p>
    <w:p>
      <w:pPr>
        <w:pStyle w:val="HorizontalLine"/>
        <w:pBdr>
          <w:bottom w:val="single" w:sz="20" w:space="0" w:color="808080"/>
        </w:pBdr>
        <w:rPr/>
      </w:pPr>
      <w:r>
        <w:rPr/>
      </w:r>
      <w:r>
        <w:br w:type="page"/>
      </w:r>
    </w:p>
    <w:p>
      <w:pPr>
        <w:pStyle w:val="TextBody"/>
        <w:rPr/>
      </w:pPr>
      <w:hyperlink w:anchor="bg12101a_main_toc">
        <w:bookmarkStart w:id="247" w:name="page_fo12101_1_14"/>
        <w:bookmarkEnd w:id="24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r>
    </w:p>
    <w:p>
      <w:pPr>
        <w:pStyle w:val="TextBody"/>
        <w:rPr>
          <w:rFonts w:ascii="times" w:hAnsi="times"/>
          <w:sz w:val="20"/>
        </w:rPr>
      </w:pPr>
      <w:r>
        <w:rPr>
          <w:rFonts w:ascii="times" w:hAnsi="times"/>
          <w:sz w:val="20"/>
        </w:rPr>
        <w:t xml:space="preserve">inventory not expected to be liquidated within the succeeding twelve months out of inventory, at average cost, and into long-term inventory, which is reflected as a separate line item within other assets on the consolidated balance sheet. </w:t>
      </w:r>
    </w:p>
    <w:p>
      <w:pPr>
        <w:pStyle w:val="TextBody"/>
        <w:rPr/>
      </w:pPr>
      <w:r>
        <w:rPr/>
        <w:t>        </w:t>
      </w:r>
      <w:r>
        <w:rPr>
          <w:rFonts w:ascii="times" w:hAnsi="times"/>
          <w:sz w:val="20"/>
        </w:rPr>
        <w:t xml:space="preserve">Inventory and linefill consisted of the following (barrels in thousands and dollars in millions, except per barrel amounts): </w:t>
      </w:r>
    </w:p>
    <w:tbl>
      <w:tblPr>
        <w:tblW w:w="8300" w:type="dxa"/>
        <w:jc w:val="center"/>
        <w:tblInd w:w="0" w:type="dxa"/>
        <w:tblCellMar>
          <w:top w:w="0" w:type="dxa"/>
          <w:left w:w="0" w:type="dxa"/>
          <w:bottom w:w="0" w:type="dxa"/>
          <w:right w:w="0" w:type="dxa"/>
        </w:tblCellMar>
      </w:tblPr>
      <w:tblGrid>
        <w:gridCol w:w="150"/>
        <w:gridCol w:w="3015"/>
        <w:gridCol w:w="180"/>
        <w:gridCol w:w="75"/>
        <w:gridCol w:w="590"/>
        <w:gridCol w:w="225"/>
        <w:gridCol w:w="125"/>
        <w:gridCol w:w="485"/>
        <w:gridCol w:w="225"/>
        <w:gridCol w:w="125"/>
        <w:gridCol w:w="485"/>
        <w:gridCol w:w="225"/>
        <w:gridCol w:w="75"/>
        <w:gridCol w:w="590"/>
        <w:gridCol w:w="225"/>
        <w:gridCol w:w="125"/>
        <w:gridCol w:w="485"/>
        <w:gridCol w:w="225"/>
        <w:gridCol w:w="125"/>
        <w:gridCol w:w="485"/>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30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1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33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2008 </w:t>
            </w:r>
          </w:p>
        </w:tc>
        <w:tc>
          <w:tcPr>
            <w:tcW w:w="225" w:type="dxa"/>
            <w:tcBorders/>
            <w:shd w:fill="auto" w:val="clear"/>
            <w:vAlign w:val="bottom"/>
          </w:tcPr>
          <w:p>
            <w:pPr>
              <w:pStyle w:val="TableHeading"/>
              <w:suppressLineNumbers/>
              <w:spacing w:before="0" w:after="283"/>
              <w:jc w:val="center"/>
              <w:rPr/>
            </w:pPr>
            <w:r>
              <w:rPr/>
              <w:t> </w:t>
            </w:r>
          </w:p>
        </w:tc>
        <w:tc>
          <w:tcPr>
            <w:tcW w:w="233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2007 </w:t>
            </w:r>
          </w:p>
        </w:tc>
        <w:tc>
          <w:tcPr>
            <w:tcW w:w="60" w:type="dxa"/>
            <w:tcBorders/>
            <w:shd w:fill="auto" w:val="clear"/>
            <w:vAlign w:val="bottom"/>
          </w:tcPr>
          <w:p>
            <w:pPr>
              <w:pStyle w:val="TableHeading"/>
              <w:suppressLineNumbers/>
              <w:spacing w:before="0" w:after="283"/>
              <w:jc w:val="center"/>
              <w:rPr/>
            </w:pPr>
            <w:r>
              <w:rPr/>
              <w:t> </w:t>
            </w:r>
          </w:p>
        </w:tc>
      </w:tr>
      <w:tr>
        <w:trPr/>
        <w:tc>
          <w:tcPr>
            <w:tcW w:w="31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Barrels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Dollars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Dollars/</w:t>
              <w:br/>
              <w:t>Barrel</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6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Barrels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Dollars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Dollars/</w:t>
              <w:br/>
              <w:t>Barrel</w:t>
            </w:r>
            <w:r>
              <w:rPr>
                <w:rFonts w:ascii="times" w:hAnsi="times"/>
                <w:b/>
                <w:position w:val="5"/>
                <w:sz w:val="11"/>
                <w:sz w:val="14"/>
              </w:rPr>
              <w:t>(1)</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3165" w:type="dxa"/>
            <w:gridSpan w:val="2"/>
            <w:tcBorders/>
            <w:shd w:fill="CCEEFF" w:val="clear"/>
          </w:tcPr>
          <w:p>
            <w:pPr>
              <w:pStyle w:val="TableContents"/>
              <w:spacing w:before="0" w:after="283"/>
              <w:ind w:left="200" w:right="0" w:hanging="200"/>
              <w:rPr>
                <w:rFonts w:ascii="times" w:hAnsi="times"/>
                <w:b/>
                <w:sz w:val="20"/>
              </w:rPr>
            </w:pPr>
            <w:r>
              <w:rPr>
                <w:rFonts w:ascii="times" w:hAnsi="times"/>
                <w:b/>
                <w:sz w:val="20"/>
              </w:rPr>
              <w:t>Inventory</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1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Crude oil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9,986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421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42.16</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7,365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592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80.38</w:t>
            </w:r>
          </w:p>
        </w:tc>
        <w:tc>
          <w:tcPr>
            <w:tcW w:w="60" w:type="dxa"/>
            <w:tcBorders/>
            <w:shd w:fill="FFFFFF" w:val="clear"/>
          </w:tcPr>
          <w:p>
            <w:pPr>
              <w:pStyle w:val="TableContents"/>
              <w:spacing w:before="0" w:after="283"/>
              <w:rPr/>
            </w:pPr>
            <w:r>
              <w:rPr/>
              <w:t> </w:t>
            </w:r>
          </w:p>
        </w:tc>
      </w:tr>
      <w:tr>
        <w:trPr/>
        <w:tc>
          <w:tcPr>
            <w:tcW w:w="31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LPG</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7,748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370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47.75</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6,480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363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56.02</w:t>
            </w:r>
          </w:p>
        </w:tc>
        <w:tc>
          <w:tcPr>
            <w:tcW w:w="60" w:type="dxa"/>
            <w:tcBorders/>
            <w:shd w:fill="CCEEFF" w:val="clear"/>
          </w:tcPr>
          <w:p>
            <w:pPr>
              <w:pStyle w:val="TableContents"/>
              <w:spacing w:before="0" w:after="283"/>
              <w:rPr/>
            </w:pPr>
            <w:r>
              <w:rPr/>
              <w:t> </w:t>
            </w:r>
          </w:p>
        </w:tc>
      </w:tr>
      <w:tr>
        <w:trPr/>
        <w:tc>
          <w:tcPr>
            <w:tcW w:w="31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Refined products</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103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48.54</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133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11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82.71</w:t>
            </w:r>
          </w:p>
        </w:tc>
        <w:tc>
          <w:tcPr>
            <w:tcW w:w="60" w:type="dxa"/>
            <w:tcBorders/>
            <w:shd w:fill="FFFFFF" w:val="clear"/>
          </w:tcPr>
          <w:p>
            <w:pPr>
              <w:pStyle w:val="TableContents"/>
              <w:spacing w:before="0" w:after="283"/>
              <w:rPr/>
            </w:pPr>
            <w:r>
              <w:rPr/>
              <w:t> </w:t>
            </w:r>
          </w:p>
        </w:tc>
      </w:tr>
      <w:tr>
        <w:trPr/>
        <w:tc>
          <w:tcPr>
            <w:tcW w:w="31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Parts and supplies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N/A</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N/A</w:t>
            </w:r>
          </w:p>
        </w:tc>
        <w:tc>
          <w:tcPr>
            <w:tcW w:w="60" w:type="dxa"/>
            <w:tcBorders/>
            <w:shd w:fill="CCEEFF" w:val="clear"/>
          </w:tcPr>
          <w:p>
            <w:pPr>
              <w:pStyle w:val="TableContents"/>
              <w:spacing w:before="0" w:after="283"/>
              <w:rPr/>
            </w:pPr>
            <w:r>
              <w:rPr/>
              <w:t> </w:t>
            </w:r>
          </w:p>
        </w:tc>
      </w:tr>
      <w:tr>
        <w:trPr/>
        <w:tc>
          <w:tcPr>
            <w:tcW w:w="31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015" w:type="dxa"/>
            <w:tcBorders/>
            <w:shd w:fill="FFFFFF" w:val="clear"/>
          </w:tcPr>
          <w:p>
            <w:pPr>
              <w:pStyle w:val="TableContents"/>
              <w:spacing w:before="0" w:after="283"/>
              <w:ind w:left="200" w:right="0" w:hanging="200"/>
              <w:rPr>
                <w:rFonts w:ascii="times" w:hAnsi="times"/>
                <w:sz w:val="20"/>
              </w:rPr>
            </w:pPr>
            <w:r>
              <w:rPr>
                <w:rFonts w:ascii="times" w:hAnsi="times"/>
                <w:sz w:val="20"/>
              </w:rPr>
              <w:t>Inventory subtotal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17,837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801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13,978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972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pPr>
            <w:r>
              <w:rPr/>
              <w:t> </w:t>
            </w:r>
          </w:p>
        </w:tc>
        <w:tc>
          <w:tcPr>
            <w:tcW w:w="60" w:type="dxa"/>
            <w:tcBorders/>
            <w:shd w:fill="FFFFFF" w:val="clear"/>
          </w:tcPr>
          <w:p>
            <w:pPr>
              <w:pStyle w:val="TableContents"/>
              <w:spacing w:before="0" w:after="283"/>
              <w:rPr/>
            </w:pPr>
            <w:r>
              <w:rPr/>
              <w:t> </w:t>
            </w:r>
          </w:p>
        </w:tc>
      </w:tr>
      <w:tr>
        <w:trPr/>
        <w:tc>
          <w:tcPr>
            <w:tcW w:w="31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165" w:type="dxa"/>
            <w:gridSpan w:val="2"/>
            <w:tcBorders/>
            <w:shd w:fill="CCEEFF" w:val="clear"/>
          </w:tcPr>
          <w:p>
            <w:pPr>
              <w:pStyle w:val="TableContents"/>
              <w:spacing w:before="0" w:after="283"/>
              <w:ind w:left="200" w:right="0" w:hanging="200"/>
              <w:rPr>
                <w:rFonts w:ascii="times" w:hAnsi="times"/>
                <w:b/>
                <w:sz w:val="20"/>
              </w:rPr>
            </w:pPr>
            <w:r>
              <w:rPr>
                <w:rFonts w:ascii="times" w:hAnsi="times"/>
                <w:b/>
                <w:sz w:val="20"/>
              </w:rPr>
              <w:t>Long-term inventory</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1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Crude oil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1,781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121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67.94</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986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64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64.91</w:t>
            </w:r>
          </w:p>
        </w:tc>
        <w:tc>
          <w:tcPr>
            <w:tcW w:w="60" w:type="dxa"/>
            <w:tcBorders/>
            <w:shd w:fill="FFFFFF" w:val="clear"/>
          </w:tcPr>
          <w:p>
            <w:pPr>
              <w:pStyle w:val="TableContents"/>
              <w:spacing w:before="0" w:after="283"/>
              <w:rPr/>
            </w:pPr>
            <w:r>
              <w:rPr/>
              <w:t> </w:t>
            </w:r>
          </w:p>
        </w:tc>
      </w:tr>
      <w:tr>
        <w:trPr/>
        <w:tc>
          <w:tcPr>
            <w:tcW w:w="31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LPG</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363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49.59</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175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57.14</w:t>
            </w:r>
          </w:p>
        </w:tc>
        <w:tc>
          <w:tcPr>
            <w:tcW w:w="60" w:type="dxa"/>
            <w:tcBorders/>
            <w:shd w:fill="CCEEFF" w:val="clear"/>
          </w:tcPr>
          <w:p>
            <w:pPr>
              <w:pStyle w:val="TableContents"/>
              <w:spacing w:before="0" w:after="283"/>
              <w:rPr/>
            </w:pPr>
            <w:r>
              <w:rPr/>
              <w:t> </w:t>
            </w:r>
          </w:p>
        </w:tc>
      </w:tr>
      <w:tr>
        <w:trPr/>
        <w:tc>
          <w:tcPr>
            <w:tcW w:w="31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015" w:type="dxa"/>
            <w:tcBorders/>
            <w:shd w:fill="FFFFFF" w:val="clear"/>
          </w:tcPr>
          <w:p>
            <w:pPr>
              <w:pStyle w:val="TableContents"/>
              <w:spacing w:before="0" w:after="283"/>
              <w:ind w:left="200" w:right="0" w:hanging="200"/>
              <w:rPr>
                <w:rFonts w:ascii="times" w:hAnsi="times"/>
                <w:sz w:val="20"/>
              </w:rPr>
            </w:pPr>
            <w:r>
              <w:rPr>
                <w:rFonts w:ascii="times" w:hAnsi="times"/>
                <w:sz w:val="20"/>
              </w:rPr>
              <w:t>Long-term inventory subtotal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2,144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139</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1,161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74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pPr>
            <w:r>
              <w:rPr/>
              <w:t> </w:t>
            </w:r>
          </w:p>
        </w:tc>
        <w:tc>
          <w:tcPr>
            <w:tcW w:w="60" w:type="dxa"/>
            <w:tcBorders/>
            <w:shd w:fill="FFFFFF" w:val="clear"/>
          </w:tcPr>
          <w:p>
            <w:pPr>
              <w:pStyle w:val="TableContents"/>
              <w:spacing w:before="0" w:after="283"/>
              <w:rPr/>
            </w:pPr>
            <w:r>
              <w:rPr/>
              <w:t> </w:t>
            </w:r>
          </w:p>
        </w:tc>
      </w:tr>
      <w:tr>
        <w:trPr/>
        <w:tc>
          <w:tcPr>
            <w:tcW w:w="31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165" w:type="dxa"/>
            <w:gridSpan w:val="2"/>
            <w:tcBorders/>
            <w:shd w:fill="CCEEFF" w:val="clear"/>
          </w:tcPr>
          <w:p>
            <w:pPr>
              <w:pStyle w:val="TableContents"/>
              <w:spacing w:before="0" w:after="283"/>
              <w:ind w:left="200" w:right="0" w:hanging="200"/>
              <w:rPr>
                <w:rFonts w:ascii="times" w:hAnsi="times"/>
                <w:b/>
                <w:sz w:val="20"/>
              </w:rPr>
            </w:pPr>
            <w:r>
              <w:rPr>
                <w:rFonts w:ascii="times" w:hAnsi="times"/>
                <w:b/>
                <w:sz w:val="20"/>
              </w:rPr>
              <w:t>Pipeline linefill in owned assets</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1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Crude oil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9,148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422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46.13</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7,734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282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36.46</w:t>
            </w:r>
          </w:p>
        </w:tc>
        <w:tc>
          <w:tcPr>
            <w:tcW w:w="60" w:type="dxa"/>
            <w:tcBorders/>
            <w:shd w:fill="FFFFFF" w:val="clear"/>
          </w:tcPr>
          <w:p>
            <w:pPr>
              <w:pStyle w:val="TableContents"/>
              <w:spacing w:before="0" w:after="283"/>
              <w:rPr/>
            </w:pPr>
            <w:r>
              <w:rPr/>
              <w:t> </w:t>
            </w:r>
          </w:p>
        </w:tc>
      </w:tr>
      <w:tr>
        <w:trPr/>
        <w:tc>
          <w:tcPr>
            <w:tcW w:w="31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LPG</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67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44.78</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43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46.51</w:t>
            </w:r>
          </w:p>
        </w:tc>
        <w:tc>
          <w:tcPr>
            <w:tcW w:w="60" w:type="dxa"/>
            <w:tcBorders/>
            <w:shd w:fill="CCEEFF" w:val="clear"/>
          </w:tcPr>
          <w:p>
            <w:pPr>
              <w:pStyle w:val="TableContents"/>
              <w:spacing w:before="0" w:after="283"/>
              <w:rPr/>
            </w:pPr>
            <w:r>
              <w:rPr/>
              <w:t> </w:t>
            </w:r>
          </w:p>
        </w:tc>
      </w:tr>
      <w:tr>
        <w:trPr/>
        <w:tc>
          <w:tcPr>
            <w:tcW w:w="31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015" w:type="dxa"/>
            <w:tcBorders/>
            <w:shd w:fill="FFFFFF" w:val="clear"/>
          </w:tcPr>
          <w:p>
            <w:pPr>
              <w:pStyle w:val="TableContents"/>
              <w:spacing w:before="0" w:after="283"/>
              <w:ind w:left="200" w:right="0" w:hanging="200"/>
              <w:rPr>
                <w:rFonts w:ascii="times" w:hAnsi="times"/>
                <w:sz w:val="20"/>
              </w:rPr>
            </w:pPr>
            <w:r>
              <w:rPr>
                <w:rFonts w:ascii="times" w:hAnsi="times"/>
                <w:sz w:val="20"/>
              </w:rPr>
              <w:t>Pipeline linefill in owned assets subtotal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9,215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425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pPr>
            <w:r>
              <w:rPr/>
              <w:t> </w:t>
            </w:r>
          </w:p>
        </w:tc>
        <w:tc>
          <w:tcPr>
            <w:tcW w:w="2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7,777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284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pPr>
            <w:r>
              <w:rPr/>
              <w:t> </w:t>
            </w:r>
          </w:p>
        </w:tc>
        <w:tc>
          <w:tcPr>
            <w:tcW w:w="60" w:type="dxa"/>
            <w:tcBorders/>
            <w:shd w:fill="FFFFFF" w:val="clear"/>
          </w:tcPr>
          <w:p>
            <w:pPr>
              <w:pStyle w:val="TableContents"/>
              <w:spacing w:before="0" w:after="283"/>
              <w:rPr/>
            </w:pPr>
            <w:r>
              <w:rPr/>
              <w:t> </w:t>
            </w:r>
          </w:p>
        </w:tc>
      </w:tr>
      <w:tr>
        <w:trPr/>
        <w:tc>
          <w:tcPr>
            <w:tcW w:w="31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6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165" w:type="dxa"/>
            <w:gridSpan w:val="2"/>
            <w:tcBorders/>
            <w:shd w:fill="CCEEFF" w:val="clear"/>
          </w:tcPr>
          <w:p>
            <w:pPr>
              <w:pStyle w:val="TableContents"/>
              <w:spacing w:before="0" w:after="283"/>
              <w:ind w:left="200" w:right="0" w:hanging="200"/>
              <w:rPr>
                <w:rFonts w:ascii="times" w:hAnsi="times"/>
                <w:b/>
                <w:sz w:val="20"/>
              </w:rPr>
            </w:pPr>
            <w:r>
              <w:rPr>
                <w:rFonts w:ascii="times" w:hAnsi="times"/>
                <w:b/>
                <w:sz w:val="20"/>
              </w:rPr>
              <w:t>Total</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29,196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1,365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pPr>
            <w:r>
              <w:rPr/>
              <w:t> </w:t>
            </w:r>
          </w:p>
        </w:tc>
        <w:tc>
          <w:tcPr>
            <w:tcW w:w="2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22,916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1,330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pPr>
            <w:r>
              <w:rPr/>
              <w:t> </w:t>
            </w:r>
          </w:p>
        </w:tc>
        <w:tc>
          <w:tcPr>
            <w:tcW w:w="60" w:type="dxa"/>
            <w:tcBorders/>
            <w:shd w:fill="CCEEFF" w:val="clear"/>
          </w:tcPr>
          <w:p>
            <w:pPr>
              <w:pStyle w:val="TableContents"/>
              <w:spacing w:before="0" w:after="283"/>
              <w:rPr/>
            </w:pPr>
            <w:r>
              <w:rPr/>
              <w:t> </w:t>
            </w:r>
          </w:p>
        </w:tc>
      </w:tr>
      <w:tr>
        <w:trPr/>
        <w:tc>
          <w:tcPr>
            <w:tcW w:w="31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6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The prices listed represent a weighted average associated with various grades and qualities of crude oil, LPG and refined products and, accordingly, are not comparable metrics with published benchmarks for such products. </w:t>
      </w:r>
    </w:p>
    <w:p>
      <w:pPr>
        <w:pStyle w:val="TextBody"/>
        <w:rPr>
          <w:rFonts w:ascii="times" w:hAnsi="times"/>
          <w:b/>
          <w:i/>
          <w:sz w:val="20"/>
        </w:rPr>
      </w:pPr>
      <w:r>
        <w:rPr>
          <w:rFonts w:ascii="times" w:hAnsi="times"/>
          <w:b/>
          <w:i/>
          <w:sz w:val="20"/>
        </w:rPr>
        <w:t xml:space="preserve">Property and equipment </w:t>
      </w:r>
    </w:p>
    <w:p>
      <w:pPr>
        <w:pStyle w:val="TextBody"/>
        <w:rPr/>
      </w:pPr>
      <w:r>
        <w:rPr/>
        <w:t>        </w:t>
      </w:r>
      <w:r>
        <w:rPr>
          <w:rFonts w:ascii="times" w:hAnsi="times"/>
          <w:sz w:val="20"/>
        </w:rPr>
        <w:t xml:space="preserve">In accordance with our capitalization policy, costs associated with acquisitions and improvements that expand our existing capacity, including related interest costs, are capitalized. For the years ended December 31, 2008, 2007 and 2006, capitalized interest was $17 million, $14 million and $6 million, respectively. We also capitalize expenditures for the replacement of partially or fully depreciated assets in order to maintain the service capability, level of production, and/or functionality of our existing assets. Repair and maintenance expenditures incurred in order to maintain the day to day operation of our existing assets are charged to expense as incurred. </w:t>
      </w:r>
    </w:p>
    <w:p>
      <w:pPr>
        <w:pStyle w:val="TextBody"/>
        <w:jc w:val="center"/>
        <w:rPr>
          <w:rFonts w:ascii="times" w:hAnsi="times"/>
          <w:sz w:val="20"/>
        </w:rPr>
      </w:pPr>
      <w:r>
        <w:rPr>
          <w:rFonts w:ascii="times" w:hAnsi="times"/>
          <w:sz w:val="20"/>
        </w:rPr>
        <w:t>F-14</w:t>
      </w:r>
    </w:p>
    <w:p>
      <w:pPr>
        <w:pStyle w:val="HorizontalLine"/>
        <w:pBdr>
          <w:bottom w:val="single" w:sz="20" w:space="0" w:color="808080"/>
        </w:pBdr>
        <w:rPr/>
      </w:pPr>
      <w:r>
        <w:rPr/>
      </w:r>
      <w:r>
        <w:br w:type="page"/>
      </w:r>
    </w:p>
    <w:p>
      <w:pPr>
        <w:pStyle w:val="TextBody"/>
        <w:rPr/>
      </w:pPr>
      <w:hyperlink w:anchor="bg12101a_main_toc">
        <w:bookmarkStart w:id="248" w:name="page_fo12101_1_15"/>
        <w:bookmarkEnd w:id="24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t>        </w:t>
      </w:r>
      <w:r>
        <w:rPr>
          <w:rFonts w:ascii="times" w:hAnsi="times"/>
          <w:sz w:val="20"/>
        </w:rPr>
        <w:t xml:space="preserve">Property and equipment, net is stated at cost and consisted of the following (in millions): </w:t>
      </w:r>
    </w:p>
    <w:tbl>
      <w:tblPr>
        <w:tblW w:w="6794" w:type="dxa"/>
        <w:jc w:val="center"/>
        <w:tblInd w:w="0" w:type="dxa"/>
        <w:tblCellMar>
          <w:top w:w="0" w:type="dxa"/>
          <w:left w:w="0" w:type="dxa"/>
          <w:bottom w:w="0" w:type="dxa"/>
          <w:right w:w="0" w:type="dxa"/>
        </w:tblCellMar>
      </w:tblPr>
      <w:tblGrid>
        <w:gridCol w:w="176"/>
        <w:gridCol w:w="3803"/>
        <w:gridCol w:w="180"/>
        <w:gridCol w:w="930"/>
        <w:gridCol w:w="180"/>
        <w:gridCol w:w="125"/>
        <w:gridCol w:w="485"/>
        <w:gridCol w:w="225"/>
        <w:gridCol w:w="125"/>
        <w:gridCol w:w="485"/>
        <w:gridCol w:w="80"/>
      </w:tblGrid>
      <w:tr>
        <w:trPr/>
        <w:tc>
          <w:tcPr>
            <w:tcW w:w="176" w:type="dxa"/>
            <w:tcBorders/>
            <w:shd w:fill="auto" w:val="clear"/>
            <w:vAlign w:val="center"/>
          </w:tcPr>
          <w:p>
            <w:pPr>
              <w:pStyle w:val="TableContents"/>
              <w:spacing w:before="0" w:after="283"/>
              <w:rPr>
                <w:sz w:val="4"/>
                <w:szCs w:val="4"/>
              </w:rPr>
            </w:pPr>
            <w:r>
              <w:rPr>
                <w:sz w:val="4"/>
                <w:szCs w:val="4"/>
              </w:rPr>
            </w:r>
          </w:p>
        </w:tc>
        <w:tc>
          <w:tcPr>
            <w:tcW w:w="380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3979"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930" w:type="dxa"/>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1445"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80" w:type="dxa"/>
            <w:tcBorders/>
            <w:shd w:fill="auto" w:val="clear"/>
            <w:vAlign w:val="bottom"/>
          </w:tcPr>
          <w:p>
            <w:pPr>
              <w:pStyle w:val="TableHeading"/>
              <w:suppressLineNumbers/>
              <w:spacing w:before="0" w:after="283"/>
              <w:jc w:val="center"/>
              <w:rPr/>
            </w:pPr>
            <w:r>
              <w:rPr/>
              <w:t> </w:t>
            </w:r>
          </w:p>
        </w:tc>
      </w:tr>
      <w:tr>
        <w:trPr/>
        <w:tc>
          <w:tcPr>
            <w:tcW w:w="3979" w:type="dxa"/>
            <w:gridSpan w:val="2"/>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930" w:type="dxa"/>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Estimated Useful</w:t>
              <w:br/>
              <w:t xml:space="preserve">Lives (Years) </w:t>
            </w:r>
          </w:p>
        </w:tc>
        <w:tc>
          <w:tcPr>
            <w:tcW w:w="180" w:type="dxa"/>
            <w:vMerge w:val="continue"/>
            <w:tcBorders/>
            <w:shd w:fill="auto" w:val="clear"/>
            <w:vAlign w:val="bottom"/>
          </w:tcPr>
          <w:p>
            <w:pPr>
              <w:pStyle w:val="Normal"/>
              <w:rPr/>
            </w:pPr>
            <w:r>
              <w:rPr/>
            </w:r>
          </w:p>
        </w:tc>
        <w:tc>
          <w:tcPr>
            <w:tcW w:w="1445" w:type="dxa"/>
            <w:gridSpan w:val="5"/>
            <w:vMerge w:val="continue"/>
            <w:tcBorders>
              <w:bottom w:val="single" w:sz="8" w:space="0" w:color="000000"/>
            </w:tcBorders>
            <w:shd w:fill="auto" w:val="clear"/>
            <w:tcMar>
              <w:bottom w:w="28" w:type="dxa"/>
            </w:tcMar>
            <w:vAlign w:val="bottom"/>
          </w:tcPr>
          <w:p>
            <w:pPr>
              <w:pStyle w:val="Normal"/>
              <w:rPr/>
            </w:pPr>
            <w:r>
              <w:rPr/>
            </w:r>
          </w:p>
        </w:tc>
        <w:tc>
          <w:tcPr>
            <w:tcW w:w="80" w:type="dxa"/>
            <w:tcBorders/>
            <w:shd w:fill="auto" w:val="clear"/>
            <w:vAlign w:val="bottom"/>
          </w:tcPr>
          <w:p>
            <w:pPr>
              <w:pStyle w:val="TableHeading"/>
              <w:suppressLineNumbers/>
              <w:spacing w:before="0" w:after="283"/>
              <w:jc w:val="center"/>
              <w:rPr/>
            </w:pPr>
            <w:r>
              <w:rPr/>
              <w:t> </w:t>
            </w:r>
          </w:p>
        </w:tc>
      </w:tr>
      <w:tr>
        <w:trPr/>
        <w:tc>
          <w:tcPr>
            <w:tcW w:w="3979" w:type="dxa"/>
            <w:gridSpan w:val="2"/>
            <w:tcBorders/>
            <w:shd w:fill="auto" w:val="clear"/>
            <w:vAlign w:val="bottom"/>
          </w:tcPr>
          <w:p>
            <w:pPr>
              <w:pStyle w:val="TableHeading"/>
              <w:spacing w:before="0" w:after="283"/>
              <w:jc w:val="left"/>
              <w:rPr/>
            </w:pPr>
            <w:r>
              <w:rPr/>
              <w:t> </w:t>
            </w:r>
          </w:p>
        </w:tc>
        <w:tc>
          <w:tcPr>
            <w:tcW w:w="180" w:type="dxa"/>
            <w:vMerge w:val="continue"/>
            <w:tcBorders/>
            <w:shd w:fill="auto" w:val="clear"/>
            <w:vAlign w:val="bottom"/>
          </w:tcPr>
          <w:p>
            <w:pPr>
              <w:pStyle w:val="Normal"/>
              <w:rPr/>
            </w:pPr>
            <w:r>
              <w:rPr/>
            </w:r>
          </w:p>
        </w:tc>
        <w:tc>
          <w:tcPr>
            <w:tcW w:w="930" w:type="dxa"/>
            <w:vMerge w:val="continue"/>
            <w:tcBorders>
              <w:bottom w:val="single" w:sz="8" w:space="0" w:color="000000"/>
            </w:tcBorders>
            <w:shd w:fill="auto" w:val="clear"/>
            <w:tcMar>
              <w:bottom w:w="28" w:type="dxa"/>
            </w:tcMar>
            <w:vAlign w:val="bottom"/>
          </w:tcPr>
          <w:p>
            <w:pPr>
              <w:pStyle w:val="Normal"/>
              <w:rPr/>
            </w:pPr>
            <w:r>
              <w:rPr/>
            </w:r>
          </w:p>
        </w:tc>
        <w:tc>
          <w:tcPr>
            <w:tcW w:w="180"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80" w:type="dxa"/>
            <w:tcBorders/>
            <w:shd w:fill="auto" w:val="clear"/>
            <w:vAlign w:val="bottom"/>
          </w:tcPr>
          <w:p>
            <w:pPr>
              <w:pStyle w:val="TableHeading"/>
              <w:suppressLineNumbers/>
              <w:spacing w:before="0" w:after="283"/>
              <w:jc w:val="center"/>
              <w:rPr/>
            </w:pPr>
            <w:r>
              <w:rPr/>
              <w:t> </w:t>
            </w:r>
          </w:p>
        </w:tc>
      </w:tr>
      <w:tr>
        <w:trPr/>
        <w:tc>
          <w:tcPr>
            <w:tcW w:w="397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Crude oil pipelines and facilities</w:t>
            </w:r>
          </w:p>
        </w:tc>
        <w:tc>
          <w:tcPr>
            <w:tcW w:w="180" w:type="dxa"/>
            <w:tcBorders/>
            <w:shd w:fill="CCEEFF" w:val="clear"/>
          </w:tcPr>
          <w:p>
            <w:pPr>
              <w:pStyle w:val="TableContents"/>
              <w:spacing w:before="0" w:after="283"/>
              <w:rPr/>
            </w:pPr>
            <w:r>
              <w:rPr/>
              <w:t> </w:t>
            </w:r>
          </w:p>
        </w:tc>
        <w:tc>
          <w:tcPr>
            <w:tcW w:w="930" w:type="dxa"/>
            <w:tcBorders/>
            <w:shd w:fill="CCEEFF" w:val="clear"/>
          </w:tcPr>
          <w:p>
            <w:pPr>
              <w:pStyle w:val="TableContents"/>
              <w:spacing w:before="0" w:after="283"/>
              <w:jc w:val="center"/>
              <w:rPr>
                <w:rFonts w:ascii="times" w:hAnsi="times"/>
                <w:sz w:val="20"/>
              </w:rPr>
            </w:pPr>
            <w:r>
              <w:rPr>
                <w:rFonts w:ascii="times" w:hAnsi="times"/>
                <w:sz w:val="20"/>
              </w:rPr>
              <w:t>30 - 40</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3,934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3,603</w:t>
            </w:r>
          </w:p>
        </w:tc>
        <w:tc>
          <w:tcPr>
            <w:tcW w:w="80" w:type="dxa"/>
            <w:tcBorders/>
            <w:shd w:fill="CCEEFF" w:val="clear"/>
          </w:tcPr>
          <w:p>
            <w:pPr>
              <w:pStyle w:val="TableContents"/>
              <w:spacing w:before="0" w:after="283"/>
              <w:rPr/>
            </w:pPr>
            <w:r>
              <w:rPr/>
              <w:t> </w:t>
            </w:r>
          </w:p>
        </w:tc>
      </w:tr>
      <w:tr>
        <w:trPr/>
        <w:tc>
          <w:tcPr>
            <w:tcW w:w="397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Crude oil and LPG storage and terminal facilities</w:t>
            </w:r>
          </w:p>
        </w:tc>
        <w:tc>
          <w:tcPr>
            <w:tcW w:w="180" w:type="dxa"/>
            <w:tcBorders/>
            <w:shd w:fill="FFFFFF" w:val="clear"/>
          </w:tcPr>
          <w:p>
            <w:pPr>
              <w:pStyle w:val="TableContents"/>
              <w:spacing w:before="0" w:after="283"/>
              <w:rPr/>
            </w:pPr>
            <w:r>
              <w:rPr/>
              <w:t> </w:t>
            </w:r>
          </w:p>
        </w:tc>
        <w:tc>
          <w:tcPr>
            <w:tcW w:w="930" w:type="dxa"/>
            <w:tcBorders/>
            <w:shd w:fill="FFFFFF" w:val="clear"/>
          </w:tcPr>
          <w:p>
            <w:pPr>
              <w:pStyle w:val="TableContents"/>
              <w:spacing w:before="0" w:after="283"/>
              <w:jc w:val="center"/>
              <w:rPr>
                <w:rFonts w:ascii="times" w:hAnsi="times"/>
                <w:sz w:val="20"/>
              </w:rPr>
            </w:pPr>
            <w:r>
              <w:rPr>
                <w:rFonts w:ascii="times" w:hAnsi="times"/>
                <w:sz w:val="20"/>
              </w:rPr>
              <w:t>30 - 40</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944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599</w:t>
            </w:r>
          </w:p>
        </w:tc>
        <w:tc>
          <w:tcPr>
            <w:tcW w:w="80" w:type="dxa"/>
            <w:tcBorders/>
            <w:shd w:fill="FFFFFF" w:val="clear"/>
          </w:tcPr>
          <w:p>
            <w:pPr>
              <w:pStyle w:val="TableContents"/>
              <w:spacing w:before="0" w:after="283"/>
              <w:rPr/>
            </w:pPr>
            <w:r>
              <w:rPr/>
              <w:t> </w:t>
            </w:r>
          </w:p>
        </w:tc>
      </w:tr>
      <w:tr>
        <w:trPr/>
        <w:tc>
          <w:tcPr>
            <w:tcW w:w="397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Trucking equipment and other</w:t>
            </w:r>
          </w:p>
        </w:tc>
        <w:tc>
          <w:tcPr>
            <w:tcW w:w="180" w:type="dxa"/>
            <w:tcBorders/>
            <w:shd w:fill="CCEEFF" w:val="clear"/>
          </w:tcPr>
          <w:p>
            <w:pPr>
              <w:pStyle w:val="TableContents"/>
              <w:spacing w:before="0" w:after="283"/>
              <w:rPr/>
            </w:pPr>
            <w:r>
              <w:rPr/>
              <w:t> </w:t>
            </w:r>
          </w:p>
        </w:tc>
        <w:tc>
          <w:tcPr>
            <w:tcW w:w="930" w:type="dxa"/>
            <w:tcBorders/>
            <w:shd w:fill="CCEEFF" w:val="clear"/>
          </w:tcPr>
          <w:p>
            <w:pPr>
              <w:pStyle w:val="TableContents"/>
              <w:spacing w:before="0" w:after="283"/>
              <w:jc w:val="center"/>
              <w:rPr>
                <w:rFonts w:ascii="times" w:hAnsi="times"/>
                <w:sz w:val="20"/>
              </w:rPr>
            </w:pPr>
            <w:r>
              <w:rPr>
                <w:rFonts w:ascii="times" w:hAnsi="times"/>
                <w:sz w:val="20"/>
              </w:rPr>
              <w:t>5 - 40</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233</w:t>
            </w:r>
          </w:p>
        </w:tc>
        <w:tc>
          <w:tcPr>
            <w:tcW w:w="80" w:type="dxa"/>
            <w:tcBorders/>
            <w:shd w:fill="CCEEFF" w:val="clear"/>
          </w:tcPr>
          <w:p>
            <w:pPr>
              <w:pStyle w:val="TableContents"/>
              <w:spacing w:before="0" w:after="283"/>
              <w:rPr/>
            </w:pPr>
            <w:r>
              <w:rPr/>
              <w:t> </w:t>
            </w:r>
          </w:p>
        </w:tc>
      </w:tr>
      <w:tr>
        <w:trPr/>
        <w:tc>
          <w:tcPr>
            <w:tcW w:w="3979"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Office property and equipment</w:t>
            </w:r>
          </w:p>
        </w:tc>
        <w:tc>
          <w:tcPr>
            <w:tcW w:w="180" w:type="dxa"/>
            <w:tcBorders/>
            <w:shd w:fill="FFFFFF" w:val="clear"/>
          </w:tcPr>
          <w:p>
            <w:pPr>
              <w:pStyle w:val="TableContents"/>
              <w:spacing w:before="0" w:after="283"/>
              <w:rPr/>
            </w:pPr>
            <w:r>
              <w:rPr/>
              <w:t> </w:t>
            </w:r>
          </w:p>
        </w:tc>
        <w:tc>
          <w:tcPr>
            <w:tcW w:w="930" w:type="dxa"/>
            <w:tcBorders/>
            <w:shd w:fill="FFFFFF" w:val="clear"/>
          </w:tcPr>
          <w:p>
            <w:pPr>
              <w:pStyle w:val="TableContents"/>
              <w:spacing w:before="0" w:after="283"/>
              <w:jc w:val="center"/>
              <w:rPr>
                <w:rFonts w:ascii="times" w:hAnsi="times"/>
                <w:sz w:val="20"/>
              </w:rPr>
            </w:pPr>
            <w:r>
              <w:rPr>
                <w:rFonts w:ascii="times" w:hAnsi="times"/>
                <w:sz w:val="20"/>
              </w:rPr>
              <w:t>3 - 5</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75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64</w:t>
            </w:r>
          </w:p>
        </w:tc>
        <w:tc>
          <w:tcPr>
            <w:tcW w:w="80" w:type="dxa"/>
            <w:tcBorders/>
            <w:shd w:fill="FFFFFF" w:val="clear"/>
          </w:tcPr>
          <w:p>
            <w:pPr>
              <w:pStyle w:val="TableContents"/>
              <w:spacing w:before="0" w:after="283"/>
              <w:rPr/>
            </w:pPr>
            <w:r>
              <w:rPr/>
              <w:t> </w:t>
            </w:r>
          </w:p>
        </w:tc>
      </w:tr>
      <w:tr>
        <w:trPr/>
        <w:tc>
          <w:tcPr>
            <w:tcW w:w="397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Construction in progress</w:t>
            </w:r>
          </w:p>
        </w:tc>
        <w:tc>
          <w:tcPr>
            <w:tcW w:w="180" w:type="dxa"/>
            <w:tcBorders/>
            <w:shd w:fill="CCEEFF" w:val="clear"/>
          </w:tcPr>
          <w:p>
            <w:pPr>
              <w:pStyle w:val="TableContents"/>
              <w:spacing w:before="0" w:after="283"/>
              <w:rPr/>
            </w:pPr>
            <w:r>
              <w:rPr/>
              <w:t> </w:t>
            </w:r>
          </w:p>
        </w:tc>
        <w:tc>
          <w:tcPr>
            <w:tcW w:w="930" w:type="dxa"/>
            <w:tcBorders/>
            <w:shd w:fill="CCEEFF" w:val="clear"/>
          </w:tcPr>
          <w:p>
            <w:pPr>
              <w:pStyle w:val="TableContents"/>
              <w:spacing w:before="0" w:after="283"/>
              <w:jc w:val="center"/>
              <w:rPr>
                <w:rFonts w:ascii="times" w:hAnsi="times"/>
                <w:sz w:val="20"/>
              </w:rPr>
            </w:pPr>
            <w:r>
              <w:rPr>
                <w:rFonts w:ascii="times" w:hAnsi="times"/>
                <w:sz w:val="20"/>
              </w:rPr>
              <w:t></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474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439</w:t>
            </w:r>
          </w:p>
        </w:tc>
        <w:tc>
          <w:tcPr>
            <w:tcW w:w="80" w:type="dxa"/>
            <w:tcBorders/>
            <w:shd w:fill="CCEEFF" w:val="clear"/>
          </w:tcPr>
          <w:p>
            <w:pPr>
              <w:pStyle w:val="TableContents"/>
              <w:spacing w:before="0" w:after="283"/>
              <w:rPr/>
            </w:pPr>
            <w:r>
              <w:rPr/>
              <w:t> </w:t>
            </w:r>
          </w:p>
        </w:tc>
      </w:tr>
      <w:tr>
        <w:trPr/>
        <w:tc>
          <w:tcPr>
            <w:tcW w:w="397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3979" w:type="dxa"/>
            <w:gridSpan w:val="2"/>
            <w:tcBorders/>
            <w:shd w:fill="FFFFFF" w:val="clear"/>
          </w:tcPr>
          <w:p>
            <w:pPr>
              <w:pStyle w:val="TableContents"/>
              <w:spacing w:before="0" w:after="283"/>
              <w:ind w:left="200" w:right="0" w:hanging="200"/>
              <w:rPr>
                <w:sz w:val="4"/>
                <w:szCs w:val="4"/>
              </w:rPr>
            </w:pPr>
            <w:r>
              <w:rPr>
                <w:sz w:val="4"/>
                <w:szCs w:val="4"/>
              </w:rPr>
            </w:r>
          </w:p>
        </w:tc>
        <w:tc>
          <w:tcPr>
            <w:tcW w:w="180" w:type="dxa"/>
            <w:tcBorders/>
            <w:shd w:fill="FFFFFF" w:val="clear"/>
          </w:tcPr>
          <w:p>
            <w:pPr>
              <w:pStyle w:val="TableContents"/>
              <w:spacing w:before="0" w:after="283"/>
              <w:rPr/>
            </w:pPr>
            <w:r>
              <w:rPr/>
              <w:t> </w:t>
            </w:r>
          </w:p>
        </w:tc>
        <w:tc>
          <w:tcPr>
            <w:tcW w:w="930" w:type="dxa"/>
            <w:tcBorders/>
            <w:shd w:fill="FFFFFF" w:val="clear"/>
          </w:tcPr>
          <w:p>
            <w:pPr>
              <w:pStyle w:val="TableContents"/>
              <w:spacing w:before="0" w:after="283"/>
              <w:jc w:val="center"/>
              <w:rPr/>
            </w:pPr>
            <w:r>
              <w:rPr/>
              <w:t> </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5,727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4,938</w:t>
            </w:r>
          </w:p>
        </w:tc>
        <w:tc>
          <w:tcPr>
            <w:tcW w:w="80" w:type="dxa"/>
            <w:tcBorders/>
            <w:shd w:fill="FFFFFF" w:val="clear"/>
          </w:tcPr>
          <w:p>
            <w:pPr>
              <w:pStyle w:val="TableContents"/>
              <w:spacing w:before="0" w:after="283"/>
              <w:rPr/>
            </w:pPr>
            <w:r>
              <w:rPr/>
              <w:t> </w:t>
            </w:r>
          </w:p>
        </w:tc>
      </w:tr>
      <w:tr>
        <w:trPr/>
        <w:tc>
          <w:tcPr>
            <w:tcW w:w="3979"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Less accumulated depreciation</w:t>
            </w:r>
          </w:p>
        </w:tc>
        <w:tc>
          <w:tcPr>
            <w:tcW w:w="180" w:type="dxa"/>
            <w:tcBorders/>
            <w:shd w:fill="CCEEFF" w:val="clear"/>
          </w:tcPr>
          <w:p>
            <w:pPr>
              <w:pStyle w:val="TableContents"/>
              <w:spacing w:before="0" w:after="283"/>
              <w:rPr/>
            </w:pPr>
            <w:r>
              <w:rPr/>
              <w:t> </w:t>
            </w:r>
          </w:p>
        </w:tc>
        <w:tc>
          <w:tcPr>
            <w:tcW w:w="930" w:type="dxa"/>
            <w:tcBorders/>
            <w:shd w:fill="CCEEFF" w:val="clear"/>
          </w:tcPr>
          <w:p>
            <w:pPr>
              <w:pStyle w:val="TableContents"/>
              <w:spacing w:before="0" w:after="283"/>
              <w:jc w:val="center"/>
              <w:rPr/>
            </w:pPr>
            <w:r>
              <w:rPr/>
              <w:t> </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(668</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(519</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397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76" w:type="dxa"/>
            <w:tcBorders/>
            <w:shd w:fill="FFFFFF" w:val="clear"/>
          </w:tcPr>
          <w:p>
            <w:pPr>
              <w:pStyle w:val="TableContents"/>
              <w:spacing w:before="0" w:after="283"/>
              <w:rPr/>
            </w:pPr>
            <w:r>
              <w:rPr/>
              <w:t> </w:t>
            </w:r>
          </w:p>
        </w:tc>
        <w:tc>
          <w:tcPr>
            <w:tcW w:w="3803" w:type="dxa"/>
            <w:tcBorders/>
            <w:shd w:fill="FFFFFF" w:val="clear"/>
          </w:tcPr>
          <w:p>
            <w:pPr>
              <w:pStyle w:val="TableContents"/>
              <w:spacing w:before="0" w:after="283"/>
              <w:ind w:left="200" w:right="0" w:hanging="200"/>
              <w:rPr>
                <w:rFonts w:ascii="times" w:hAnsi="times"/>
                <w:sz w:val="20"/>
              </w:rPr>
            </w:pPr>
            <w:r>
              <w:rPr>
                <w:rFonts w:ascii="times" w:hAnsi="times"/>
                <w:sz w:val="20"/>
              </w:rPr>
              <w:t>Property and equipment, net</w:t>
            </w:r>
          </w:p>
        </w:tc>
        <w:tc>
          <w:tcPr>
            <w:tcW w:w="180" w:type="dxa"/>
            <w:tcBorders/>
            <w:shd w:fill="FFFFFF" w:val="clear"/>
          </w:tcPr>
          <w:p>
            <w:pPr>
              <w:pStyle w:val="TableContents"/>
              <w:spacing w:before="0" w:after="283"/>
              <w:rPr/>
            </w:pPr>
            <w:r>
              <w:rPr/>
              <w:t> </w:t>
            </w:r>
          </w:p>
        </w:tc>
        <w:tc>
          <w:tcPr>
            <w:tcW w:w="930" w:type="dxa"/>
            <w:tcBorders/>
            <w:shd w:fill="FFFFFF" w:val="clear"/>
          </w:tcPr>
          <w:p>
            <w:pPr>
              <w:pStyle w:val="TableContents"/>
              <w:spacing w:before="0" w:after="283"/>
              <w:jc w:val="center"/>
              <w:rPr/>
            </w:pPr>
            <w:r>
              <w:rPr/>
              <w:t> </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5,059</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tcPr>
          <w:p>
            <w:pPr>
              <w:pStyle w:val="TableContents"/>
              <w:spacing w:before="0" w:after="283"/>
              <w:jc w:val="right"/>
              <w:rPr>
                <w:rFonts w:ascii="times" w:hAnsi="times"/>
                <w:sz w:val="20"/>
              </w:rPr>
            </w:pPr>
            <w:r>
              <w:rPr>
                <w:rFonts w:ascii="times" w:hAnsi="times"/>
                <w:sz w:val="20"/>
              </w:rPr>
              <w:t>4,419</w:t>
            </w:r>
          </w:p>
        </w:tc>
        <w:tc>
          <w:tcPr>
            <w:tcW w:w="80" w:type="dxa"/>
            <w:tcBorders/>
            <w:shd w:fill="FFFFFF" w:val="clear"/>
          </w:tcPr>
          <w:p>
            <w:pPr>
              <w:pStyle w:val="TableContents"/>
              <w:spacing w:before="0" w:after="283"/>
              <w:rPr/>
            </w:pPr>
            <w:r>
              <w:rPr/>
              <w:t> </w:t>
            </w:r>
          </w:p>
        </w:tc>
      </w:tr>
      <w:tr>
        <w:trPr/>
        <w:tc>
          <w:tcPr>
            <w:tcW w:w="3979"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Depreciation expense for the years ended December 31, 2008, 2007 and 2006 was $196 million, $160 million and $91 million, respectively. </w:t>
      </w:r>
    </w:p>
    <w:p>
      <w:pPr>
        <w:pStyle w:val="TextBody"/>
        <w:rPr/>
      </w:pPr>
      <w:r>
        <w:rPr/>
        <w:t>        </w:t>
      </w:r>
      <w:r>
        <w:rPr>
          <w:rFonts w:ascii="times" w:hAnsi="times"/>
          <w:sz w:val="20"/>
        </w:rPr>
        <w:t xml:space="preserve">We calculate our depreciation using the straight-line method, based on estimated useful lives and salvage values of our assets. These estimates are based on various factors including age (in the case of acquired assets),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Historically, adjustments to useful lives have not had a material impact on our aggregate depreciation levels from year to year. Also, gains and losses on sales of assets and asset impairments are included as a component of depreciation and amortization in the consolidated statements of operations. </w:t>
      </w:r>
    </w:p>
    <w:p>
      <w:pPr>
        <w:pStyle w:val="TextBody"/>
        <w:rPr>
          <w:rFonts w:ascii="times" w:hAnsi="times"/>
          <w:b/>
          <w:i/>
          <w:sz w:val="20"/>
        </w:rPr>
      </w:pPr>
      <w:r>
        <w:rPr>
          <w:rFonts w:ascii="times" w:hAnsi="times"/>
          <w:b/>
          <w:i/>
          <w:sz w:val="20"/>
        </w:rPr>
        <w:t xml:space="preserve">Equity Method of Accounting </w:t>
      </w:r>
    </w:p>
    <w:p>
      <w:pPr>
        <w:pStyle w:val="TextBody"/>
        <w:rPr/>
      </w:pPr>
      <w:r>
        <w:rPr/>
        <w:t>        </w:t>
      </w:r>
      <w:r>
        <w:rPr>
          <w:rFonts w:ascii="times" w:hAnsi="times"/>
          <w:sz w:val="20"/>
        </w:rPr>
        <w:t xml:space="preserve">Our investments in PAA/Vulcan, Frontier Pipeline Company ("Frontier"), Settoon Towing, LLC ("Settoon Towing") and Butte Pipe Line Company ("Butte") are accounted for under the equity method of accounting. Our ownership interests in PAA/Vulcan, Frontier, Settoon Towing and Butte are 50%, 22%, 50% and 22%, respectively. We do not consolidate any part of the assets or liabilities of our equity investees. Our share of net income or loss is reflected as one line item on the income statement and will increase or decrease, as applicable, the carrying value of our investments on the balance sheet. Distributions to the Partnership will reduce the carrying value of our investments and will be reflected on our cash flow statement against equity in earnings. In turn, contributions will increase the carrying value of our investments and will be reflected on our cash flow statement within investing activities. </w:t>
      </w:r>
    </w:p>
    <w:p>
      <w:pPr>
        <w:pStyle w:val="TextBody"/>
        <w:rPr>
          <w:rFonts w:ascii="times" w:hAnsi="times"/>
          <w:b/>
          <w:i/>
          <w:sz w:val="20"/>
        </w:rPr>
      </w:pPr>
      <w:r>
        <w:rPr>
          <w:rFonts w:ascii="times" w:hAnsi="times"/>
          <w:b/>
          <w:i/>
          <w:sz w:val="20"/>
        </w:rPr>
        <w:t xml:space="preserve">Asset Retirement Obligations </w:t>
      </w:r>
    </w:p>
    <w:p>
      <w:pPr>
        <w:pStyle w:val="TextBody"/>
        <w:rPr/>
      </w:pPr>
      <w:r>
        <w:rPr/>
        <w:t>        </w:t>
      </w:r>
      <w:r>
        <w:rPr>
          <w:rFonts w:ascii="times" w:hAnsi="times"/>
          <w:sz w:val="20"/>
        </w:rPr>
        <w:t xml:space="preserve">We account for asset retirement obligations under SFAS No. 143, "Accounting for Asset Retirement Obligations" ("SFAS 143"). SFAS 143 establishes accounting requirements for retirement obligations associated with tangible long-lived assets, including estimates related to (1) the time of the liability recognition ("settlement date"), (2) initial measurement of the liability, (3) allocation of asset </w:t>
      </w:r>
    </w:p>
    <w:p>
      <w:pPr>
        <w:pStyle w:val="TextBody"/>
        <w:jc w:val="center"/>
        <w:rPr>
          <w:rFonts w:ascii="times" w:hAnsi="times"/>
          <w:sz w:val="20"/>
        </w:rPr>
      </w:pPr>
      <w:r>
        <w:rPr>
          <w:rFonts w:ascii="times" w:hAnsi="times"/>
          <w:sz w:val="20"/>
        </w:rPr>
        <w:t>F-15</w:t>
      </w:r>
    </w:p>
    <w:p>
      <w:pPr>
        <w:pStyle w:val="HorizontalLine"/>
        <w:pBdr>
          <w:bottom w:val="single" w:sz="20" w:space="0" w:color="808080"/>
        </w:pBdr>
        <w:rPr/>
      </w:pPr>
      <w:r>
        <w:rPr/>
      </w:r>
      <w:r>
        <w:br w:type="page"/>
      </w:r>
    </w:p>
    <w:p>
      <w:pPr>
        <w:pStyle w:val="TextBody"/>
        <w:rPr/>
      </w:pPr>
      <w:hyperlink w:anchor="bg12101a_main_toc">
        <w:bookmarkStart w:id="249" w:name="page_fo12101_1_16"/>
        <w:bookmarkEnd w:id="24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r>
    </w:p>
    <w:p>
      <w:pPr>
        <w:pStyle w:val="TextBody"/>
        <w:rPr>
          <w:rFonts w:ascii="times" w:hAnsi="times"/>
          <w:sz w:val="20"/>
        </w:rPr>
      </w:pPr>
      <w:r>
        <w:rPr>
          <w:rFonts w:ascii="times" w:hAnsi="times"/>
          <w:sz w:val="20"/>
        </w:rPr>
        <w:t xml:space="preserve">retirement cost to expense, (4) subsequent measurement of the liability and (5) financial statement disclosures. SFAS 143 requires that the cost for asset retirement should be capitalized as part of the cost of the related long-lived asset and subsequently allocated to expense using a systematic and rational method. </w:t>
      </w:r>
    </w:p>
    <w:p>
      <w:pPr>
        <w:pStyle w:val="TextBody"/>
        <w:rPr/>
      </w:pPr>
      <w:r>
        <w:rPr/>
        <w:t>        </w:t>
      </w:r>
      <w:r>
        <w:rPr>
          <w:rFonts w:ascii="times" w:hAnsi="times"/>
          <w:sz w:val="20"/>
        </w:rPr>
        <w:t xml:space="preserve">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w:t>
      </w:r>
    </w:p>
    <w:p>
      <w:pPr>
        <w:pStyle w:val="TextBody"/>
        <w:rPr/>
      </w:pPr>
      <w:r>
        <w:rPr/>
        <w:t>        </w:t>
      </w:r>
      <w:r>
        <w:rPr>
          <w:rFonts w:ascii="times" w:hAnsi="times"/>
          <w:sz w:val="20"/>
        </w:rPr>
        <w:t xml:space="preserve">Many of our pipelines are trunk and interstate systems that transport crude oil and we have determined that the settlement date related to the retirement obligation has an indeterminate life. The pipelines with indeterminate settlement dates have been in existence for many years and with regular maintenance will continue to be in service for many years to come. Also, it is not possible to predict when demands for this transportation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 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$5 million and $8 million at December 31, 2008 and 2007, respectively, and decreased primarily as a result of a change in estimates. </w:t>
      </w:r>
    </w:p>
    <w:p>
      <w:pPr>
        <w:pStyle w:val="TextBody"/>
        <w:rPr>
          <w:rFonts w:ascii="times" w:hAnsi="times"/>
          <w:b/>
          <w:i/>
          <w:sz w:val="20"/>
        </w:rPr>
      </w:pPr>
      <w:r>
        <w:rPr>
          <w:rFonts w:ascii="times" w:hAnsi="times"/>
          <w:b/>
          <w:i/>
          <w:sz w:val="20"/>
        </w:rPr>
        <w:t xml:space="preserve">Impairment of Long-Lived Assets </w:t>
      </w:r>
    </w:p>
    <w:p>
      <w:pPr>
        <w:pStyle w:val="TextBody"/>
        <w:rPr/>
      </w:pPr>
      <w:r>
        <w:rPr/>
        <w:t>        </w:t>
      </w:r>
      <w:r>
        <w:rPr>
          <w:rFonts w:ascii="times" w:hAnsi="times"/>
          <w:sz w:val="20"/>
        </w:rPr>
        <w:t xml:space="preserve">Long-lived assets with recorded values that are not expected to be recovered through future cash flows are written down to estimated fair value in accordance with SFAS No. 144, "Accounting for the Impairment or Disposal of Long-Lived Assets," as amended ("SFAS 144"). Under SFAS 144,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 </w:t>
      </w:r>
    </w:p>
    <w:p>
      <w:pPr>
        <w:pStyle w:val="TextBody"/>
        <w:rPr/>
      </w:pPr>
      <w:r>
        <w:rPr/>
        <w:t>        </w:t>
      </w:r>
      <w:r>
        <w:rPr>
          <w:rFonts w:ascii="times" w:hAnsi="times"/>
          <w:sz w:val="20"/>
        </w:rPr>
        <w:t xml:space="preserve">We periodically evaluate property, plant and equipment for impairment when events or circumstances indicate that the carrying value of these assets may not be recoverable. The evaluation is highly dependent on the underlying assumptions of related cash flows. In determining the existence of an impairment in carrying value, we make a number of subjective assumptions as 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there is an indication of impairment;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grouping of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intention of "holding" versus "selling" an asset; </w:t>
      </w:r>
    </w:p>
    <w:p>
      <w:pPr>
        <w:pStyle w:val="TextBody"/>
        <w:jc w:val="center"/>
        <w:rPr>
          <w:rFonts w:ascii="times" w:hAnsi="times"/>
          <w:sz w:val="20"/>
        </w:rPr>
      </w:pPr>
      <w:r>
        <w:rPr>
          <w:rFonts w:ascii="times" w:hAnsi="times"/>
          <w:sz w:val="20"/>
        </w:rPr>
        <w:t>F-16</w:t>
      </w:r>
    </w:p>
    <w:p>
      <w:pPr>
        <w:pStyle w:val="HorizontalLine"/>
        <w:pBdr>
          <w:bottom w:val="single" w:sz="20" w:space="0" w:color="808080"/>
        </w:pBdr>
        <w:rPr/>
      </w:pPr>
      <w:r>
        <w:rPr/>
      </w:r>
      <w:r>
        <w:br w:type="page"/>
      </w:r>
    </w:p>
    <w:p>
      <w:pPr>
        <w:pStyle w:val="TextBody"/>
        <w:rPr/>
      </w:pPr>
      <w:hyperlink w:anchor="bg12101a_main_toc">
        <w:bookmarkStart w:id="250" w:name="page_fo12101_1_17"/>
        <w:bookmarkEnd w:id="25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forecast of undiscounted expected future cash flow over the asset's estimated useful life;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an impairment exists, the fair value of the asset or asset group. </w:t>
      </w:r>
    </w:p>
    <w:p>
      <w:pPr>
        <w:pStyle w:val="TextBody"/>
        <w:rPr/>
      </w:pPr>
      <w:r>
        <w:rPr/>
        <w:t>        </w:t>
      </w:r>
      <w:r>
        <w:rPr>
          <w:rFonts w:ascii="times" w:hAnsi="times"/>
          <w:sz w:val="20"/>
        </w:rPr>
        <w:t xml:space="preserve">During 2008, we recognized an impairment of approximately $5 million for the write down of a pipeline that was taken out of service. Impairments of approximately $1 million and less than $1 million were recognized during 2007 and 2006, respectively, and were predominantly related to assets that were taken out of service. These assets did not support spending the capital necessary to continue service and we utilized other assets to handle these activities. </w:t>
      </w:r>
    </w:p>
    <w:p>
      <w:pPr>
        <w:pStyle w:val="TextBody"/>
        <w:rPr>
          <w:rFonts w:ascii="times" w:hAnsi="times"/>
          <w:b/>
          <w:i/>
          <w:sz w:val="20"/>
        </w:rPr>
      </w:pPr>
      <w:r>
        <w:rPr>
          <w:rFonts w:ascii="times" w:hAnsi="times"/>
          <w:b/>
          <w:i/>
          <w:sz w:val="20"/>
        </w:rPr>
        <w:t xml:space="preserve">Goodwill </w:t>
      </w:r>
    </w:p>
    <w:p>
      <w:pPr>
        <w:pStyle w:val="TextBody"/>
        <w:rPr/>
      </w:pPr>
      <w:r>
        <w:rPr/>
        <w:t>        </w:t>
      </w:r>
      <w:r>
        <w:rPr>
          <w:rFonts w:ascii="times" w:hAnsi="times"/>
          <w:sz w:val="20"/>
        </w:rPr>
        <w:t xml:space="preserve">In accordance with SFAS No. 142, "Goodwill and Other Intangible Assets" ("SFAS 142") we test goodwill at least annually (as of June 30) and on an interim basis if a triggering event occurs, such as an adverse change in business climate, to determine whether an impairment has occurred. In addition, there is a potential indicator of impairment if a company's market capitalization is less than its book equity. Goodwill is tested for impairment at a level of reporting referred to as a reporting unit. Pursuant to SFAS 142, a reporting unit is an operating segment or one level below an operating segment for which discrete financial information is available and regularly reviewed by segment management. Our reporting units are our operating segments. SFAS 142 requires a two step approach to testing goodwill for impairment. In Step 1, we compare the fair value of the reporting unit with the respective book values, including goodwill, by using an earnings multiple approach. Multiples of earnings are estimated based on the average multiple of earnings before interest, taxes, depreciation and amortization ("EBITDA") upon which our MLP peers have closed recent acquisitions and which management believes are comparable to our business.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 </w:t>
      </w:r>
    </w:p>
    <w:p>
      <w:pPr>
        <w:pStyle w:val="TextBody"/>
        <w:rPr/>
      </w:pPr>
      <w:r>
        <w:rPr/>
        <w:t>        </w:t>
      </w:r>
      <w:r>
        <w:rPr>
          <w:rFonts w:ascii="times" w:hAnsi="times"/>
          <w:sz w:val="20"/>
        </w:rPr>
        <w:t xml:space="preserve">At December 31, 2008, we compared our market capitalization to our book equity to determine if there was an indicator of impairment. Although our market capitalization exceeded the book value of our equity at December 31, 2008, we performed Step 1 of the goodwill impairment test due to the ongoing deterioration of the credit markets and the overall economic conditions. We determined that the fair value was greater than book value for all three reporting units, and therefore goodwill was not considered impaired. We will continue to monitor the market to determine if a triggering event occurs and will perform another goodwill impairment analysis if necessary. Since adoption of SFAS 142, we have not recognized any impairment of goodwill. </w:t>
      </w:r>
    </w:p>
    <w:p>
      <w:pPr>
        <w:pStyle w:val="TextBody"/>
        <w:jc w:val="center"/>
        <w:rPr>
          <w:rFonts w:ascii="times" w:hAnsi="times"/>
          <w:sz w:val="20"/>
        </w:rPr>
      </w:pPr>
      <w:r>
        <w:rPr>
          <w:rFonts w:ascii="times" w:hAnsi="times"/>
          <w:sz w:val="20"/>
        </w:rPr>
        <w:t>F-17</w:t>
      </w:r>
    </w:p>
    <w:p>
      <w:pPr>
        <w:pStyle w:val="HorizontalLine"/>
        <w:pBdr>
          <w:bottom w:val="single" w:sz="20" w:space="0" w:color="808080"/>
        </w:pBdr>
        <w:rPr/>
      </w:pPr>
      <w:r>
        <w:rPr/>
      </w:r>
      <w:r>
        <w:br w:type="page"/>
      </w:r>
    </w:p>
    <w:p>
      <w:pPr>
        <w:pStyle w:val="TextBody"/>
        <w:rPr/>
      </w:pPr>
      <w:hyperlink w:anchor="bg12101a_main_toc">
        <w:bookmarkStart w:id="251" w:name="page_fo12101_1_18"/>
        <w:bookmarkEnd w:id="25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t>        </w:t>
      </w:r>
      <w:r>
        <w:rPr>
          <w:rFonts w:ascii="times" w:hAnsi="times"/>
          <w:sz w:val="20"/>
        </w:rPr>
        <w:t xml:space="preserve">The table below reflects our changes in goodwill (in millions): </w:t>
      </w:r>
    </w:p>
    <w:tbl>
      <w:tblPr>
        <w:tblW w:w="7737" w:type="dxa"/>
        <w:jc w:val="center"/>
        <w:tblInd w:w="0" w:type="dxa"/>
        <w:tblCellMar>
          <w:top w:w="0" w:type="dxa"/>
          <w:left w:w="0" w:type="dxa"/>
          <w:bottom w:w="0" w:type="dxa"/>
          <w:right w:w="0" w:type="dxa"/>
        </w:tblCellMar>
      </w:tblPr>
      <w:tblGrid>
        <w:gridCol w:w="150"/>
        <w:gridCol w:w="3780"/>
        <w:gridCol w:w="180"/>
        <w:gridCol w:w="258"/>
        <w:gridCol w:w="721"/>
        <w:gridCol w:w="225"/>
        <w:gridCol w:w="164"/>
        <w:gridCol w:w="440"/>
        <w:gridCol w:w="225"/>
        <w:gridCol w:w="178"/>
        <w:gridCol w:w="501"/>
        <w:gridCol w:w="225"/>
        <w:gridCol w:w="125"/>
        <w:gridCol w:w="485"/>
        <w:gridCol w:w="80"/>
      </w:tblGrid>
      <w:tr>
        <w:trPr/>
        <w:tc>
          <w:tcPr>
            <w:tcW w:w="150" w:type="dxa"/>
            <w:tcBorders/>
            <w:shd w:fill="auto" w:val="clear"/>
            <w:vAlign w:val="center"/>
          </w:tcPr>
          <w:p>
            <w:pPr>
              <w:pStyle w:val="TableContents"/>
              <w:spacing w:before="0" w:after="283"/>
              <w:rPr>
                <w:sz w:val="4"/>
                <w:szCs w:val="4"/>
              </w:rPr>
            </w:pPr>
            <w:r>
              <w:rPr>
                <w:sz w:val="4"/>
                <w:szCs w:val="4"/>
              </w:rPr>
            </w:r>
          </w:p>
        </w:tc>
        <w:tc>
          <w:tcPr>
            <w:tcW w:w="37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3930"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9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225" w:type="dxa"/>
            <w:tcBorders/>
            <w:shd w:fill="auto" w:val="clear"/>
            <w:vAlign w:val="bottom"/>
          </w:tcPr>
          <w:p>
            <w:pPr>
              <w:pStyle w:val="TableHeading"/>
              <w:suppressLineNumbers/>
              <w:spacing w:before="0" w:after="283"/>
              <w:jc w:val="center"/>
              <w:rPr/>
            </w:pPr>
            <w:r>
              <w:rPr/>
              <w:t> </w:t>
            </w:r>
          </w:p>
        </w:tc>
        <w:tc>
          <w:tcPr>
            <w:tcW w:w="6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Facilities </w:t>
            </w:r>
          </w:p>
        </w:tc>
        <w:tc>
          <w:tcPr>
            <w:tcW w:w="225" w:type="dxa"/>
            <w:tcBorders/>
            <w:shd w:fill="auto" w:val="clear"/>
            <w:vAlign w:val="bottom"/>
          </w:tcPr>
          <w:p>
            <w:pPr>
              <w:pStyle w:val="TableHeading"/>
              <w:suppressLineNumbers/>
              <w:spacing w:before="0" w:after="283"/>
              <w:jc w:val="center"/>
              <w:rPr/>
            </w:pPr>
            <w:r>
              <w:rPr/>
              <w:t> </w:t>
            </w:r>
          </w:p>
        </w:tc>
        <w:tc>
          <w:tcPr>
            <w:tcW w:w="6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Marketing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80" w:type="dxa"/>
            <w:tcBorders/>
            <w:shd w:fill="auto" w:val="clear"/>
            <w:vAlign w:val="bottom"/>
          </w:tcPr>
          <w:p>
            <w:pPr>
              <w:pStyle w:val="TableHeading"/>
              <w:suppressLineNumbers/>
              <w:spacing w:before="0" w:after="283"/>
              <w:jc w:val="center"/>
              <w:rPr/>
            </w:pPr>
            <w:r>
              <w:rPr/>
              <w:t> </w:t>
            </w:r>
          </w:p>
        </w:tc>
      </w:tr>
      <w:tr>
        <w:trPr/>
        <w:tc>
          <w:tcPr>
            <w:tcW w:w="393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Balance at December 31, 2006</w:t>
            </w:r>
          </w:p>
        </w:tc>
        <w:tc>
          <w:tcPr>
            <w:tcW w:w="180" w:type="dxa"/>
            <w:tcBorders/>
            <w:shd w:fill="CCEEFF" w:val="clear"/>
          </w:tcPr>
          <w:p>
            <w:pPr>
              <w:pStyle w:val="TableContents"/>
              <w:spacing w:before="0" w:after="283"/>
              <w:rPr/>
            </w:pPr>
            <w:r>
              <w:rPr/>
              <w:t> </w:t>
            </w:r>
          </w:p>
        </w:tc>
        <w:tc>
          <w:tcPr>
            <w:tcW w:w="258" w:type="dxa"/>
            <w:tcBorders/>
            <w:shd w:fill="CCEEFF" w:val="clear"/>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tcPr>
          <w:p>
            <w:pPr>
              <w:pStyle w:val="TableContents"/>
              <w:spacing w:before="0" w:after="283"/>
              <w:jc w:val="right"/>
              <w:rPr>
                <w:rFonts w:ascii="times" w:hAnsi="times"/>
                <w:sz w:val="20"/>
              </w:rPr>
            </w:pPr>
            <w:r>
              <w:rPr>
                <w:rFonts w:ascii="times" w:hAnsi="times"/>
                <w:sz w:val="20"/>
              </w:rPr>
              <w:t>399</w:t>
            </w:r>
          </w:p>
        </w:tc>
        <w:tc>
          <w:tcPr>
            <w:tcW w:w="225" w:type="dxa"/>
            <w:tcBorders/>
            <w:shd w:fill="CCEEFF" w:val="clear"/>
          </w:tcPr>
          <w:p>
            <w:pPr>
              <w:pStyle w:val="TableContents"/>
              <w:spacing w:before="0" w:after="283"/>
              <w:rPr/>
            </w:pPr>
            <w:r>
              <w:rPr/>
              <w:t> </w:t>
            </w:r>
          </w:p>
        </w:tc>
        <w:tc>
          <w:tcPr>
            <w:tcW w:w="164" w:type="dxa"/>
            <w:tcBorders/>
            <w:shd w:fill="CCEEFF" w:val="clear"/>
          </w:tcPr>
          <w:p>
            <w:pPr>
              <w:pStyle w:val="TableContents"/>
              <w:spacing w:before="0" w:after="283"/>
              <w:jc w:val="right"/>
              <w:rPr>
                <w:rFonts w:ascii="times" w:hAnsi="times"/>
                <w:sz w:val="20"/>
              </w:rPr>
            </w:pPr>
            <w:r>
              <w:rPr>
                <w:rFonts w:ascii="times" w:hAnsi="times"/>
                <w:sz w:val="20"/>
              </w:rPr>
              <w:t>$</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249</w:t>
            </w:r>
          </w:p>
        </w:tc>
        <w:tc>
          <w:tcPr>
            <w:tcW w:w="22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jc w:val="right"/>
              <w:rPr>
                <w:rFonts w:ascii="times" w:hAnsi="times"/>
                <w:sz w:val="20"/>
              </w:rPr>
            </w:pPr>
            <w:r>
              <w:rPr>
                <w:rFonts w:ascii="times" w:hAnsi="times"/>
                <w:sz w:val="20"/>
              </w:rPr>
              <w:t>$</w:t>
            </w:r>
          </w:p>
        </w:tc>
        <w:tc>
          <w:tcPr>
            <w:tcW w:w="501" w:type="dxa"/>
            <w:tcBorders/>
            <w:shd w:fill="CCEEFF" w:val="clear"/>
          </w:tcPr>
          <w:p>
            <w:pPr>
              <w:pStyle w:val="TableContents"/>
              <w:spacing w:before="0" w:after="283"/>
              <w:jc w:val="right"/>
              <w:rPr>
                <w:rFonts w:ascii="times" w:hAnsi="times"/>
                <w:sz w:val="20"/>
              </w:rPr>
            </w:pPr>
            <w:r>
              <w:rPr>
                <w:rFonts w:ascii="times" w:hAnsi="times"/>
                <w:sz w:val="20"/>
              </w:rPr>
              <w:t>378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1,026</w:t>
            </w:r>
          </w:p>
        </w:tc>
        <w:tc>
          <w:tcPr>
            <w:tcW w:w="80" w:type="dxa"/>
            <w:tcBorders/>
            <w:shd w:fill="CCEEFF" w:val="clear"/>
          </w:tcPr>
          <w:p>
            <w:pPr>
              <w:pStyle w:val="TableContents"/>
              <w:spacing w:before="0" w:after="283"/>
              <w:rPr/>
            </w:pPr>
            <w:r>
              <w:rPr/>
              <w:t> </w:t>
            </w:r>
          </w:p>
        </w:tc>
      </w:tr>
      <w:tr>
        <w:trPr/>
        <w:tc>
          <w:tcPr>
            <w:tcW w:w="393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393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2007 Additions</w:t>
            </w:r>
          </w:p>
        </w:tc>
        <w:tc>
          <w:tcPr>
            <w:tcW w:w="180" w:type="dxa"/>
            <w:tcBorders/>
            <w:shd w:fill="FFFFFF" w:val="clear"/>
          </w:tcPr>
          <w:p>
            <w:pPr>
              <w:pStyle w:val="TableContents"/>
              <w:spacing w:before="0" w:after="283"/>
              <w:rPr/>
            </w:pPr>
            <w:r>
              <w:rPr/>
              <w:t> </w:t>
            </w:r>
          </w:p>
        </w:tc>
        <w:tc>
          <w:tcPr>
            <w:tcW w:w="258" w:type="dxa"/>
            <w:tcBorders/>
            <w:shd w:fill="FFFFFF" w:val="clear"/>
          </w:tcPr>
          <w:p>
            <w:pPr>
              <w:pStyle w:val="TableContents"/>
              <w:spacing w:before="0" w:after="283"/>
              <w:rPr/>
            </w:pPr>
            <w:r>
              <w:rPr/>
              <w:t> </w:t>
            </w:r>
          </w:p>
        </w:tc>
        <w:tc>
          <w:tcPr>
            <w:tcW w:w="72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64"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0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rPr/>
            </w:pPr>
            <w:r>
              <w:rPr/>
              <w:t> </w:t>
            </w:r>
          </w:p>
        </w:tc>
        <w:tc>
          <w:tcPr>
            <w:tcW w:w="8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780" w:type="dxa"/>
            <w:tcBorders/>
            <w:shd w:fill="CCEEFF" w:val="clear"/>
          </w:tcPr>
          <w:p>
            <w:pPr>
              <w:pStyle w:val="TableContents"/>
              <w:spacing w:before="0" w:after="283"/>
              <w:ind w:left="200" w:right="0" w:hanging="200"/>
              <w:rPr>
                <w:rFonts w:ascii="times" w:hAnsi="times"/>
                <w:sz w:val="20"/>
              </w:rPr>
            </w:pPr>
            <w:r>
              <w:rPr>
                <w:rFonts w:ascii="times" w:hAnsi="times"/>
                <w:sz w:val="20"/>
              </w:rPr>
              <w:t>Pacific</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258"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64"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30</w:t>
            </w:r>
          </w:p>
        </w:tc>
        <w:tc>
          <w:tcPr>
            <w:tcW w:w="22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01" w:type="dxa"/>
            <w:tcBorders/>
            <w:shd w:fill="CCEEFF" w:val="clear"/>
          </w:tcPr>
          <w:p>
            <w:pPr>
              <w:pStyle w:val="TableContents"/>
              <w:spacing w:before="0" w:after="283"/>
              <w:jc w:val="right"/>
              <w:rPr>
                <w:rFonts w:ascii="times" w:hAnsi="times"/>
                <w:sz w:val="20"/>
              </w:rPr>
            </w:pPr>
            <w:r>
              <w:rPr>
                <w:rFonts w:ascii="times" w:hAnsi="times"/>
                <w:sz w:val="20"/>
              </w:rPr>
              <w:t>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32</w:t>
            </w:r>
          </w:p>
        </w:tc>
        <w:tc>
          <w:tcPr>
            <w:tcW w:w="8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780" w:type="dxa"/>
            <w:tcBorders/>
            <w:shd w:fill="FFFFFF" w:val="clear"/>
          </w:tcPr>
          <w:p>
            <w:pPr>
              <w:pStyle w:val="TableContents"/>
              <w:spacing w:before="0" w:after="283"/>
              <w:ind w:left="200" w:right="0" w:hanging="200"/>
              <w:rPr>
                <w:rFonts w:ascii="times" w:hAnsi="times"/>
                <w:sz w:val="20"/>
              </w:rPr>
            </w:pPr>
            <w:r>
              <w:rPr>
                <w:rFonts w:ascii="times" w:hAnsi="times"/>
                <w:sz w:val="20"/>
              </w:rPr>
              <w:t>Other</w:t>
            </w:r>
            <w:r>
              <w:rPr>
                <w:rFonts w:ascii="times" w:hAnsi="times"/>
                <w:position w:val="7"/>
                <w:sz w:val="16"/>
                <w:sz w:val="20"/>
              </w:rPr>
              <w:t>(2)</w:t>
            </w:r>
          </w:p>
        </w:tc>
        <w:tc>
          <w:tcPr>
            <w:tcW w:w="180" w:type="dxa"/>
            <w:tcBorders/>
            <w:shd w:fill="FFFFFF" w:val="clear"/>
          </w:tcPr>
          <w:p>
            <w:pPr>
              <w:pStyle w:val="TableContents"/>
              <w:spacing w:before="0" w:after="283"/>
              <w:rPr/>
            </w:pPr>
            <w:r>
              <w:rPr/>
              <w:t> </w:t>
            </w:r>
          </w:p>
        </w:tc>
        <w:tc>
          <w:tcPr>
            <w:tcW w:w="258" w:type="dxa"/>
            <w:tcBorders/>
            <w:shd w:fill="FFFFFF" w:val="clear"/>
          </w:tcPr>
          <w:p>
            <w:pPr>
              <w:pStyle w:val="TableContents"/>
              <w:spacing w:before="0" w:after="283"/>
              <w:rPr/>
            </w:pPr>
            <w:r>
              <w:rPr/>
              <w:t> </w:t>
            </w:r>
          </w:p>
        </w:tc>
        <w:tc>
          <w:tcPr>
            <w:tcW w:w="721" w:type="dxa"/>
            <w:tcBorders/>
            <w:shd w:fill="FFFFFF" w:val="clear"/>
          </w:tcPr>
          <w:p>
            <w:pPr>
              <w:pStyle w:val="TableContents"/>
              <w:spacing w:before="0" w:after="283"/>
              <w:jc w:val="right"/>
              <w:rPr>
                <w:rFonts w:ascii="times" w:hAnsi="times"/>
                <w:sz w:val="20"/>
              </w:rPr>
            </w:pPr>
            <w:r>
              <w:rPr>
                <w:rFonts w:ascii="times" w:hAnsi="times"/>
                <w:sz w:val="20"/>
              </w:rPr>
              <w:t>5</w:t>
            </w:r>
          </w:p>
        </w:tc>
        <w:tc>
          <w:tcPr>
            <w:tcW w:w="225" w:type="dxa"/>
            <w:tcBorders/>
            <w:shd w:fill="FFFFFF" w:val="clear"/>
          </w:tcPr>
          <w:p>
            <w:pPr>
              <w:pStyle w:val="TableContents"/>
              <w:spacing w:before="0" w:after="283"/>
              <w:rPr/>
            </w:pPr>
            <w:r>
              <w:rPr/>
              <w:t> </w:t>
            </w:r>
          </w:p>
        </w:tc>
        <w:tc>
          <w:tcPr>
            <w:tcW w:w="164"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4</w:t>
            </w:r>
          </w:p>
        </w:tc>
        <w:tc>
          <w:tcPr>
            <w:tcW w:w="22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01" w:type="dxa"/>
            <w:tcBorders/>
            <w:shd w:fill="FFFFFF" w:val="clear"/>
          </w:tcPr>
          <w:p>
            <w:pPr>
              <w:pStyle w:val="TableContents"/>
              <w:spacing w:before="0" w:after="283"/>
              <w:jc w:val="right"/>
              <w:rPr>
                <w:rFonts w:ascii="times" w:hAnsi="times"/>
                <w:sz w:val="20"/>
              </w:rPr>
            </w:pPr>
            <w:r>
              <w:rPr>
                <w:rFonts w:ascii="times" w:hAnsi="times"/>
                <w:sz w:val="20"/>
              </w:rPr>
              <w:t>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14</w:t>
            </w:r>
          </w:p>
        </w:tc>
        <w:tc>
          <w:tcPr>
            <w:tcW w:w="80" w:type="dxa"/>
            <w:tcBorders/>
            <w:shd w:fill="FFFFFF" w:val="clear"/>
          </w:tcPr>
          <w:p>
            <w:pPr>
              <w:pStyle w:val="TableContents"/>
              <w:spacing w:before="0" w:after="283"/>
              <w:rPr/>
            </w:pPr>
            <w:r>
              <w:rPr/>
              <w:t> </w:t>
            </w:r>
          </w:p>
        </w:tc>
      </w:tr>
      <w:tr>
        <w:trPr/>
        <w:tc>
          <w:tcPr>
            <w:tcW w:w="393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0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393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Balance at December 31, 2007</w:t>
            </w:r>
          </w:p>
        </w:tc>
        <w:tc>
          <w:tcPr>
            <w:tcW w:w="180" w:type="dxa"/>
            <w:tcBorders/>
            <w:shd w:fill="CCEEFF" w:val="clear"/>
          </w:tcPr>
          <w:p>
            <w:pPr>
              <w:pStyle w:val="TableContents"/>
              <w:spacing w:before="0" w:after="283"/>
              <w:rPr/>
            </w:pPr>
            <w:r>
              <w:rPr/>
              <w:t> </w:t>
            </w:r>
          </w:p>
        </w:tc>
        <w:tc>
          <w:tcPr>
            <w:tcW w:w="258" w:type="dxa"/>
            <w:tcBorders/>
            <w:shd w:fill="CCEEFF" w:val="clear"/>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tcPr>
          <w:p>
            <w:pPr>
              <w:pStyle w:val="TableContents"/>
              <w:spacing w:before="0" w:after="283"/>
              <w:jc w:val="right"/>
              <w:rPr>
                <w:rFonts w:ascii="times" w:hAnsi="times"/>
                <w:sz w:val="20"/>
              </w:rPr>
            </w:pPr>
            <w:r>
              <w:rPr>
                <w:rFonts w:ascii="times" w:hAnsi="times"/>
                <w:sz w:val="20"/>
              </w:rPr>
              <w:t>404</w:t>
            </w:r>
          </w:p>
        </w:tc>
        <w:tc>
          <w:tcPr>
            <w:tcW w:w="225" w:type="dxa"/>
            <w:tcBorders/>
            <w:shd w:fill="CCEEFF" w:val="clear"/>
          </w:tcPr>
          <w:p>
            <w:pPr>
              <w:pStyle w:val="TableContents"/>
              <w:spacing w:before="0" w:after="283"/>
              <w:rPr/>
            </w:pPr>
            <w:r>
              <w:rPr/>
              <w:t> </w:t>
            </w:r>
          </w:p>
        </w:tc>
        <w:tc>
          <w:tcPr>
            <w:tcW w:w="164" w:type="dxa"/>
            <w:tcBorders/>
            <w:shd w:fill="CCEEFF" w:val="clear"/>
          </w:tcPr>
          <w:p>
            <w:pPr>
              <w:pStyle w:val="TableContents"/>
              <w:spacing w:before="0" w:after="283"/>
              <w:jc w:val="right"/>
              <w:rPr>
                <w:rFonts w:ascii="times" w:hAnsi="times"/>
                <w:sz w:val="20"/>
              </w:rPr>
            </w:pPr>
            <w:r>
              <w:rPr>
                <w:rFonts w:ascii="times" w:hAnsi="times"/>
                <w:sz w:val="20"/>
              </w:rPr>
              <w:t>$</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283</w:t>
            </w:r>
          </w:p>
        </w:tc>
        <w:tc>
          <w:tcPr>
            <w:tcW w:w="22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jc w:val="right"/>
              <w:rPr>
                <w:rFonts w:ascii="times" w:hAnsi="times"/>
                <w:sz w:val="20"/>
              </w:rPr>
            </w:pPr>
            <w:r>
              <w:rPr>
                <w:rFonts w:ascii="times" w:hAnsi="times"/>
                <w:sz w:val="20"/>
              </w:rPr>
              <w:t>$</w:t>
            </w:r>
          </w:p>
        </w:tc>
        <w:tc>
          <w:tcPr>
            <w:tcW w:w="501" w:type="dxa"/>
            <w:tcBorders/>
            <w:shd w:fill="CCEEFF" w:val="clear"/>
          </w:tcPr>
          <w:p>
            <w:pPr>
              <w:pStyle w:val="TableContents"/>
              <w:spacing w:before="0" w:after="283"/>
              <w:jc w:val="right"/>
              <w:rPr>
                <w:rFonts w:ascii="times" w:hAnsi="times"/>
                <w:sz w:val="20"/>
              </w:rPr>
            </w:pPr>
            <w:r>
              <w:rPr>
                <w:rFonts w:ascii="times" w:hAnsi="times"/>
                <w:sz w:val="20"/>
              </w:rPr>
              <w:t>385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1,072</w:t>
            </w:r>
          </w:p>
        </w:tc>
        <w:tc>
          <w:tcPr>
            <w:tcW w:w="80" w:type="dxa"/>
            <w:tcBorders/>
            <w:shd w:fill="CCEEFF" w:val="clear"/>
          </w:tcPr>
          <w:p>
            <w:pPr>
              <w:pStyle w:val="TableContents"/>
              <w:spacing w:before="0" w:after="283"/>
              <w:rPr/>
            </w:pPr>
            <w:r>
              <w:rPr/>
              <w:t> </w:t>
            </w:r>
          </w:p>
        </w:tc>
      </w:tr>
      <w:tr>
        <w:trPr/>
        <w:tc>
          <w:tcPr>
            <w:tcW w:w="393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393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2008 Additions</w:t>
            </w:r>
          </w:p>
        </w:tc>
        <w:tc>
          <w:tcPr>
            <w:tcW w:w="180" w:type="dxa"/>
            <w:tcBorders/>
            <w:shd w:fill="FFFFFF" w:val="clear"/>
          </w:tcPr>
          <w:p>
            <w:pPr>
              <w:pStyle w:val="TableContents"/>
              <w:spacing w:before="0" w:after="283"/>
              <w:rPr/>
            </w:pPr>
            <w:r>
              <w:rPr/>
              <w:t> </w:t>
            </w:r>
          </w:p>
        </w:tc>
        <w:tc>
          <w:tcPr>
            <w:tcW w:w="258" w:type="dxa"/>
            <w:tcBorders/>
            <w:shd w:fill="FFFFFF" w:val="clear"/>
          </w:tcPr>
          <w:p>
            <w:pPr>
              <w:pStyle w:val="TableContents"/>
              <w:spacing w:before="0" w:after="283"/>
              <w:rPr/>
            </w:pPr>
            <w:r>
              <w:rPr/>
              <w:t> </w:t>
            </w:r>
          </w:p>
        </w:tc>
        <w:tc>
          <w:tcPr>
            <w:tcW w:w="72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64"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01"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rPr/>
            </w:pPr>
            <w:r>
              <w:rPr/>
              <w:t> </w:t>
            </w:r>
          </w:p>
        </w:tc>
        <w:tc>
          <w:tcPr>
            <w:tcW w:w="8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780" w:type="dxa"/>
            <w:tcBorders/>
            <w:shd w:fill="CCEEFF" w:val="clear"/>
          </w:tcPr>
          <w:p>
            <w:pPr>
              <w:pStyle w:val="TableContents"/>
              <w:spacing w:before="0" w:after="283"/>
              <w:ind w:left="200" w:right="0" w:hanging="200"/>
              <w:rPr>
                <w:rFonts w:ascii="times" w:hAnsi="times"/>
                <w:sz w:val="20"/>
              </w:rPr>
            </w:pPr>
            <w:r>
              <w:rPr>
                <w:rFonts w:ascii="times" w:hAnsi="times"/>
                <w:sz w:val="20"/>
              </w:rPr>
              <w:t>Rainbow</w:t>
            </w:r>
          </w:p>
        </w:tc>
        <w:tc>
          <w:tcPr>
            <w:tcW w:w="180" w:type="dxa"/>
            <w:tcBorders/>
            <w:shd w:fill="CCEEFF" w:val="clear"/>
          </w:tcPr>
          <w:p>
            <w:pPr>
              <w:pStyle w:val="TableContents"/>
              <w:spacing w:before="0" w:after="283"/>
              <w:rPr/>
            </w:pPr>
            <w:r>
              <w:rPr/>
              <w:t> </w:t>
            </w:r>
          </w:p>
        </w:tc>
        <w:tc>
          <w:tcPr>
            <w:tcW w:w="258" w:type="dxa"/>
            <w:tcBorders/>
            <w:shd w:fill="CCEEFF" w:val="clear"/>
          </w:tcPr>
          <w:p>
            <w:pPr>
              <w:pStyle w:val="TableContents"/>
              <w:spacing w:before="0" w:after="283"/>
              <w:rPr/>
            </w:pPr>
            <w:r>
              <w:rPr/>
              <w:t> </w:t>
            </w:r>
          </w:p>
        </w:tc>
        <w:tc>
          <w:tcPr>
            <w:tcW w:w="721" w:type="dxa"/>
            <w:tcBorders/>
            <w:shd w:fill="CCEEFF" w:val="clear"/>
          </w:tcPr>
          <w:p>
            <w:pPr>
              <w:pStyle w:val="TableContents"/>
              <w:spacing w:before="0" w:after="283"/>
              <w:jc w:val="right"/>
              <w:rPr>
                <w:rFonts w:ascii="times" w:hAnsi="times"/>
                <w:sz w:val="20"/>
              </w:rPr>
            </w:pPr>
            <w:r>
              <w:rPr>
                <w:rFonts w:ascii="times" w:hAnsi="times"/>
                <w:sz w:val="20"/>
              </w:rPr>
              <w:t>194</w:t>
            </w:r>
          </w:p>
        </w:tc>
        <w:tc>
          <w:tcPr>
            <w:tcW w:w="225" w:type="dxa"/>
            <w:tcBorders/>
            <w:shd w:fill="CCEEFF" w:val="clear"/>
          </w:tcPr>
          <w:p>
            <w:pPr>
              <w:pStyle w:val="TableContents"/>
              <w:spacing w:before="0" w:after="283"/>
              <w:rPr/>
            </w:pPr>
            <w:r>
              <w:rPr/>
              <w:t> </w:t>
            </w:r>
          </w:p>
        </w:tc>
        <w:tc>
          <w:tcPr>
            <w:tcW w:w="164" w:type="dxa"/>
            <w:tcBorders/>
            <w:shd w:fill="CCEEFF" w:val="clear"/>
          </w:tcPr>
          <w:p>
            <w:pPr>
              <w:pStyle w:val="TableContents"/>
              <w:spacing w:before="0" w:after="283"/>
              <w:rPr/>
            </w:pPr>
            <w:r>
              <w:rPr/>
              <w:t> </w:t>
            </w:r>
          </w:p>
        </w:tc>
        <w:tc>
          <w:tcPr>
            <w:tcW w:w="44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501"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194</w:t>
            </w:r>
          </w:p>
        </w:tc>
        <w:tc>
          <w:tcPr>
            <w:tcW w:w="8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780" w:type="dxa"/>
            <w:tcBorders/>
            <w:shd w:fill="FFFFFF" w:val="clear"/>
          </w:tcPr>
          <w:p>
            <w:pPr>
              <w:pStyle w:val="TableContents"/>
              <w:spacing w:before="0" w:after="283"/>
              <w:ind w:left="200" w:right="0" w:hanging="200"/>
              <w:rPr>
                <w:rFonts w:ascii="times" w:hAnsi="times"/>
                <w:sz w:val="20"/>
              </w:rPr>
            </w:pPr>
            <w:r>
              <w:rPr>
                <w:rFonts w:ascii="times" w:hAnsi="times"/>
                <w:sz w:val="20"/>
              </w:rPr>
              <w:t>Other</w:t>
            </w:r>
            <w:r>
              <w:rPr>
                <w:rFonts w:ascii="times" w:hAnsi="times"/>
                <w:position w:val="7"/>
                <w:sz w:val="16"/>
                <w:sz w:val="20"/>
              </w:rPr>
              <w:t>(2)</w:t>
            </w:r>
          </w:p>
        </w:tc>
        <w:tc>
          <w:tcPr>
            <w:tcW w:w="180" w:type="dxa"/>
            <w:tcBorders/>
            <w:shd w:fill="FFFFFF" w:val="clear"/>
          </w:tcPr>
          <w:p>
            <w:pPr>
              <w:pStyle w:val="TableContents"/>
              <w:spacing w:before="0" w:after="283"/>
              <w:rPr/>
            </w:pPr>
            <w:r>
              <w:rPr/>
              <w:t> </w:t>
            </w:r>
          </w:p>
        </w:tc>
        <w:tc>
          <w:tcPr>
            <w:tcW w:w="258" w:type="dxa"/>
            <w:tcBorders/>
            <w:shd w:fill="FFFFFF" w:val="clear"/>
          </w:tcPr>
          <w:p>
            <w:pPr>
              <w:pStyle w:val="TableContents"/>
              <w:spacing w:before="0" w:after="283"/>
              <w:rPr/>
            </w:pPr>
            <w:r>
              <w:rPr/>
              <w:t> </w:t>
            </w:r>
          </w:p>
        </w:tc>
        <w:tc>
          <w:tcPr>
            <w:tcW w:w="721" w:type="dxa"/>
            <w:tcBorders/>
            <w:shd w:fill="FFFFFF" w:val="clear"/>
          </w:tcPr>
          <w:p>
            <w:pPr>
              <w:pStyle w:val="TableContents"/>
              <w:spacing w:before="0" w:after="283"/>
              <w:jc w:val="right"/>
              <w:rPr>
                <w:rFonts w:ascii="times" w:hAnsi="times"/>
                <w:sz w:val="20"/>
              </w:rPr>
            </w:pPr>
            <w:r>
              <w:rPr>
                <w:rFonts w:ascii="times" w:hAnsi="times"/>
                <w:sz w:val="20"/>
              </w:rPr>
              <w:t>(36</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64" w:type="dxa"/>
            <w:tcBorders/>
            <w:shd w:fill="FFFFFF" w:val="clear"/>
          </w:tcPr>
          <w:p>
            <w:pPr>
              <w:pStyle w:val="TableContents"/>
              <w:spacing w:before="0" w:after="283"/>
              <w:rPr/>
            </w:pPr>
            <w:r>
              <w:rPr/>
              <w:t> </w:t>
            </w:r>
          </w:p>
        </w:tc>
        <w:tc>
          <w:tcPr>
            <w:tcW w:w="44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501" w:type="dxa"/>
            <w:tcBorders/>
            <w:shd w:fill="FFFFFF" w:val="clear"/>
          </w:tcPr>
          <w:p>
            <w:pPr>
              <w:pStyle w:val="TableContents"/>
              <w:spacing w:before="0" w:after="283"/>
              <w:jc w:val="right"/>
              <w:rPr>
                <w:rFonts w:ascii="times" w:hAnsi="times"/>
                <w:sz w:val="20"/>
              </w:rPr>
            </w:pPr>
            <w:r>
              <w:rPr>
                <w:rFonts w:ascii="times" w:hAnsi="times"/>
                <w:sz w:val="20"/>
              </w:rPr>
              <w:t>(20</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(56</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393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0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393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Balance at December 31, 2008</w:t>
            </w:r>
          </w:p>
        </w:tc>
        <w:tc>
          <w:tcPr>
            <w:tcW w:w="180" w:type="dxa"/>
            <w:tcBorders/>
            <w:shd w:fill="CCEEFF" w:val="clear"/>
          </w:tcPr>
          <w:p>
            <w:pPr>
              <w:pStyle w:val="TableContents"/>
              <w:spacing w:before="0" w:after="283"/>
              <w:rPr/>
            </w:pPr>
            <w:r>
              <w:rPr/>
              <w:t> </w:t>
            </w:r>
          </w:p>
        </w:tc>
        <w:tc>
          <w:tcPr>
            <w:tcW w:w="258" w:type="dxa"/>
            <w:tcBorders/>
            <w:shd w:fill="CCEEFF" w:val="clear"/>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tcPr>
          <w:p>
            <w:pPr>
              <w:pStyle w:val="TableContents"/>
              <w:spacing w:before="0" w:after="283"/>
              <w:jc w:val="right"/>
              <w:rPr>
                <w:rFonts w:ascii="times" w:hAnsi="times"/>
                <w:sz w:val="20"/>
              </w:rPr>
            </w:pPr>
            <w:r>
              <w:rPr>
                <w:rFonts w:ascii="times" w:hAnsi="times"/>
                <w:sz w:val="20"/>
              </w:rPr>
              <w:t>562</w:t>
            </w:r>
          </w:p>
        </w:tc>
        <w:tc>
          <w:tcPr>
            <w:tcW w:w="225" w:type="dxa"/>
            <w:tcBorders/>
            <w:shd w:fill="CCEEFF" w:val="clear"/>
          </w:tcPr>
          <w:p>
            <w:pPr>
              <w:pStyle w:val="TableContents"/>
              <w:spacing w:before="0" w:after="283"/>
              <w:rPr/>
            </w:pPr>
            <w:r>
              <w:rPr/>
              <w:t> </w:t>
            </w:r>
          </w:p>
        </w:tc>
        <w:tc>
          <w:tcPr>
            <w:tcW w:w="164" w:type="dxa"/>
            <w:tcBorders/>
            <w:shd w:fill="CCEEFF" w:val="clear"/>
          </w:tcPr>
          <w:p>
            <w:pPr>
              <w:pStyle w:val="TableContents"/>
              <w:spacing w:before="0" w:after="283"/>
              <w:jc w:val="right"/>
              <w:rPr>
                <w:rFonts w:ascii="times" w:hAnsi="times"/>
                <w:sz w:val="20"/>
              </w:rPr>
            </w:pPr>
            <w:r>
              <w:rPr>
                <w:rFonts w:ascii="times" w:hAnsi="times"/>
                <w:sz w:val="20"/>
              </w:rPr>
              <w:t>$</w:t>
            </w:r>
          </w:p>
        </w:tc>
        <w:tc>
          <w:tcPr>
            <w:tcW w:w="440" w:type="dxa"/>
            <w:tcBorders/>
            <w:shd w:fill="CCEEFF" w:val="clear"/>
          </w:tcPr>
          <w:p>
            <w:pPr>
              <w:pStyle w:val="TableContents"/>
              <w:spacing w:before="0" w:after="283"/>
              <w:jc w:val="right"/>
              <w:rPr>
                <w:rFonts w:ascii="times" w:hAnsi="times"/>
                <w:sz w:val="20"/>
              </w:rPr>
            </w:pPr>
            <w:r>
              <w:rPr>
                <w:rFonts w:ascii="times" w:hAnsi="times"/>
                <w:sz w:val="20"/>
              </w:rPr>
              <w:t>283</w:t>
            </w:r>
          </w:p>
        </w:tc>
        <w:tc>
          <w:tcPr>
            <w:tcW w:w="22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jc w:val="right"/>
              <w:rPr>
                <w:rFonts w:ascii="times" w:hAnsi="times"/>
                <w:sz w:val="20"/>
              </w:rPr>
            </w:pPr>
            <w:r>
              <w:rPr>
                <w:rFonts w:ascii="times" w:hAnsi="times"/>
                <w:sz w:val="20"/>
              </w:rPr>
              <w:t>$</w:t>
            </w:r>
          </w:p>
        </w:tc>
        <w:tc>
          <w:tcPr>
            <w:tcW w:w="501" w:type="dxa"/>
            <w:tcBorders/>
            <w:shd w:fill="CCEEFF" w:val="clear"/>
          </w:tcPr>
          <w:p>
            <w:pPr>
              <w:pStyle w:val="TableContents"/>
              <w:spacing w:before="0" w:after="283"/>
              <w:jc w:val="right"/>
              <w:rPr>
                <w:rFonts w:ascii="times" w:hAnsi="times"/>
                <w:sz w:val="20"/>
              </w:rPr>
            </w:pPr>
            <w:r>
              <w:rPr>
                <w:rFonts w:ascii="times" w:hAnsi="times"/>
                <w:sz w:val="20"/>
              </w:rPr>
              <w:t>365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1,210</w:t>
            </w:r>
          </w:p>
        </w:tc>
        <w:tc>
          <w:tcPr>
            <w:tcW w:w="80" w:type="dxa"/>
            <w:tcBorders/>
            <w:shd w:fill="CCEEFF" w:val="clear"/>
          </w:tcPr>
          <w:p>
            <w:pPr>
              <w:pStyle w:val="TableContents"/>
              <w:spacing w:before="0" w:after="283"/>
              <w:rPr/>
            </w:pPr>
            <w:r>
              <w:rPr/>
              <w:t> </w:t>
            </w:r>
          </w:p>
        </w:tc>
      </w:tr>
      <w:tr>
        <w:trPr/>
        <w:tc>
          <w:tcPr>
            <w:tcW w:w="393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Change is due to purchase price adjustments.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Includes goodwill specific to other acquisitions made during 2007, as well as (i) foreign currency translation adjustments, (ii) payment of additional consideration related to an earn-out clause in a prior acquisition and (iii) other immaterial items. </w:t>
      </w:r>
    </w:p>
    <w:p>
      <w:pPr>
        <w:pStyle w:val="TextBody"/>
        <w:rPr>
          <w:rFonts w:ascii="times" w:hAnsi="times"/>
          <w:b/>
          <w:i/>
          <w:sz w:val="20"/>
        </w:rPr>
      </w:pPr>
      <w:r>
        <w:rPr>
          <w:rFonts w:ascii="times" w:hAnsi="times"/>
          <w:b/>
          <w:i/>
          <w:sz w:val="20"/>
        </w:rPr>
        <w:t xml:space="preserve">Other assets, net </w:t>
      </w:r>
    </w:p>
    <w:p>
      <w:pPr>
        <w:pStyle w:val="TextBody"/>
        <w:rPr/>
      </w:pPr>
      <w:r>
        <w:rPr/>
        <w:t>        </w:t>
      </w:r>
      <w:r>
        <w:rPr>
          <w:rFonts w:ascii="times" w:hAnsi="times"/>
          <w:sz w:val="20"/>
        </w:rPr>
        <w:t xml:space="preserve">Other assets, net of accumulated amortization consist of the following (in millions): </w:t>
      </w:r>
    </w:p>
    <w:tbl>
      <w:tblPr>
        <w:tblW w:w="6100" w:type="dxa"/>
        <w:jc w:val="center"/>
        <w:tblInd w:w="0" w:type="dxa"/>
        <w:tblCellMar>
          <w:top w:w="0" w:type="dxa"/>
          <w:left w:w="0" w:type="dxa"/>
          <w:bottom w:w="0" w:type="dxa"/>
          <w:right w:w="0" w:type="dxa"/>
        </w:tblCellMar>
      </w:tblPr>
      <w:tblGrid>
        <w:gridCol w:w="4695"/>
        <w:gridCol w:w="180"/>
        <w:gridCol w:w="125"/>
        <w:gridCol w:w="335"/>
        <w:gridCol w:w="225"/>
        <w:gridCol w:w="125"/>
        <w:gridCol w:w="335"/>
        <w:gridCol w:w="80"/>
      </w:tblGrid>
      <w:tr>
        <w:trPr/>
        <w:tc>
          <w:tcPr>
            <w:tcW w:w="46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469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80" w:type="dxa"/>
            <w:tcBorders/>
            <w:shd w:fill="auto" w:val="clear"/>
            <w:vAlign w:val="bottom"/>
          </w:tcPr>
          <w:p>
            <w:pPr>
              <w:pStyle w:val="TableHeading"/>
              <w:suppressLineNumbers/>
              <w:spacing w:before="0" w:after="283"/>
              <w:jc w:val="center"/>
              <w:rPr/>
            </w:pPr>
            <w:r>
              <w:rPr/>
              <w:t> </w:t>
            </w:r>
          </w:p>
        </w:tc>
      </w:tr>
      <w:tr>
        <w:trPr/>
        <w:tc>
          <w:tcPr>
            <w:tcW w:w="4695" w:type="dxa"/>
            <w:tcBorders/>
            <w:shd w:fill="CCEEFF" w:val="clear"/>
          </w:tcPr>
          <w:p>
            <w:pPr>
              <w:pStyle w:val="TableContents"/>
              <w:spacing w:before="0" w:after="283"/>
              <w:ind w:left="200" w:right="0" w:hanging="200"/>
              <w:rPr>
                <w:rFonts w:ascii="times" w:hAnsi="times"/>
                <w:sz w:val="20"/>
              </w:rPr>
            </w:pPr>
            <w:r>
              <w:rPr>
                <w:rFonts w:ascii="times" w:hAnsi="times"/>
                <w:sz w:val="20"/>
              </w:rPr>
              <w:t>Debt issue costs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34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28</w:t>
            </w:r>
          </w:p>
        </w:tc>
        <w:tc>
          <w:tcPr>
            <w:tcW w:w="80" w:type="dxa"/>
            <w:tcBorders/>
            <w:shd w:fill="CCEEFF" w:val="clear"/>
          </w:tcPr>
          <w:p>
            <w:pPr>
              <w:pStyle w:val="TableContents"/>
              <w:spacing w:before="0" w:after="283"/>
              <w:rPr/>
            </w:pPr>
            <w:r>
              <w:rPr/>
              <w:t> </w:t>
            </w:r>
          </w:p>
        </w:tc>
      </w:tr>
      <w:tr>
        <w:trPr/>
        <w:tc>
          <w:tcPr>
            <w:tcW w:w="4695" w:type="dxa"/>
            <w:tcBorders/>
            <w:shd w:fill="FFFFFF" w:val="clear"/>
          </w:tcPr>
          <w:p>
            <w:pPr>
              <w:pStyle w:val="TableContents"/>
              <w:spacing w:before="0" w:after="283"/>
              <w:ind w:left="200" w:right="0" w:hanging="200"/>
              <w:rPr>
                <w:rFonts w:ascii="times" w:hAnsi="times"/>
                <w:sz w:val="20"/>
              </w:rPr>
            </w:pPr>
            <w:r>
              <w:rPr>
                <w:rFonts w:ascii="times" w:hAnsi="times"/>
                <w:sz w:val="20"/>
              </w:rPr>
              <w:t>Fair value of derivative instruments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148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26</w:t>
            </w:r>
          </w:p>
        </w:tc>
        <w:tc>
          <w:tcPr>
            <w:tcW w:w="80" w:type="dxa"/>
            <w:tcBorders/>
            <w:shd w:fill="FFFFFF" w:val="clear"/>
          </w:tcPr>
          <w:p>
            <w:pPr>
              <w:pStyle w:val="TableContents"/>
              <w:spacing w:before="0" w:after="283"/>
              <w:rPr/>
            </w:pPr>
            <w:r>
              <w:rPr/>
              <w:t> </w:t>
            </w:r>
          </w:p>
        </w:tc>
      </w:tr>
      <w:tr>
        <w:trPr/>
        <w:tc>
          <w:tcPr>
            <w:tcW w:w="4695" w:type="dxa"/>
            <w:tcBorders/>
            <w:shd w:fill="CCEEFF" w:val="clear"/>
          </w:tcPr>
          <w:p>
            <w:pPr>
              <w:pStyle w:val="TableContents"/>
              <w:spacing w:before="0" w:after="283"/>
              <w:ind w:left="200" w:right="0" w:hanging="200"/>
              <w:rPr>
                <w:rFonts w:ascii="times" w:hAnsi="times"/>
                <w:sz w:val="20"/>
              </w:rPr>
            </w:pPr>
            <w:r>
              <w:rPr>
                <w:rFonts w:ascii="times" w:hAnsi="times"/>
                <w:sz w:val="20"/>
              </w:rPr>
              <w:t>Intangible assets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191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124</w:t>
            </w:r>
          </w:p>
        </w:tc>
        <w:tc>
          <w:tcPr>
            <w:tcW w:w="80" w:type="dxa"/>
            <w:tcBorders/>
            <w:shd w:fill="CCEEFF" w:val="clear"/>
          </w:tcPr>
          <w:p>
            <w:pPr>
              <w:pStyle w:val="TableContents"/>
              <w:spacing w:before="0" w:after="283"/>
              <w:rPr/>
            </w:pPr>
            <w:r>
              <w:rPr/>
              <w:t> </w:t>
            </w:r>
          </w:p>
        </w:tc>
      </w:tr>
      <w:tr>
        <w:trPr/>
        <w:tc>
          <w:tcPr>
            <w:tcW w:w="4695" w:type="dxa"/>
            <w:tcBorders/>
            <w:shd w:fill="FFFF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18</w:t>
            </w:r>
          </w:p>
        </w:tc>
        <w:tc>
          <w:tcPr>
            <w:tcW w:w="80" w:type="dxa"/>
            <w:tcBorders/>
            <w:shd w:fill="FFFFFF" w:val="clear"/>
          </w:tcPr>
          <w:p>
            <w:pPr>
              <w:pStyle w:val="TableContents"/>
              <w:spacing w:before="0" w:after="283"/>
              <w:rPr/>
            </w:pPr>
            <w:r>
              <w:rPr/>
              <w:t> </w:t>
            </w:r>
          </w:p>
        </w:tc>
      </w:tr>
      <w:tr>
        <w:trPr/>
        <w:tc>
          <w:tcPr>
            <w:tcW w:w="469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95"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383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196</w:t>
            </w:r>
          </w:p>
        </w:tc>
        <w:tc>
          <w:tcPr>
            <w:tcW w:w="80" w:type="dxa"/>
            <w:tcBorders/>
            <w:shd w:fill="CCEEFF" w:val="clear"/>
          </w:tcPr>
          <w:p>
            <w:pPr>
              <w:pStyle w:val="TableContents"/>
              <w:spacing w:before="0" w:after="283"/>
              <w:rPr/>
            </w:pPr>
            <w:r>
              <w:rPr/>
              <w:t> </w:t>
            </w:r>
          </w:p>
        </w:tc>
      </w:tr>
      <w:tr>
        <w:trPr/>
        <w:tc>
          <w:tcPr>
            <w:tcW w:w="4695" w:type="dxa"/>
            <w:tcBorders/>
            <w:shd w:fill="FFFFFF" w:val="clear"/>
          </w:tcPr>
          <w:p>
            <w:pPr>
              <w:pStyle w:val="TableContents"/>
              <w:spacing w:before="0" w:after="283"/>
              <w:ind w:left="200" w:right="0" w:hanging="200"/>
              <w:rPr>
                <w:rFonts w:ascii="times" w:hAnsi="times"/>
                <w:sz w:val="20"/>
              </w:rPr>
            </w:pPr>
            <w:r>
              <w:rPr>
                <w:rFonts w:ascii="times" w:hAnsi="times"/>
                <w:sz w:val="20"/>
              </w:rPr>
              <w:t>Less accumulated amortization</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(37</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(27</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9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95"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346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169</w:t>
            </w:r>
          </w:p>
        </w:tc>
        <w:tc>
          <w:tcPr>
            <w:tcW w:w="80" w:type="dxa"/>
            <w:tcBorders/>
            <w:shd w:fill="CCEEFF" w:val="clear"/>
          </w:tcPr>
          <w:p>
            <w:pPr>
              <w:pStyle w:val="TableContents"/>
              <w:spacing w:before="0" w:after="283"/>
              <w:rPr/>
            </w:pPr>
            <w:r>
              <w:rPr/>
              <w:t> </w:t>
            </w:r>
          </w:p>
        </w:tc>
      </w:tr>
      <w:tr>
        <w:trPr/>
        <w:tc>
          <w:tcPr>
            <w:tcW w:w="469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$7 million and $1 million in 2008 and 2007, respectively. </w:t>
      </w:r>
    </w:p>
    <w:p>
      <w:pPr>
        <w:pStyle w:val="TextBody"/>
        <w:rPr/>
      </w:pPr>
      <w:r>
        <w:rPr/>
        <w:t>        </w:t>
      </w:r>
      <w:r>
        <w:rPr>
          <w:rFonts w:ascii="times" w:hAnsi="times"/>
          <w:sz w:val="20"/>
        </w:rPr>
        <w:t xml:space="preserve">Amortization expense related to other assets (including finite-lived intangible assets) for each of the three years in the period ended December 31, 2008 was $21 million, $13 million and $9 million, respectively. Our amortization expense for finite-lived intangible assets for the years ended December 31, 2008, 2007 and 2006 was $15 million, $10 million and $5 million, respectively. </w:t>
      </w:r>
    </w:p>
    <w:p>
      <w:pPr>
        <w:pStyle w:val="TextBody"/>
        <w:jc w:val="center"/>
        <w:rPr>
          <w:rFonts w:ascii="times" w:hAnsi="times"/>
          <w:sz w:val="20"/>
        </w:rPr>
      </w:pPr>
      <w:r>
        <w:rPr>
          <w:rFonts w:ascii="times" w:hAnsi="times"/>
          <w:sz w:val="20"/>
        </w:rPr>
        <w:t>F-18</w:t>
      </w:r>
    </w:p>
    <w:p>
      <w:pPr>
        <w:pStyle w:val="HorizontalLine"/>
        <w:pBdr>
          <w:bottom w:val="single" w:sz="20" w:space="0" w:color="808080"/>
        </w:pBdr>
        <w:rPr/>
      </w:pPr>
      <w:r>
        <w:rPr/>
      </w:r>
      <w:r>
        <w:br w:type="page"/>
      </w:r>
    </w:p>
    <w:p>
      <w:pPr>
        <w:pStyle w:val="TextBody"/>
        <w:rPr/>
      </w:pPr>
      <w:hyperlink w:anchor="bg12101a_main_toc">
        <w:bookmarkStart w:id="252" w:name="page_fq12101_1_19"/>
        <w:bookmarkEnd w:id="25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t>        </w:t>
      </w:r>
      <w:r>
        <w:rPr>
          <w:rFonts w:ascii="times" w:hAnsi="times"/>
          <w:sz w:val="20"/>
        </w:rPr>
        <w:t xml:space="preserve">Intangible assets that have finite lives are tested for impairment when events or circumstances indicate that the carrying value may not be recoverable. Our intangible assets that have finite lives consist of the following (in millions): </w:t>
      </w:r>
    </w:p>
    <w:tbl>
      <w:tblPr>
        <w:tblW w:w="8039" w:type="dxa"/>
        <w:jc w:val="center"/>
        <w:tblInd w:w="0" w:type="dxa"/>
        <w:tblCellMar>
          <w:top w:w="0" w:type="dxa"/>
          <w:left w:w="0" w:type="dxa"/>
          <w:bottom w:w="0" w:type="dxa"/>
          <w:right w:w="0" w:type="dxa"/>
        </w:tblCellMar>
      </w:tblPr>
      <w:tblGrid>
        <w:gridCol w:w="2775"/>
        <w:gridCol w:w="90"/>
        <w:gridCol w:w="82"/>
        <w:gridCol w:w="942"/>
        <w:gridCol w:w="90"/>
        <w:gridCol w:w="125"/>
        <w:gridCol w:w="335"/>
        <w:gridCol w:w="90"/>
        <w:gridCol w:w="240"/>
        <w:gridCol w:w="615"/>
        <w:gridCol w:w="90"/>
        <w:gridCol w:w="125"/>
        <w:gridCol w:w="335"/>
        <w:gridCol w:w="90"/>
        <w:gridCol w:w="125"/>
        <w:gridCol w:w="335"/>
        <w:gridCol w:w="90"/>
        <w:gridCol w:w="240"/>
        <w:gridCol w:w="615"/>
        <w:gridCol w:w="90"/>
        <w:gridCol w:w="125"/>
        <w:gridCol w:w="335"/>
        <w:gridCol w:w="60"/>
      </w:tblGrid>
      <w:tr>
        <w:trPr/>
        <w:tc>
          <w:tcPr>
            <w:tcW w:w="27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775" w:type="dxa"/>
            <w:tcBorders/>
            <w:shd w:fill="auto" w:val="clear"/>
            <w:vAlign w:val="bottom"/>
          </w:tcPr>
          <w:p>
            <w:pPr>
              <w:pStyle w:val="TableHeading"/>
              <w:spacing w:before="0" w:after="283"/>
              <w:jc w:val="left"/>
              <w:rPr/>
            </w:pPr>
            <w:r>
              <w:rPr/>
              <w:t> </w:t>
            </w:r>
          </w:p>
        </w:tc>
        <w:tc>
          <w:tcPr>
            <w:tcW w:w="90" w:type="dxa"/>
            <w:tcBorders/>
            <w:shd w:fill="auto" w:val="clear"/>
            <w:vAlign w:val="bottom"/>
          </w:tcPr>
          <w:p>
            <w:pPr>
              <w:pStyle w:val="TableHeading"/>
              <w:suppressLineNumbers/>
              <w:spacing w:before="0" w:after="283"/>
              <w:jc w:val="center"/>
              <w:rPr/>
            </w:pPr>
            <w:r>
              <w:rPr/>
              <w:t> </w:t>
            </w:r>
          </w:p>
        </w:tc>
        <w:tc>
          <w:tcPr>
            <w:tcW w:w="1024" w:type="dxa"/>
            <w:gridSpan w:val="2"/>
            <w:tcBorders/>
            <w:shd w:fill="auto" w:val="clear"/>
            <w:vAlign w:val="bottom"/>
          </w:tcPr>
          <w:p>
            <w:pPr>
              <w:pStyle w:val="TableHeading"/>
              <w:spacing w:before="0" w:after="283"/>
              <w:jc w:val="left"/>
              <w:rPr/>
            </w:pPr>
            <w:r>
              <w:rPr/>
              <w:t> </w:t>
            </w:r>
          </w:p>
        </w:tc>
        <w:tc>
          <w:tcPr>
            <w:tcW w:w="90" w:type="dxa"/>
            <w:vMerge w:val="restart"/>
            <w:tcBorders/>
            <w:shd w:fill="auto" w:val="clear"/>
            <w:vAlign w:val="bottom"/>
          </w:tcPr>
          <w:p>
            <w:pPr>
              <w:pStyle w:val="TableHeading"/>
              <w:suppressLineNumbers/>
              <w:spacing w:before="0" w:after="283"/>
              <w:jc w:val="center"/>
              <w:rPr/>
            </w:pPr>
            <w:r>
              <w:rPr/>
              <w:t> </w:t>
            </w:r>
          </w:p>
        </w:tc>
        <w:tc>
          <w:tcPr>
            <w:tcW w:w="1955"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2008 </w:t>
            </w:r>
          </w:p>
        </w:tc>
        <w:tc>
          <w:tcPr>
            <w:tcW w:w="90" w:type="dxa"/>
            <w:vMerge w:val="restart"/>
            <w:tcBorders/>
            <w:shd w:fill="auto" w:val="clear"/>
            <w:vAlign w:val="bottom"/>
          </w:tcPr>
          <w:p>
            <w:pPr>
              <w:pStyle w:val="TableHeading"/>
              <w:suppressLineNumbers/>
              <w:spacing w:before="0" w:after="283"/>
              <w:jc w:val="center"/>
              <w:rPr/>
            </w:pPr>
            <w:r>
              <w:rPr/>
              <w:t> </w:t>
            </w:r>
          </w:p>
        </w:tc>
        <w:tc>
          <w:tcPr>
            <w:tcW w:w="1955" w:type="dxa"/>
            <w:gridSpan w:val="8"/>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2007 </w:t>
            </w:r>
          </w:p>
        </w:tc>
        <w:tc>
          <w:tcPr>
            <w:tcW w:w="60" w:type="dxa"/>
            <w:tcBorders/>
            <w:shd w:fill="auto" w:val="clear"/>
            <w:vAlign w:val="bottom"/>
          </w:tcPr>
          <w:p>
            <w:pPr>
              <w:pStyle w:val="TableHeading"/>
              <w:suppressLineNumbers/>
              <w:spacing w:before="0" w:after="283"/>
              <w:jc w:val="center"/>
              <w:rPr/>
            </w:pPr>
            <w:r>
              <w:rPr/>
              <w:t> </w:t>
            </w:r>
          </w:p>
        </w:tc>
      </w:tr>
      <w:tr>
        <w:trPr/>
        <w:tc>
          <w:tcPr>
            <w:tcW w:w="2775" w:type="dxa"/>
            <w:tcBorders/>
            <w:shd w:fill="auto" w:val="clear"/>
            <w:vAlign w:val="bottom"/>
          </w:tcPr>
          <w:p>
            <w:pPr>
              <w:pStyle w:val="TableHeading"/>
              <w:spacing w:before="0" w:after="283"/>
              <w:jc w:val="left"/>
              <w:rPr/>
            </w:pPr>
            <w:r>
              <w:rPr/>
              <w:t> </w:t>
            </w:r>
          </w:p>
        </w:tc>
        <w:tc>
          <w:tcPr>
            <w:tcW w:w="90" w:type="dxa"/>
            <w:vMerge w:val="restart"/>
            <w:tcBorders/>
            <w:shd w:fill="auto" w:val="clear"/>
            <w:vAlign w:val="bottom"/>
          </w:tcPr>
          <w:p>
            <w:pPr>
              <w:pStyle w:val="TableHeading"/>
              <w:suppressLineNumbers/>
              <w:spacing w:before="0" w:after="283"/>
              <w:jc w:val="center"/>
              <w:rPr/>
            </w:pPr>
            <w:r>
              <w:rPr/>
              <w:t> </w:t>
            </w:r>
          </w:p>
        </w:tc>
        <w:tc>
          <w:tcPr>
            <w:tcW w:w="1024"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Estimated Useful</w:t>
              <w:br/>
              <w:t xml:space="preserve">Lives (Years) </w:t>
            </w:r>
          </w:p>
        </w:tc>
        <w:tc>
          <w:tcPr>
            <w:tcW w:w="90" w:type="dxa"/>
            <w:vMerge w:val="continue"/>
            <w:tcBorders/>
            <w:shd w:fill="auto" w:val="clear"/>
            <w:vAlign w:val="bottom"/>
          </w:tcPr>
          <w:p>
            <w:pPr>
              <w:pStyle w:val="Normal"/>
              <w:rPr/>
            </w:pPr>
            <w:r>
              <w:rPr/>
            </w:r>
          </w:p>
        </w:tc>
        <w:tc>
          <w:tcPr>
            <w:tcW w:w="1955" w:type="dxa"/>
            <w:gridSpan w:val="8"/>
            <w:vMerge w:val="continue"/>
            <w:tcBorders>
              <w:bottom w:val="single" w:sz="8" w:space="0" w:color="000000"/>
            </w:tcBorders>
            <w:shd w:fill="auto" w:val="clear"/>
            <w:tcMar>
              <w:bottom w:w="28" w:type="dxa"/>
            </w:tcMar>
            <w:vAlign w:val="bottom"/>
          </w:tcPr>
          <w:p>
            <w:pPr>
              <w:pStyle w:val="Normal"/>
              <w:rPr/>
            </w:pPr>
            <w:r>
              <w:rPr/>
            </w:r>
          </w:p>
        </w:tc>
        <w:tc>
          <w:tcPr>
            <w:tcW w:w="90" w:type="dxa"/>
            <w:vMerge w:val="continue"/>
            <w:tcBorders/>
            <w:shd w:fill="auto" w:val="clear"/>
            <w:vAlign w:val="bottom"/>
          </w:tcPr>
          <w:p>
            <w:pPr>
              <w:pStyle w:val="Normal"/>
              <w:rPr/>
            </w:pPr>
            <w:r>
              <w:rPr/>
            </w:r>
          </w:p>
        </w:tc>
        <w:tc>
          <w:tcPr>
            <w:tcW w:w="1955" w:type="dxa"/>
            <w:gridSpan w:val="8"/>
            <w:vMerge w:val="continue"/>
            <w:tcBorders>
              <w:bottom w:val="single" w:sz="8"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Heading"/>
              <w:suppressLineNumbers/>
              <w:spacing w:before="0" w:after="283"/>
              <w:jc w:val="center"/>
              <w:rPr/>
            </w:pPr>
            <w:r>
              <w:rPr/>
              <w:t> </w:t>
            </w:r>
          </w:p>
        </w:tc>
      </w:tr>
      <w:tr>
        <w:trPr/>
        <w:tc>
          <w:tcPr>
            <w:tcW w:w="2775" w:type="dxa"/>
            <w:tcBorders/>
            <w:shd w:fill="auto" w:val="clear"/>
            <w:vAlign w:val="bottom"/>
          </w:tcPr>
          <w:p>
            <w:pPr>
              <w:pStyle w:val="TableHeading"/>
              <w:spacing w:before="0" w:after="283"/>
              <w:jc w:val="left"/>
              <w:rPr/>
            </w:pPr>
            <w:r>
              <w:rPr/>
              <w:t> </w:t>
            </w:r>
          </w:p>
        </w:tc>
        <w:tc>
          <w:tcPr>
            <w:tcW w:w="90" w:type="dxa"/>
            <w:vMerge w:val="continue"/>
            <w:tcBorders/>
            <w:shd w:fill="auto" w:val="clear"/>
            <w:vAlign w:val="bottom"/>
          </w:tcPr>
          <w:p>
            <w:pPr>
              <w:pStyle w:val="Normal"/>
              <w:rPr/>
            </w:pPr>
            <w:r>
              <w:rPr/>
            </w:r>
          </w:p>
        </w:tc>
        <w:tc>
          <w:tcPr>
            <w:tcW w:w="1024" w:type="dxa"/>
            <w:gridSpan w:val="2"/>
            <w:vMerge w:val="continue"/>
            <w:tcBorders>
              <w:bottom w:val="single" w:sz="8" w:space="0" w:color="000000"/>
            </w:tcBorders>
            <w:shd w:fill="auto" w:val="clear"/>
            <w:tcMar>
              <w:bottom w:w="28" w:type="dxa"/>
            </w:tcMar>
            <w:vAlign w:val="bottom"/>
          </w:tcPr>
          <w:p>
            <w:pPr>
              <w:pStyle w:val="Normal"/>
              <w:rPr/>
            </w:pPr>
            <w:r>
              <w:rPr/>
            </w:r>
          </w:p>
        </w:tc>
        <w:tc>
          <w:tcPr>
            <w:tcW w:w="9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Cost </w:t>
            </w:r>
          </w:p>
        </w:tc>
        <w:tc>
          <w:tcPr>
            <w:tcW w:w="90" w:type="dxa"/>
            <w:tcBorders/>
            <w:shd w:fill="auto" w:val="clear"/>
            <w:vAlign w:val="bottom"/>
          </w:tcPr>
          <w:p>
            <w:pPr>
              <w:pStyle w:val="TableHeading"/>
              <w:suppressLineNumbers/>
              <w:spacing w:before="0" w:after="283"/>
              <w:jc w:val="center"/>
              <w:rPr/>
            </w:pPr>
            <w:r>
              <w:rPr/>
              <w:t> </w:t>
            </w:r>
          </w:p>
        </w:tc>
        <w:tc>
          <w:tcPr>
            <w:tcW w:w="8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Accumulated</w:t>
              <w:br/>
              <w:t xml:space="preserve">amortization </w:t>
            </w:r>
          </w:p>
        </w:tc>
        <w:tc>
          <w:tcPr>
            <w:tcW w:w="9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Net </w:t>
            </w:r>
          </w:p>
        </w:tc>
        <w:tc>
          <w:tcPr>
            <w:tcW w:w="9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Cost </w:t>
            </w:r>
          </w:p>
        </w:tc>
        <w:tc>
          <w:tcPr>
            <w:tcW w:w="90" w:type="dxa"/>
            <w:tcBorders/>
            <w:shd w:fill="auto" w:val="clear"/>
            <w:vAlign w:val="bottom"/>
          </w:tcPr>
          <w:p>
            <w:pPr>
              <w:pStyle w:val="TableHeading"/>
              <w:suppressLineNumbers/>
              <w:spacing w:before="0" w:after="283"/>
              <w:jc w:val="center"/>
              <w:rPr/>
            </w:pPr>
            <w:r>
              <w:rPr/>
              <w:t> </w:t>
            </w:r>
          </w:p>
        </w:tc>
        <w:tc>
          <w:tcPr>
            <w:tcW w:w="8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Accumulated</w:t>
              <w:br/>
              <w:t xml:space="preserve">amortization </w:t>
            </w:r>
          </w:p>
        </w:tc>
        <w:tc>
          <w:tcPr>
            <w:tcW w:w="9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Net </w:t>
            </w:r>
          </w:p>
        </w:tc>
        <w:tc>
          <w:tcPr>
            <w:tcW w:w="60" w:type="dxa"/>
            <w:tcBorders/>
            <w:shd w:fill="auto" w:val="clear"/>
            <w:vAlign w:val="bottom"/>
          </w:tcPr>
          <w:p>
            <w:pPr>
              <w:pStyle w:val="TableHeading"/>
              <w:suppressLineNumbers/>
              <w:spacing w:before="0" w:after="283"/>
              <w:jc w:val="center"/>
              <w:rPr/>
            </w:pPr>
            <w:r>
              <w:rPr/>
              <w:t> </w:t>
            </w:r>
          </w:p>
        </w:tc>
      </w:tr>
      <w:tr>
        <w:trPr/>
        <w:tc>
          <w:tcPr>
            <w:tcW w:w="2775" w:type="dxa"/>
            <w:tcBorders/>
            <w:shd w:fill="CCEEFF" w:val="clear"/>
          </w:tcPr>
          <w:p>
            <w:pPr>
              <w:pStyle w:val="TableContents"/>
              <w:spacing w:before="0" w:after="283"/>
              <w:ind w:left="200" w:right="0" w:hanging="200"/>
              <w:rPr>
                <w:rFonts w:ascii="times" w:hAnsi="times"/>
                <w:sz w:val="20"/>
              </w:rPr>
            </w:pPr>
            <w:r>
              <w:rPr>
                <w:rFonts w:ascii="times" w:hAnsi="times"/>
                <w:sz w:val="20"/>
              </w:rPr>
              <w:t>Customer contracts and relationships</w:t>
            </w:r>
          </w:p>
        </w:tc>
        <w:tc>
          <w:tcPr>
            <w:tcW w:w="90"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42" w:type="dxa"/>
            <w:tcBorders/>
            <w:shd w:fill="CCEEFF" w:val="clear"/>
          </w:tcPr>
          <w:p>
            <w:pPr>
              <w:pStyle w:val="TableContents"/>
              <w:spacing w:before="0" w:after="283"/>
              <w:jc w:val="center"/>
              <w:rPr>
                <w:rFonts w:ascii="times" w:hAnsi="times"/>
                <w:sz w:val="20"/>
              </w:rPr>
            </w:pPr>
            <w:r>
              <w:rPr>
                <w:rFonts w:ascii="times" w:hAnsi="times"/>
                <w:sz w:val="20"/>
              </w:rPr>
              <w:t>4-17</w:t>
            </w:r>
          </w:p>
        </w:tc>
        <w:tc>
          <w:tcPr>
            <w:tcW w:w="9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151</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rFonts w:ascii="times" w:hAnsi="times"/>
                <w:sz w:val="20"/>
              </w:rPr>
            </w:pPr>
            <w:r>
              <w:rPr>
                <w:rFonts w:ascii="times" w:hAnsi="times"/>
                <w:sz w:val="20"/>
              </w:rPr>
              <w:t>$</w:t>
            </w:r>
          </w:p>
        </w:tc>
        <w:tc>
          <w:tcPr>
            <w:tcW w:w="615" w:type="dxa"/>
            <w:tcBorders/>
            <w:shd w:fill="CCEEFF" w:val="clear"/>
          </w:tcPr>
          <w:p>
            <w:pPr>
              <w:pStyle w:val="TableContents"/>
              <w:spacing w:before="0" w:after="283"/>
              <w:jc w:val="right"/>
              <w:rPr>
                <w:rFonts w:ascii="times" w:hAnsi="times"/>
                <w:sz w:val="20"/>
              </w:rPr>
            </w:pPr>
            <w:r>
              <w:rPr>
                <w:rFonts w:ascii="times" w:hAnsi="times"/>
                <w:sz w:val="20"/>
              </w:rPr>
              <w:t>(24</w:t>
            </w:r>
          </w:p>
        </w:tc>
        <w:tc>
          <w:tcPr>
            <w:tcW w:w="90"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127</w:t>
            </w:r>
          </w:p>
        </w:tc>
        <w:tc>
          <w:tcPr>
            <w:tcW w:w="9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84</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rFonts w:ascii="times" w:hAnsi="times"/>
                <w:sz w:val="20"/>
              </w:rPr>
            </w:pPr>
            <w:r>
              <w:rPr>
                <w:rFonts w:ascii="times" w:hAnsi="times"/>
                <w:sz w:val="20"/>
              </w:rPr>
              <w:t>$</w:t>
            </w:r>
          </w:p>
        </w:tc>
        <w:tc>
          <w:tcPr>
            <w:tcW w:w="615" w:type="dxa"/>
            <w:tcBorders/>
            <w:shd w:fill="CCEEFF" w:val="clear"/>
          </w:tcPr>
          <w:p>
            <w:pPr>
              <w:pStyle w:val="TableContents"/>
              <w:spacing w:before="0" w:after="283"/>
              <w:jc w:val="right"/>
              <w:rPr>
                <w:rFonts w:ascii="times" w:hAnsi="times"/>
                <w:sz w:val="20"/>
              </w:rPr>
            </w:pPr>
            <w:r>
              <w:rPr>
                <w:rFonts w:ascii="times" w:hAnsi="times"/>
                <w:sz w:val="20"/>
              </w:rPr>
              <w:t>(12</w:t>
            </w:r>
          </w:p>
        </w:tc>
        <w:tc>
          <w:tcPr>
            <w:tcW w:w="90"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72</w:t>
            </w:r>
          </w:p>
        </w:tc>
        <w:tc>
          <w:tcPr>
            <w:tcW w:w="60" w:type="dxa"/>
            <w:tcBorders/>
            <w:shd w:fill="CCEEFF" w:val="clear"/>
          </w:tcPr>
          <w:p>
            <w:pPr>
              <w:pStyle w:val="TableContents"/>
              <w:spacing w:before="0" w:after="283"/>
              <w:rPr/>
            </w:pPr>
            <w:r>
              <w:rPr/>
              <w:t> </w:t>
            </w:r>
          </w:p>
        </w:tc>
      </w:tr>
      <w:tr>
        <w:trPr/>
        <w:tc>
          <w:tcPr>
            <w:tcW w:w="2775" w:type="dxa"/>
            <w:tcBorders/>
            <w:shd w:fill="FFFFFF" w:val="clear"/>
          </w:tcPr>
          <w:p>
            <w:pPr>
              <w:pStyle w:val="TableContents"/>
              <w:spacing w:before="0" w:after="283"/>
              <w:ind w:left="200" w:right="0" w:hanging="200"/>
              <w:rPr>
                <w:rFonts w:ascii="times" w:hAnsi="times"/>
                <w:sz w:val="20"/>
              </w:rPr>
            </w:pPr>
            <w:r>
              <w:rPr>
                <w:rFonts w:ascii="times" w:hAnsi="times"/>
                <w:sz w:val="20"/>
              </w:rPr>
              <w:t>Emission reduction credits</w:t>
            </w:r>
            <w:r>
              <w:rPr>
                <w:rFonts w:ascii="times" w:hAnsi="times"/>
                <w:position w:val="7"/>
                <w:sz w:val="16"/>
                <w:sz w:val="20"/>
              </w:rPr>
              <w:t>(1)</w:t>
            </w:r>
          </w:p>
        </w:tc>
        <w:tc>
          <w:tcPr>
            <w:tcW w:w="90"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42" w:type="dxa"/>
            <w:tcBorders/>
            <w:shd w:fill="FFFFFF" w:val="clear"/>
          </w:tcPr>
          <w:p>
            <w:pPr>
              <w:pStyle w:val="TableContents"/>
              <w:spacing w:before="0" w:after="283"/>
              <w:jc w:val="center"/>
              <w:rPr>
                <w:rFonts w:ascii="times" w:hAnsi="times"/>
                <w:sz w:val="20"/>
              </w:rPr>
            </w:pPr>
            <w:r>
              <w:rPr>
                <w:rFonts w:ascii="times" w:hAnsi="times"/>
                <w:sz w:val="20"/>
              </w:rPr>
              <w:t>N/A</w:t>
            </w:r>
          </w:p>
        </w:tc>
        <w:tc>
          <w:tcPr>
            <w:tcW w:w="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40</w:t>
            </w:r>
          </w:p>
        </w:tc>
        <w:tc>
          <w:tcPr>
            <w:tcW w:w="90"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61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40</w:t>
            </w:r>
          </w:p>
        </w:tc>
        <w:tc>
          <w:tcPr>
            <w:tcW w:w="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34</w:t>
            </w:r>
          </w:p>
        </w:tc>
        <w:tc>
          <w:tcPr>
            <w:tcW w:w="90"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615" w:type="dxa"/>
            <w:tcBorders/>
            <w:shd w:fill="FFFFFF" w:val="clear"/>
          </w:tcPr>
          <w:p>
            <w:pPr>
              <w:pStyle w:val="TableContents"/>
              <w:spacing w:before="0" w:after="283"/>
              <w:jc w:val="right"/>
              <w:rPr>
                <w:rFonts w:ascii="times" w:hAnsi="times"/>
                <w:sz w:val="20"/>
              </w:rPr>
            </w:pPr>
            <w:r>
              <w:rPr>
                <w:rFonts w:ascii="times" w:hAnsi="times"/>
                <w:sz w:val="20"/>
              </w:rPr>
              <w:t></w:t>
            </w:r>
          </w:p>
        </w:tc>
        <w:tc>
          <w:tcPr>
            <w:tcW w:w="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35" w:type="dxa"/>
            <w:tcBorders/>
            <w:shd w:fill="FFFFFF" w:val="clear"/>
          </w:tcPr>
          <w:p>
            <w:pPr>
              <w:pStyle w:val="TableContents"/>
              <w:spacing w:before="0" w:after="283"/>
              <w:jc w:val="right"/>
              <w:rPr>
                <w:rFonts w:ascii="times" w:hAnsi="times"/>
                <w:sz w:val="20"/>
              </w:rPr>
            </w:pPr>
            <w:r>
              <w:rPr>
                <w:rFonts w:ascii="times" w:hAnsi="times"/>
                <w:sz w:val="20"/>
              </w:rPr>
              <w:t>34</w:t>
            </w:r>
          </w:p>
        </w:tc>
        <w:tc>
          <w:tcPr>
            <w:tcW w:w="60" w:type="dxa"/>
            <w:tcBorders/>
            <w:shd w:fill="FFFFFF" w:val="clear"/>
          </w:tcPr>
          <w:p>
            <w:pPr>
              <w:pStyle w:val="TableContents"/>
              <w:spacing w:before="0" w:after="283"/>
              <w:rPr/>
            </w:pPr>
            <w:r>
              <w:rPr/>
              <w:t> </w:t>
            </w:r>
          </w:p>
        </w:tc>
      </w:tr>
      <w:tr>
        <w:trPr/>
        <w:tc>
          <w:tcPr>
            <w:tcW w:w="2775" w:type="dxa"/>
            <w:tcBorders/>
            <w:shd w:fill="CCEEFF" w:val="clear"/>
          </w:tcPr>
          <w:p>
            <w:pPr>
              <w:pStyle w:val="TableContents"/>
              <w:spacing w:before="0" w:after="283"/>
              <w:ind w:left="200" w:right="0" w:hanging="200"/>
              <w:rPr>
                <w:rFonts w:ascii="times" w:hAnsi="times"/>
                <w:sz w:val="20"/>
              </w:rPr>
            </w:pPr>
            <w:r>
              <w:rPr>
                <w:rFonts w:ascii="times" w:hAnsi="times"/>
                <w:sz w:val="20"/>
              </w:rPr>
              <w:t>Environmental permits</w:t>
            </w:r>
          </w:p>
        </w:tc>
        <w:tc>
          <w:tcPr>
            <w:tcW w:w="90" w:type="dxa"/>
            <w:tcBorders/>
            <w:shd w:fill="CCEEFF" w:val="clear"/>
          </w:tcPr>
          <w:p>
            <w:pPr>
              <w:pStyle w:val="TableContents"/>
              <w:spacing w:before="0" w:after="283"/>
              <w:rPr/>
            </w:pPr>
            <w:r>
              <w:rPr/>
              <w:t> </w:t>
            </w:r>
          </w:p>
        </w:tc>
        <w:tc>
          <w:tcPr>
            <w:tcW w:w="82" w:type="dxa"/>
            <w:tcBorders/>
            <w:shd w:fill="CCEEFF" w:val="clear"/>
          </w:tcPr>
          <w:p>
            <w:pPr>
              <w:pStyle w:val="TableContents"/>
              <w:spacing w:before="0" w:after="283"/>
              <w:rPr/>
            </w:pPr>
            <w:r>
              <w:rPr/>
              <w:t> </w:t>
            </w:r>
          </w:p>
        </w:tc>
        <w:tc>
          <w:tcPr>
            <w:tcW w:w="942" w:type="dxa"/>
            <w:tcBorders/>
            <w:shd w:fill="CCEEFF" w:val="clear"/>
          </w:tcPr>
          <w:p>
            <w:pPr>
              <w:pStyle w:val="TableContents"/>
              <w:spacing w:before="0" w:after="283"/>
              <w:jc w:val="center"/>
              <w:rPr>
                <w:rFonts w:ascii="times" w:hAnsi="times"/>
                <w:sz w:val="20"/>
              </w:rPr>
            </w:pPr>
            <w:r>
              <w:rPr>
                <w:rFonts w:ascii="times" w:hAnsi="times"/>
                <w:sz w:val="20"/>
              </w:rPr>
              <w:t>2</w:t>
            </w:r>
          </w:p>
        </w:tc>
        <w:tc>
          <w:tcPr>
            <w:tcW w:w="9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61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w:t>
            </w:r>
          </w:p>
        </w:tc>
        <w:tc>
          <w:tcPr>
            <w:tcW w:w="9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6</w:t>
            </w:r>
          </w:p>
        </w:tc>
        <w:tc>
          <w:tcPr>
            <w:tcW w:w="9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615" w:type="dxa"/>
            <w:tcBorders/>
            <w:shd w:fill="CCEEFF" w:val="clear"/>
          </w:tcPr>
          <w:p>
            <w:pPr>
              <w:pStyle w:val="TableContents"/>
              <w:spacing w:before="0" w:after="283"/>
              <w:jc w:val="right"/>
              <w:rPr>
                <w:rFonts w:ascii="times" w:hAnsi="times"/>
                <w:sz w:val="20"/>
              </w:rPr>
            </w:pPr>
            <w:r>
              <w:rPr>
                <w:rFonts w:ascii="times" w:hAnsi="times"/>
                <w:sz w:val="20"/>
              </w:rPr>
              <w:t>(4</w:t>
            </w:r>
          </w:p>
        </w:tc>
        <w:tc>
          <w:tcPr>
            <w:tcW w:w="90"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rPr/>
            </w:pPr>
            <w:r>
              <w:rPr/>
              <w:t> </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w:t>
            </w:r>
          </w:p>
        </w:tc>
        <w:tc>
          <w:tcPr>
            <w:tcW w:w="60" w:type="dxa"/>
            <w:tcBorders/>
            <w:shd w:fill="CCEEFF" w:val="clear"/>
          </w:tcPr>
          <w:p>
            <w:pPr>
              <w:pStyle w:val="TableContents"/>
              <w:spacing w:before="0" w:after="283"/>
              <w:rPr/>
            </w:pPr>
            <w:r>
              <w:rPr/>
              <w:t> </w:t>
            </w:r>
          </w:p>
        </w:tc>
      </w:tr>
      <w:tr>
        <w:trPr/>
        <w:tc>
          <w:tcPr>
            <w:tcW w:w="2775"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82" w:type="dxa"/>
            <w:tcBorders/>
            <w:shd w:fill="auto" w:val="clear"/>
          </w:tcPr>
          <w:p>
            <w:pPr>
              <w:pStyle w:val="TableContents"/>
              <w:spacing w:before="0" w:after="283"/>
              <w:rPr/>
            </w:pPr>
            <w:r>
              <w:rPr/>
              <w:t> </w:t>
            </w:r>
          </w:p>
        </w:tc>
        <w:tc>
          <w:tcPr>
            <w:tcW w:w="942"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8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8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2775" w:type="dxa"/>
            <w:tcBorders/>
            <w:shd w:fill="FFFFFF" w:val="clear"/>
          </w:tcPr>
          <w:p>
            <w:pPr>
              <w:pStyle w:val="TableContents"/>
              <w:spacing w:before="0" w:after="283"/>
              <w:ind w:left="200" w:right="0" w:hanging="200"/>
              <w:rPr>
                <w:sz w:val="4"/>
                <w:szCs w:val="4"/>
              </w:rPr>
            </w:pPr>
            <w:r>
              <w:rPr>
                <w:sz w:val="4"/>
                <w:szCs w:val="4"/>
              </w:rPr>
            </w:r>
          </w:p>
        </w:tc>
        <w:tc>
          <w:tcPr>
            <w:tcW w:w="90" w:type="dxa"/>
            <w:tcBorders/>
            <w:shd w:fill="FFFFFF" w:val="clear"/>
          </w:tcPr>
          <w:p>
            <w:pPr>
              <w:pStyle w:val="TableContents"/>
              <w:spacing w:before="0" w:after="283"/>
              <w:rPr/>
            </w:pPr>
            <w:r>
              <w:rPr/>
              <w:t> </w:t>
            </w:r>
          </w:p>
        </w:tc>
        <w:tc>
          <w:tcPr>
            <w:tcW w:w="82" w:type="dxa"/>
            <w:tcBorders/>
            <w:shd w:fill="FFFFFF" w:val="clear"/>
          </w:tcPr>
          <w:p>
            <w:pPr>
              <w:pStyle w:val="TableContents"/>
              <w:spacing w:before="0" w:after="283"/>
              <w:rPr/>
            </w:pPr>
            <w:r>
              <w:rPr/>
              <w:t> </w:t>
            </w:r>
          </w:p>
        </w:tc>
        <w:tc>
          <w:tcPr>
            <w:tcW w:w="942" w:type="dxa"/>
            <w:tcBorders/>
            <w:shd w:fill="FFFFFF" w:val="clear"/>
          </w:tcPr>
          <w:p>
            <w:pPr>
              <w:pStyle w:val="TableContents"/>
              <w:spacing w:before="0" w:after="283"/>
              <w:jc w:val="center"/>
              <w:rPr/>
            </w:pPr>
            <w:r>
              <w:rPr/>
              <w:t> </w:t>
            </w:r>
          </w:p>
        </w:tc>
        <w:tc>
          <w:tcPr>
            <w:tcW w:w="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191</w:t>
            </w:r>
          </w:p>
        </w:tc>
        <w:tc>
          <w:tcPr>
            <w:tcW w:w="90"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jc w:val="right"/>
              <w:rPr>
                <w:rFonts w:ascii="times" w:hAnsi="times"/>
                <w:sz w:val="20"/>
              </w:rPr>
            </w:pPr>
            <w:r>
              <w:rPr>
                <w:rFonts w:ascii="times" w:hAnsi="times"/>
                <w:sz w:val="20"/>
              </w:rPr>
              <w:t>$</w:t>
            </w:r>
          </w:p>
        </w:tc>
        <w:tc>
          <w:tcPr>
            <w:tcW w:w="615" w:type="dxa"/>
            <w:tcBorders/>
            <w:shd w:fill="FFFFFF" w:val="clear"/>
          </w:tcPr>
          <w:p>
            <w:pPr>
              <w:pStyle w:val="TableContents"/>
              <w:spacing w:before="0" w:after="283"/>
              <w:jc w:val="right"/>
              <w:rPr>
                <w:rFonts w:ascii="times" w:hAnsi="times"/>
                <w:sz w:val="20"/>
              </w:rPr>
            </w:pPr>
            <w:r>
              <w:rPr>
                <w:rFonts w:ascii="times" w:hAnsi="times"/>
                <w:sz w:val="20"/>
              </w:rPr>
              <w:t>(24</w:t>
            </w:r>
          </w:p>
        </w:tc>
        <w:tc>
          <w:tcPr>
            <w:tcW w:w="90"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167</w:t>
            </w:r>
          </w:p>
        </w:tc>
        <w:tc>
          <w:tcPr>
            <w:tcW w:w="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124</w:t>
            </w:r>
          </w:p>
        </w:tc>
        <w:tc>
          <w:tcPr>
            <w:tcW w:w="90"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jc w:val="right"/>
              <w:rPr>
                <w:rFonts w:ascii="times" w:hAnsi="times"/>
                <w:sz w:val="20"/>
              </w:rPr>
            </w:pPr>
            <w:r>
              <w:rPr>
                <w:rFonts w:ascii="times" w:hAnsi="times"/>
                <w:sz w:val="20"/>
              </w:rPr>
              <w:t>$</w:t>
            </w:r>
          </w:p>
        </w:tc>
        <w:tc>
          <w:tcPr>
            <w:tcW w:w="615" w:type="dxa"/>
            <w:tcBorders/>
            <w:shd w:fill="FFFFFF" w:val="clear"/>
          </w:tcPr>
          <w:p>
            <w:pPr>
              <w:pStyle w:val="TableContents"/>
              <w:spacing w:before="0" w:after="283"/>
              <w:jc w:val="right"/>
              <w:rPr>
                <w:rFonts w:ascii="times" w:hAnsi="times"/>
                <w:sz w:val="20"/>
              </w:rPr>
            </w:pPr>
            <w:r>
              <w:rPr>
                <w:rFonts w:ascii="times" w:hAnsi="times"/>
                <w:sz w:val="20"/>
              </w:rPr>
              <w:t>(16</w:t>
            </w:r>
          </w:p>
        </w:tc>
        <w:tc>
          <w:tcPr>
            <w:tcW w:w="90"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108</w:t>
            </w:r>
          </w:p>
        </w:tc>
        <w:tc>
          <w:tcPr>
            <w:tcW w:w="60" w:type="dxa"/>
            <w:tcBorders/>
            <w:shd w:fill="FFFFFF" w:val="clear"/>
          </w:tcPr>
          <w:p>
            <w:pPr>
              <w:pStyle w:val="TableContents"/>
              <w:spacing w:before="0" w:after="283"/>
              <w:rPr/>
            </w:pPr>
            <w:r>
              <w:rPr/>
              <w:t> </w:t>
            </w:r>
          </w:p>
        </w:tc>
      </w:tr>
      <w:tr>
        <w:trPr/>
        <w:tc>
          <w:tcPr>
            <w:tcW w:w="2775"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82" w:type="dxa"/>
            <w:tcBorders/>
            <w:shd w:fill="auto" w:val="clear"/>
          </w:tcPr>
          <w:p>
            <w:pPr>
              <w:pStyle w:val="TableContents"/>
              <w:spacing w:before="0" w:after="283"/>
              <w:rPr/>
            </w:pPr>
            <w:r>
              <w:rPr/>
              <w:t> </w:t>
            </w:r>
          </w:p>
        </w:tc>
        <w:tc>
          <w:tcPr>
            <w:tcW w:w="942" w:type="dxa"/>
            <w:tcBorders/>
            <w:shd w:fill="auto" w:val="clear"/>
          </w:tcPr>
          <w:p>
            <w:pPr>
              <w:pStyle w:val="TableContents"/>
              <w:spacing w:before="0" w:after="283"/>
              <w:rPr/>
            </w:pPr>
            <w:r>
              <w:rPr/>
              <w:t> </w:t>
            </w:r>
          </w:p>
        </w:tc>
        <w:tc>
          <w:tcPr>
            <w:tcW w:w="9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8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8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9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Emission reduction credits are finite-lived and are subject to amortization from the date that they are first utilized. At December 31, 2008, none of our emission reduction credits were being utilized because the projects for which they were acquired are not in service. </w:t>
      </w:r>
    </w:p>
    <w:p>
      <w:pPr>
        <w:pStyle w:val="TextBody"/>
        <w:rPr/>
      </w:pPr>
      <w:r>
        <w:rPr/>
        <w:t>        </w:t>
      </w:r>
      <w:r>
        <w:rPr>
          <w:rFonts w:ascii="times" w:hAnsi="times"/>
          <w:sz w:val="20"/>
        </w:rPr>
        <w:t xml:space="preserve">We estimate that our amortization expense related to finite-lived intangible assets for the next five years will be as follows (in millions): </w:t>
      </w:r>
    </w:p>
    <w:tbl>
      <w:tblPr>
        <w:tblW w:w="5825" w:type="dxa"/>
        <w:jc w:val="center"/>
        <w:tblInd w:w="0" w:type="dxa"/>
        <w:tblCellMar>
          <w:top w:w="0" w:type="dxa"/>
          <w:left w:w="0" w:type="dxa"/>
          <w:bottom w:w="0" w:type="dxa"/>
          <w:right w:w="0" w:type="dxa"/>
        </w:tblCellMar>
      </w:tblPr>
      <w:tblGrid>
        <w:gridCol w:w="5250"/>
        <w:gridCol w:w="180"/>
        <w:gridCol w:w="335"/>
        <w:gridCol w:w="60"/>
      </w:tblGrid>
      <w:tr>
        <w:trPr/>
        <w:tc>
          <w:tcPr>
            <w:tcW w:w="525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2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2009</w:t>
            </w:r>
          </w:p>
        </w:tc>
        <w:tc>
          <w:tcPr>
            <w:tcW w:w="18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60" w:type="dxa"/>
            <w:tcBorders/>
            <w:shd w:fill="CCEEFF" w:val="clear"/>
            <w:vAlign w:val="bottom"/>
          </w:tcPr>
          <w:p>
            <w:pPr>
              <w:pStyle w:val="TableContents"/>
              <w:spacing w:before="0" w:after="283"/>
              <w:rPr/>
            </w:pPr>
            <w:r>
              <w:rPr/>
              <w:t> </w:t>
            </w:r>
          </w:p>
        </w:tc>
      </w:tr>
      <w:tr>
        <w:trPr/>
        <w:tc>
          <w:tcPr>
            <w:tcW w:w="525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2010</w:t>
            </w:r>
          </w:p>
        </w:tc>
        <w:tc>
          <w:tcPr>
            <w:tcW w:w="180"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60" w:type="dxa"/>
            <w:tcBorders/>
            <w:shd w:fill="FFFFFF" w:val="clear"/>
            <w:vAlign w:val="bottom"/>
          </w:tcPr>
          <w:p>
            <w:pPr>
              <w:pStyle w:val="TableContents"/>
              <w:spacing w:before="0" w:after="283"/>
              <w:rPr/>
            </w:pPr>
            <w:r>
              <w:rPr/>
              <w:t> </w:t>
            </w:r>
          </w:p>
        </w:tc>
      </w:tr>
      <w:tr>
        <w:trPr/>
        <w:tc>
          <w:tcPr>
            <w:tcW w:w="52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2011</w:t>
            </w:r>
          </w:p>
        </w:tc>
        <w:tc>
          <w:tcPr>
            <w:tcW w:w="18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60" w:type="dxa"/>
            <w:tcBorders/>
            <w:shd w:fill="CCEEFF" w:val="clear"/>
            <w:vAlign w:val="bottom"/>
          </w:tcPr>
          <w:p>
            <w:pPr>
              <w:pStyle w:val="TableContents"/>
              <w:spacing w:before="0" w:after="283"/>
              <w:rPr/>
            </w:pPr>
            <w:r>
              <w:rPr/>
              <w:t> </w:t>
            </w:r>
          </w:p>
        </w:tc>
      </w:tr>
      <w:tr>
        <w:trPr/>
        <w:tc>
          <w:tcPr>
            <w:tcW w:w="525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2012</w:t>
            </w:r>
          </w:p>
        </w:tc>
        <w:tc>
          <w:tcPr>
            <w:tcW w:w="180"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9</w:t>
            </w:r>
          </w:p>
        </w:tc>
        <w:tc>
          <w:tcPr>
            <w:tcW w:w="60" w:type="dxa"/>
            <w:tcBorders/>
            <w:shd w:fill="FFFFFF" w:val="clear"/>
            <w:vAlign w:val="bottom"/>
          </w:tcPr>
          <w:p>
            <w:pPr>
              <w:pStyle w:val="TableContents"/>
              <w:spacing w:before="0" w:after="283"/>
              <w:rPr/>
            </w:pPr>
            <w:r>
              <w:rPr/>
              <w:t> </w:t>
            </w:r>
          </w:p>
        </w:tc>
      </w:tr>
      <w:tr>
        <w:trPr/>
        <w:tc>
          <w:tcPr>
            <w:tcW w:w="52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2013</w:t>
            </w:r>
          </w:p>
        </w:tc>
        <w:tc>
          <w:tcPr>
            <w:tcW w:w="18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60" w:type="dxa"/>
            <w:tcBorders/>
            <w:shd w:fill="CCEEFF"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Environmental Matters </w:t>
      </w:r>
    </w:p>
    <w:p>
      <w:pPr>
        <w:pStyle w:val="TextBody"/>
        <w:rPr/>
      </w:pPr>
      <w:r>
        <w:rPr/>
        <w:t>        </w:t>
      </w:r>
      <w:r>
        <w:rPr>
          <w:rFonts w:ascii="times" w:hAnsi="times"/>
          <w:sz w:val="20"/>
        </w:rPr>
        <w:t xml:space="preserve">We record environmental liabilities when environmental assessments and/or remedial efforts are probable and we can reasonably estimate the costs. Generally, our recording of these accruals coincides with our completion of a feasibility study or our commitment to a formal plan of action. We also record receivables for amounts recoverable from insurance or from third parties under indemnification agreements in the period that we determine the costs are probable of recovery. </w:t>
      </w:r>
    </w:p>
    <w:p>
      <w:pPr>
        <w:pStyle w:val="TextBody"/>
        <w:rPr/>
      </w:pPr>
      <w:r>
        <w:rPr/>
        <w:t>        </w:t>
      </w:r>
      <w:r>
        <w:rPr>
          <w:rFonts w:ascii="times" w:hAnsi="times"/>
          <w:sz w:val="20"/>
        </w:rPr>
        <w:t xml:space="preserve">We expense expenditures that relate to an existing condition caused by past operations that do not contribute to current or future profitability. We record environmental liabilities assumed in business combinations based on the estimated fair value of the environmental obligations caused by past operations of the acquired company. See Note 12 for further discussion of environmental remediation matters. </w:t>
      </w:r>
    </w:p>
    <w:p>
      <w:pPr>
        <w:pStyle w:val="TextBody"/>
        <w:rPr>
          <w:rFonts w:ascii="times" w:hAnsi="times"/>
          <w:b/>
          <w:i/>
          <w:sz w:val="20"/>
        </w:rPr>
      </w:pPr>
      <w:r>
        <w:rPr>
          <w:rFonts w:ascii="times" w:hAnsi="times"/>
          <w:b/>
          <w:i/>
          <w:sz w:val="20"/>
        </w:rPr>
        <w:t xml:space="preserve">Income and Other Taxes </w:t>
      </w:r>
    </w:p>
    <w:p>
      <w:pPr>
        <w:pStyle w:val="TextBody"/>
        <w:rPr/>
      </w:pPr>
      <w:r>
        <w:rPr/>
        <w:t>        </w:t>
      </w:r>
      <w:r>
        <w:rPr>
          <w:rFonts w:ascii="times" w:hAnsi="times"/>
          <w:sz w:val="20"/>
        </w:rPr>
        <w:t xml:space="preserve">See Note 7 for discussion of U.S. federal and state taxes and Canadian federal and provincial taxes. </w:t>
      </w:r>
    </w:p>
    <w:p>
      <w:pPr>
        <w:pStyle w:val="TextBody"/>
        <w:rPr/>
      </w:pPr>
      <w:r>
        <w:rPr/>
        <w:t>        </w:t>
      </w:r>
      <w:r>
        <w:rPr>
          <w:rFonts w:ascii="times" w:hAnsi="times"/>
          <w:sz w:val="20"/>
        </w:rPr>
        <w:t xml:space="preserve">We estimate (i) income taxes in the jurisdictions in which we operate, (ii) net deferred tax assets and liabilities based on expected future taxes in the jurisdictions in which we operate, (iii) valuation allowances for deferred tax assets and (iv) contingent tax liabilities for estimated exposures related to </w:t>
      </w:r>
    </w:p>
    <w:p>
      <w:pPr>
        <w:pStyle w:val="TextBody"/>
        <w:jc w:val="center"/>
        <w:rPr>
          <w:rFonts w:ascii="times" w:hAnsi="times"/>
          <w:sz w:val="20"/>
        </w:rPr>
      </w:pPr>
      <w:r>
        <w:rPr>
          <w:rFonts w:ascii="times" w:hAnsi="times"/>
          <w:sz w:val="20"/>
        </w:rPr>
        <w:t>F-19</w:t>
      </w:r>
    </w:p>
    <w:p>
      <w:pPr>
        <w:pStyle w:val="HorizontalLine"/>
        <w:pBdr>
          <w:bottom w:val="single" w:sz="20" w:space="0" w:color="808080"/>
        </w:pBdr>
        <w:rPr/>
      </w:pPr>
      <w:r>
        <w:rPr/>
      </w:r>
      <w:r>
        <w:br w:type="page"/>
      </w:r>
    </w:p>
    <w:p>
      <w:pPr>
        <w:pStyle w:val="TextBody"/>
        <w:rPr/>
      </w:pPr>
      <w:hyperlink w:anchor="bg12101a_main_toc">
        <w:bookmarkStart w:id="253" w:name="page_fq12101_1_20"/>
        <w:bookmarkEnd w:id="25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r>
    </w:p>
    <w:p>
      <w:pPr>
        <w:pStyle w:val="TextBody"/>
        <w:rPr>
          <w:rFonts w:ascii="times" w:hAnsi="times"/>
          <w:sz w:val="20"/>
        </w:rPr>
      </w:pPr>
      <w:r>
        <w:rPr>
          <w:rFonts w:ascii="times" w:hAnsi="times"/>
          <w:sz w:val="20"/>
        </w:rPr>
        <w:t xml:space="preserve">our current tax positions. These estimates depend on assumptions regarding our ability to generate future taxable income during the periods in which temporary differences are deductible. </w:t>
      </w:r>
    </w:p>
    <w:p>
      <w:pPr>
        <w:pStyle w:val="TextBody"/>
        <w:rPr/>
      </w:pPr>
      <w:r>
        <w:rPr/>
        <w:t>        </w:t>
      </w:r>
      <w:r>
        <w:rPr>
          <w:rFonts w:ascii="times" w:hAnsi="times"/>
          <w:sz w:val="20"/>
        </w:rPr>
        <w:t xml:space="preserve">As of December 31, 2007, we did not record a valuation allowance against our deferred tax assets for federal net operating loss carryforwards. Management believed that it was more likely than not that we would realize the deferred tax assets associated with the federal net operating loss. These net operating losses have since been used to offset taxable income. </w:t>
      </w:r>
    </w:p>
    <w:p>
      <w:pPr>
        <w:pStyle w:val="TextBody"/>
        <w:rPr>
          <w:rFonts w:ascii="times" w:hAnsi="times"/>
          <w:b/>
          <w:i/>
          <w:sz w:val="20"/>
        </w:rPr>
      </w:pPr>
      <w:r>
        <w:rPr>
          <w:rFonts w:ascii="times" w:hAnsi="times"/>
          <w:b/>
          <w:i/>
          <w:sz w:val="20"/>
        </w:rPr>
        <w:t xml:space="preserve">Recent Accounting Pronouncements </w:t>
      </w:r>
    </w:p>
    <w:p>
      <w:pPr>
        <w:pStyle w:val="TextBody"/>
        <w:numPr>
          <w:ilvl w:val="0"/>
          <w:numId w:val="0"/>
        </w:numPr>
        <w:ind w:left="707" w:hanging="0"/>
        <w:rPr>
          <w:rFonts w:ascii="times" w:hAnsi="times"/>
          <w:b/>
          <w:sz w:val="20"/>
        </w:rPr>
      </w:pPr>
      <w:r>
        <w:rPr>
          <w:rFonts w:ascii="times" w:hAnsi="times"/>
          <w:b/>
          <w:sz w:val="20"/>
        </w:rPr>
        <w:t xml:space="preserve">Standards Adopted as of January 1, 2009 </w:t>
      </w:r>
    </w:p>
    <w:p>
      <w:pPr>
        <w:pStyle w:val="TextBody"/>
        <w:rPr/>
      </w:pPr>
      <w:r>
        <w:rPr/>
        <w:t>        </w:t>
      </w:r>
      <w:r>
        <w:rPr>
          <w:rFonts w:ascii="times" w:hAnsi="times"/>
          <w:sz w:val="20"/>
        </w:rPr>
        <w:t xml:space="preserve">In November 2008, the EITF issued Issue No. 08-06, "Equity Method Investment Accounting Considerations" ("EITF 08-06"). EITF 08-06 addresses certain accounting considerations, including initial measurement, decreases in investment value, and changes in the level of ownership or degree of influence related items related to equity method investments. The provisions of EITF 08-06 will be effective for fiscal years beginning on or after December 15, 2008 and will be applied prospectively. We adopted EITF 08-06 on January 1, 2009 and are currently evaluating the impact of adoption on our consolidated financial statements. </w:t>
      </w:r>
    </w:p>
    <w:p>
      <w:pPr>
        <w:pStyle w:val="TextBody"/>
        <w:rPr/>
      </w:pPr>
      <w:r>
        <w:rPr/>
        <w:t>        </w:t>
      </w:r>
      <w:r>
        <w:rPr>
          <w:rFonts w:ascii="times" w:hAnsi="times"/>
          <w:sz w:val="20"/>
        </w:rPr>
        <w:t xml:space="preserve">In April 2008, the Financial Accounting Standards Board ("FASB") issued FASB Staff Position ("FSP") No. FAS 142-3 "Determination of the Useful Life of Intangible Assets" ("FSP No. FAS 142-3"). FSP No. FAS 142-3 amends the factors that should be considered in developing renewal or extension assumptions used to determine the useful life of a recognized intangible asset under SFAS 142. The intent of this FSP is to improve the consistency between the useful life of a recognized intangible asset under SFAS 142 and the period of expected cash flows used to measure the fair value of the asset under SFAS No. 141 (revised 2007), "Business Combinations," and other generally accepted accounting principles. This FSP will be effective for financial statements issued for fiscal years beginning after December 15, 2008, and interim periods within those fiscal years. We adopted the FSP on January 1, 2009 and are currently evaluating the impact of adoption on our consolidated financial statements. </w:t>
      </w:r>
    </w:p>
    <w:p>
      <w:pPr>
        <w:pStyle w:val="TextBody"/>
        <w:rPr/>
      </w:pPr>
      <w:r>
        <w:rPr/>
        <w:t>        </w:t>
      </w:r>
      <w:r>
        <w:rPr>
          <w:rFonts w:ascii="times" w:hAnsi="times"/>
          <w:sz w:val="20"/>
        </w:rPr>
        <w:t xml:space="preserve">In March 2008, the FASB issued SFAS No. 161, "Disclosures about Derivative Instruments and Hedging Activitiesan Amendment of FASB Statement No. 133" ("SFAS 161"). SFAS 161 requires enhanced disclosures about (i) how and why an entity uses derivative instruments, (ii) how derivative instruments and related hedged items are accounted for under SFAS 133, and its related interpretations and (iii) how derivative instruments and related hedged items affect an entity's financial position, financial performance and cash flows. SFAS 161 will be effective for financial statements issued for fiscal years and interim periods beginning after November 15, 2008. We adopted SFAS 161 on January 1, 2009. Adoption did not have any material impact on our financial position, results of operations or cash flows. </w:t>
      </w:r>
    </w:p>
    <w:p>
      <w:pPr>
        <w:pStyle w:val="TextBody"/>
        <w:rPr/>
      </w:pPr>
      <w:r>
        <w:rPr/>
        <w:t>        </w:t>
      </w:r>
      <w:r>
        <w:rPr>
          <w:rFonts w:ascii="times" w:hAnsi="times"/>
          <w:sz w:val="20"/>
        </w:rPr>
        <w:t xml:space="preserve">In March 2008, the EITF issued Issue No. 07-04, "Application of the Two-Class Method under FASB Statement No. 128 to Master Limited Partnerships" ("EITF 07-04"). EITF 07-04 addresses the application of the two-class method under SFAS No. 128, "Earnings Per Share" in determining income per unit for master limited partnerships having multiple classes of securities that may participate in partnership distributions. The two-class method is an earnings allocation formula that determines earnings per unit for each class of common units and participating securities according to dividends </w:t>
      </w:r>
    </w:p>
    <w:p>
      <w:pPr>
        <w:pStyle w:val="TextBody"/>
        <w:jc w:val="center"/>
        <w:rPr>
          <w:rFonts w:ascii="times" w:hAnsi="times"/>
          <w:sz w:val="20"/>
        </w:rPr>
      </w:pPr>
      <w:r>
        <w:rPr>
          <w:rFonts w:ascii="times" w:hAnsi="times"/>
          <w:sz w:val="20"/>
        </w:rPr>
        <w:t>F-20</w:t>
      </w:r>
    </w:p>
    <w:p>
      <w:pPr>
        <w:pStyle w:val="HorizontalLine"/>
        <w:pBdr>
          <w:bottom w:val="single" w:sz="20" w:space="0" w:color="808080"/>
        </w:pBdr>
        <w:rPr/>
      </w:pPr>
      <w:r>
        <w:rPr/>
      </w:r>
      <w:r>
        <w:br w:type="page"/>
      </w:r>
    </w:p>
    <w:p>
      <w:pPr>
        <w:pStyle w:val="TextBody"/>
        <w:rPr/>
      </w:pPr>
      <w:hyperlink w:anchor="bg12101a_main_toc">
        <w:bookmarkStart w:id="254" w:name="page_fq12101_1_21"/>
        <w:bookmarkEnd w:id="25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r>
    </w:p>
    <w:p>
      <w:pPr>
        <w:pStyle w:val="TextBody"/>
        <w:rPr>
          <w:rFonts w:ascii="times" w:hAnsi="times"/>
          <w:sz w:val="20"/>
        </w:rPr>
      </w:pPr>
      <w:r>
        <w:rPr>
          <w:rFonts w:ascii="times" w:hAnsi="times"/>
          <w:sz w:val="20"/>
        </w:rPr>
        <w:t xml:space="preserve">declared (or accumulated) and participation rights in undistributed earnings. EITF 07-04 will be effective for financial statements issued for fiscal years beginning after December 15, 2008, and interim periods within those fiscal years. We adopted EITF 07-04 on January 1, 2009. Adoption will impact the net income available to limited partners used in our computation of EPU but will not impact our distributions to limited partners, financial position, results of operations or cash flows. </w:t>
      </w:r>
    </w:p>
    <w:p>
      <w:pPr>
        <w:pStyle w:val="TextBody"/>
        <w:rPr/>
      </w:pPr>
      <w:r>
        <w:rPr/>
        <w:t>        </w:t>
      </w:r>
      <w:r>
        <w:rPr>
          <w:rFonts w:ascii="times" w:hAnsi="times"/>
          <w:sz w:val="20"/>
        </w:rPr>
        <w:t xml:space="preserve">In December 2007, the FASB issued SFAS No. 160 "Noncontrolling Interests in Consolidated Financial Statements, an amendment of ARB No. 51" ("SFAS 160"). SFAS 160 requires all entities to report noncontrolling (minority) interests in subsidiaries as equity in the consolidated financial statements. The pronouncement eliminates the diversity that currently exists in accounting for transactions between an entity and noncontrolling interests by requiring that they be treated as equity transactions. The provisions of SFAS 160 are effective on a prospective basis for fiscal years, and interim periods within those fiscal years, beginning on or after December 15, 2008. We adopted SFAS 160 on January 1, 2009. Such adoption did not have any material impact on our consolidated financial position, results of operations or cash flows. </w:t>
      </w:r>
    </w:p>
    <w:p>
      <w:pPr>
        <w:pStyle w:val="TextBody"/>
        <w:rPr/>
      </w:pPr>
      <w:r>
        <w:rPr/>
        <w:t>        </w:t>
      </w:r>
      <w:r>
        <w:rPr>
          <w:rFonts w:ascii="times" w:hAnsi="times"/>
          <w:sz w:val="20"/>
        </w:rPr>
        <w:t xml:space="preserve">In December 2007, the FASB issued SFAS No. 141(R) "Business Combinations" ("SFAS 141(R)"). SFAS 141(R) establishes principles and requirements for how an acquirer: (i) recognizes and measures in its financial statements the identifiable assets aquired, the liabilities assumed, and any noncontrolling interest in the acquiree; (ii) recognizes and measures the goodwill aquired in the business combination or a gain from a bargain purchase and (iii) determines what information to disclose to enable users of the financial statements to evaluate the nature and financial effects of the business combination. The provisions of SFAS 141(R) will be effective for business combinations for which the acquisition date is on or after the beginning of the first annual reporting period beginning on or after December 15, 2008. We adopted SFAS 141(R) on January 1, 2009. Adoption will impact our accounting for acquisitions subsequent to that date. </w:t>
      </w:r>
    </w:p>
    <w:p>
      <w:pPr>
        <w:pStyle w:val="TextBody"/>
        <w:numPr>
          <w:ilvl w:val="0"/>
          <w:numId w:val="0"/>
        </w:numPr>
        <w:ind w:left="707" w:hanging="0"/>
        <w:rPr>
          <w:rFonts w:ascii="times" w:hAnsi="times"/>
          <w:b/>
          <w:sz w:val="20"/>
        </w:rPr>
      </w:pPr>
      <w:r>
        <w:rPr>
          <w:rFonts w:ascii="times" w:hAnsi="times"/>
          <w:b/>
          <w:sz w:val="20"/>
        </w:rPr>
        <w:t xml:space="preserve">Standards Adopted as of January 1, 2008 </w:t>
      </w:r>
    </w:p>
    <w:p>
      <w:pPr>
        <w:pStyle w:val="TextBody"/>
        <w:rPr/>
      </w:pPr>
      <w:r>
        <w:rPr/>
        <w:t>        </w:t>
      </w:r>
      <w:r>
        <w:rPr>
          <w:rFonts w:ascii="times" w:hAnsi="times"/>
          <w:sz w:val="20"/>
        </w:rPr>
        <w:t xml:space="preserve">In February 2007, the FASB issued SFAS No. 159 "The Fair Value Option for Financial Assets and Financial Liabilitiesincluding an amendment of FAS 115" ("SFAS 159"). SFAS 159 allows entities to choose, at specified election dates, to measure eligible financial assets and liabilities at fair value in situations in which they are not otherwise required to be measured at fair value. If a company elects the fair value option for an eligible item, changes in that item's fair value in subsequent reporting periods must be recognized in current earnings. The provisions of SFAS 159 were effective for fiscal years beginning after November 15, 2007. We adopted SFAS 159 on January 1, 2008, but did not make any elections to value any eligible assets or liabilities at fair value and thus the adoption did not have any impact on our consolidated financial position, results of operations or cash flows. </w:t>
      </w:r>
    </w:p>
    <w:p>
      <w:pPr>
        <w:pStyle w:val="TextBody"/>
        <w:rPr/>
      </w:pPr>
      <w:r>
        <w:rPr/>
        <w:t>        </w:t>
      </w:r>
      <w:r>
        <w:rPr>
          <w:rFonts w:ascii="times" w:hAnsi="times"/>
          <w:sz w:val="20"/>
        </w:rPr>
        <w:t xml:space="preserve">In September 2006, the FASB issued SFAS 157, which defines fair value, establishes a framework for measuring fair value and requires enhanced disclosures regarding fair value measurements. The provisions of SFAS 157 were deferred for one year for certain non-financial assets and non-financial liabilities, including asset retirement obligations, goodwill, intangible assets and long-lived assets. We adopted SFAS 157 as of January 1, 2008 with the exception of those assets and liabilities that are subject to the deferral. The provisions of SFAS 157 are to be applied prospectively and require new disclosures regarding the level of pricing observability associated with financial instruments carried at fair value. See Note 6 for additional disclosure. </w:t>
      </w:r>
    </w:p>
    <w:p>
      <w:pPr>
        <w:pStyle w:val="TextBody"/>
        <w:jc w:val="center"/>
        <w:rPr>
          <w:rFonts w:ascii="times" w:hAnsi="times"/>
          <w:sz w:val="20"/>
        </w:rPr>
      </w:pPr>
      <w:r>
        <w:rPr>
          <w:rFonts w:ascii="times" w:hAnsi="times"/>
          <w:sz w:val="20"/>
        </w:rPr>
        <w:t>F-21</w:t>
      </w:r>
    </w:p>
    <w:p>
      <w:pPr>
        <w:pStyle w:val="HorizontalLine"/>
        <w:pBdr>
          <w:bottom w:val="single" w:sz="20" w:space="0" w:color="808080"/>
        </w:pBdr>
        <w:rPr/>
      </w:pPr>
      <w:r>
        <w:rPr/>
      </w:r>
      <w:r>
        <w:br w:type="page"/>
      </w:r>
    </w:p>
    <w:p>
      <w:pPr>
        <w:pStyle w:val="TextBody"/>
        <w:rPr/>
      </w:pPr>
      <w:hyperlink w:anchor="bg12101a_main_toc">
        <w:bookmarkStart w:id="255" w:name="page_fq12101_1_22"/>
        <w:bookmarkEnd w:id="25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rFonts w:ascii="times" w:hAnsi="times"/>
          <w:b/>
          <w:i/>
          <w:sz w:val="20"/>
        </w:rPr>
      </w:pPr>
      <w:r>
        <w:rPr>
          <w:rFonts w:ascii="times" w:hAnsi="times"/>
          <w:b/>
          <w:i/>
          <w:sz w:val="20"/>
        </w:rPr>
        <w:t xml:space="preserve">Derivative Instruments and Hedging Activities </w:t>
      </w:r>
    </w:p>
    <w:p>
      <w:pPr>
        <w:pStyle w:val="TextBody"/>
        <w:rPr/>
      </w:pPr>
      <w:r>
        <w:rPr/>
        <w:t>        </w:t>
      </w:r>
      <w:r>
        <w:rPr>
          <w:rFonts w:ascii="times" w:hAnsi="times"/>
          <w:sz w:val="20"/>
        </w:rPr>
        <w:t xml:space="preserve">We utilize various derivative instruments to (i) manage our exposure to commodity price risk, (ii) engage in a controlled commodity trading program, (iii) manage our exposure to interest rate risk and (iv) manage our exposure to foreign currency risk. We record all open derivative instruments on the balance sheet as either assets or liabilities measured at their fair value under the provisions of SFAS 133. SFAS 133 requires that changes in the fair value of derivative instruments be recognized currently in earnings unless specific hedge accounting criteria are met, in which case, changes in fair value of cash flow hedges are deferred in Accumulated Other Comprehensive Income ("AOCI") and reclassified into earnings when the underlying transaction affects earnings. Accordingly, changes in fair value are included in the current period for (i) derivatives that do not qualify for hedge accounting and (ii) the portion of cash flow hedges that are not highly effective in offsetting changes in cash flows of hedged items. See Note 6 for further discussion. </w:t>
      </w:r>
    </w:p>
    <w:p>
      <w:pPr>
        <w:pStyle w:val="TextBody"/>
        <w:rPr>
          <w:rFonts w:ascii="times" w:hAnsi="times"/>
          <w:b/>
          <w:i/>
          <w:sz w:val="20"/>
        </w:rPr>
      </w:pPr>
      <w:r>
        <w:rPr>
          <w:rFonts w:ascii="times" w:hAnsi="times"/>
          <w:b/>
          <w:i/>
          <w:sz w:val="20"/>
        </w:rPr>
        <w:t xml:space="preserve">Net Income Per Unit </w:t>
      </w:r>
    </w:p>
    <w:p>
      <w:pPr>
        <w:pStyle w:val="TextBody"/>
        <w:rPr/>
      </w:pPr>
      <w:r>
        <w:rPr/>
        <w:t>        </w:t>
      </w:r>
      <w:r>
        <w:rPr>
          <w:rFonts w:ascii="times" w:hAnsi="times"/>
          <w:sz w:val="20"/>
        </w:rPr>
        <w:t xml:space="preserve">Basic and diluted net income per limited partner unit is determined by dividing net income after deducting the amount allocated to the general partner (including the incentive distribution interest in excess of the 2% general partner interest) by the weighted average number of outstanding limited partner units during the period. Subject to applicability of EITF Issue No. 03-06 ("EITF 03-06"), "Participating Securities and the Two-Class Method under FASB Statement No. 128," as discussed below, Partnership income is first allocated to the general partner based on the amount of incentive distributions. The remainder is then allocated between the limited partners and general partner based on percentage ownership in the Partnership. </w:t>
      </w:r>
    </w:p>
    <w:p>
      <w:pPr>
        <w:pStyle w:val="TextBody"/>
        <w:rPr/>
      </w:pPr>
      <w:r>
        <w:rPr/>
        <w:t>        </w:t>
      </w:r>
      <w:r>
        <w:rPr>
          <w:rFonts w:ascii="times" w:hAnsi="times"/>
          <w:sz w:val="20"/>
        </w:rPr>
        <w:t xml:space="preserve">EITF 03-06 addresses the computation of earnings per share by entities that have issued securities other than common stock that contractually entitle the holder to participate in dividends and earnings of the entity when, and if, it declares dividends on its common stock. Essentially, EITF 03-06 provides that in any accounting period where our aggregate net income exceeds our aggregate distribution for such period, we are required to present earnings per unit as if all of the earnings for the periods were distributed, regardless of the pro forma nature of this allocation and whether those earnings would actually be distributed during a particular period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This result occurs because a larger portion of our aggregate earnings is allocated (as if distributed) to our general partner, even though we make cash distributions on the basis of cash available for distributions, not earnings, in any given accounting period. In accounting periods where aggregate net income does not exceed our aggregate distributions for such period, EITF 03-06 does not have any impact on our earnings per unit calculation. </w:t>
      </w:r>
    </w:p>
    <w:p>
      <w:pPr>
        <w:pStyle w:val="TextBody"/>
        <w:rPr/>
      </w:pPr>
      <w:r>
        <w:rPr/>
        <w:t>        </w:t>
      </w:r>
      <w:r>
        <w:rPr>
          <w:rFonts w:ascii="times" w:hAnsi="times"/>
          <w:sz w:val="20"/>
        </w:rPr>
        <w:t xml:space="preserve">Effective January 1, 2009, we adopted EITF 07-04 and EITF 03-06 will no longer be applied. See "Recent Accounting Pronouncements" above for further discussion. </w:t>
      </w:r>
    </w:p>
    <w:p>
      <w:pPr>
        <w:pStyle w:val="TextBody"/>
        <w:jc w:val="center"/>
        <w:rPr>
          <w:rFonts w:ascii="times" w:hAnsi="times"/>
          <w:sz w:val="20"/>
        </w:rPr>
      </w:pPr>
      <w:r>
        <w:rPr>
          <w:rFonts w:ascii="times" w:hAnsi="times"/>
          <w:sz w:val="20"/>
        </w:rPr>
        <w:t>F-22</w:t>
      </w:r>
    </w:p>
    <w:p>
      <w:pPr>
        <w:pStyle w:val="HorizontalLine"/>
        <w:pBdr>
          <w:bottom w:val="single" w:sz="20" w:space="0" w:color="808080"/>
        </w:pBdr>
        <w:rPr/>
      </w:pPr>
      <w:r>
        <w:rPr/>
      </w:r>
      <w:r>
        <w:br w:type="page"/>
      </w:r>
    </w:p>
    <w:p>
      <w:pPr>
        <w:pStyle w:val="TextBody"/>
        <w:rPr/>
      </w:pPr>
      <w:hyperlink w:anchor="bg12101a_main_toc">
        <w:bookmarkStart w:id="256" w:name="page_fq12101_1_23"/>
        <w:bookmarkEnd w:id="25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2Summary of Significant Accounting Policies (Continued) </w:t>
      </w:r>
    </w:p>
    <w:p>
      <w:pPr>
        <w:pStyle w:val="TextBody"/>
        <w:rPr/>
      </w:pPr>
      <w:r>
        <w:rPr/>
        <w:t>        </w:t>
      </w:r>
      <w:r>
        <w:rPr>
          <w:rFonts w:ascii="times" w:hAnsi="times"/>
          <w:sz w:val="20"/>
        </w:rPr>
        <w:t xml:space="preserve">The following sets forth the computation of basic and diluted earnings per limited partner unit under EITF 03-06. The net income available to limited partners and the weighted average limited partner units outstanding have been adjusted for instruments considered common unit equivalents. </w:t>
      </w:r>
    </w:p>
    <w:tbl>
      <w:tblPr>
        <w:tblW w:w="10205" w:type="dxa"/>
        <w:jc w:val="center"/>
        <w:tblInd w:w="0" w:type="dxa"/>
        <w:tblCellMar>
          <w:top w:w="0" w:type="dxa"/>
          <w:left w:w="0" w:type="dxa"/>
          <w:bottom w:w="0" w:type="dxa"/>
          <w:right w:w="0" w:type="dxa"/>
        </w:tblCellMar>
      </w:tblPr>
      <w:tblGrid>
        <w:gridCol w:w="164"/>
        <w:gridCol w:w="231"/>
        <w:gridCol w:w="7587"/>
        <w:gridCol w:w="174"/>
        <w:gridCol w:w="125"/>
        <w:gridCol w:w="395"/>
        <w:gridCol w:w="218"/>
        <w:gridCol w:w="125"/>
        <w:gridCol w:w="380"/>
        <w:gridCol w:w="218"/>
        <w:gridCol w:w="125"/>
        <w:gridCol w:w="380"/>
        <w:gridCol w:w="83"/>
      </w:tblGrid>
      <w:tr>
        <w:trPr/>
        <w:tc>
          <w:tcPr>
            <w:tcW w:w="16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5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982" w:type="dxa"/>
            <w:gridSpan w:val="3"/>
            <w:tcBorders/>
            <w:shd w:fill="auto" w:val="clear"/>
            <w:vAlign w:val="bottom"/>
          </w:tcPr>
          <w:p>
            <w:pPr>
              <w:pStyle w:val="TableHeading"/>
              <w:spacing w:before="0" w:after="283"/>
              <w:jc w:val="left"/>
              <w:rPr/>
            </w:pPr>
            <w:r>
              <w:rPr/>
              <w:t> </w:t>
            </w:r>
          </w:p>
        </w:tc>
        <w:tc>
          <w:tcPr>
            <w:tcW w:w="174" w:type="dxa"/>
            <w:tcBorders/>
            <w:shd w:fill="auto" w:val="clear"/>
            <w:vAlign w:val="bottom"/>
          </w:tcPr>
          <w:p>
            <w:pPr>
              <w:pStyle w:val="TableHeading"/>
              <w:suppressLineNumbers/>
              <w:spacing w:before="0" w:after="283"/>
              <w:jc w:val="center"/>
              <w:rPr/>
            </w:pPr>
            <w:r>
              <w:rPr/>
              <w:t> </w:t>
            </w:r>
          </w:p>
        </w:tc>
        <w:tc>
          <w:tcPr>
            <w:tcW w:w="1966"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83" w:type="dxa"/>
            <w:tcBorders/>
            <w:shd w:fill="auto" w:val="clear"/>
            <w:vAlign w:val="bottom"/>
          </w:tcPr>
          <w:p>
            <w:pPr>
              <w:pStyle w:val="TableHeading"/>
              <w:suppressLineNumbers/>
              <w:spacing w:before="0" w:after="283"/>
              <w:jc w:val="center"/>
              <w:rPr/>
            </w:pPr>
            <w:r>
              <w:rPr/>
              <w:t> </w:t>
            </w:r>
          </w:p>
        </w:tc>
      </w:tr>
      <w:tr>
        <w:trPr/>
        <w:tc>
          <w:tcPr>
            <w:tcW w:w="7982" w:type="dxa"/>
            <w:gridSpan w:val="3"/>
            <w:tcBorders/>
            <w:shd w:fill="auto" w:val="clear"/>
            <w:vAlign w:val="bottom"/>
          </w:tcPr>
          <w:p>
            <w:pPr>
              <w:pStyle w:val="TableHeading"/>
              <w:spacing w:before="0" w:after="283"/>
              <w:jc w:val="left"/>
              <w:rPr/>
            </w:pPr>
            <w:r>
              <w:rPr/>
              <w:t> </w:t>
            </w:r>
          </w:p>
        </w:tc>
        <w:tc>
          <w:tcPr>
            <w:tcW w:w="174"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18" w:type="dxa"/>
            <w:tcBorders/>
            <w:shd w:fill="auto" w:val="clear"/>
            <w:vAlign w:val="bottom"/>
          </w:tcPr>
          <w:p>
            <w:pPr>
              <w:pStyle w:val="TableHeading"/>
              <w:suppressLineNumbers/>
              <w:spacing w:before="0" w:after="283"/>
              <w:jc w:val="center"/>
              <w:rPr/>
            </w:pPr>
            <w:r>
              <w:rPr/>
              <w:t> </w:t>
            </w:r>
          </w:p>
        </w:tc>
        <w:tc>
          <w:tcPr>
            <w:tcW w:w="5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18" w:type="dxa"/>
            <w:tcBorders/>
            <w:shd w:fill="auto" w:val="clear"/>
            <w:vAlign w:val="bottom"/>
          </w:tcPr>
          <w:p>
            <w:pPr>
              <w:pStyle w:val="TableHeading"/>
              <w:suppressLineNumbers/>
              <w:spacing w:before="0" w:after="283"/>
              <w:jc w:val="center"/>
              <w:rPr/>
            </w:pPr>
            <w:r>
              <w:rPr/>
              <w:t> </w:t>
            </w:r>
          </w:p>
        </w:tc>
        <w:tc>
          <w:tcPr>
            <w:tcW w:w="5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83" w:type="dxa"/>
            <w:tcBorders/>
            <w:shd w:fill="auto" w:val="clear"/>
            <w:vAlign w:val="bottom"/>
          </w:tcPr>
          <w:p>
            <w:pPr>
              <w:pStyle w:val="TableHeading"/>
              <w:suppressLineNumbers/>
              <w:spacing w:before="0" w:after="283"/>
              <w:jc w:val="center"/>
              <w:rPr/>
            </w:pPr>
            <w:r>
              <w:rPr/>
              <w:t> </w:t>
            </w:r>
          </w:p>
        </w:tc>
      </w:tr>
      <w:tr>
        <w:trPr/>
        <w:tc>
          <w:tcPr>
            <w:tcW w:w="7982" w:type="dxa"/>
            <w:gridSpan w:val="3"/>
            <w:tcBorders/>
            <w:shd w:fill="auto" w:val="clear"/>
            <w:vAlign w:val="bottom"/>
          </w:tcPr>
          <w:p>
            <w:pPr>
              <w:pStyle w:val="TableHeading"/>
              <w:spacing w:before="0" w:after="283"/>
              <w:jc w:val="left"/>
              <w:rPr/>
            </w:pPr>
            <w:r>
              <w:rPr/>
              <w:t> </w:t>
            </w:r>
          </w:p>
        </w:tc>
        <w:tc>
          <w:tcPr>
            <w:tcW w:w="174" w:type="dxa"/>
            <w:tcBorders/>
            <w:shd w:fill="auto" w:val="clear"/>
            <w:vAlign w:val="bottom"/>
          </w:tcPr>
          <w:p>
            <w:pPr>
              <w:pStyle w:val="TableHeading"/>
              <w:suppressLineNumbers/>
              <w:spacing w:before="0" w:after="283"/>
              <w:jc w:val="center"/>
              <w:rPr/>
            </w:pPr>
            <w:r>
              <w:rPr/>
              <w:t> </w:t>
            </w:r>
          </w:p>
        </w:tc>
        <w:tc>
          <w:tcPr>
            <w:tcW w:w="1966"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(amounts in millions,</w:t>
              <w:br/>
              <w:t>except per unit data)</w:t>
            </w:r>
          </w:p>
        </w:tc>
        <w:tc>
          <w:tcPr>
            <w:tcW w:w="83" w:type="dxa"/>
            <w:tcBorders/>
            <w:shd w:fill="auto" w:val="clear"/>
            <w:vAlign w:val="bottom"/>
          </w:tcPr>
          <w:p>
            <w:pPr>
              <w:pStyle w:val="TableHeading"/>
              <w:suppressLineNumbers/>
              <w:spacing w:before="0" w:after="283"/>
              <w:jc w:val="center"/>
              <w:rPr/>
            </w:pPr>
            <w:r>
              <w:rPr/>
              <w:t> </w:t>
            </w:r>
          </w:p>
        </w:tc>
      </w:tr>
      <w:tr>
        <w:trPr/>
        <w:tc>
          <w:tcPr>
            <w:tcW w:w="7982" w:type="dxa"/>
            <w:gridSpan w:val="3"/>
            <w:tcBorders/>
            <w:shd w:fill="CCEEFF" w:val="clear"/>
            <w:vAlign w:val="bottom"/>
          </w:tcPr>
          <w:p>
            <w:pPr>
              <w:pStyle w:val="TableContents"/>
              <w:spacing w:before="0" w:after="283"/>
              <w:ind w:left="200" w:right="0" w:hanging="200"/>
              <w:rPr>
                <w:rFonts w:ascii="times" w:hAnsi="times"/>
                <w:sz w:val="20"/>
              </w:rPr>
            </w:pPr>
            <w:r>
              <w:rPr>
                <w:rFonts w:ascii="times" w:hAnsi="times"/>
                <w:sz w:val="20"/>
              </w:rPr>
              <w:t>Numerator for basic and diluted earnings per limited partner unit: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7982" w:type="dxa"/>
            <w:gridSpan w:val="3"/>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437</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365</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285</w:t>
            </w:r>
          </w:p>
        </w:tc>
        <w:tc>
          <w:tcPr>
            <w:tcW w:w="83" w:type="dxa"/>
            <w:tcBorders/>
            <w:shd w:fill="FFFFFF" w:val="clear"/>
            <w:vAlign w:val="bottom"/>
          </w:tcPr>
          <w:p>
            <w:pPr>
              <w:pStyle w:val="TableContents"/>
              <w:spacing w:before="0" w:after="283"/>
              <w:rPr/>
            </w:pPr>
            <w:r>
              <w:rPr/>
              <w:t> </w:t>
            </w:r>
          </w:p>
        </w:tc>
      </w:tr>
      <w:tr>
        <w:trPr/>
        <w:tc>
          <w:tcPr>
            <w:tcW w:w="164" w:type="dxa"/>
            <w:tcBorders/>
            <w:shd w:fill="CCEEFF" w:val="clear"/>
            <w:vAlign w:val="bottom"/>
          </w:tcPr>
          <w:p>
            <w:pPr>
              <w:pStyle w:val="TableContents"/>
              <w:spacing w:before="0" w:after="283"/>
              <w:rPr/>
            </w:pPr>
            <w:r>
              <w:rPr/>
              <w:t> </w:t>
            </w:r>
          </w:p>
        </w:tc>
        <w:tc>
          <w:tcPr>
            <w:tcW w:w="7818"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Less: General partner's incentive distribution paid</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(106</w:t>
            </w:r>
          </w:p>
        </w:tc>
        <w:tc>
          <w:tcPr>
            <w:tcW w:w="2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(73</w:t>
            </w:r>
          </w:p>
        </w:tc>
        <w:tc>
          <w:tcPr>
            <w:tcW w:w="2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(33</w:t>
            </w:r>
          </w:p>
        </w:tc>
        <w:tc>
          <w:tcPr>
            <w:tcW w:w="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164" w:type="dxa"/>
            <w:tcBorders/>
            <w:shd w:fill="FFFFFF" w:val="clear"/>
            <w:vAlign w:val="bottom"/>
          </w:tcPr>
          <w:p>
            <w:pPr>
              <w:pStyle w:val="TableContents"/>
              <w:spacing w:before="0" w:after="283"/>
              <w:rPr/>
            </w:pPr>
            <w:r>
              <w:rPr/>
              <w:t> </w:t>
            </w:r>
          </w:p>
        </w:tc>
        <w:tc>
          <w:tcPr>
            <w:tcW w:w="7818"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Subtotal</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331</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292</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252</w:t>
            </w:r>
          </w:p>
        </w:tc>
        <w:tc>
          <w:tcPr>
            <w:tcW w:w="83" w:type="dxa"/>
            <w:tcBorders/>
            <w:shd w:fill="FFFFFF" w:val="clear"/>
            <w:vAlign w:val="bottom"/>
          </w:tcPr>
          <w:p>
            <w:pPr>
              <w:pStyle w:val="TableContents"/>
              <w:spacing w:before="0" w:after="283"/>
              <w:rPr/>
            </w:pPr>
            <w:r>
              <w:rPr/>
              <w:t> </w:t>
            </w:r>
          </w:p>
        </w:tc>
      </w:tr>
      <w:tr>
        <w:trPr/>
        <w:tc>
          <w:tcPr>
            <w:tcW w:w="164" w:type="dxa"/>
            <w:tcBorders/>
            <w:shd w:fill="CCEEFF" w:val="clear"/>
            <w:vAlign w:val="bottom"/>
          </w:tcPr>
          <w:p>
            <w:pPr>
              <w:pStyle w:val="TableContents"/>
              <w:spacing w:before="0" w:after="283"/>
              <w:rPr/>
            </w:pPr>
            <w:r>
              <w:rPr/>
              <w:t> </w:t>
            </w:r>
          </w:p>
        </w:tc>
        <w:tc>
          <w:tcPr>
            <w:tcW w:w="7818"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Less: General partner 2% ownership</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2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2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164" w:type="dxa"/>
            <w:tcBorders/>
            <w:shd w:fill="FFFFFF" w:val="clear"/>
            <w:vAlign w:val="bottom"/>
          </w:tcPr>
          <w:p>
            <w:pPr>
              <w:pStyle w:val="TableContents"/>
              <w:spacing w:before="0" w:after="283"/>
              <w:rPr/>
            </w:pPr>
            <w:r>
              <w:rPr/>
              <w:t> </w:t>
            </w:r>
          </w:p>
        </w:tc>
        <w:tc>
          <w:tcPr>
            <w:tcW w:w="7818"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 available to limited partners</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325</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286</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247</w:t>
            </w:r>
          </w:p>
        </w:tc>
        <w:tc>
          <w:tcPr>
            <w:tcW w:w="83" w:type="dxa"/>
            <w:tcBorders/>
            <w:shd w:fill="FFFFFF" w:val="clear"/>
            <w:vAlign w:val="bottom"/>
          </w:tcPr>
          <w:p>
            <w:pPr>
              <w:pStyle w:val="TableContents"/>
              <w:spacing w:before="0" w:after="283"/>
              <w:rPr/>
            </w:pPr>
            <w:r>
              <w:rPr/>
              <w:t> </w:t>
            </w:r>
          </w:p>
        </w:tc>
      </w:tr>
      <w:tr>
        <w:trPr/>
        <w:tc>
          <w:tcPr>
            <w:tcW w:w="164" w:type="dxa"/>
            <w:tcBorders/>
            <w:shd w:fill="CCEEFF" w:val="clear"/>
            <w:vAlign w:val="bottom"/>
          </w:tcPr>
          <w:p>
            <w:pPr>
              <w:pStyle w:val="TableContents"/>
              <w:spacing w:before="0" w:after="283"/>
              <w:rPr/>
            </w:pPr>
            <w:r>
              <w:rPr/>
              <w:t> </w:t>
            </w:r>
          </w:p>
        </w:tc>
        <w:tc>
          <w:tcPr>
            <w:tcW w:w="7818"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Less: Pro forma EITF 03-06 additional general partner's distribution</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164" w:type="dxa"/>
            <w:tcBorders/>
            <w:shd w:fill="FFFFFF" w:val="clear"/>
            <w:vAlign w:val="bottom"/>
          </w:tcPr>
          <w:p>
            <w:pPr>
              <w:pStyle w:val="TableContents"/>
              <w:spacing w:before="0" w:after="283"/>
              <w:rPr/>
            </w:pPr>
            <w:r>
              <w:rPr/>
              <w:t> </w:t>
            </w:r>
          </w:p>
        </w:tc>
        <w:tc>
          <w:tcPr>
            <w:tcW w:w="7818"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Net income available to limited partners under EITF 03-06</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325</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286</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236</w:t>
            </w:r>
          </w:p>
        </w:tc>
        <w:tc>
          <w:tcPr>
            <w:tcW w:w="83" w:type="dxa"/>
            <w:tcBorders/>
            <w:shd w:fill="FFFFFF" w:val="clear"/>
            <w:vAlign w:val="bottom"/>
          </w:tcPr>
          <w:p>
            <w:pPr>
              <w:pStyle w:val="TableContents"/>
              <w:spacing w:before="0" w:after="283"/>
              <w:rPr/>
            </w:pPr>
            <w:r>
              <w:rPr/>
              <w:t> </w:t>
            </w:r>
          </w:p>
        </w:tc>
      </w:tr>
      <w:tr>
        <w:trPr/>
        <w:tc>
          <w:tcPr>
            <w:tcW w:w="164" w:type="dxa"/>
            <w:tcBorders/>
            <w:shd w:fill="CCEEFF" w:val="clear"/>
            <w:vAlign w:val="bottom"/>
          </w:tcPr>
          <w:p>
            <w:pPr>
              <w:pStyle w:val="TableContents"/>
              <w:spacing w:before="0" w:after="283"/>
              <w:rPr/>
            </w:pPr>
            <w:r>
              <w:rPr/>
              <w:t> </w:t>
            </w:r>
          </w:p>
        </w:tc>
        <w:tc>
          <w:tcPr>
            <w:tcW w:w="7818"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Less: Limited partner 98% portion of cumulative effect of change in accounting principle</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(6</w:t>
            </w:r>
          </w:p>
        </w:tc>
        <w:tc>
          <w:tcPr>
            <w:tcW w:w="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164" w:type="dxa"/>
            <w:tcBorders/>
            <w:shd w:fill="FFFFFF" w:val="clear"/>
            <w:vAlign w:val="bottom"/>
          </w:tcPr>
          <w:p>
            <w:pPr>
              <w:pStyle w:val="TableContents"/>
              <w:spacing w:before="0" w:after="283"/>
              <w:rPr/>
            </w:pPr>
            <w:r>
              <w:rPr/>
              <w:t> </w:t>
            </w:r>
          </w:p>
        </w:tc>
        <w:tc>
          <w:tcPr>
            <w:tcW w:w="7818"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Limited partner net income before cumulative effect of change in accounting principle</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325</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286</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230</w:t>
            </w:r>
          </w:p>
        </w:tc>
        <w:tc>
          <w:tcPr>
            <w:tcW w:w="83" w:type="dxa"/>
            <w:tcBorders/>
            <w:shd w:fill="FFFFFF" w:val="clear"/>
            <w:vAlign w:val="bottom"/>
          </w:tcPr>
          <w:p>
            <w:pPr>
              <w:pStyle w:val="TableContents"/>
              <w:spacing w:before="0" w:after="283"/>
              <w:rPr/>
            </w:pPr>
            <w:r>
              <w:rPr/>
              <w:t> </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982" w:type="dxa"/>
            <w:gridSpan w:val="3"/>
            <w:tcBorders/>
            <w:shd w:fill="CCEEFF" w:val="clear"/>
            <w:vAlign w:val="bottom"/>
          </w:tcPr>
          <w:p>
            <w:pPr>
              <w:pStyle w:val="TableContents"/>
              <w:spacing w:before="0" w:after="283"/>
              <w:ind w:left="200" w:right="0" w:hanging="200"/>
              <w:rPr>
                <w:rFonts w:ascii="times" w:hAnsi="times"/>
                <w:sz w:val="20"/>
              </w:rPr>
            </w:pPr>
            <w:r>
              <w:rPr>
                <w:rFonts w:ascii="times" w:hAnsi="times"/>
                <w:sz w:val="20"/>
              </w:rPr>
              <w:t>Denominator:</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164" w:type="dxa"/>
            <w:tcBorders/>
            <w:shd w:fill="FFFFFF" w:val="clear"/>
            <w:vAlign w:val="bottom"/>
          </w:tcPr>
          <w:p>
            <w:pPr>
              <w:pStyle w:val="TableContents"/>
              <w:spacing w:before="0" w:after="283"/>
              <w:rPr/>
            </w:pPr>
            <w:r>
              <w:rPr/>
              <w:t> </w:t>
            </w:r>
          </w:p>
        </w:tc>
        <w:tc>
          <w:tcPr>
            <w:tcW w:w="7818"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Basic weighted average number of limited partner units outstanding</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120</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113</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81</w:t>
            </w:r>
          </w:p>
        </w:tc>
        <w:tc>
          <w:tcPr>
            <w:tcW w:w="83" w:type="dxa"/>
            <w:tcBorders/>
            <w:shd w:fill="FFFFFF" w:val="clear"/>
            <w:vAlign w:val="bottom"/>
          </w:tcPr>
          <w:p>
            <w:pPr>
              <w:pStyle w:val="TableContents"/>
              <w:spacing w:before="0" w:after="283"/>
              <w:rPr/>
            </w:pPr>
            <w:r>
              <w:rPr/>
              <w:t> </w:t>
            </w:r>
          </w:p>
        </w:tc>
      </w:tr>
      <w:tr>
        <w:trPr/>
        <w:tc>
          <w:tcPr>
            <w:tcW w:w="164" w:type="dxa"/>
            <w:tcBorders/>
            <w:shd w:fill="CCEEFF" w:val="clear"/>
            <w:vAlign w:val="bottom"/>
          </w:tcPr>
          <w:p>
            <w:pPr>
              <w:pStyle w:val="TableContents"/>
              <w:spacing w:before="0" w:after="283"/>
              <w:rPr/>
            </w:pPr>
            <w:r>
              <w:rPr/>
              <w:t> </w:t>
            </w:r>
          </w:p>
        </w:tc>
        <w:tc>
          <w:tcPr>
            <w:tcW w:w="7818"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Effect of dilutive securities:</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164"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758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Weighted average LTIP units</w:t>
            </w:r>
            <w:r>
              <w:rPr>
                <w:rFonts w:ascii="times" w:hAnsi="times"/>
                <w:position w:val="7"/>
                <w:sz w:val="16"/>
                <w:sz w:val="20"/>
              </w:rPr>
              <w:t>(1)</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83" w:type="dxa"/>
            <w:tcBorders/>
            <w:shd w:fill="FFFFFF" w:val="clear"/>
            <w:vAlign w:val="bottom"/>
          </w:tcPr>
          <w:p>
            <w:pPr>
              <w:pStyle w:val="TableContents"/>
              <w:spacing w:before="0" w:after="283"/>
              <w:rPr/>
            </w:pPr>
            <w:r>
              <w:rPr/>
              <w:t> </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164" w:type="dxa"/>
            <w:tcBorders/>
            <w:shd w:fill="CCEEFF" w:val="clear"/>
            <w:vAlign w:val="bottom"/>
          </w:tcPr>
          <w:p>
            <w:pPr>
              <w:pStyle w:val="TableContents"/>
              <w:spacing w:before="0" w:after="283"/>
              <w:rPr/>
            </w:pPr>
            <w:r>
              <w:rPr/>
              <w:t> </w:t>
            </w:r>
          </w:p>
        </w:tc>
        <w:tc>
          <w:tcPr>
            <w:tcW w:w="7818"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Diluted weighted average number of limited partner units outstanding</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121</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114</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82</w:t>
            </w:r>
          </w:p>
        </w:tc>
        <w:tc>
          <w:tcPr>
            <w:tcW w:w="83" w:type="dxa"/>
            <w:tcBorders/>
            <w:shd w:fill="CCEEFF" w:val="clear"/>
            <w:vAlign w:val="bottom"/>
          </w:tcPr>
          <w:p>
            <w:pPr>
              <w:pStyle w:val="TableContents"/>
              <w:spacing w:before="0" w:after="283"/>
              <w:rPr/>
            </w:pPr>
            <w:r>
              <w:rPr/>
              <w:t> </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982" w:type="dxa"/>
            <w:gridSpan w:val="3"/>
            <w:tcBorders/>
            <w:shd w:fill="FFFFFF" w:val="clear"/>
            <w:vAlign w:val="bottom"/>
          </w:tcPr>
          <w:p>
            <w:pPr>
              <w:pStyle w:val="TableContents"/>
              <w:spacing w:before="0" w:after="283"/>
              <w:ind w:left="200" w:right="0" w:hanging="200"/>
              <w:rPr>
                <w:rFonts w:ascii="times" w:hAnsi="times"/>
                <w:sz w:val="20"/>
              </w:rPr>
            </w:pPr>
            <w:r>
              <w:rPr>
                <w:rFonts w:ascii="times" w:hAnsi="times"/>
                <w:sz w:val="20"/>
              </w:rPr>
              <w:t>Basic net income per limited partner unit before cumulative effect of change in accounting principle</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2.70</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2.54</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2.84</w:t>
            </w:r>
          </w:p>
        </w:tc>
        <w:tc>
          <w:tcPr>
            <w:tcW w:w="83" w:type="dxa"/>
            <w:tcBorders/>
            <w:shd w:fill="FFFFFF" w:val="clear"/>
            <w:vAlign w:val="bottom"/>
          </w:tcPr>
          <w:p>
            <w:pPr>
              <w:pStyle w:val="TableContents"/>
              <w:spacing w:before="0" w:after="283"/>
              <w:rPr/>
            </w:pPr>
            <w:r>
              <w:rPr/>
              <w:t> </w:t>
            </w:r>
          </w:p>
        </w:tc>
      </w:tr>
      <w:tr>
        <w:trPr/>
        <w:tc>
          <w:tcPr>
            <w:tcW w:w="7982" w:type="dxa"/>
            <w:gridSpan w:val="3"/>
            <w:tcBorders/>
            <w:shd w:fill="CCEEFF" w:val="clear"/>
            <w:vAlign w:val="bottom"/>
          </w:tcPr>
          <w:p>
            <w:pPr>
              <w:pStyle w:val="TableContents"/>
              <w:spacing w:before="0" w:after="283"/>
              <w:ind w:left="200" w:right="0" w:hanging="200"/>
              <w:rPr>
                <w:rFonts w:ascii="times" w:hAnsi="times"/>
                <w:sz w:val="20"/>
              </w:rPr>
            </w:pPr>
            <w:r>
              <w:rPr>
                <w:rFonts w:ascii="times" w:hAnsi="times"/>
                <w:sz w:val="20"/>
              </w:rPr>
              <w:t>Cumulative effect of change in accounting principle per limited partner unit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0.07</w:t>
            </w:r>
          </w:p>
        </w:tc>
        <w:tc>
          <w:tcPr>
            <w:tcW w:w="83" w:type="dxa"/>
            <w:tcBorders/>
            <w:shd w:fill="CCEEFF" w:val="clear"/>
            <w:vAlign w:val="bottom"/>
          </w:tcPr>
          <w:p>
            <w:pPr>
              <w:pStyle w:val="TableContents"/>
              <w:spacing w:before="0" w:after="283"/>
              <w:rPr/>
            </w:pPr>
            <w:r>
              <w:rPr/>
              <w:t> </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982" w:type="dxa"/>
            <w:gridSpan w:val="3"/>
            <w:tcBorders/>
            <w:shd w:fill="FFFFFF" w:val="clear"/>
            <w:vAlign w:val="bottom"/>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2.70</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2.54</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2.91</w:t>
            </w:r>
          </w:p>
        </w:tc>
        <w:tc>
          <w:tcPr>
            <w:tcW w:w="83" w:type="dxa"/>
            <w:tcBorders/>
            <w:shd w:fill="FFFFFF" w:val="clear"/>
            <w:vAlign w:val="bottom"/>
          </w:tcPr>
          <w:p>
            <w:pPr>
              <w:pStyle w:val="TableContents"/>
              <w:spacing w:before="0" w:after="283"/>
              <w:rPr/>
            </w:pPr>
            <w:r>
              <w:rPr/>
              <w:t> </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982" w:type="dxa"/>
            <w:gridSpan w:val="3"/>
            <w:tcBorders/>
            <w:shd w:fill="CCEEFF" w:val="clear"/>
            <w:vAlign w:val="bottom"/>
          </w:tcPr>
          <w:p>
            <w:pPr>
              <w:pStyle w:val="TableContents"/>
              <w:spacing w:before="0" w:after="283"/>
              <w:ind w:left="200" w:right="0" w:hanging="200"/>
              <w:rPr>
                <w:rFonts w:ascii="times" w:hAnsi="times"/>
                <w:sz w:val="20"/>
              </w:rPr>
            </w:pPr>
            <w:r>
              <w:rPr>
                <w:rFonts w:ascii="times" w:hAnsi="times"/>
                <w:sz w:val="20"/>
              </w:rPr>
              <w:t>Diluted net income per limited partner unit before cumulative effect of change in accounting principle</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2.67</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2.52</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2.81</w:t>
            </w:r>
          </w:p>
        </w:tc>
        <w:tc>
          <w:tcPr>
            <w:tcW w:w="83" w:type="dxa"/>
            <w:tcBorders/>
            <w:shd w:fill="CCEEFF" w:val="clear"/>
            <w:vAlign w:val="bottom"/>
          </w:tcPr>
          <w:p>
            <w:pPr>
              <w:pStyle w:val="TableContents"/>
              <w:spacing w:before="0" w:after="283"/>
              <w:rPr/>
            </w:pPr>
            <w:r>
              <w:rPr/>
              <w:t> </w:t>
            </w:r>
          </w:p>
        </w:tc>
      </w:tr>
      <w:tr>
        <w:trPr/>
        <w:tc>
          <w:tcPr>
            <w:tcW w:w="7982" w:type="dxa"/>
            <w:gridSpan w:val="3"/>
            <w:tcBorders/>
            <w:shd w:fill="FFFFFF" w:val="clear"/>
            <w:vAlign w:val="bottom"/>
          </w:tcPr>
          <w:p>
            <w:pPr>
              <w:pStyle w:val="TableContents"/>
              <w:spacing w:before="0" w:after="283"/>
              <w:ind w:left="200" w:right="0" w:hanging="200"/>
              <w:rPr>
                <w:rFonts w:ascii="times" w:hAnsi="times"/>
                <w:sz w:val="20"/>
              </w:rPr>
            </w:pPr>
            <w:r>
              <w:rPr>
                <w:rFonts w:ascii="times" w:hAnsi="times"/>
                <w:sz w:val="20"/>
              </w:rPr>
              <w:t>Cumulative effect of change in accounting principle per limited partner unit</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1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rFonts w:ascii="times" w:hAnsi="times"/>
                <w:sz w:val="20"/>
              </w:rPr>
            </w:pPr>
            <w:r>
              <w:rPr>
                <w:rFonts w:ascii="times" w:hAnsi="times"/>
                <w:sz w:val="20"/>
              </w:rPr>
              <w:t>0.07</w:t>
            </w:r>
          </w:p>
        </w:tc>
        <w:tc>
          <w:tcPr>
            <w:tcW w:w="83" w:type="dxa"/>
            <w:tcBorders/>
            <w:shd w:fill="FFFFFF" w:val="clear"/>
            <w:vAlign w:val="bottom"/>
          </w:tcPr>
          <w:p>
            <w:pPr>
              <w:pStyle w:val="TableContents"/>
              <w:spacing w:before="0" w:after="283"/>
              <w:rPr/>
            </w:pPr>
            <w:r>
              <w:rPr/>
              <w:t> </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7982" w:type="dxa"/>
            <w:gridSpan w:val="3"/>
            <w:tcBorders/>
            <w:shd w:fill="CCEEFF" w:val="clear"/>
            <w:vAlign w:val="bottom"/>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2.67</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2.52</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80" w:type="dxa"/>
            <w:tcBorders/>
            <w:shd w:fill="CCEEFF" w:val="clear"/>
            <w:vAlign w:val="bottom"/>
          </w:tcPr>
          <w:p>
            <w:pPr>
              <w:pStyle w:val="TableContents"/>
              <w:spacing w:before="0" w:after="283"/>
              <w:jc w:val="right"/>
              <w:rPr>
                <w:rFonts w:ascii="times" w:hAnsi="times"/>
                <w:sz w:val="20"/>
              </w:rPr>
            </w:pPr>
            <w:r>
              <w:rPr>
                <w:rFonts w:ascii="times" w:hAnsi="times"/>
                <w:sz w:val="20"/>
              </w:rPr>
              <w:t>2.88</w:t>
            </w:r>
          </w:p>
        </w:tc>
        <w:tc>
          <w:tcPr>
            <w:tcW w:w="83" w:type="dxa"/>
            <w:tcBorders/>
            <w:shd w:fill="CCEEFF" w:val="clear"/>
            <w:vAlign w:val="bottom"/>
          </w:tcPr>
          <w:p>
            <w:pPr>
              <w:pStyle w:val="TableContents"/>
              <w:spacing w:before="0" w:after="283"/>
              <w:rPr/>
            </w:pPr>
            <w:r>
              <w:rPr/>
              <w:t> </w:t>
            </w:r>
          </w:p>
        </w:tc>
      </w:tr>
      <w:tr>
        <w:trPr/>
        <w:tc>
          <w:tcPr>
            <w:tcW w:w="7982" w:type="dxa"/>
            <w:gridSpan w:val="3"/>
            <w:tcBorders/>
            <w:shd w:fill="auto" w:val="clear"/>
          </w:tcPr>
          <w:p>
            <w:pPr>
              <w:pStyle w:val="TableContents"/>
              <w:spacing w:before="0" w:after="283"/>
              <w:rPr/>
            </w:pPr>
            <w:r>
              <w:rPr/>
              <w:t> </w:t>
            </w:r>
          </w:p>
        </w:tc>
        <w:tc>
          <w:tcPr>
            <w:tcW w:w="174"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18" w:type="dxa"/>
            <w:tcBorders/>
            <w:shd w:fill="auto" w:val="clear"/>
          </w:tcPr>
          <w:p>
            <w:pPr>
              <w:pStyle w:val="TableContents"/>
              <w:spacing w:before="0" w:after="283"/>
              <w:rPr/>
            </w:pPr>
            <w:r>
              <w:rPr/>
              <w:t> </w:t>
            </w:r>
          </w:p>
        </w:tc>
        <w:tc>
          <w:tcPr>
            <w:tcW w:w="5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Our LTIP awards described in Note 10 that contemplate the issuance of common units are considered dilutive unless (i) vesting occurs only upon the satisfaction of a performance condition and (ii) that performance condition has yet to be satisfied. The dilutive securities are reduced by a hypothetical unit repurchase based on the remaining unamortized fair value, as prescribed by the treasury stock method in SFAS 128. </w:t>
      </w:r>
    </w:p>
    <w:p>
      <w:pPr>
        <w:pStyle w:val="TextBody"/>
        <w:jc w:val="center"/>
        <w:rPr>
          <w:rFonts w:ascii="times" w:hAnsi="times"/>
          <w:sz w:val="20"/>
        </w:rPr>
      </w:pPr>
      <w:r>
        <w:rPr>
          <w:rFonts w:ascii="times" w:hAnsi="times"/>
          <w:sz w:val="20"/>
        </w:rPr>
        <w:t>F-23</w:t>
      </w:r>
    </w:p>
    <w:p>
      <w:pPr>
        <w:pStyle w:val="HorizontalLine"/>
        <w:pBdr>
          <w:bottom w:val="single" w:sz="20" w:space="0" w:color="808080"/>
        </w:pBdr>
        <w:rPr/>
      </w:pPr>
      <w:r>
        <w:rPr/>
      </w:r>
      <w:r>
        <w:br w:type="page"/>
      </w:r>
    </w:p>
    <w:p>
      <w:pPr>
        <w:pStyle w:val="TextBody"/>
        <w:rPr/>
      </w:pPr>
      <w:hyperlink w:anchor="bg12101a_main_toc">
        <w:bookmarkStart w:id="257" w:name="page_fq12101_1_24"/>
        <w:bookmarkEnd w:id="25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w:t>
      </w:r>
    </w:p>
    <w:p>
      <w:pPr>
        <w:pStyle w:val="TextBody"/>
        <w:rPr/>
      </w:pPr>
      <w:r>
        <w:rPr/>
        <w:t>        </w:t>
      </w:r>
      <w:r>
        <w:rPr>
          <w:rFonts w:ascii="times" w:hAnsi="times"/>
          <w:sz w:val="20"/>
        </w:rPr>
        <w:t xml:space="preserve">The following acquisitions were accounted for using the purchase method of accounting and the purchase price was allocated in accordance with such method. </w:t>
      </w:r>
    </w:p>
    <w:p>
      <w:pPr>
        <w:pStyle w:val="TextBody"/>
        <w:rPr>
          <w:rFonts w:ascii="times" w:hAnsi="times"/>
          <w:b/>
          <w:i/>
          <w:sz w:val="20"/>
        </w:rPr>
      </w:pPr>
      <w:r>
        <w:rPr>
          <w:rFonts w:ascii="times" w:hAnsi="times"/>
          <w:b/>
          <w:i/>
          <w:sz w:val="20"/>
        </w:rPr>
        <w:t xml:space="preserve">2008 Acquisitions </w:t>
      </w:r>
    </w:p>
    <w:p>
      <w:pPr>
        <w:pStyle w:val="TextBody"/>
        <w:rPr/>
      </w:pPr>
      <w:r>
        <w:rPr/>
        <w:t>        </w:t>
      </w:r>
      <w:r>
        <w:rPr>
          <w:rFonts w:ascii="times" w:hAnsi="times"/>
          <w:i/>
          <w:sz w:val="20"/>
        </w:rPr>
        <w:t>Rainbow.</w:t>
      </w:r>
      <w:r>
        <w:rPr>
          <w:rFonts w:ascii="times" w:hAnsi="times"/>
        </w:rPr>
        <w:t>    </w:t>
      </w:r>
      <w:r>
        <w:rPr>
          <w:rFonts w:ascii="times" w:hAnsi="times"/>
          <w:sz w:val="20"/>
        </w:rPr>
        <w:t xml:space="preserve">In May 2008, we completed the acquisition of Rainbow Pipe Line Company, Ltd. ("Rainbow") for approximately $687 million (the Canadian dollar ("CAD") to U.S. dollar foreign exchange rate at the date of closing was $0.993:1). The assets acquired include approximately (i) 480 miles of mainline crude oil pipelines, (ii) 119 miles of gathering pipelines, (iii) 570,000 barrels of tankage along the system and (iv) 1 million barrels of crude oil linefill. The system has a throughput capacity of approximately 200,000 barrels per day and has transported approximately 193,000 barrels per day since acquisition. The acquired operations are reflected primarily in our transportation segment. The goodwill associated with this acquisition was approximately $194 million. In anticipation of closing the Rainbow acquisition, we entered into forward currency exchange contracts, which exchanged Canadian dollars and U.S. dollars, to hedge the foreign currency exchange risk inherent in the acquisition price. Additionally, we entered into a financial option strategy, whereby we established a minimum and maximum per barrel price to hedge the commodity price risk associated with the anticipated purchase of crude oil linefill. We recognized a gain on those positions of approximately $8 million and $3 million, respectively, which is reflected in our consolidated results of operations in the "Interest income and other income (expense), net" line. </w:t>
      </w:r>
    </w:p>
    <w:p>
      <w:pPr>
        <w:pStyle w:val="TextBody"/>
        <w:rPr/>
      </w:pPr>
      <w:r>
        <w:rPr/>
        <w:t>        </w:t>
      </w:r>
      <w:r>
        <w:rPr>
          <w:rFonts w:ascii="times" w:hAnsi="times"/>
          <w:sz w:val="20"/>
        </w:rPr>
        <w:t xml:space="preserve">The purchase price consisted of the following (in millions): </w:t>
      </w:r>
    </w:p>
    <w:tbl>
      <w:tblPr>
        <w:tblW w:w="5875" w:type="dxa"/>
        <w:jc w:val="center"/>
        <w:tblInd w:w="0" w:type="dxa"/>
        <w:tblCellMar>
          <w:top w:w="0" w:type="dxa"/>
          <w:left w:w="0" w:type="dxa"/>
          <w:bottom w:w="0" w:type="dxa"/>
          <w:right w:w="0" w:type="dxa"/>
        </w:tblCellMar>
      </w:tblPr>
      <w:tblGrid>
        <w:gridCol w:w="150"/>
        <w:gridCol w:w="5025"/>
        <w:gridCol w:w="180"/>
        <w:gridCol w:w="125"/>
        <w:gridCol w:w="335"/>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502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175"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payment to sellers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659</w:t>
            </w:r>
          </w:p>
        </w:tc>
        <w:tc>
          <w:tcPr>
            <w:tcW w:w="60" w:type="dxa"/>
            <w:tcBorders/>
            <w:shd w:fill="CCEEFF" w:val="clear"/>
            <w:vAlign w:val="bottom"/>
          </w:tcPr>
          <w:p>
            <w:pPr>
              <w:pStyle w:val="TableContents"/>
              <w:spacing w:before="0" w:after="283"/>
              <w:rPr/>
            </w:pPr>
            <w:r>
              <w:rPr/>
              <w:t> </w:t>
            </w:r>
          </w:p>
        </w:tc>
      </w:tr>
      <w:tr>
        <w:trPr/>
        <w:tc>
          <w:tcPr>
            <w:tcW w:w="5175"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Assumption of Rainbow debt (at fair value)</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26</w:t>
            </w:r>
          </w:p>
        </w:tc>
        <w:tc>
          <w:tcPr>
            <w:tcW w:w="60" w:type="dxa"/>
            <w:tcBorders/>
            <w:shd w:fill="FFFFFF" w:val="clear"/>
            <w:vAlign w:val="bottom"/>
          </w:tcPr>
          <w:p>
            <w:pPr>
              <w:pStyle w:val="TableContents"/>
              <w:spacing w:before="0" w:after="283"/>
              <w:rPr/>
            </w:pPr>
            <w:r>
              <w:rPr/>
              <w:t> </w:t>
            </w:r>
          </w:p>
        </w:tc>
      </w:tr>
      <w:tr>
        <w:trPr/>
        <w:tc>
          <w:tcPr>
            <w:tcW w:w="5175"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Transaction costs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60" w:type="dxa"/>
            <w:tcBorders/>
            <w:shd w:fill="CCEEFF" w:val="clear"/>
            <w:vAlign w:val="bottom"/>
          </w:tcPr>
          <w:p>
            <w:pPr>
              <w:pStyle w:val="TableContents"/>
              <w:spacing w:before="0" w:after="283"/>
              <w:rPr/>
            </w:pPr>
            <w:r>
              <w:rPr/>
              <w:t> </w:t>
            </w:r>
          </w:p>
        </w:tc>
      </w:tr>
      <w:tr>
        <w:trPr/>
        <w:tc>
          <w:tcPr>
            <w:tcW w:w="517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vAlign w:val="bottom"/>
          </w:tcPr>
          <w:p>
            <w:pPr>
              <w:pStyle w:val="TableContents"/>
              <w:spacing w:before="0" w:after="283"/>
              <w:rPr/>
            </w:pPr>
            <w:r>
              <w:rPr/>
              <w:t> </w:t>
            </w:r>
          </w:p>
        </w:tc>
        <w:tc>
          <w:tcPr>
            <w:tcW w:w="50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purchase price</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687</w:t>
            </w:r>
          </w:p>
        </w:tc>
        <w:tc>
          <w:tcPr>
            <w:tcW w:w="60" w:type="dxa"/>
            <w:tcBorders/>
            <w:shd w:fill="FFFFFF" w:val="clear"/>
            <w:vAlign w:val="bottom"/>
          </w:tcPr>
          <w:p>
            <w:pPr>
              <w:pStyle w:val="TableContents"/>
              <w:spacing w:before="0" w:after="283"/>
              <w:rPr/>
            </w:pPr>
            <w:r>
              <w:rPr/>
              <w:t> </w:t>
            </w:r>
          </w:p>
        </w:tc>
      </w:tr>
      <w:tr>
        <w:trPr/>
        <w:tc>
          <w:tcPr>
            <w:tcW w:w="517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The purchase price allocation is as follows (in millions): </w:t>
      </w:r>
    </w:p>
    <w:tbl>
      <w:tblPr>
        <w:tblW w:w="8134" w:type="dxa"/>
        <w:jc w:val="center"/>
        <w:tblInd w:w="0" w:type="dxa"/>
        <w:tblCellMar>
          <w:top w:w="0" w:type="dxa"/>
          <w:left w:w="0" w:type="dxa"/>
          <w:bottom w:w="0" w:type="dxa"/>
          <w:right w:w="0" w:type="dxa"/>
        </w:tblCellMar>
      </w:tblPr>
      <w:tblGrid>
        <w:gridCol w:w="215"/>
        <w:gridCol w:w="7139"/>
        <w:gridCol w:w="180"/>
        <w:gridCol w:w="125"/>
        <w:gridCol w:w="395"/>
        <w:gridCol w:w="80"/>
      </w:tblGrid>
      <w:tr>
        <w:trPr/>
        <w:tc>
          <w:tcPr>
            <w:tcW w:w="215" w:type="dxa"/>
            <w:tcBorders/>
            <w:shd w:fill="auto" w:val="clear"/>
            <w:vAlign w:val="center"/>
          </w:tcPr>
          <w:p>
            <w:pPr>
              <w:pStyle w:val="TableContents"/>
              <w:spacing w:before="0" w:after="283"/>
              <w:rPr>
                <w:sz w:val="4"/>
                <w:szCs w:val="4"/>
              </w:rPr>
            </w:pPr>
            <w:r>
              <w:rPr>
                <w:sz w:val="4"/>
                <w:szCs w:val="4"/>
              </w:rPr>
            </w:r>
          </w:p>
        </w:tc>
        <w:tc>
          <w:tcPr>
            <w:tcW w:w="713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735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Property, plant and equipment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425</w:t>
            </w:r>
          </w:p>
        </w:tc>
        <w:tc>
          <w:tcPr>
            <w:tcW w:w="80" w:type="dxa"/>
            <w:tcBorders/>
            <w:shd w:fill="CCEEFF" w:val="clear"/>
            <w:vAlign w:val="bottom"/>
          </w:tcPr>
          <w:p>
            <w:pPr>
              <w:pStyle w:val="TableContents"/>
              <w:spacing w:before="0" w:after="283"/>
              <w:rPr/>
            </w:pPr>
            <w:r>
              <w:rPr/>
              <w:t> </w:t>
            </w:r>
          </w:p>
        </w:tc>
      </w:tr>
      <w:tr>
        <w:trPr/>
        <w:tc>
          <w:tcPr>
            <w:tcW w:w="735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Pipeline linefill in owned assets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143</w:t>
            </w:r>
          </w:p>
        </w:tc>
        <w:tc>
          <w:tcPr>
            <w:tcW w:w="80" w:type="dxa"/>
            <w:tcBorders/>
            <w:shd w:fill="FFFFFF" w:val="clear"/>
            <w:vAlign w:val="bottom"/>
          </w:tcPr>
          <w:p>
            <w:pPr>
              <w:pStyle w:val="TableContents"/>
              <w:spacing w:before="0" w:after="283"/>
              <w:rPr/>
            </w:pPr>
            <w:r>
              <w:rPr/>
              <w:t> </w:t>
            </w:r>
          </w:p>
        </w:tc>
      </w:tr>
      <w:tr>
        <w:trPr/>
        <w:tc>
          <w:tcPr>
            <w:tcW w:w="735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Intangible assets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52</w:t>
            </w:r>
          </w:p>
        </w:tc>
        <w:tc>
          <w:tcPr>
            <w:tcW w:w="80" w:type="dxa"/>
            <w:tcBorders/>
            <w:shd w:fill="CCEEFF" w:val="clear"/>
            <w:vAlign w:val="bottom"/>
          </w:tcPr>
          <w:p>
            <w:pPr>
              <w:pStyle w:val="TableContents"/>
              <w:spacing w:before="0" w:after="283"/>
              <w:rPr/>
            </w:pPr>
            <w:r>
              <w:rPr/>
              <w:t> </w:t>
            </w:r>
          </w:p>
        </w:tc>
      </w:tr>
      <w:tr>
        <w:trPr/>
        <w:tc>
          <w:tcPr>
            <w:tcW w:w="735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Goodwill</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194</w:t>
            </w:r>
          </w:p>
        </w:tc>
        <w:tc>
          <w:tcPr>
            <w:tcW w:w="80" w:type="dxa"/>
            <w:tcBorders/>
            <w:shd w:fill="FFFFFF" w:val="clear"/>
            <w:vAlign w:val="bottom"/>
          </w:tcPr>
          <w:p>
            <w:pPr>
              <w:pStyle w:val="TableContents"/>
              <w:spacing w:before="0" w:after="283"/>
              <w:rPr/>
            </w:pPr>
            <w:r>
              <w:rPr/>
              <w:t> </w:t>
            </w:r>
          </w:p>
        </w:tc>
      </w:tr>
      <w:tr>
        <w:trPr/>
        <w:tc>
          <w:tcPr>
            <w:tcW w:w="735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Future income tax liability</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(110</w:t>
            </w:r>
          </w:p>
        </w:tc>
        <w:tc>
          <w:tcPr>
            <w:tcW w:w="80"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35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Assumption of working capital and other long-term assets and liabilities, including cash</w:t>
            </w:r>
            <w:r>
              <w:rPr>
                <w:rFonts w:ascii="times" w:hAnsi="times"/>
                <w:position w:val="7"/>
                <w:sz w:val="16"/>
                <w:sz w:val="20"/>
              </w:rPr>
              <w:t>(1)</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35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215" w:type="dxa"/>
            <w:tcBorders/>
            <w:shd w:fill="CCEEFF" w:val="clear"/>
            <w:vAlign w:val="bottom"/>
          </w:tcPr>
          <w:p>
            <w:pPr>
              <w:pStyle w:val="TableContents"/>
              <w:spacing w:before="0" w:after="283"/>
              <w:rPr/>
            </w:pPr>
            <w:r>
              <w:rPr/>
              <w:t> </w:t>
            </w:r>
          </w:p>
        </w:tc>
        <w:tc>
          <w:tcPr>
            <w:tcW w:w="713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687</w:t>
            </w:r>
          </w:p>
        </w:tc>
        <w:tc>
          <w:tcPr>
            <w:tcW w:w="80" w:type="dxa"/>
            <w:tcBorders/>
            <w:shd w:fill="CCEEFF" w:val="clear"/>
            <w:vAlign w:val="bottom"/>
          </w:tcPr>
          <w:p>
            <w:pPr>
              <w:pStyle w:val="TableContents"/>
              <w:spacing w:before="0" w:after="283"/>
              <w:rPr/>
            </w:pPr>
            <w:r>
              <w:rPr/>
              <w:t> </w:t>
            </w:r>
          </w:p>
        </w:tc>
      </w:tr>
      <w:tr>
        <w:trPr/>
        <w:tc>
          <w:tcPr>
            <w:tcW w:w="735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Includes approximately $16 million associated with environmental liabilities. </w:t>
      </w:r>
    </w:p>
    <w:p>
      <w:pPr>
        <w:pStyle w:val="TextBody"/>
        <w:rPr/>
      </w:pPr>
      <w:r>
        <w:rPr/>
        <w:t>        </w:t>
      </w:r>
      <w:r>
        <w:rPr>
          <w:rFonts w:ascii="times" w:hAnsi="times"/>
          <w:sz w:val="20"/>
        </w:rPr>
        <w:t xml:space="preserve">During 2008, we completed one additional acquisition for aggregate consideration of approximately $44 million. This acquisition is reflected in our facilities segment and included the purchase of a storage facility and other assets. There was no goodwill associated with this acquisition. </w:t>
      </w:r>
    </w:p>
    <w:p>
      <w:pPr>
        <w:pStyle w:val="TextBody"/>
        <w:jc w:val="center"/>
        <w:rPr>
          <w:rFonts w:ascii="times" w:hAnsi="times"/>
          <w:sz w:val="20"/>
        </w:rPr>
      </w:pPr>
      <w:r>
        <w:rPr>
          <w:rFonts w:ascii="times" w:hAnsi="times"/>
          <w:sz w:val="20"/>
        </w:rPr>
        <w:t>F-24</w:t>
      </w:r>
    </w:p>
    <w:p>
      <w:pPr>
        <w:pStyle w:val="HorizontalLine"/>
        <w:pBdr>
          <w:bottom w:val="single" w:sz="20" w:space="0" w:color="808080"/>
        </w:pBdr>
        <w:rPr/>
      </w:pPr>
      <w:r>
        <w:rPr/>
      </w:r>
      <w:r>
        <w:br w:type="page"/>
      </w:r>
    </w:p>
    <w:p>
      <w:pPr>
        <w:pStyle w:val="TextBody"/>
        <w:rPr/>
      </w:pPr>
      <w:hyperlink w:anchor="bg12101a_main_toc">
        <w:bookmarkStart w:id="258" w:name="page_fq12101_1_25"/>
        <w:bookmarkEnd w:id="25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rFonts w:ascii="times" w:hAnsi="times"/>
          <w:b/>
          <w:i/>
          <w:sz w:val="20"/>
        </w:rPr>
      </w:pPr>
      <w:r>
        <w:rPr>
          <w:rFonts w:ascii="times" w:hAnsi="times"/>
          <w:b/>
          <w:i/>
          <w:sz w:val="20"/>
        </w:rPr>
        <w:t xml:space="preserve">2007 Acquisitions </w:t>
      </w:r>
    </w:p>
    <w:p>
      <w:pPr>
        <w:pStyle w:val="TextBody"/>
        <w:rPr/>
      </w:pPr>
      <w:r>
        <w:rPr/>
        <w:t>        </w:t>
      </w:r>
      <w:r>
        <w:rPr>
          <w:rFonts w:ascii="times" w:hAnsi="times"/>
          <w:sz w:val="20"/>
        </w:rPr>
        <w:t xml:space="preserve">During 2007, we completed four acquisitions for aggregate consideration of approximately $123 million. These acquisitions included (i) a commercial refined products supply and marketing business (reflected in our marketing segment) for approximately $8 million in cash, (ii) a trucking business (reflected in our transportation segment) for approximately $9 million in cash, (iii) the Bumstead LPG storage facility located near Phoenix, Arizona (reflected in our facilities segment) for approximately $52 million in cash and (iv) the Tirzah LPG storage facility and other assets located near York County, South Carolina (reflected in our facilities segment) for approximately $54 million in cash. The goodwill associated with these acquisitions was approximately $12 million. </w:t>
      </w:r>
    </w:p>
    <w:p>
      <w:pPr>
        <w:pStyle w:val="TextBody"/>
        <w:rPr>
          <w:rFonts w:ascii="times" w:hAnsi="times"/>
          <w:b/>
          <w:i/>
          <w:sz w:val="20"/>
        </w:rPr>
      </w:pPr>
      <w:r>
        <w:rPr>
          <w:rFonts w:ascii="times" w:hAnsi="times"/>
          <w:b/>
          <w:i/>
          <w:sz w:val="20"/>
        </w:rPr>
        <w:t xml:space="preserve">2006 Acquisitions </w:t>
      </w:r>
    </w:p>
    <w:p>
      <w:pPr>
        <w:pStyle w:val="TextBody"/>
        <w:rPr/>
      </w:pPr>
      <w:r>
        <w:rPr/>
        <w:t>        </w:t>
      </w:r>
      <w:r>
        <w:rPr>
          <w:rFonts w:ascii="times" w:hAnsi="times"/>
          <w:i/>
          <w:sz w:val="20"/>
        </w:rPr>
        <w:t>Pacific Energy Partners, L.P.</w:t>
      </w:r>
      <w:r>
        <w:rPr>
          <w:rFonts w:ascii="times" w:hAnsi="times"/>
        </w:rPr>
        <w:t>    </w:t>
      </w:r>
      <w:r>
        <w:rPr>
          <w:rFonts w:ascii="times" w:hAnsi="times"/>
          <w:sz w:val="20"/>
        </w:rPr>
        <w:t xml:space="preserve">On November 15, 2006 we completed our acquisition of Pacific Energy Partners, L.P. ("Pacific") pursuant to an Agreement and Plan of Merger dated June 11, 2006. The merger-related transactions included: (i) the acquisition from LB Pacific, LP and its affiliates ("LB Pacific") of the general partner interest and incentive distribution rights of Pacific as well as approximately 5 million Pacific common units and approximately 5 million Pacific subordinated units for a total of $700 million and (ii) the acquisition of the balance of Pacific's equity through a unit-for-unit exchange, resulting in the issuance of approximately 22 million Partnership units. The total value of the transaction was approximately $2.5 billion, including the assumption of debt and estimated transaction costs. Upon completion of the merger-related transactions, the general partner and limited partner ownership interests in Pacific were extinguished and Pacific was merged with and into the Partnership (the "Pacific merger"). The assets acquired in the Pacific merger included approximately 4,500 miles of active crude oil pipeline and gathering systems and 550 miles of refined products pipelines, over 13 million barrels of active crude oil and 9 million barrels of refined products storage capacity, a fleet of approximately 75 owned or leased trucks and approximately 2 million barrels of crude oil and refined products linefill and working inventory. </w:t>
      </w:r>
    </w:p>
    <w:p>
      <w:pPr>
        <w:pStyle w:val="TextBody"/>
        <w:rPr/>
      </w:pPr>
      <w:r>
        <w:rPr/>
        <w:t>        </w:t>
      </w:r>
      <w:r>
        <w:rPr>
          <w:rFonts w:ascii="times" w:hAnsi="times"/>
          <w:sz w:val="20"/>
        </w:rPr>
        <w:t xml:space="preserve">The purchase price consisted of the following (in millions): </w:t>
      </w:r>
    </w:p>
    <w:tbl>
      <w:tblPr>
        <w:tblW w:w="5920" w:type="dxa"/>
        <w:jc w:val="center"/>
        <w:tblInd w:w="0" w:type="dxa"/>
        <w:tblCellMar>
          <w:top w:w="0" w:type="dxa"/>
          <w:left w:w="0" w:type="dxa"/>
          <w:bottom w:w="0" w:type="dxa"/>
          <w:right w:w="0" w:type="dxa"/>
        </w:tblCellMar>
      </w:tblPr>
      <w:tblGrid>
        <w:gridCol w:w="5070"/>
        <w:gridCol w:w="180"/>
        <w:gridCol w:w="125"/>
        <w:gridCol w:w="485"/>
        <w:gridCol w:w="60"/>
      </w:tblGrid>
      <w:tr>
        <w:trPr/>
        <w:tc>
          <w:tcPr>
            <w:tcW w:w="507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Cash payment to LB Pacific</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700</w:t>
            </w:r>
          </w:p>
        </w:tc>
        <w:tc>
          <w:tcPr>
            <w:tcW w:w="60" w:type="dxa"/>
            <w:tcBorders/>
            <w:shd w:fill="CCEEFF" w:val="clear"/>
            <w:vAlign w:val="bottom"/>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Value of Plains common units issued in exchange for Pacific common units</w:t>
            </w:r>
            <w:r>
              <w:rPr>
                <w:rFonts w:ascii="times" w:hAnsi="times"/>
                <w:position w:val="7"/>
                <w:sz w:val="16"/>
                <w:sz w:val="20"/>
              </w:rPr>
              <w:t>(1)</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1,002</w:t>
            </w:r>
          </w:p>
        </w:tc>
        <w:tc>
          <w:tcPr>
            <w:tcW w:w="60" w:type="dxa"/>
            <w:tcBorders/>
            <w:shd w:fill="FFFFFF" w:val="clear"/>
            <w:vAlign w:val="bottom"/>
          </w:tcPr>
          <w:p>
            <w:pPr>
              <w:pStyle w:val="TableContents"/>
              <w:spacing w:before="0" w:after="283"/>
              <w:rPr/>
            </w:pPr>
            <w:r>
              <w:rPr/>
              <w:t> </w:t>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Assumption of Pacific debt (at fair value)</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724</w:t>
            </w:r>
          </w:p>
        </w:tc>
        <w:tc>
          <w:tcPr>
            <w:tcW w:w="60" w:type="dxa"/>
            <w:tcBorders/>
            <w:shd w:fill="CCEEFF" w:val="clear"/>
            <w:vAlign w:val="bottom"/>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Transaction costs</w:t>
            </w:r>
            <w:r>
              <w:rPr>
                <w:rFonts w:ascii="times" w:hAnsi="times"/>
                <w:position w:val="7"/>
                <w:sz w:val="16"/>
                <w:sz w:val="20"/>
              </w:rPr>
              <w:t>(2)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30</w:t>
            </w:r>
          </w:p>
        </w:tc>
        <w:tc>
          <w:tcPr>
            <w:tcW w:w="60" w:type="dxa"/>
            <w:tcBorders/>
            <w:shd w:fill="FFFFFF" w:val="clear"/>
            <w:vAlign w:val="bottom"/>
          </w:tcPr>
          <w:p>
            <w:pPr>
              <w:pStyle w:val="TableContents"/>
              <w:spacing w:before="0" w:after="283"/>
              <w:rPr/>
            </w:pPr>
            <w:r>
              <w:rPr/>
              <w:t> </w:t>
            </w:r>
          </w:p>
        </w:tc>
      </w:tr>
      <w:tr>
        <w:trPr/>
        <w:tc>
          <w:tcPr>
            <w:tcW w:w="50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purchase price</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2,456</w:t>
            </w:r>
          </w:p>
        </w:tc>
        <w:tc>
          <w:tcPr>
            <w:tcW w:w="60" w:type="dxa"/>
            <w:tcBorders/>
            <w:shd w:fill="CCEEFF" w:val="clear"/>
            <w:vAlign w:val="bottom"/>
          </w:tcPr>
          <w:p>
            <w:pPr>
              <w:pStyle w:val="TableContents"/>
              <w:spacing w:before="0" w:after="283"/>
              <w:rPr/>
            </w:pPr>
            <w:r>
              <w:rPr/>
              <w:t> </w:t>
            </w:r>
          </w:p>
        </w:tc>
      </w:tr>
      <w:tr>
        <w:trPr/>
        <w:tc>
          <w:tcPr>
            <w:tcW w:w="50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Valued at $45.02, which represents the average closing price of Plains common units two days immediately prior and two days immediately after the merger was announced on June 12, 2006.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Includes investment banking fees, costs associated with a severance plan in conjunction with the acquisition and various other direct acquisition costs. </w:t>
      </w:r>
    </w:p>
    <w:p>
      <w:pPr>
        <w:pStyle w:val="TextBody"/>
        <w:jc w:val="center"/>
        <w:rPr>
          <w:rFonts w:ascii="times" w:hAnsi="times"/>
          <w:sz w:val="20"/>
        </w:rPr>
      </w:pPr>
      <w:r>
        <w:rPr>
          <w:rFonts w:ascii="times" w:hAnsi="times"/>
          <w:sz w:val="20"/>
        </w:rPr>
        <w:t>F-25</w:t>
      </w:r>
    </w:p>
    <w:p>
      <w:pPr>
        <w:pStyle w:val="HorizontalLine"/>
        <w:pBdr>
          <w:bottom w:val="single" w:sz="20" w:space="0" w:color="808080"/>
        </w:pBdr>
        <w:rPr/>
      </w:pPr>
      <w:r>
        <w:rPr/>
      </w:r>
      <w:r>
        <w:br w:type="page"/>
      </w:r>
    </w:p>
    <w:p>
      <w:pPr>
        <w:pStyle w:val="TextBody"/>
        <w:rPr/>
      </w:pPr>
      <w:hyperlink w:anchor="bg12101a_main_toc">
        <w:bookmarkStart w:id="259" w:name="page_fq12101_1_26"/>
        <w:bookmarkEnd w:id="25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pPr>
      <w:r>
        <w:rPr/>
        <w:t>        </w:t>
      </w:r>
      <w:r>
        <w:rPr>
          <w:rFonts w:ascii="times" w:hAnsi="times"/>
          <w:sz w:val="20"/>
        </w:rPr>
        <w:t xml:space="preserve">The purchase price allocation is as follows (in millions): </w:t>
      </w:r>
    </w:p>
    <w:tbl>
      <w:tblPr>
        <w:tblW w:w="5920" w:type="dxa"/>
        <w:jc w:val="center"/>
        <w:tblInd w:w="0" w:type="dxa"/>
        <w:tblCellMar>
          <w:top w:w="0" w:type="dxa"/>
          <w:left w:w="0" w:type="dxa"/>
          <w:bottom w:w="0" w:type="dxa"/>
          <w:right w:w="0" w:type="dxa"/>
        </w:tblCellMar>
      </w:tblPr>
      <w:tblGrid>
        <w:gridCol w:w="5070"/>
        <w:gridCol w:w="180"/>
        <w:gridCol w:w="125"/>
        <w:gridCol w:w="485"/>
        <w:gridCol w:w="60"/>
      </w:tblGrid>
      <w:tr>
        <w:trPr/>
        <w:tc>
          <w:tcPr>
            <w:tcW w:w="507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Property, plant and equipment, net</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1,385</w:t>
            </w:r>
          </w:p>
        </w:tc>
        <w:tc>
          <w:tcPr>
            <w:tcW w:w="60" w:type="dxa"/>
            <w:tcBorders/>
            <w:shd w:fill="CCEEFF" w:val="clear"/>
            <w:vAlign w:val="bottom"/>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Investment in Frontier</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60" w:type="dxa"/>
            <w:tcBorders/>
            <w:shd w:fill="FFFFFF" w:val="clear"/>
            <w:vAlign w:val="bottom"/>
          </w:tcPr>
          <w:p>
            <w:pPr>
              <w:pStyle w:val="TableContents"/>
              <w:spacing w:before="0" w:after="283"/>
              <w:rPr/>
            </w:pPr>
            <w:r>
              <w:rPr/>
              <w:t> </w:t>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34</w:t>
            </w:r>
          </w:p>
        </w:tc>
        <w:tc>
          <w:tcPr>
            <w:tcW w:w="60" w:type="dxa"/>
            <w:tcBorders/>
            <w:shd w:fill="CCEEFF" w:val="clear"/>
            <w:vAlign w:val="bottom"/>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Pipeline linefill and long-term inventory</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66</w:t>
            </w:r>
          </w:p>
        </w:tc>
        <w:tc>
          <w:tcPr>
            <w:tcW w:w="60" w:type="dxa"/>
            <w:tcBorders/>
            <w:shd w:fill="FFFFFF" w:val="clear"/>
            <w:vAlign w:val="bottom"/>
          </w:tcPr>
          <w:p>
            <w:pPr>
              <w:pStyle w:val="TableContents"/>
              <w:spacing w:before="0" w:after="283"/>
              <w:rPr/>
            </w:pPr>
            <w:r>
              <w:rPr/>
              <w:t> </w:t>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Intangible assets</w:t>
            </w:r>
            <w:r>
              <w:rPr>
                <w:rFonts w:ascii="times" w:hAnsi="times"/>
                <w:position w:val="7"/>
                <w:sz w:val="16"/>
                <w:sz w:val="20"/>
              </w:rPr>
              <w:t>(1)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69</w:t>
            </w:r>
          </w:p>
        </w:tc>
        <w:tc>
          <w:tcPr>
            <w:tcW w:w="60" w:type="dxa"/>
            <w:tcBorders/>
            <w:shd w:fill="CCEEFF" w:val="clear"/>
            <w:vAlign w:val="bottom"/>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Goodwill</w:t>
            </w:r>
            <w:r>
              <w:rPr>
                <w:rFonts w:ascii="times" w:hAnsi="times"/>
                <w:position w:val="7"/>
                <w:sz w:val="16"/>
                <w:sz w:val="20"/>
              </w:rPr>
              <w:t>(2)(3)</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875</w:t>
            </w:r>
          </w:p>
        </w:tc>
        <w:tc>
          <w:tcPr>
            <w:tcW w:w="60" w:type="dxa"/>
            <w:tcBorders/>
            <w:shd w:fill="FFFFFF" w:val="clear"/>
            <w:vAlign w:val="bottom"/>
          </w:tcPr>
          <w:p>
            <w:pPr>
              <w:pStyle w:val="TableContents"/>
              <w:spacing w:before="0" w:after="283"/>
              <w:rPr/>
            </w:pPr>
            <w:r>
              <w:rPr/>
              <w:t> </w:t>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Assumption of working capital and other long-term assets and liabilities, including $20 of cash</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60" w:type="dxa"/>
            <w:tcBorders/>
            <w:shd w:fill="CCEEFF" w:val="clear"/>
            <w:vAlign w:val="bottom"/>
          </w:tcPr>
          <w:p>
            <w:pPr>
              <w:pStyle w:val="TableContents"/>
              <w:spacing w:before="0" w:after="283"/>
              <w:rPr/>
            </w:pPr>
            <w:r>
              <w:rPr/>
              <w:t> </w:t>
            </w:r>
          </w:p>
        </w:tc>
      </w:tr>
      <w:tr>
        <w:trPr/>
        <w:tc>
          <w:tcPr>
            <w:tcW w:w="50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sz w:val="4"/>
                <w:szCs w:val="4"/>
              </w:rPr>
            </w:pPr>
            <w:r>
              <w:rPr>
                <w:sz w:val="4"/>
                <w:szCs w:val="4"/>
              </w:rPr>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2,456</w:t>
            </w:r>
          </w:p>
        </w:tc>
        <w:tc>
          <w:tcPr>
            <w:tcW w:w="60" w:type="dxa"/>
            <w:tcBorders/>
            <w:shd w:fill="FFFFFF" w:val="clear"/>
            <w:vAlign w:val="bottom"/>
          </w:tcPr>
          <w:p>
            <w:pPr>
              <w:pStyle w:val="TableContents"/>
              <w:spacing w:before="0" w:after="283"/>
              <w:rPr/>
            </w:pPr>
            <w:r>
              <w:rPr/>
              <w:t> </w:t>
            </w:r>
          </w:p>
        </w:tc>
      </w:tr>
      <w:tr>
        <w:trPr/>
        <w:tc>
          <w:tcPr>
            <w:tcW w:w="50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Consists of customer relationships, emissions credits and environmental permits.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Represents the amount in excess of the fair value of the net assets acquired and is associated with our view of the future results of operations of the businesses acquired based on the strategic location of the assets and the growth opportunities that we expect to realize as we integrate these assets into our existing business strategy. See Note 2 for further discussion regarding our goodwill accounting policy.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Includes adjustments recorded during the year ended December 31, 2007, primarily resulting from the final valuation of assets and liabilities acquired. </w:t>
      </w:r>
    </w:p>
    <w:p>
      <w:pPr>
        <w:pStyle w:val="TextBody"/>
        <w:rPr/>
      </w:pPr>
      <w:r>
        <w:rPr/>
        <w:t>        </w:t>
      </w:r>
      <w:r>
        <w:rPr>
          <w:rFonts w:ascii="times" w:hAnsi="times"/>
          <w:sz w:val="20"/>
        </w:rPr>
        <w:t xml:space="preserve">The majority of the acquisition costs associated with the Pacific merger were incurred as of December 31, 2006, resulting in total cash paid during 2006 of approximately $723 million. </w:t>
      </w:r>
    </w:p>
    <w:p>
      <w:pPr>
        <w:pStyle w:val="TextBody"/>
        <w:rPr/>
      </w:pPr>
      <w:r>
        <w:rPr/>
        <w:t>        </w:t>
      </w:r>
      <w:r>
        <w:rPr>
          <w:rFonts w:ascii="times" w:hAnsi="times"/>
          <w:sz w:val="20"/>
        </w:rPr>
        <w:t xml:space="preserve">The following table shows our calculation of the sources of funding for the merger (in millions): </w:t>
      </w:r>
    </w:p>
    <w:tbl>
      <w:tblPr>
        <w:tblW w:w="5920" w:type="dxa"/>
        <w:jc w:val="center"/>
        <w:tblInd w:w="0" w:type="dxa"/>
        <w:tblCellMar>
          <w:top w:w="0" w:type="dxa"/>
          <w:left w:w="0" w:type="dxa"/>
          <w:bottom w:w="0" w:type="dxa"/>
          <w:right w:w="0" w:type="dxa"/>
        </w:tblCellMar>
      </w:tblPr>
      <w:tblGrid>
        <w:gridCol w:w="5070"/>
        <w:gridCol w:w="180"/>
        <w:gridCol w:w="125"/>
        <w:gridCol w:w="485"/>
        <w:gridCol w:w="60"/>
      </w:tblGrid>
      <w:tr>
        <w:trPr/>
        <w:tc>
          <w:tcPr>
            <w:tcW w:w="507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Fair value of Plains common units issued in exchange for Pacific common units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1,002</w:t>
            </w:r>
          </w:p>
        </w:tc>
        <w:tc>
          <w:tcPr>
            <w:tcW w:w="60" w:type="dxa"/>
            <w:tcBorders/>
            <w:shd w:fill="CCEEFF" w:val="clear"/>
            <w:vAlign w:val="bottom"/>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Plains' general partner capital contribution</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22</w:t>
            </w:r>
          </w:p>
        </w:tc>
        <w:tc>
          <w:tcPr>
            <w:tcW w:w="60" w:type="dxa"/>
            <w:tcBorders/>
            <w:shd w:fill="FFFFFF" w:val="clear"/>
            <w:vAlign w:val="bottom"/>
          </w:tcPr>
          <w:p>
            <w:pPr>
              <w:pStyle w:val="TableContents"/>
              <w:spacing w:before="0" w:after="283"/>
              <w:rPr/>
            </w:pPr>
            <w:r>
              <w:rPr/>
              <w:t> </w:t>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Assumption of Pacific debt (at fair value), net of repayment of Pacific credit facility</w:t>
            </w:r>
            <w:r>
              <w:rPr>
                <w:rFonts w:ascii="times" w:hAnsi="times"/>
                <w:position w:val="7"/>
                <w:sz w:val="16"/>
                <w:sz w:val="20"/>
              </w:rPr>
              <w:t>(1)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433</w:t>
            </w:r>
          </w:p>
        </w:tc>
        <w:tc>
          <w:tcPr>
            <w:tcW w:w="60" w:type="dxa"/>
            <w:tcBorders/>
            <w:shd w:fill="CCEEFF" w:val="clear"/>
            <w:vAlign w:val="bottom"/>
          </w:tcPr>
          <w:p>
            <w:pPr>
              <w:pStyle w:val="TableContents"/>
              <w:spacing w:before="0" w:after="283"/>
              <w:rPr/>
            </w:pPr>
            <w:r>
              <w:rPr/>
              <w:t> </w:t>
            </w:r>
          </w:p>
        </w:tc>
      </w:tr>
      <w:tr>
        <w:trPr/>
        <w:tc>
          <w:tcPr>
            <w:tcW w:w="507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Plains new debt incurred</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rFonts w:ascii="times" w:hAnsi="times"/>
                <w:sz w:val="20"/>
              </w:rPr>
            </w:pPr>
            <w:r>
              <w:rPr>
                <w:rFonts w:ascii="times" w:hAnsi="times"/>
                <w:sz w:val="20"/>
              </w:rPr>
              <w:t>999</w:t>
            </w:r>
          </w:p>
        </w:tc>
        <w:tc>
          <w:tcPr>
            <w:tcW w:w="60" w:type="dxa"/>
            <w:tcBorders/>
            <w:shd w:fill="FFFFFF" w:val="clear"/>
            <w:vAlign w:val="bottom"/>
          </w:tcPr>
          <w:p>
            <w:pPr>
              <w:pStyle w:val="TableContents"/>
              <w:spacing w:before="0" w:after="283"/>
              <w:rPr/>
            </w:pPr>
            <w:r>
              <w:rPr/>
              <w:t> </w:t>
            </w:r>
          </w:p>
        </w:tc>
      </w:tr>
      <w:tr>
        <w:trPr/>
        <w:tc>
          <w:tcPr>
            <w:tcW w:w="50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07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sources of funding</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vAlign w:val="bottom"/>
          </w:tcPr>
          <w:p>
            <w:pPr>
              <w:pStyle w:val="TableContents"/>
              <w:spacing w:before="0" w:after="283"/>
              <w:jc w:val="right"/>
              <w:rPr>
                <w:rFonts w:ascii="times" w:hAnsi="times"/>
                <w:sz w:val="20"/>
              </w:rPr>
            </w:pPr>
            <w:r>
              <w:rPr>
                <w:rFonts w:ascii="times" w:hAnsi="times"/>
                <w:sz w:val="20"/>
              </w:rPr>
              <w:t>2,456</w:t>
            </w:r>
          </w:p>
        </w:tc>
        <w:tc>
          <w:tcPr>
            <w:tcW w:w="60" w:type="dxa"/>
            <w:tcBorders/>
            <w:shd w:fill="CCEEFF" w:val="clear"/>
            <w:vAlign w:val="bottom"/>
          </w:tcPr>
          <w:p>
            <w:pPr>
              <w:pStyle w:val="TableContents"/>
              <w:spacing w:before="0" w:after="283"/>
              <w:rPr/>
            </w:pPr>
            <w:r>
              <w:rPr/>
              <w:t> </w:t>
            </w:r>
          </w:p>
        </w:tc>
      </w:tr>
      <w:tr>
        <w:trPr/>
        <w:tc>
          <w:tcPr>
            <w:tcW w:w="50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The assumption of Pacific's debt and credit facility at fair value was $433 million and $291 million, respectively. We paid off the credit facility in connection with closing of the transaction. </w:t>
      </w:r>
    </w:p>
    <w:p>
      <w:pPr>
        <w:pStyle w:val="TextBody"/>
        <w:rPr/>
      </w:pPr>
      <w:r>
        <w:rPr/>
        <w:t>        </w:t>
      </w:r>
      <w:r>
        <w:rPr>
          <w:rFonts w:ascii="times" w:hAnsi="times"/>
          <w:i/>
          <w:sz w:val="20"/>
        </w:rPr>
        <w:t>Other 2006 Acquisitions.</w:t>
      </w:r>
      <w:r>
        <w:rPr>
          <w:rFonts w:ascii="times" w:hAnsi="times"/>
        </w:rPr>
        <w:t>    </w:t>
      </w:r>
      <w:r>
        <w:rPr>
          <w:rFonts w:ascii="times" w:hAnsi="times"/>
          <w:sz w:val="20"/>
        </w:rPr>
        <w:t xml:space="preserve">During 2006, in addition to the Pacific merger, we completed six additional acquisitions for aggregate consideration of approximately $565 million. These acquisitions included (i) 100% of the equity interests of Andrews Petroleum and Lone Star Trucking, which provide isomerization, fractionation, marketing and transportation services to producers and customers of natural gas liquids (collectively, the "Andrews acquisition"), (ii) crude oil gathering and transportation assets and related contracts in South Louisiana ("SemCrude"), (iii) interests in various crude oil </w:t>
      </w:r>
    </w:p>
    <w:p>
      <w:pPr>
        <w:pStyle w:val="TextBody"/>
        <w:jc w:val="center"/>
        <w:rPr>
          <w:rFonts w:ascii="times" w:hAnsi="times"/>
          <w:sz w:val="20"/>
        </w:rPr>
      </w:pPr>
      <w:r>
        <w:rPr>
          <w:rFonts w:ascii="times" w:hAnsi="times"/>
          <w:sz w:val="20"/>
        </w:rPr>
        <w:t>F-26</w:t>
      </w:r>
    </w:p>
    <w:p>
      <w:pPr>
        <w:pStyle w:val="HorizontalLine"/>
        <w:pBdr>
          <w:bottom w:val="single" w:sz="20" w:space="0" w:color="808080"/>
        </w:pBdr>
        <w:rPr/>
      </w:pPr>
      <w:r>
        <w:rPr/>
      </w:r>
      <w:r>
        <w:br w:type="page"/>
      </w:r>
    </w:p>
    <w:p>
      <w:pPr>
        <w:pStyle w:val="TextBody"/>
        <w:rPr/>
      </w:pPr>
      <w:hyperlink w:anchor="bg12101a_main_toc">
        <w:bookmarkStart w:id="260" w:name="page_fq12101_1_27"/>
        <w:bookmarkEnd w:id="26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pPr>
      <w:r>
        <w:rPr/>
      </w:r>
    </w:p>
    <w:p>
      <w:pPr>
        <w:pStyle w:val="TextBody"/>
        <w:rPr>
          <w:rFonts w:ascii="times" w:hAnsi="times"/>
          <w:sz w:val="20"/>
        </w:rPr>
      </w:pPr>
      <w:r>
        <w:rPr>
          <w:rFonts w:ascii="times" w:hAnsi="times"/>
          <w:sz w:val="20"/>
        </w:rPr>
        <w:t xml:space="preserve">pipeline systems in Canada and the U.S. including a 100% interest in the Bay Marchand-to-Ostrica-to-Alliance ("BOA") Pipeline, 64% interest in the Clovelly-to-Meraux ("CAM") Pipeline system and various interests in the High Island Pipeline System ("HIPS"), and (iv) three refined products pipeline systems from Chevron Pipe Line Company. </w:t>
      </w:r>
    </w:p>
    <w:p>
      <w:pPr>
        <w:pStyle w:val="TextBody"/>
        <w:rPr/>
      </w:pPr>
      <w:r>
        <w:rPr/>
        <w:t>        </w:t>
      </w:r>
      <w:r>
        <w:rPr>
          <w:rFonts w:ascii="times" w:hAnsi="times"/>
          <w:sz w:val="20"/>
        </w:rPr>
        <w:t xml:space="preserve">The aggregate purchase price of these acquisitions was allocated as follows (in millions): </w:t>
      </w:r>
    </w:p>
    <w:tbl>
      <w:tblPr>
        <w:tblW w:w="5875" w:type="dxa"/>
        <w:jc w:val="center"/>
        <w:tblInd w:w="0" w:type="dxa"/>
        <w:tblCellMar>
          <w:top w:w="0" w:type="dxa"/>
          <w:left w:w="0" w:type="dxa"/>
          <w:bottom w:w="0" w:type="dxa"/>
          <w:right w:w="0" w:type="dxa"/>
        </w:tblCellMar>
      </w:tblPr>
      <w:tblGrid>
        <w:gridCol w:w="5175"/>
        <w:gridCol w:w="180"/>
        <w:gridCol w:w="125"/>
        <w:gridCol w:w="335"/>
        <w:gridCol w:w="60"/>
      </w:tblGrid>
      <w:tr>
        <w:trPr/>
        <w:tc>
          <w:tcPr>
            <w:tcW w:w="517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Inventory</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35</w:t>
            </w:r>
          </w:p>
        </w:tc>
        <w:tc>
          <w:tcPr>
            <w:tcW w:w="60" w:type="dxa"/>
            <w:tcBorders/>
            <w:shd w:fill="CCEEFF" w:val="clear"/>
            <w:vAlign w:val="bottom"/>
          </w:tcPr>
          <w:p>
            <w:pPr>
              <w:pStyle w:val="TableContents"/>
              <w:spacing w:before="0" w:after="283"/>
              <w:rPr/>
            </w:pPr>
            <w:r>
              <w:rPr/>
              <w:t> </w:t>
            </w:r>
          </w:p>
        </w:tc>
      </w:tr>
      <w:tr>
        <w:trPr/>
        <w:tc>
          <w:tcPr>
            <w:tcW w:w="51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Linefill</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19</w:t>
            </w:r>
          </w:p>
        </w:tc>
        <w:tc>
          <w:tcPr>
            <w:tcW w:w="60" w:type="dxa"/>
            <w:tcBorders/>
            <w:shd w:fill="FFFFFF" w:val="clear"/>
            <w:vAlign w:val="bottom"/>
          </w:tcPr>
          <w:p>
            <w:pPr>
              <w:pStyle w:val="TableContents"/>
              <w:spacing w:before="0" w:after="283"/>
              <w:rPr/>
            </w:pPr>
            <w:r>
              <w:rPr/>
              <w:t> </w:t>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Long-term inventory</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60" w:type="dxa"/>
            <w:tcBorders/>
            <w:shd w:fill="CCEEFF" w:val="clear"/>
            <w:vAlign w:val="bottom"/>
          </w:tcPr>
          <w:p>
            <w:pPr>
              <w:pStyle w:val="TableContents"/>
              <w:spacing w:before="0" w:after="283"/>
              <w:rPr/>
            </w:pPr>
            <w:r>
              <w:rPr/>
              <w:t> </w:t>
            </w:r>
          </w:p>
        </w:tc>
      </w:tr>
      <w:tr>
        <w:trPr/>
        <w:tc>
          <w:tcPr>
            <w:tcW w:w="51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Property and equipment</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327</w:t>
            </w:r>
          </w:p>
        </w:tc>
        <w:tc>
          <w:tcPr>
            <w:tcW w:w="60" w:type="dxa"/>
            <w:tcBorders/>
            <w:shd w:fill="FFFFFF" w:val="clear"/>
            <w:vAlign w:val="bottom"/>
          </w:tcPr>
          <w:p>
            <w:pPr>
              <w:pStyle w:val="TableContents"/>
              <w:spacing w:before="0" w:after="283"/>
              <w:rPr/>
            </w:pPr>
            <w:r>
              <w:rPr/>
              <w:t> </w:t>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Goodwill</w:t>
            </w:r>
            <w:r>
              <w:rPr>
                <w:rFonts w:ascii="times" w:hAnsi="times"/>
                <w:position w:val="7"/>
                <w:sz w:val="16"/>
                <w:sz w:val="20"/>
              </w:rPr>
              <w:t>(1)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133</w:t>
            </w:r>
          </w:p>
        </w:tc>
        <w:tc>
          <w:tcPr>
            <w:tcW w:w="60" w:type="dxa"/>
            <w:tcBorders/>
            <w:shd w:fill="CCEEFF" w:val="clear"/>
            <w:vAlign w:val="bottom"/>
          </w:tcPr>
          <w:p>
            <w:pPr>
              <w:pStyle w:val="TableContents"/>
              <w:spacing w:before="0" w:after="283"/>
              <w:rPr/>
            </w:pPr>
            <w:r>
              <w:rPr/>
              <w:t> </w:t>
            </w:r>
          </w:p>
        </w:tc>
      </w:tr>
      <w:tr>
        <w:trPr/>
        <w:tc>
          <w:tcPr>
            <w:tcW w:w="51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Intangibles</w:t>
            </w:r>
            <w:r>
              <w:rPr>
                <w:rFonts w:ascii="times" w:hAnsi="times"/>
                <w:position w:val="7"/>
                <w:sz w:val="16"/>
                <w:sz w:val="20"/>
              </w:rPr>
              <w:t>(2)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49</w:t>
            </w:r>
          </w:p>
        </w:tc>
        <w:tc>
          <w:tcPr>
            <w:tcW w:w="60" w:type="dxa"/>
            <w:tcBorders/>
            <w:shd w:fill="FFFFFF" w:val="clear"/>
            <w:vAlign w:val="bottom"/>
          </w:tcPr>
          <w:p>
            <w:pPr>
              <w:pStyle w:val="TableContents"/>
              <w:spacing w:before="0" w:after="283"/>
              <w:rPr/>
            </w:pPr>
            <w:r>
              <w:rPr/>
              <w:t> </w:t>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Net other assets and liabilities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vAlign w:val="bottom"/>
          </w:tcPr>
          <w:p>
            <w:pPr>
              <w:pStyle w:val="TableContents"/>
              <w:spacing w:before="0" w:after="283"/>
              <w:rPr/>
            </w:pPr>
            <w:r>
              <w:rPr/>
              <w:t> </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1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Purchase Price</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565</w:t>
            </w:r>
          </w:p>
        </w:tc>
        <w:tc>
          <w:tcPr>
            <w:tcW w:w="60" w:type="dxa"/>
            <w:tcBorders/>
            <w:shd w:fill="FFFFFF" w:val="clear"/>
            <w:vAlign w:val="bottom"/>
          </w:tcPr>
          <w:p>
            <w:pPr>
              <w:pStyle w:val="TableContents"/>
              <w:spacing w:before="0" w:after="283"/>
              <w:rPr/>
            </w:pPr>
            <w:r>
              <w:rPr/>
              <w:t> </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Represents the amount in excess of the fair value of the net assets acquired and is associated with our view of the future results of operations of the businesses acquired based on the strategic location of the assets and the growth opportunities that we expect to realize as we integrate these assets into our existing business strategy. See Note 2 for further discussion regarding our goodwill accounting policy.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Consists of customer relationships. </w:t>
      </w:r>
    </w:p>
    <w:p>
      <w:pPr>
        <w:pStyle w:val="TextBody"/>
        <w:rPr/>
      </w:pPr>
      <w:r>
        <w:rPr/>
        <w:t>        </w:t>
      </w:r>
      <w:r>
        <w:rPr>
          <w:rFonts w:ascii="times" w:hAnsi="times"/>
          <w:sz w:val="20"/>
        </w:rPr>
        <w:t xml:space="preserve">In addition, in November 2006, we acquired a 50% interest in Settoon Towing for approximately $34 million. </w:t>
      </w:r>
    </w:p>
    <w:p>
      <w:pPr>
        <w:pStyle w:val="TextBody"/>
        <w:jc w:val="center"/>
        <w:rPr>
          <w:rFonts w:ascii="times" w:hAnsi="times"/>
          <w:sz w:val="20"/>
        </w:rPr>
      </w:pPr>
      <w:r>
        <w:rPr>
          <w:rFonts w:ascii="times" w:hAnsi="times"/>
          <w:sz w:val="20"/>
        </w:rPr>
        <w:t>F-27</w:t>
      </w:r>
    </w:p>
    <w:p>
      <w:pPr>
        <w:pStyle w:val="HorizontalLine"/>
        <w:pBdr>
          <w:bottom w:val="single" w:sz="20" w:space="0" w:color="808080"/>
        </w:pBdr>
        <w:rPr/>
      </w:pPr>
      <w:r>
        <w:rPr/>
      </w:r>
      <w:r>
        <w:br w:type="page"/>
      </w:r>
    </w:p>
    <w:p>
      <w:pPr>
        <w:pStyle w:val="TextBody"/>
        <w:rPr/>
      </w:pPr>
      <w:hyperlink w:anchor="bg12101a_main_toc">
        <w:bookmarkStart w:id="261" w:name="page_fq12101_1_28"/>
        <w:bookmarkEnd w:id="26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3Acquisitions and Dispositions (Continued) </w:t>
      </w:r>
    </w:p>
    <w:p>
      <w:pPr>
        <w:pStyle w:val="TextBody"/>
        <w:rPr/>
      </w:pPr>
      <w:r>
        <w:rPr/>
        <w:t>        </w:t>
      </w:r>
      <w:r>
        <w:rPr>
          <w:rFonts w:ascii="times" w:hAnsi="times"/>
          <w:i/>
          <w:sz w:val="20"/>
        </w:rPr>
        <w:t>Pro Forma Data.</w:t>
      </w:r>
      <w:r>
        <w:rPr>
          <w:rFonts w:ascii="times" w:hAnsi="times"/>
        </w:rPr>
        <w:t>    </w:t>
      </w:r>
      <w:r>
        <w:rPr>
          <w:rFonts w:ascii="times" w:hAnsi="times"/>
          <w:sz w:val="20"/>
        </w:rPr>
        <w:t xml:space="preserve">The results of operations and assets and liabilities from the Pacific merger have been included in our consolidated financial statements and all three of our segments since November 15, 2006. The following table presents selected unaudited pro forma financial information incorporating the historical (pre-merger) results of Pacific and our other 2006 business combination transactions. The following pro forma information has been prepared as if the Pacific merger and our other business combination transactions in 2006 had been completed on January 1, 2006 as opposed to the actual dates that these acquisitions occurred. The pro forma information is based upon available data and includes certain estimates and assumptions made by management. As a result, this pro forma information is not necessarily indicative of our financial results had the transactions actually occurred on this date. Likewise, the following unaudited pro forma financial information is not necessarily indicative of our future financial results (in millions, except per unit data). </w:t>
      </w:r>
    </w:p>
    <w:tbl>
      <w:tblPr>
        <w:tblW w:w="5884" w:type="dxa"/>
        <w:jc w:val="center"/>
        <w:tblInd w:w="0" w:type="dxa"/>
        <w:tblCellMar>
          <w:top w:w="0" w:type="dxa"/>
          <w:left w:w="0" w:type="dxa"/>
          <w:bottom w:w="0" w:type="dxa"/>
          <w:right w:w="0" w:type="dxa"/>
        </w:tblCellMar>
      </w:tblPr>
      <w:tblGrid>
        <w:gridCol w:w="4485"/>
        <w:gridCol w:w="180"/>
        <w:gridCol w:w="137"/>
        <w:gridCol w:w="1022"/>
        <w:gridCol w:w="60"/>
      </w:tblGrid>
      <w:tr>
        <w:trPr/>
        <w:tc>
          <w:tcPr>
            <w:tcW w:w="44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1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2006 </w:t>
            </w:r>
          </w:p>
        </w:tc>
        <w:tc>
          <w:tcPr>
            <w:tcW w:w="60" w:type="dxa"/>
            <w:tcBorders/>
            <w:shd w:fill="auto" w:val="clear"/>
            <w:vAlign w:val="bottom"/>
          </w:tcPr>
          <w:p>
            <w:pPr>
              <w:pStyle w:val="TableHeading"/>
              <w:suppressLineNumbers/>
              <w:spacing w:before="0" w:after="283"/>
              <w:jc w:val="center"/>
              <w:rPr/>
            </w:pPr>
            <w:r>
              <w:rPr/>
              <w:t> </w:t>
            </w:r>
          </w:p>
        </w:tc>
      </w:tr>
      <w:tr>
        <w:trPr/>
        <w:tc>
          <w:tcPr>
            <w:tcW w:w="448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159"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(Unaudited)</w:t>
            </w:r>
          </w:p>
        </w:tc>
        <w:tc>
          <w:tcPr>
            <w:tcW w:w="60" w:type="dxa"/>
            <w:tcBorders/>
            <w:shd w:fill="auto" w:val="clear"/>
            <w:vAlign w:val="bottom"/>
          </w:tcPr>
          <w:p>
            <w:pPr>
              <w:pStyle w:val="TableHeading"/>
              <w:suppressLineNumbers/>
              <w:spacing w:before="0" w:after="283"/>
              <w:jc w:val="center"/>
              <w:rPr/>
            </w:pPr>
            <w:r>
              <w:rPr/>
              <w:t> </w:t>
            </w:r>
          </w:p>
        </w:tc>
      </w:tr>
      <w:tr>
        <w:trPr/>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Revenues</w:t>
            </w:r>
          </w:p>
        </w:tc>
        <w:tc>
          <w:tcPr>
            <w:tcW w:w="180" w:type="dxa"/>
            <w:tcBorders/>
            <w:shd w:fill="CCEEFF" w:val="clear"/>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22" w:type="dxa"/>
            <w:tcBorders/>
            <w:shd w:fill="CCEEFF" w:val="clear"/>
            <w:vAlign w:val="bottom"/>
          </w:tcPr>
          <w:p>
            <w:pPr>
              <w:pStyle w:val="TableContents"/>
              <w:spacing w:before="0" w:after="283"/>
              <w:jc w:val="right"/>
              <w:rPr>
                <w:rFonts w:ascii="times" w:hAnsi="times"/>
                <w:sz w:val="20"/>
              </w:rPr>
            </w:pPr>
            <w:r>
              <w:rPr>
                <w:rFonts w:ascii="times" w:hAnsi="times"/>
                <w:sz w:val="20"/>
              </w:rPr>
              <w:t>22,996</w:t>
            </w:r>
          </w:p>
        </w:tc>
        <w:tc>
          <w:tcPr>
            <w:tcW w:w="60" w:type="dxa"/>
            <w:tcBorders/>
            <w:shd w:fill="CCEEFF" w:val="clear"/>
            <w:vAlign w:val="bottom"/>
          </w:tcPr>
          <w:p>
            <w:pPr>
              <w:pStyle w:val="TableContents"/>
              <w:spacing w:before="0" w:after="283"/>
              <w:rPr/>
            </w:pPr>
            <w:r>
              <w:rPr/>
              <w:t> </w:t>
            </w:r>
          </w:p>
        </w:tc>
      </w:tr>
      <w:tr>
        <w:trPr/>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Income before cumulative effect of change in accounting principle</w:t>
            </w:r>
          </w:p>
        </w:tc>
        <w:tc>
          <w:tcPr>
            <w:tcW w:w="180" w:type="dxa"/>
            <w:tcBorders/>
            <w:shd w:fill="FFFFFF" w:val="clear"/>
          </w:tcPr>
          <w:p>
            <w:pPr>
              <w:pStyle w:val="TableContents"/>
              <w:spacing w:before="0" w:after="283"/>
              <w:rPr/>
            </w:pPr>
            <w:r>
              <w:rPr/>
              <w:t> </w:t>
            </w:r>
          </w:p>
        </w:tc>
        <w:tc>
          <w:tcPr>
            <w:tcW w:w="13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22" w:type="dxa"/>
            <w:tcBorders/>
            <w:shd w:fill="FFFFFF" w:val="clear"/>
            <w:vAlign w:val="bottom"/>
          </w:tcPr>
          <w:p>
            <w:pPr>
              <w:pStyle w:val="TableContents"/>
              <w:spacing w:before="0" w:after="283"/>
              <w:jc w:val="right"/>
              <w:rPr>
                <w:rFonts w:ascii="times" w:hAnsi="times"/>
                <w:sz w:val="20"/>
              </w:rPr>
            </w:pPr>
            <w:r>
              <w:rPr>
                <w:rFonts w:ascii="times" w:hAnsi="times"/>
                <w:sz w:val="20"/>
              </w:rPr>
              <w:t>309</w:t>
            </w:r>
          </w:p>
        </w:tc>
        <w:tc>
          <w:tcPr>
            <w:tcW w:w="60" w:type="dxa"/>
            <w:tcBorders/>
            <w:shd w:fill="FFFFFF" w:val="clear"/>
            <w:vAlign w:val="bottom"/>
          </w:tcPr>
          <w:p>
            <w:pPr>
              <w:pStyle w:val="TableContents"/>
              <w:spacing w:before="0" w:after="283"/>
              <w:rPr/>
            </w:pPr>
            <w:r>
              <w:rPr/>
              <w:t> </w:t>
            </w:r>
          </w:p>
        </w:tc>
      </w:tr>
      <w:tr>
        <w:trPr/>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Net income</w:t>
            </w:r>
          </w:p>
        </w:tc>
        <w:tc>
          <w:tcPr>
            <w:tcW w:w="180" w:type="dxa"/>
            <w:tcBorders/>
            <w:shd w:fill="CCEEFF" w:val="clear"/>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22" w:type="dxa"/>
            <w:tcBorders/>
            <w:shd w:fill="CCEEFF" w:val="clear"/>
            <w:vAlign w:val="bottom"/>
          </w:tcPr>
          <w:p>
            <w:pPr>
              <w:pStyle w:val="TableContents"/>
              <w:spacing w:before="0" w:after="283"/>
              <w:jc w:val="right"/>
              <w:rPr>
                <w:rFonts w:ascii="times" w:hAnsi="times"/>
                <w:sz w:val="20"/>
              </w:rPr>
            </w:pPr>
            <w:r>
              <w:rPr>
                <w:rFonts w:ascii="times" w:hAnsi="times"/>
                <w:sz w:val="20"/>
              </w:rPr>
              <w:t>316</w:t>
            </w:r>
          </w:p>
        </w:tc>
        <w:tc>
          <w:tcPr>
            <w:tcW w:w="60" w:type="dxa"/>
            <w:tcBorders/>
            <w:shd w:fill="CCEEFF" w:val="clear"/>
            <w:vAlign w:val="bottom"/>
          </w:tcPr>
          <w:p>
            <w:pPr>
              <w:pStyle w:val="TableContents"/>
              <w:spacing w:before="0" w:after="283"/>
              <w:rPr/>
            </w:pPr>
            <w:r>
              <w:rPr/>
              <w:t> </w:t>
            </w:r>
          </w:p>
        </w:tc>
      </w:tr>
      <w:tr>
        <w:trPr/>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Basic income before cumulative effect of change in accounting principle per limited partner unit</w:t>
            </w:r>
          </w:p>
        </w:tc>
        <w:tc>
          <w:tcPr>
            <w:tcW w:w="180" w:type="dxa"/>
            <w:tcBorders/>
            <w:shd w:fill="FFFFFF" w:val="clear"/>
          </w:tcPr>
          <w:p>
            <w:pPr>
              <w:pStyle w:val="TableContents"/>
              <w:spacing w:before="0" w:after="283"/>
              <w:rPr/>
            </w:pPr>
            <w:r>
              <w:rPr/>
              <w:t> </w:t>
            </w:r>
          </w:p>
        </w:tc>
        <w:tc>
          <w:tcPr>
            <w:tcW w:w="13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22" w:type="dxa"/>
            <w:tcBorders/>
            <w:shd w:fill="FFFFFF" w:val="clear"/>
            <w:vAlign w:val="bottom"/>
          </w:tcPr>
          <w:p>
            <w:pPr>
              <w:pStyle w:val="TableContents"/>
              <w:spacing w:before="0" w:after="283"/>
              <w:jc w:val="right"/>
              <w:rPr>
                <w:rFonts w:ascii="times" w:hAnsi="times"/>
                <w:sz w:val="20"/>
              </w:rPr>
            </w:pPr>
            <w:r>
              <w:rPr>
                <w:rFonts w:ascii="times" w:hAnsi="times"/>
                <w:sz w:val="20"/>
              </w:rPr>
              <w:t>2.68</w:t>
            </w:r>
          </w:p>
        </w:tc>
        <w:tc>
          <w:tcPr>
            <w:tcW w:w="60" w:type="dxa"/>
            <w:tcBorders/>
            <w:shd w:fill="FFFFFF" w:val="clear"/>
            <w:vAlign w:val="bottom"/>
          </w:tcPr>
          <w:p>
            <w:pPr>
              <w:pStyle w:val="TableContents"/>
              <w:spacing w:before="0" w:after="283"/>
              <w:rPr/>
            </w:pPr>
            <w:r>
              <w:rPr/>
              <w:t> </w:t>
            </w:r>
          </w:p>
        </w:tc>
      </w:tr>
      <w:tr>
        <w:trPr/>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180" w:type="dxa"/>
            <w:tcBorders/>
            <w:shd w:fill="CCEEFF" w:val="clear"/>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22" w:type="dxa"/>
            <w:tcBorders/>
            <w:shd w:fill="CCEEFF" w:val="clear"/>
            <w:vAlign w:val="bottom"/>
          </w:tcPr>
          <w:p>
            <w:pPr>
              <w:pStyle w:val="TableContents"/>
              <w:spacing w:before="0" w:after="283"/>
              <w:jc w:val="right"/>
              <w:rPr>
                <w:rFonts w:ascii="times" w:hAnsi="times"/>
                <w:sz w:val="20"/>
              </w:rPr>
            </w:pPr>
            <w:r>
              <w:rPr>
                <w:rFonts w:ascii="times" w:hAnsi="times"/>
                <w:sz w:val="20"/>
              </w:rPr>
              <w:t>2.74</w:t>
            </w:r>
          </w:p>
        </w:tc>
        <w:tc>
          <w:tcPr>
            <w:tcW w:w="60" w:type="dxa"/>
            <w:tcBorders/>
            <w:shd w:fill="CCEEFF" w:val="clear"/>
            <w:vAlign w:val="bottom"/>
          </w:tcPr>
          <w:p>
            <w:pPr>
              <w:pStyle w:val="TableContents"/>
              <w:spacing w:before="0" w:after="283"/>
              <w:rPr/>
            </w:pPr>
            <w:r>
              <w:rPr/>
              <w:t> </w:t>
            </w:r>
          </w:p>
        </w:tc>
      </w:tr>
      <w:tr>
        <w:trPr/>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Diluted income before cumulative effect of change in accounting principle per limited partner unit</w:t>
            </w:r>
          </w:p>
        </w:tc>
        <w:tc>
          <w:tcPr>
            <w:tcW w:w="180" w:type="dxa"/>
            <w:tcBorders/>
            <w:shd w:fill="FFFFFF" w:val="clear"/>
          </w:tcPr>
          <w:p>
            <w:pPr>
              <w:pStyle w:val="TableContents"/>
              <w:spacing w:before="0" w:after="283"/>
              <w:rPr/>
            </w:pPr>
            <w:r>
              <w:rPr/>
              <w:t> </w:t>
            </w:r>
          </w:p>
        </w:tc>
        <w:tc>
          <w:tcPr>
            <w:tcW w:w="13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022" w:type="dxa"/>
            <w:tcBorders/>
            <w:shd w:fill="FFFFFF" w:val="clear"/>
            <w:vAlign w:val="bottom"/>
          </w:tcPr>
          <w:p>
            <w:pPr>
              <w:pStyle w:val="TableContents"/>
              <w:spacing w:before="0" w:after="283"/>
              <w:jc w:val="right"/>
              <w:rPr>
                <w:rFonts w:ascii="times" w:hAnsi="times"/>
                <w:sz w:val="20"/>
              </w:rPr>
            </w:pPr>
            <w:r>
              <w:rPr>
                <w:rFonts w:ascii="times" w:hAnsi="times"/>
                <w:sz w:val="20"/>
              </w:rPr>
              <w:t>2.66</w:t>
            </w:r>
          </w:p>
        </w:tc>
        <w:tc>
          <w:tcPr>
            <w:tcW w:w="60" w:type="dxa"/>
            <w:tcBorders/>
            <w:shd w:fill="FFFFFF" w:val="clear"/>
            <w:vAlign w:val="bottom"/>
          </w:tcPr>
          <w:p>
            <w:pPr>
              <w:pStyle w:val="TableContents"/>
              <w:spacing w:before="0" w:after="283"/>
              <w:rPr/>
            </w:pPr>
            <w:r>
              <w:rPr/>
              <w:t> </w:t>
            </w:r>
          </w:p>
        </w:tc>
      </w:tr>
      <w:tr>
        <w:trPr/>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180" w:type="dxa"/>
            <w:tcBorders/>
            <w:shd w:fill="CCEEFF" w:val="clear"/>
          </w:tcPr>
          <w:p>
            <w:pPr>
              <w:pStyle w:val="TableContents"/>
              <w:spacing w:before="0" w:after="283"/>
              <w:rPr/>
            </w:pPr>
            <w:r>
              <w:rPr/>
              <w:t> </w:t>
            </w:r>
          </w:p>
        </w:tc>
        <w:tc>
          <w:tcPr>
            <w:tcW w:w="13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22" w:type="dxa"/>
            <w:tcBorders/>
            <w:shd w:fill="CCEEFF" w:val="clear"/>
            <w:vAlign w:val="bottom"/>
          </w:tcPr>
          <w:p>
            <w:pPr>
              <w:pStyle w:val="TableContents"/>
              <w:spacing w:before="0" w:after="283"/>
              <w:jc w:val="right"/>
              <w:rPr>
                <w:rFonts w:ascii="times" w:hAnsi="times"/>
                <w:sz w:val="20"/>
              </w:rPr>
            </w:pPr>
            <w:r>
              <w:rPr>
                <w:rFonts w:ascii="times" w:hAnsi="times"/>
                <w:sz w:val="20"/>
              </w:rPr>
              <w:t>2.72</w:t>
            </w:r>
          </w:p>
        </w:tc>
        <w:tc>
          <w:tcPr>
            <w:tcW w:w="60" w:type="dxa"/>
            <w:tcBorders/>
            <w:shd w:fill="CCEEFF" w:val="clear"/>
            <w:vAlign w:val="bottom"/>
          </w:tcPr>
          <w:p>
            <w:pPr>
              <w:pStyle w:val="TableContents"/>
              <w:spacing w:before="0" w:after="283"/>
              <w:rPr/>
            </w:pPr>
            <w:r>
              <w:rPr/>
              <w:t> </w:t>
            </w:r>
          </w:p>
        </w:tc>
      </w:tr>
    </w:tbl>
    <w:p>
      <w:pPr>
        <w:pStyle w:val="TextBody"/>
        <w:rPr>
          <w:rFonts w:ascii="times" w:hAnsi="times"/>
          <w:b/>
          <w:i/>
          <w:sz w:val="20"/>
        </w:rPr>
      </w:pPr>
      <w:r>
        <w:rPr>
          <w:rFonts w:ascii="times" w:hAnsi="times"/>
          <w:b/>
          <w:i/>
          <w:sz w:val="20"/>
        </w:rPr>
        <w:t xml:space="preserve">Dispositions </w:t>
      </w:r>
    </w:p>
    <w:p>
      <w:pPr>
        <w:pStyle w:val="TextBody"/>
        <w:rPr/>
      </w:pPr>
      <w:r>
        <w:rPr/>
        <w:t>        </w:t>
      </w:r>
      <w:r>
        <w:rPr>
          <w:rFonts w:ascii="times" w:hAnsi="times"/>
          <w:sz w:val="20"/>
        </w:rPr>
        <w:t xml:space="preserve">During 2008, 2007 and 2006, we sold various property and equipment for proceeds totaling approximately $12 million, $13 million and $4 million, respectively. A gain of approximately $6 million, a loss of approximately $7 million and a gain of $2 million were recognized in 2008, 2007 and 2006, respectively related to these sales. </w:t>
      </w:r>
    </w:p>
    <w:p>
      <w:pPr>
        <w:pStyle w:val="TextBody"/>
        <w:jc w:val="center"/>
        <w:rPr>
          <w:rFonts w:ascii="times" w:hAnsi="times"/>
          <w:sz w:val="20"/>
        </w:rPr>
      </w:pPr>
      <w:r>
        <w:rPr>
          <w:rFonts w:ascii="times" w:hAnsi="times"/>
          <w:sz w:val="20"/>
        </w:rPr>
        <w:t>F-28</w:t>
      </w:r>
    </w:p>
    <w:p>
      <w:pPr>
        <w:pStyle w:val="HorizontalLine"/>
        <w:pBdr>
          <w:bottom w:val="single" w:sz="20" w:space="0" w:color="808080"/>
        </w:pBdr>
        <w:rPr/>
      </w:pPr>
      <w:r>
        <w:rPr/>
      </w:r>
      <w:r>
        <w:br w:type="page"/>
      </w:r>
    </w:p>
    <w:p>
      <w:pPr>
        <w:pStyle w:val="TextBody"/>
        <w:rPr/>
      </w:pPr>
      <w:hyperlink w:anchor="bg12101a_main_toc">
        <w:bookmarkStart w:id="262" w:name="page_fs12101_1_29"/>
        <w:bookmarkEnd w:id="26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4Debt </w:t>
      </w:r>
    </w:p>
    <w:p>
      <w:pPr>
        <w:pStyle w:val="TextBody"/>
        <w:rPr/>
      </w:pPr>
      <w:r>
        <w:rPr/>
        <w:t>        </w:t>
      </w:r>
      <w:r>
        <w:rPr>
          <w:rFonts w:ascii="times" w:hAnsi="times"/>
          <w:sz w:val="20"/>
        </w:rPr>
        <w:t xml:space="preserve">Debt consists of the following (in millions): </w:t>
      </w:r>
    </w:p>
    <w:tbl>
      <w:tblPr>
        <w:tblW w:w="10205" w:type="dxa"/>
        <w:jc w:val="center"/>
        <w:tblInd w:w="0" w:type="dxa"/>
        <w:tblCellMar>
          <w:top w:w="0" w:type="dxa"/>
          <w:left w:w="0" w:type="dxa"/>
          <w:bottom w:w="0" w:type="dxa"/>
          <w:right w:w="0" w:type="dxa"/>
        </w:tblCellMar>
      </w:tblPr>
      <w:tblGrid>
        <w:gridCol w:w="324"/>
        <w:gridCol w:w="7876"/>
        <w:gridCol w:w="148"/>
        <w:gridCol w:w="125"/>
        <w:gridCol w:w="675"/>
        <w:gridCol w:w="175"/>
        <w:gridCol w:w="125"/>
        <w:gridCol w:w="675"/>
        <w:gridCol w:w="82"/>
      </w:tblGrid>
      <w:tr>
        <w:trPr/>
        <w:tc>
          <w:tcPr>
            <w:tcW w:w="324" w:type="dxa"/>
            <w:tcBorders/>
            <w:shd w:fill="auto" w:val="clear"/>
            <w:vAlign w:val="center"/>
          </w:tcPr>
          <w:p>
            <w:pPr>
              <w:pStyle w:val="TableContents"/>
              <w:spacing w:before="0" w:after="283"/>
              <w:rPr>
                <w:sz w:val="4"/>
                <w:szCs w:val="4"/>
              </w:rPr>
            </w:pPr>
            <w:r>
              <w:rPr>
                <w:sz w:val="4"/>
                <w:szCs w:val="4"/>
              </w:rPr>
            </w:r>
          </w:p>
        </w:tc>
        <w:tc>
          <w:tcPr>
            <w:tcW w:w="787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8200" w:type="dxa"/>
            <w:gridSpan w:val="2"/>
            <w:tcBorders/>
            <w:shd w:fill="auto" w:val="clear"/>
            <w:vAlign w:val="bottom"/>
          </w:tcPr>
          <w:p>
            <w:pPr>
              <w:pStyle w:val="TableHeading"/>
              <w:spacing w:before="0" w:after="283"/>
              <w:jc w:val="left"/>
              <w:rPr/>
            </w:pPr>
            <w:r>
              <w:rPr/>
              <w:t> </w:t>
            </w:r>
          </w:p>
        </w:tc>
        <w:tc>
          <w:tcPr>
            <w:tcW w:w="148" w:type="dxa"/>
            <w:tcBorders/>
            <w:shd w:fill="auto" w:val="clear"/>
            <w:vAlign w:val="bottom"/>
          </w:tcPr>
          <w:p>
            <w:pPr>
              <w:pStyle w:val="TableHeading"/>
              <w:suppressLineNumbers/>
              <w:spacing w:before="0" w:after="283"/>
              <w:jc w:val="center"/>
              <w:rPr/>
            </w:pPr>
            <w:r>
              <w:rPr/>
              <w:t> </w:t>
            </w:r>
          </w:p>
        </w:tc>
        <w:tc>
          <w:tcPr>
            <w:tcW w:w="8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2008 </w:t>
            </w:r>
          </w:p>
        </w:tc>
        <w:tc>
          <w:tcPr>
            <w:tcW w:w="175" w:type="dxa"/>
            <w:tcBorders/>
            <w:shd w:fill="auto" w:val="clear"/>
            <w:vAlign w:val="bottom"/>
          </w:tcPr>
          <w:p>
            <w:pPr>
              <w:pStyle w:val="TableHeading"/>
              <w:suppressLineNumbers/>
              <w:spacing w:before="0" w:after="283"/>
              <w:jc w:val="center"/>
              <w:rPr/>
            </w:pPr>
            <w:r>
              <w:rPr/>
              <w:t> </w:t>
            </w:r>
          </w:p>
        </w:tc>
        <w:tc>
          <w:tcPr>
            <w:tcW w:w="80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December 31,</w:t>
              <w:br/>
              <w:t xml:space="preserve">2007 </w:t>
            </w:r>
          </w:p>
        </w:tc>
        <w:tc>
          <w:tcPr>
            <w:tcW w:w="82" w:type="dxa"/>
            <w:tcBorders/>
            <w:shd w:fill="auto" w:val="clear"/>
            <w:vAlign w:val="bottom"/>
          </w:tcPr>
          <w:p>
            <w:pPr>
              <w:pStyle w:val="TableHeading"/>
              <w:suppressLineNumbers/>
              <w:spacing w:before="0" w:after="283"/>
              <w:jc w:val="center"/>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i/>
                <w:sz w:val="20"/>
              </w:rPr>
            </w:pPr>
            <w:r>
              <w:rPr>
                <w:rFonts w:ascii="times" w:hAnsi="times"/>
                <w:i/>
                <w:sz w:val="20"/>
              </w:rPr>
              <w:t>Short-term debt:</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Senior secured hedged inventory facility bearing interest at a rate of 2.3% and 5.3% at December 31, 2008 and 2007, respectively</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280</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476</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rPr>
            </w:pPr>
            <w:r>
              <w:rPr>
                <w:rFonts w:ascii="times" w:hAnsi="times"/>
                <w:sz w:val="20"/>
              </w:rPr>
              <w:t>Senior unsecured revolving credit facility, bearing interest at a rate of 1.1% and 5.5% at December 31, 2008 and 2007, respectively</w:t>
            </w:r>
            <w:r>
              <w:rPr>
                <w:rFonts w:ascii="times" w:hAnsi="times"/>
                <w:b/>
                <w:position w:val="7"/>
                <w:sz w:val="16"/>
                <w:sz w:val="20"/>
              </w:rPr>
              <w:t>(1)</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746</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482</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Other</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auto" w:val="clear"/>
          </w:tcPr>
          <w:p>
            <w:pPr>
              <w:pStyle w:val="TableContents"/>
              <w:spacing w:before="0" w:after="283"/>
              <w:rPr/>
            </w:pPr>
            <w:r>
              <w:rPr/>
              <w:t> </w:t>
            </w:r>
          </w:p>
        </w:tc>
        <w:tc>
          <w:tcPr>
            <w:tcW w:w="148"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5"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2" w:type="dxa"/>
            <w:tcBorders/>
            <w:shd w:fill="auto" w:val="clear"/>
          </w:tcPr>
          <w:p>
            <w:pPr>
              <w:pStyle w:val="TableContents"/>
              <w:spacing w:before="0" w:after="283"/>
              <w:rPr/>
            </w:pPr>
            <w:r>
              <w:rPr/>
              <w:t> </w:t>
            </w:r>
          </w:p>
        </w:tc>
      </w:tr>
      <w:tr>
        <w:trPr/>
        <w:tc>
          <w:tcPr>
            <w:tcW w:w="324" w:type="dxa"/>
            <w:tcBorders/>
            <w:shd w:fill="CCEEFF" w:val="clear"/>
            <w:vAlign w:val="bottom"/>
          </w:tcPr>
          <w:p>
            <w:pPr>
              <w:pStyle w:val="TableContents"/>
              <w:spacing w:before="0" w:after="283"/>
              <w:rPr/>
            </w:pPr>
            <w:r>
              <w:rPr/>
              <w:t> </w:t>
            </w:r>
          </w:p>
        </w:tc>
        <w:tc>
          <w:tcPr>
            <w:tcW w:w="7876"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short-term debt</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1,027</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960</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220" w:after="283"/>
              <w:ind w:left="200" w:right="0" w:hanging="200"/>
              <w:rPr>
                <w:rFonts w:ascii="times" w:hAnsi="times"/>
                <w:i/>
                <w:sz w:val="20"/>
              </w:rPr>
            </w:pPr>
            <w:r>
              <w:rPr>
                <w:rFonts w:ascii="times" w:hAnsi="times"/>
                <w:i/>
                <w:sz w:val="20"/>
              </w:rPr>
              <w:t>Long-term debt:</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4.75% senior notes due August 2009</w:t>
            </w:r>
            <w:r>
              <w:rPr>
                <w:rFonts w:ascii="times" w:hAnsi="times"/>
                <w:position w:val="7"/>
                <w:sz w:val="16"/>
                <w:sz w:val="20"/>
              </w:rPr>
              <w:t>(2)</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175</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175</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7.75% senior notes due October 2012</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200</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200</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5.63% senior notes due December 2013</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250</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250</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7.13% senior notes due June 2014</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5.25% senior notes due June 2015</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150</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150</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6.25% senior notes due September 2015</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175</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175</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5.88% senior notes due August 2016</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175</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175</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6.13% senior notes due January 2017</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400</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400</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6.50% senior notes due May 2018</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6.70% senior notes due May 2036</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250</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6.65% senior notes due January 2037</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600</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Unamortized premium/(discount), net</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(6</w:t>
            </w:r>
          </w:p>
        </w:tc>
        <w:tc>
          <w:tcPr>
            <w:tcW w:w="17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8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Long-term debt under senior unsecured revolving credit facility and other</w:t>
            </w:r>
            <w:r>
              <w:rPr>
                <w:rFonts w:ascii="times" w:hAnsi="times"/>
                <w:position w:val="7"/>
                <w:sz w:val="16"/>
                <w:sz w:val="20"/>
              </w:rPr>
              <w:t>(1)</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auto" w:val="clear"/>
          </w:tcPr>
          <w:p>
            <w:pPr>
              <w:pStyle w:val="TableContents"/>
              <w:spacing w:before="0" w:after="283"/>
              <w:rPr/>
            </w:pPr>
            <w:r>
              <w:rPr/>
              <w:t> </w:t>
            </w:r>
          </w:p>
        </w:tc>
        <w:tc>
          <w:tcPr>
            <w:tcW w:w="148"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5"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2" w:type="dxa"/>
            <w:tcBorders/>
            <w:shd w:fill="auto" w:val="clear"/>
          </w:tcPr>
          <w:p>
            <w:pPr>
              <w:pStyle w:val="TableContents"/>
              <w:spacing w:before="0" w:after="283"/>
              <w:rPr/>
            </w:pPr>
            <w:r>
              <w:rPr/>
              <w:t> </w:t>
            </w:r>
          </w:p>
        </w:tc>
      </w:tr>
      <w:tr>
        <w:trPr/>
        <w:tc>
          <w:tcPr>
            <w:tcW w:w="324" w:type="dxa"/>
            <w:tcBorders/>
            <w:shd w:fill="FFFFFF" w:val="clear"/>
            <w:vAlign w:val="bottom"/>
          </w:tcPr>
          <w:p>
            <w:pPr>
              <w:pStyle w:val="TableContents"/>
              <w:spacing w:before="0" w:after="283"/>
              <w:rPr/>
            </w:pPr>
            <w:r>
              <w:rPr/>
              <w:t> </w:t>
            </w:r>
          </w:p>
        </w:tc>
        <w:tc>
          <w:tcPr>
            <w:tcW w:w="7876" w:type="dxa"/>
            <w:tcBorders/>
            <w:shd w:fill="FFFFFF" w:val="clear"/>
            <w:vAlign w:val="bottom"/>
          </w:tcPr>
          <w:p>
            <w:pPr>
              <w:pStyle w:val="TableContents"/>
              <w:spacing w:before="0" w:after="283"/>
              <w:ind w:left="200" w:right="0" w:hanging="200"/>
              <w:rPr>
                <w:rFonts w:ascii="times" w:hAnsi="times"/>
              </w:rPr>
            </w:pPr>
            <w:r>
              <w:rPr>
                <w:rFonts w:ascii="times" w:hAnsi="times"/>
                <w:sz w:val="20"/>
              </w:rPr>
              <w:t>Total long-term debt</w:t>
            </w:r>
            <w:r>
              <w:rPr>
                <w:rFonts w:ascii="times" w:hAnsi="times"/>
                <w:b/>
                <w:position w:val="7"/>
                <w:sz w:val="16"/>
                <w:sz w:val="20"/>
              </w:rPr>
              <w:t>(1)(3)</w:t>
            </w:r>
          </w:p>
        </w:tc>
        <w:tc>
          <w:tcPr>
            <w:tcW w:w="14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3,259</w:t>
            </w:r>
          </w:p>
        </w:tc>
        <w:tc>
          <w:tcPr>
            <w:tcW w:w="17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75" w:type="dxa"/>
            <w:tcBorders/>
            <w:shd w:fill="FFFFFF" w:val="clear"/>
            <w:vAlign w:val="bottom"/>
          </w:tcPr>
          <w:p>
            <w:pPr>
              <w:pStyle w:val="TableContents"/>
              <w:spacing w:before="0" w:after="283"/>
              <w:jc w:val="right"/>
              <w:rPr>
                <w:rFonts w:ascii="times" w:hAnsi="times"/>
                <w:sz w:val="20"/>
              </w:rPr>
            </w:pPr>
            <w:r>
              <w:rPr>
                <w:rFonts w:ascii="times" w:hAnsi="times"/>
                <w:sz w:val="20"/>
              </w:rPr>
              <w:t>2,624</w:t>
            </w:r>
          </w:p>
        </w:tc>
        <w:tc>
          <w:tcPr>
            <w:tcW w:w="82" w:type="dxa"/>
            <w:tcBorders/>
            <w:shd w:fill="FFFFFF" w:val="clear"/>
            <w:vAlign w:val="bottom"/>
          </w:tcPr>
          <w:p>
            <w:pPr>
              <w:pStyle w:val="TableContents"/>
              <w:spacing w:before="0" w:after="283"/>
              <w:rPr/>
            </w:pPr>
            <w:r>
              <w:rPr/>
              <w:t> </w:t>
            </w:r>
          </w:p>
        </w:tc>
      </w:tr>
      <w:tr>
        <w:trPr/>
        <w:tc>
          <w:tcPr>
            <w:tcW w:w="8200" w:type="dxa"/>
            <w:gridSpan w:val="2"/>
            <w:tcBorders/>
            <w:shd w:fill="auto" w:val="clear"/>
          </w:tcPr>
          <w:p>
            <w:pPr>
              <w:pStyle w:val="TableContents"/>
              <w:spacing w:before="0" w:after="283"/>
              <w:rPr/>
            </w:pPr>
            <w:r>
              <w:rPr/>
              <w:t> </w:t>
            </w:r>
          </w:p>
        </w:tc>
        <w:tc>
          <w:tcPr>
            <w:tcW w:w="148"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75" w:type="dxa"/>
            <w:tcBorders/>
            <w:shd w:fill="auto" w:val="clear"/>
          </w:tcPr>
          <w:p>
            <w:pPr>
              <w:pStyle w:val="TableContents"/>
              <w:spacing w:before="0" w:after="283"/>
              <w:rPr/>
            </w:pPr>
            <w:r>
              <w:rPr/>
              <w:t> </w:t>
            </w:r>
          </w:p>
        </w:tc>
        <w:tc>
          <w:tcPr>
            <w:tcW w:w="80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2" w:type="dxa"/>
            <w:tcBorders/>
            <w:shd w:fill="auto" w:val="clear"/>
          </w:tcPr>
          <w:p>
            <w:pPr>
              <w:pStyle w:val="TableContents"/>
              <w:spacing w:before="0" w:after="283"/>
              <w:rPr/>
            </w:pPr>
            <w:r>
              <w:rPr/>
              <w:t> </w:t>
            </w:r>
          </w:p>
        </w:tc>
      </w:tr>
      <w:tr>
        <w:trPr/>
        <w:tc>
          <w:tcPr>
            <w:tcW w:w="8200"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debt</w:t>
            </w:r>
          </w:p>
        </w:tc>
        <w:tc>
          <w:tcPr>
            <w:tcW w:w="1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4,286</w:t>
            </w:r>
          </w:p>
        </w:tc>
        <w:tc>
          <w:tcPr>
            <w:tcW w:w="1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75" w:type="dxa"/>
            <w:tcBorders/>
            <w:shd w:fill="CCEEFF" w:val="clear"/>
            <w:vAlign w:val="bottom"/>
          </w:tcPr>
          <w:p>
            <w:pPr>
              <w:pStyle w:val="TableContents"/>
              <w:spacing w:before="0" w:after="283"/>
              <w:jc w:val="right"/>
              <w:rPr>
                <w:rFonts w:ascii="times" w:hAnsi="times"/>
                <w:sz w:val="20"/>
              </w:rPr>
            </w:pPr>
            <w:r>
              <w:rPr>
                <w:rFonts w:ascii="times" w:hAnsi="times"/>
                <w:sz w:val="20"/>
              </w:rPr>
              <w:t>3,584</w:t>
            </w:r>
          </w:p>
        </w:tc>
        <w:tc>
          <w:tcPr>
            <w:tcW w:w="82" w:type="dxa"/>
            <w:tcBorders/>
            <w:shd w:fill="CCEEFF" w:val="clear"/>
            <w:vAlign w:val="bottom"/>
          </w:tcPr>
          <w:p>
            <w:pPr>
              <w:pStyle w:val="TableContents"/>
              <w:spacing w:before="0" w:after="283"/>
              <w:rPr/>
            </w:pPr>
            <w:r>
              <w:rPr/>
              <w:t> </w:t>
            </w:r>
          </w:p>
        </w:tc>
      </w:tr>
      <w:tr>
        <w:trPr/>
        <w:tc>
          <w:tcPr>
            <w:tcW w:w="8200" w:type="dxa"/>
            <w:gridSpan w:val="2"/>
            <w:tcBorders/>
            <w:shd w:fill="auto" w:val="clear"/>
          </w:tcPr>
          <w:p>
            <w:pPr>
              <w:pStyle w:val="TableContents"/>
              <w:spacing w:before="0" w:after="283"/>
              <w:rPr/>
            </w:pPr>
            <w:r>
              <w:rPr/>
              <w:t> </w:t>
            </w:r>
          </w:p>
        </w:tc>
        <w:tc>
          <w:tcPr>
            <w:tcW w:w="148" w:type="dxa"/>
            <w:tcBorders/>
            <w:shd w:fill="auto" w:val="clear"/>
          </w:tcPr>
          <w:p>
            <w:pPr>
              <w:pStyle w:val="TableContents"/>
              <w:spacing w:before="0" w:after="283"/>
              <w:rPr/>
            </w:pPr>
            <w:r>
              <w:rPr/>
              <w:t> </w:t>
            </w:r>
          </w:p>
        </w:tc>
        <w:tc>
          <w:tcPr>
            <w:tcW w:w="80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75" w:type="dxa"/>
            <w:tcBorders/>
            <w:shd w:fill="auto" w:val="clear"/>
          </w:tcPr>
          <w:p>
            <w:pPr>
              <w:pStyle w:val="TableContents"/>
              <w:spacing w:before="0" w:after="283"/>
              <w:rPr/>
            </w:pPr>
            <w:r>
              <w:rPr/>
              <w:t> </w:t>
            </w:r>
          </w:p>
        </w:tc>
        <w:tc>
          <w:tcPr>
            <w:tcW w:w="80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2"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707"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At December 31, 2008 and 2007, we have classified $746 million and $482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and IntercontinentalExchange ("ICE") margin deposits.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In August 2009, our $175 million 4.75% senior notes will mature. However, since we have the ability and intent to refinance those notes, they are classified as long-term debt within our balance sheet.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At December 31, 2008, the aggregate fair value of our fixed-rate senior notes was estimated to be approximately $2,700 million. Our fixed-rate senior notes are traded among institutions, which trades are routinely published by a reporting service. Our determination of fair value is based on reported trading activity near year end. </w:t>
      </w:r>
    </w:p>
    <w:p>
      <w:pPr>
        <w:pStyle w:val="TextBody"/>
        <w:rPr>
          <w:rFonts w:ascii="times" w:hAnsi="times"/>
          <w:b/>
          <w:i/>
          <w:sz w:val="20"/>
        </w:rPr>
      </w:pPr>
      <w:r>
        <w:rPr>
          <w:rFonts w:ascii="times" w:hAnsi="times"/>
          <w:b/>
          <w:i/>
          <w:sz w:val="20"/>
        </w:rPr>
        <w:t xml:space="preserve">Credit Facilities </w:t>
      </w:r>
    </w:p>
    <w:p>
      <w:pPr>
        <w:pStyle w:val="TextBody"/>
        <w:rPr/>
      </w:pPr>
      <w:r>
        <w:rPr/>
        <w:t>        </w:t>
      </w:r>
      <w:r>
        <w:rPr>
          <w:rFonts w:ascii="times" w:hAnsi="times"/>
          <w:sz w:val="20"/>
        </w:rPr>
        <w:t xml:space="preserve">We entered into a new $525 million senior secured hedged inventory facility during November 2008, which matures in November 2009. The new committed facility replaced a $1.2 billion uncommitted facility that was scheduled to mature in November 2008, and also includes an accordion </w:t>
      </w:r>
    </w:p>
    <w:p>
      <w:pPr>
        <w:pStyle w:val="TextBody"/>
        <w:jc w:val="center"/>
        <w:rPr>
          <w:rFonts w:ascii="times" w:hAnsi="times"/>
          <w:sz w:val="20"/>
        </w:rPr>
      </w:pPr>
      <w:r>
        <w:rPr>
          <w:rFonts w:ascii="times" w:hAnsi="times"/>
          <w:sz w:val="20"/>
        </w:rPr>
        <w:t>F-29</w:t>
      </w:r>
    </w:p>
    <w:p>
      <w:pPr>
        <w:pStyle w:val="HorizontalLine"/>
        <w:pBdr>
          <w:bottom w:val="single" w:sz="20" w:space="0" w:color="808080"/>
        </w:pBdr>
        <w:rPr/>
      </w:pPr>
      <w:r>
        <w:rPr/>
      </w:r>
      <w:r>
        <w:br w:type="page"/>
      </w:r>
    </w:p>
    <w:p>
      <w:pPr>
        <w:pStyle w:val="TextBody"/>
        <w:rPr/>
      </w:pPr>
      <w:hyperlink w:anchor="bg12101a_main_toc">
        <w:bookmarkStart w:id="263" w:name="page_fs12101_1_30"/>
        <w:bookmarkEnd w:id="26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4Debt (Continued) </w:t>
      </w:r>
    </w:p>
    <w:p>
      <w:pPr>
        <w:pStyle w:val="TextBody"/>
        <w:rPr/>
      </w:pPr>
      <w:r>
        <w:rPr/>
      </w:r>
    </w:p>
    <w:p>
      <w:pPr>
        <w:pStyle w:val="TextBody"/>
        <w:rPr>
          <w:rFonts w:ascii="times" w:hAnsi="times"/>
          <w:sz w:val="20"/>
        </w:rPr>
      </w:pPr>
      <w:r>
        <w:rPr>
          <w:rFonts w:ascii="times" w:hAnsi="times"/>
          <w:sz w:val="20"/>
        </w:rPr>
        <w:t xml:space="preserve">feature which enables us to increase the size of the facility to $1.2 billion, subject to obtaining additional lender commitments. Initial proceeds from the new committed facility were used to refinance the outstanding balance of the previous uncommitted facility and subsequent proceeds will be used to finance purchased or stored hedged inventory. Obligations under the new committed facility are secured by the financed inventory and the associated accounts receivable, and will be repaid from the proceeds of the sale of the financed inventory. The new facility will mature on an annual basis beginning in November 2009 and, except for increased pricing and it being committed, bears similar terms to the previous facility. At December 31, 2008, borrowings of approximately $280 million were outstanding under this facility. At December 31, 2007, borrowings of approximately $476 million were outstanding under our previous $1.2 billion uncommitted hedged inventory facility. </w:t>
      </w:r>
    </w:p>
    <w:p>
      <w:pPr>
        <w:pStyle w:val="TextBody"/>
        <w:rPr/>
      </w:pPr>
      <w:r>
        <w:rPr/>
        <w:t>        </w:t>
      </w:r>
      <w:r>
        <w:rPr>
          <w:rFonts w:ascii="times" w:hAnsi="times"/>
          <w:sz w:val="20"/>
        </w:rPr>
        <w:t xml:space="preserve">As of December 31, 2008 and 2007, the aggregate borrowing capacity of our senior unsecured revolving credit facility was $1.6 billion and $1.6 billion, respectively (including the sub-facility for Canadian borrowings of $600 million). This credit facility has a maximum debt coverage ratio of 4.75 to 1.0 (5.5 to 1.0 during an acquisition period) and a maturity date of July 2012. Also, the senior unsecured revolving credit facility can be expanded to $2.0 billion, subject to additional lender commitments. At December 31, 2008 and 2007, amounts outstanding under this facility and together with committed letters of credit were $836 million and $635 million, respectively. </w:t>
      </w:r>
    </w:p>
    <w:p>
      <w:pPr>
        <w:pStyle w:val="TextBody"/>
        <w:rPr>
          <w:rFonts w:ascii="times" w:hAnsi="times"/>
          <w:b/>
          <w:i/>
          <w:sz w:val="20"/>
        </w:rPr>
      </w:pPr>
      <w:r>
        <w:rPr>
          <w:rFonts w:ascii="times" w:hAnsi="times"/>
          <w:b/>
          <w:i/>
          <w:sz w:val="20"/>
        </w:rPr>
        <w:t xml:space="preserve">Senior Notes </w:t>
      </w:r>
    </w:p>
    <w:p>
      <w:pPr>
        <w:pStyle w:val="TextBody"/>
        <w:rPr/>
      </w:pPr>
      <w:r>
        <w:rPr/>
        <w:t>        </w:t>
      </w:r>
      <w:r>
        <w:rPr>
          <w:rFonts w:ascii="times" w:hAnsi="times"/>
          <w:sz w:val="20"/>
        </w:rPr>
        <w:t xml:space="preserve">In April 2008, we completed the issuance of $600 million of 6.5% Senior Notes due May 1, 2018. The senior notes were sold at 99.424% of face value. Interest payments are due on May 1 and November 1 of each year. We used the net proceeds from the offering to repay amounts outstanding under our credit facilities. In November 2008, the outstanding senior notes were exchanged for similar notes registered under the Securities Act. </w:t>
      </w:r>
    </w:p>
    <w:p>
      <w:pPr>
        <w:pStyle w:val="TextBody"/>
        <w:rPr/>
      </w:pPr>
      <w:r>
        <w:rPr/>
        <w:t>        </w:t>
      </w:r>
      <w:r>
        <w:rPr>
          <w:rFonts w:ascii="times" w:hAnsi="times"/>
          <w:sz w:val="20"/>
        </w:rPr>
        <w:t xml:space="preserve">In November 2006, in conjunction with the Pacific merger, we assumed two issues of Senior Notes with an aggregate principal balance of $425 million. The $175 million of 6.25% Senior Notes are due September 15, 2015 and the $250 million of 7.125% Senior Notes are due June 15, 2014. Interest payments on the 6.25% Senior Notes are due on March 15 and September 15 of each year, and interest payments on the 7.125% Senior Notes are due on June 15 and December 15 of each year. These notes were recorded at fair value for an aggregate amount of $433 million. </w:t>
      </w:r>
    </w:p>
    <w:p>
      <w:pPr>
        <w:pStyle w:val="TextBody"/>
        <w:rPr/>
      </w:pPr>
      <w:r>
        <w:rPr/>
        <w:t>        </w:t>
      </w:r>
      <w:r>
        <w:rPr>
          <w:rFonts w:ascii="times" w:hAnsi="times"/>
          <w:sz w:val="20"/>
        </w:rPr>
        <w:t xml:space="preserve">In October 2006, we issued $400 million of 6.125% Senior Notes due 2017 and $600 million of 6.65% Senior Notes due 2037. The notes were sold at 99.56% and 99.17% of face value, respectively. Interest payments are due on January 15 and July 15 of each year. We used the proceeds to fund the cash portion of the merger with Pacific including repayment of amounts outstanding under Pacific's credit facility. Net proceeds in excess of the cash portion of the merger consideration were used to repay amounts outstanding under our credit facilities and for general partnership purposes. In anticipation of the issuance of these notes, we entered into $200 million of notional principal amount U.S. treasury locks to hedge the treasury rate portion of the interest rate on a portion of the notes. The treasury locks were entered into at an interest rate of 4.97%. See Note 6. </w:t>
      </w:r>
    </w:p>
    <w:p>
      <w:pPr>
        <w:pStyle w:val="TextBody"/>
        <w:rPr/>
      </w:pPr>
      <w:r>
        <w:rPr/>
        <w:t>        </w:t>
      </w:r>
      <w:r>
        <w:rPr>
          <w:rFonts w:ascii="times" w:hAnsi="times"/>
          <w:sz w:val="20"/>
        </w:rPr>
        <w:t xml:space="preserve">During May 2006, we completed the sale of $250 million aggregate principal amount of 6.70% Senior Notes due 2036. The notes were sold at 99.82% of face value. Interest payments are due on May 15 and November 15 of each year. We used the proceeds to repay amounts outstanding under our credit facilities and for general partnership purposes. </w:t>
      </w:r>
    </w:p>
    <w:p>
      <w:pPr>
        <w:pStyle w:val="TextBody"/>
        <w:jc w:val="center"/>
        <w:rPr>
          <w:rFonts w:ascii="times" w:hAnsi="times"/>
          <w:sz w:val="20"/>
        </w:rPr>
      </w:pPr>
      <w:r>
        <w:rPr>
          <w:rFonts w:ascii="times" w:hAnsi="times"/>
          <w:sz w:val="20"/>
        </w:rPr>
        <w:t>F-30</w:t>
      </w:r>
    </w:p>
    <w:p>
      <w:pPr>
        <w:pStyle w:val="HorizontalLine"/>
        <w:pBdr>
          <w:bottom w:val="single" w:sz="20" w:space="0" w:color="808080"/>
        </w:pBdr>
        <w:rPr/>
      </w:pPr>
      <w:r>
        <w:rPr/>
      </w:r>
      <w:r>
        <w:br w:type="page"/>
      </w:r>
    </w:p>
    <w:p>
      <w:pPr>
        <w:pStyle w:val="TextBody"/>
        <w:rPr/>
      </w:pPr>
      <w:hyperlink w:anchor="bg12101a_main_toc">
        <w:bookmarkStart w:id="264" w:name="page_fs12101_1_31"/>
        <w:bookmarkEnd w:id="26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4Debt (Continued) </w:t>
      </w:r>
    </w:p>
    <w:p>
      <w:pPr>
        <w:pStyle w:val="TextBody"/>
        <w:rPr/>
      </w:pPr>
      <w:r>
        <w:rPr/>
        <w:t>        </w:t>
      </w:r>
      <w:r>
        <w:rPr>
          <w:rFonts w:ascii="times" w:hAnsi="times"/>
          <w:sz w:val="20"/>
        </w:rPr>
        <w:t xml:space="preserve">In each instance, the notes were co-issued by Plains All American Pipeline, L.P. and a 100% owned consolidated finance subsidiary (neither of which have independent assets or operations) and are fully and unconditionally guaranteed, jointly and severally, by all of our existing 100% owned subsidiaries, except for two subsidiaries with assets regulated by the California Public Utility Commission, and certain other minor subsidiaries. See Note 13 for discussion of our guarantors and non-guarantors. </w:t>
      </w:r>
    </w:p>
    <w:p>
      <w:pPr>
        <w:pStyle w:val="TextBody"/>
        <w:rPr>
          <w:rFonts w:ascii="times" w:hAnsi="times"/>
          <w:b/>
          <w:i/>
          <w:sz w:val="20"/>
        </w:rPr>
      </w:pPr>
      <w:r>
        <w:rPr>
          <w:rFonts w:ascii="times" w:hAnsi="times"/>
          <w:b/>
          <w:i/>
          <w:sz w:val="20"/>
        </w:rPr>
        <w:t xml:space="preserve">Covenants and Compliance </w:t>
      </w:r>
    </w:p>
    <w:p>
      <w:pPr>
        <w:pStyle w:val="TextBody"/>
        <w:rPr/>
      </w:pPr>
      <w:r>
        <w:rPr/>
        <w:t>        </w:t>
      </w:r>
      <w:r>
        <w:rPr>
          <w:rFonts w:ascii="times" w:hAnsi="times"/>
          <w:sz w:val="20"/>
        </w:rPr>
        <w:t xml:space="preserve">Our credit agreements and the indentures governing the senior notes contain cross-default provisions. Our credit agreements prohibit distributions on, or purchases or redemptions of, units if any default or event of default is continuing. In addition, the agreements contain various covenants limiting our ability to, among other things: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incur indebtedness if certain financial ratios are not maintained;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grant liens;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engage in transactions with affiliates;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 into sale-leaseback transactions;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sell substantially all of our assets or enter into a merger or consolidation. </w:t>
      </w:r>
    </w:p>
    <w:p>
      <w:pPr>
        <w:pStyle w:val="TextBody"/>
        <w:rPr/>
      </w:pPr>
      <w:r>
        <w:rPr/>
        <w:t>        </w:t>
      </w:r>
      <w:r>
        <w:rPr>
          <w:rFonts w:ascii="times" w:hAnsi="times"/>
          <w:sz w:val="20"/>
        </w:rPr>
        <w:t xml:space="preserve">Our senior unsecured revolving credit facility treats a change of control as an event of default and also requires us to maintain a debt-to-EBITDA coverage ratio that will not be greater than 4.75 to 1.0 on outstanding debt, and 5.5 to 1.0 on all outstanding debt during an acquisition period (generally, the period consisting of three fiscal quarters following an acquisition greater than $50 million). </w:t>
      </w:r>
    </w:p>
    <w:p>
      <w:pPr>
        <w:pStyle w:val="TextBody"/>
        <w:rPr/>
      </w:pPr>
      <w:r>
        <w:rPr/>
        <w:t>        </w:t>
      </w:r>
      <w:r>
        <w:rPr>
          <w:rFonts w:ascii="times" w:hAnsi="times"/>
          <w:sz w:val="20"/>
        </w:rPr>
        <w:t xml:space="preserve">For covenant compliance purposes, letters of credit and borrowings to fund hedged inventory and margin requirements are excluded when calculating the debt coverage ratio. </w:t>
      </w:r>
    </w:p>
    <w:p>
      <w:pPr>
        <w:pStyle w:val="TextBody"/>
        <w:rPr/>
      </w:pPr>
      <w:r>
        <w:rPr/>
        <w:t>        </w:t>
      </w:r>
      <w:r>
        <w:rPr>
          <w:rFonts w:ascii="times" w:hAnsi="times"/>
          <w:sz w:val="20"/>
        </w:rPr>
        <w:t xml:space="preserve">A default under our credit facility would permit the lenders to accelerate the maturity of the outstanding debt. As long as we are in compliance with our credit agreements, our ability to make distributions of available cash is not restricted. We are in compliance with the covenants contained in our credit agreements and indentures. </w:t>
      </w:r>
    </w:p>
    <w:p>
      <w:pPr>
        <w:pStyle w:val="TextBody"/>
        <w:rPr>
          <w:rFonts w:ascii="times" w:hAnsi="times"/>
          <w:b/>
          <w:i/>
          <w:sz w:val="20"/>
        </w:rPr>
      </w:pPr>
      <w:r>
        <w:rPr>
          <w:rFonts w:ascii="times" w:hAnsi="times"/>
          <w:b/>
          <w:i/>
          <w:sz w:val="20"/>
        </w:rPr>
        <w:t xml:space="preserve">Letters of Credit </w:t>
      </w:r>
    </w:p>
    <w:p>
      <w:pPr>
        <w:pStyle w:val="TextBody"/>
        <w:rPr/>
      </w:pPr>
      <w:r>
        <w:rPr/>
        <w:t>        </w:t>
      </w:r>
      <w:r>
        <w:rPr>
          <w:rFonts w:ascii="times" w:hAnsi="times"/>
          <w:sz w:val="20"/>
        </w:rPr>
        <w:t xml:space="preserve">In connection with our crude oil marketing, we provide certain suppliers with irrevocable standby letters of credit to secure our obligation for the purchase of crude oil. These letters of credit are issued under our senior unsecured revolving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2008 and 2007, we had outstanding letters of credit of approximately $51 million and $153 million, respectively. </w:t>
      </w:r>
    </w:p>
    <w:p>
      <w:pPr>
        <w:pStyle w:val="TextBody"/>
        <w:jc w:val="center"/>
        <w:rPr>
          <w:rFonts w:ascii="times" w:hAnsi="times"/>
          <w:sz w:val="20"/>
        </w:rPr>
      </w:pPr>
      <w:r>
        <w:rPr>
          <w:rFonts w:ascii="times" w:hAnsi="times"/>
          <w:sz w:val="20"/>
        </w:rPr>
        <w:t>F-31</w:t>
      </w:r>
    </w:p>
    <w:p>
      <w:pPr>
        <w:pStyle w:val="HorizontalLine"/>
        <w:pBdr>
          <w:bottom w:val="single" w:sz="20" w:space="0" w:color="808080"/>
        </w:pBdr>
        <w:rPr/>
      </w:pPr>
      <w:r>
        <w:rPr/>
      </w:r>
      <w:r>
        <w:br w:type="page"/>
      </w:r>
    </w:p>
    <w:p>
      <w:pPr>
        <w:pStyle w:val="TextBody"/>
        <w:rPr/>
      </w:pPr>
      <w:hyperlink w:anchor="bg12101a_main_toc">
        <w:bookmarkStart w:id="265" w:name="page_fs12101_1_32"/>
        <w:bookmarkEnd w:id="26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4Debt (Continued) </w:t>
      </w:r>
    </w:p>
    <w:p>
      <w:pPr>
        <w:pStyle w:val="TextBody"/>
        <w:rPr>
          <w:rFonts w:ascii="times" w:hAnsi="times"/>
          <w:b/>
          <w:i/>
          <w:sz w:val="20"/>
        </w:rPr>
      </w:pPr>
      <w:r>
        <w:rPr>
          <w:rFonts w:ascii="times" w:hAnsi="times"/>
          <w:b/>
          <w:i/>
          <w:sz w:val="20"/>
        </w:rPr>
        <w:t xml:space="preserve">Maturities </w:t>
      </w:r>
    </w:p>
    <w:p>
      <w:pPr>
        <w:pStyle w:val="TextBody"/>
        <w:rPr/>
      </w:pPr>
      <w:r>
        <w:rPr/>
        <w:t>        </w:t>
      </w:r>
      <w:r>
        <w:rPr>
          <w:rFonts w:ascii="times" w:hAnsi="times"/>
          <w:sz w:val="20"/>
        </w:rPr>
        <w:t xml:space="preserve">The weighted average life of our long-term debt outstanding at December 31, 2008 was approximately 12 years and the aggregate maturities for the next five years are as follows (in millions): </w:t>
      </w:r>
    </w:p>
    <w:tbl>
      <w:tblPr>
        <w:tblW w:w="5890" w:type="dxa"/>
        <w:jc w:val="center"/>
        <w:tblInd w:w="0" w:type="dxa"/>
        <w:tblCellMar>
          <w:top w:w="0" w:type="dxa"/>
          <w:left w:w="0" w:type="dxa"/>
          <w:bottom w:w="0" w:type="dxa"/>
          <w:right w:w="0" w:type="dxa"/>
        </w:tblCellMar>
      </w:tblPr>
      <w:tblGrid>
        <w:gridCol w:w="150"/>
        <w:gridCol w:w="4890"/>
        <w:gridCol w:w="180"/>
        <w:gridCol w:w="125"/>
        <w:gridCol w:w="485"/>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48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040"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Calendar Year </w:t>
            </w:r>
          </w:p>
        </w:tc>
        <w:tc>
          <w:tcPr>
            <w:tcW w:w="180"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Payment </w:t>
            </w:r>
          </w:p>
        </w:tc>
        <w:tc>
          <w:tcPr>
            <w:tcW w:w="60" w:type="dxa"/>
            <w:tcBorders/>
            <w:shd w:fill="auto" w:val="clear"/>
            <w:vAlign w:val="bottom"/>
          </w:tcPr>
          <w:p>
            <w:pPr>
              <w:pStyle w:val="TableHeading"/>
              <w:suppressLineNumbers/>
              <w:spacing w:before="0" w:after="283"/>
              <w:jc w:val="center"/>
              <w:rPr/>
            </w:pPr>
            <w:r>
              <w:rPr/>
              <w:t> </w:t>
            </w:r>
          </w:p>
        </w:tc>
      </w:tr>
      <w:tr>
        <w:trPr/>
        <w:tc>
          <w:tcPr>
            <w:tcW w:w="504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2009</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175</w:t>
            </w:r>
          </w:p>
        </w:tc>
        <w:tc>
          <w:tcPr>
            <w:tcW w:w="60" w:type="dxa"/>
            <w:tcBorders/>
            <w:shd w:fill="CCEEFF" w:val="clear"/>
          </w:tcPr>
          <w:p>
            <w:pPr>
              <w:pStyle w:val="TableContents"/>
              <w:spacing w:before="0" w:after="283"/>
              <w:rPr/>
            </w:pPr>
            <w:r>
              <w:rPr/>
              <w:t> </w:t>
            </w:r>
          </w:p>
        </w:tc>
      </w:tr>
      <w:tr>
        <w:trPr/>
        <w:tc>
          <w:tcPr>
            <w:tcW w:w="504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2010</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r>
        <w:trPr/>
        <w:tc>
          <w:tcPr>
            <w:tcW w:w="504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2011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504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2012</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239</w:t>
            </w:r>
          </w:p>
        </w:tc>
        <w:tc>
          <w:tcPr>
            <w:tcW w:w="60" w:type="dxa"/>
            <w:tcBorders/>
            <w:shd w:fill="FFFFFF" w:val="clear"/>
          </w:tcPr>
          <w:p>
            <w:pPr>
              <w:pStyle w:val="TableContents"/>
              <w:spacing w:before="0" w:after="283"/>
              <w:rPr/>
            </w:pPr>
            <w:r>
              <w:rPr/>
              <w:t> </w:t>
            </w:r>
          </w:p>
        </w:tc>
      </w:tr>
      <w:tr>
        <w:trPr/>
        <w:tc>
          <w:tcPr>
            <w:tcW w:w="504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2013</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250</w:t>
            </w:r>
          </w:p>
        </w:tc>
        <w:tc>
          <w:tcPr>
            <w:tcW w:w="60" w:type="dxa"/>
            <w:tcBorders/>
            <w:shd w:fill="CCEEFF" w:val="clear"/>
          </w:tcPr>
          <w:p>
            <w:pPr>
              <w:pStyle w:val="TableContents"/>
              <w:spacing w:before="0" w:after="283"/>
              <w:rPr/>
            </w:pPr>
            <w:r>
              <w:rPr/>
              <w:t> </w:t>
            </w:r>
          </w:p>
        </w:tc>
      </w:tr>
      <w:tr>
        <w:trPr/>
        <w:tc>
          <w:tcPr>
            <w:tcW w:w="504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Thereafter</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2,600</w:t>
            </w:r>
          </w:p>
        </w:tc>
        <w:tc>
          <w:tcPr>
            <w:tcW w:w="60" w:type="dxa"/>
            <w:tcBorders/>
            <w:shd w:fill="FFFFFF" w:val="clear"/>
          </w:tcPr>
          <w:p>
            <w:pPr>
              <w:pStyle w:val="TableContents"/>
              <w:spacing w:before="0" w:after="283"/>
              <w:rPr/>
            </w:pPr>
            <w:r>
              <w:rPr/>
              <w:t> </w:t>
            </w:r>
          </w:p>
        </w:tc>
      </w:tr>
      <w:tr>
        <w:trPr/>
        <w:tc>
          <w:tcPr>
            <w:tcW w:w="504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890" w:type="dxa"/>
            <w:tcBorders/>
            <w:shd w:fill="CCEEFF" w:val="clear"/>
          </w:tcPr>
          <w:p>
            <w:pPr>
              <w:pStyle w:val="TableContents"/>
              <w:spacing w:before="0" w:after="283"/>
              <w:ind w:left="200" w:right="0" w:hanging="200"/>
              <w:rPr>
                <w:rFonts w:ascii="times" w:hAnsi="times"/>
                <w:sz w:val="20"/>
              </w:rPr>
            </w:pPr>
            <w:r>
              <w:rPr>
                <w:rFonts w:ascii="times" w:hAnsi="times"/>
                <w:sz w:val="20"/>
              </w:rPr>
              <w:t>Total</w:t>
            </w:r>
            <w:r>
              <w:rPr>
                <w:rFonts w:ascii="times" w:hAnsi="times"/>
                <w:position w:val="7"/>
                <w:sz w:val="16"/>
                <w:sz w:val="20"/>
              </w:rPr>
              <w:t>(1)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3,264</w:t>
            </w:r>
          </w:p>
        </w:tc>
        <w:tc>
          <w:tcPr>
            <w:tcW w:w="60" w:type="dxa"/>
            <w:tcBorders/>
            <w:shd w:fill="CCEEFF" w:val="clear"/>
          </w:tcPr>
          <w:p>
            <w:pPr>
              <w:pStyle w:val="TableContents"/>
              <w:spacing w:before="0" w:after="283"/>
              <w:rPr/>
            </w:pPr>
            <w:r>
              <w:rPr/>
              <w:t> </w:t>
            </w:r>
          </w:p>
        </w:tc>
      </w:tr>
      <w:tr>
        <w:trPr/>
        <w:tc>
          <w:tcPr>
            <w:tcW w:w="504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Excludes aggregate unamortized net discount of $6 million and an adjustment of $1 million related to a fair value hedge. </w:t>
      </w:r>
    </w:p>
    <w:p>
      <w:pPr>
        <w:pStyle w:val="TextBody"/>
        <w:rPr>
          <w:rFonts w:ascii="times" w:hAnsi="times"/>
          <w:b/>
          <w:sz w:val="20"/>
        </w:rPr>
      </w:pPr>
      <w:r>
        <w:rPr>
          <w:rFonts w:ascii="times" w:hAnsi="times"/>
          <w:b/>
          <w:sz w:val="20"/>
        </w:rPr>
        <w:t xml:space="preserve">Note 5Partners' Capital and Distributions </w:t>
      </w:r>
    </w:p>
    <w:p>
      <w:pPr>
        <w:pStyle w:val="TextBody"/>
        <w:rPr>
          <w:rFonts w:ascii="times" w:hAnsi="times"/>
          <w:b/>
          <w:i/>
          <w:sz w:val="20"/>
        </w:rPr>
      </w:pPr>
      <w:r>
        <w:rPr>
          <w:rFonts w:ascii="times" w:hAnsi="times"/>
          <w:b/>
          <w:i/>
          <w:sz w:val="20"/>
        </w:rPr>
        <w:t xml:space="preserve">Units Outstanding </w:t>
      </w:r>
    </w:p>
    <w:p>
      <w:pPr>
        <w:pStyle w:val="TextBody"/>
        <w:rPr/>
      </w:pPr>
      <w:r>
        <w:rPr/>
        <w:t>        </w:t>
      </w:r>
      <w:r>
        <w:rPr>
          <w:rFonts w:ascii="times" w:hAnsi="times"/>
          <w:sz w:val="20"/>
        </w:rPr>
        <w:t xml:space="preserve">Partners' capital at December 31, 2008 consists of 122,911,645 common units outstanding, representing a 98% effective aggregate ownership interest in the Partnership and its subsidiaries after giving effect to the 2% general partner interest. </w:t>
      </w:r>
    </w:p>
    <w:p>
      <w:pPr>
        <w:pStyle w:val="TextBody"/>
        <w:rPr>
          <w:rFonts w:ascii="times" w:hAnsi="times"/>
          <w:b/>
          <w:i/>
          <w:sz w:val="20"/>
        </w:rPr>
      </w:pPr>
      <w:r>
        <w:rPr>
          <w:rFonts w:ascii="times" w:hAnsi="times"/>
          <w:b/>
          <w:i/>
          <w:sz w:val="20"/>
        </w:rPr>
        <w:t xml:space="preserve">Distributions </w:t>
      </w:r>
    </w:p>
    <w:p>
      <w:pPr>
        <w:pStyle w:val="TextBody"/>
        <w:rPr/>
      </w:pPr>
      <w:r>
        <w:rPr/>
        <w:t>        </w:t>
      </w:r>
      <w:r>
        <w:rPr>
          <w:rFonts w:ascii="times" w:hAnsi="times"/>
          <w:sz w:val="20"/>
        </w:rPr>
        <w:t xml:space="preserve">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 </w:t>
      </w:r>
    </w:p>
    <w:p>
      <w:pPr>
        <w:pStyle w:val="TextBody"/>
        <w:rPr>
          <w:rFonts w:ascii="times" w:hAnsi="times"/>
          <w:b/>
          <w:i/>
          <w:sz w:val="20"/>
        </w:rPr>
      </w:pPr>
      <w:r>
        <w:rPr>
          <w:rFonts w:ascii="times" w:hAnsi="times"/>
          <w:b/>
          <w:i/>
          <w:sz w:val="20"/>
        </w:rPr>
        <w:t xml:space="preserve">General Partner Incentive Distributions </w:t>
      </w:r>
    </w:p>
    <w:p>
      <w:pPr>
        <w:pStyle w:val="TextBody"/>
        <w:rPr/>
      </w:pPr>
      <w:r>
        <w:rPr/>
        <w:t>        </w:t>
      </w:r>
      <w:r>
        <w:rPr>
          <w:rFonts w:ascii="times" w:hAnsi="times"/>
          <w:sz w:val="20"/>
        </w:rPr>
        <w:t xml:space="preserve">Our general partner is entitled to receive incentive distributions if the amount we distribute with respect to any quarter exceeds levels specified in our partnership agreement. Under the quarterly incentive distribution provisions, generally the general partner is entitled, without duplication, to 15% of amounts we distribute in excess of $0.450 per unit, referred to as our minimum quarterly distributions ("MQD"), 25% of the amounts we distribute in excess of $0.495 per unit and 50% of amounts we distribute in excess of $0.675 per unit (referred to as "incentive distributions"). </w:t>
      </w:r>
    </w:p>
    <w:p>
      <w:pPr>
        <w:pStyle w:val="TextBody"/>
        <w:rPr/>
      </w:pPr>
      <w:r>
        <w:rPr/>
        <w:t>        </w:t>
      </w:r>
      <w:r>
        <w:rPr>
          <w:rFonts w:ascii="times" w:hAnsi="times"/>
          <w:sz w:val="20"/>
        </w:rPr>
        <w:t xml:space="preserve">Upon closing of the Pacific and Rainbow acquisitions, our general partner agreed to reduce the amounts due it as incentive distribution. The total reduction in incentive distributions related to these acquisitions is $75 million. Following the distribution in February 2009, the aggregate remaining incentive distribution reductions related to these acquisitions will be $31 million. </w:t>
      </w:r>
    </w:p>
    <w:p>
      <w:pPr>
        <w:pStyle w:val="TextBody"/>
        <w:jc w:val="center"/>
        <w:rPr>
          <w:rFonts w:ascii="times" w:hAnsi="times"/>
          <w:sz w:val="20"/>
        </w:rPr>
      </w:pPr>
      <w:r>
        <w:rPr>
          <w:rFonts w:ascii="times" w:hAnsi="times"/>
          <w:sz w:val="20"/>
        </w:rPr>
        <w:t>F-32</w:t>
      </w:r>
    </w:p>
    <w:p>
      <w:pPr>
        <w:pStyle w:val="HorizontalLine"/>
        <w:pBdr>
          <w:bottom w:val="single" w:sz="20" w:space="0" w:color="808080"/>
        </w:pBdr>
        <w:rPr/>
      </w:pPr>
      <w:r>
        <w:rPr/>
      </w:r>
      <w:r>
        <w:br w:type="page"/>
      </w:r>
    </w:p>
    <w:p>
      <w:pPr>
        <w:pStyle w:val="TextBody"/>
        <w:rPr/>
      </w:pPr>
      <w:hyperlink w:anchor="bg12101a_main_toc">
        <w:bookmarkStart w:id="266" w:name="page_fs12101_1_33"/>
        <w:bookmarkEnd w:id="26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5Partners' Capital and Distributions (Continued) </w:t>
      </w:r>
    </w:p>
    <w:p>
      <w:pPr>
        <w:pStyle w:val="TextBody"/>
        <w:rPr/>
      </w:pPr>
      <w:r>
        <w:rPr/>
        <w:t>        </w:t>
      </w:r>
      <w:r>
        <w:rPr>
          <w:rFonts w:ascii="times" w:hAnsi="times"/>
          <w:sz w:val="20"/>
        </w:rPr>
        <w:t xml:space="preserve">Per unit cash distributions on our outstanding units and the portion of the distributions representing an excess over the MQD were as follows: </w:t>
      </w:r>
    </w:p>
    <w:tbl>
      <w:tblPr>
        <w:tblW w:w="7962" w:type="dxa"/>
        <w:jc w:val="center"/>
        <w:tblInd w:w="0" w:type="dxa"/>
        <w:tblCellMar>
          <w:top w:w="0" w:type="dxa"/>
          <w:left w:w="0" w:type="dxa"/>
          <w:bottom w:w="0" w:type="dxa"/>
          <w:right w:w="0" w:type="dxa"/>
        </w:tblCellMar>
      </w:tblPr>
      <w:tblGrid>
        <w:gridCol w:w="1740"/>
        <w:gridCol w:w="180"/>
        <w:gridCol w:w="131"/>
        <w:gridCol w:w="773"/>
        <w:gridCol w:w="225"/>
        <w:gridCol w:w="125"/>
        <w:gridCol w:w="590"/>
        <w:gridCol w:w="225"/>
        <w:gridCol w:w="131"/>
        <w:gridCol w:w="773"/>
        <w:gridCol w:w="225"/>
        <w:gridCol w:w="125"/>
        <w:gridCol w:w="590"/>
        <w:gridCol w:w="225"/>
        <w:gridCol w:w="131"/>
        <w:gridCol w:w="773"/>
        <w:gridCol w:w="225"/>
        <w:gridCol w:w="125"/>
        <w:gridCol w:w="590"/>
        <w:gridCol w:w="60"/>
      </w:tblGrid>
      <w:tr>
        <w:trPr/>
        <w:tc>
          <w:tcPr>
            <w:tcW w:w="17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74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982"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w:t>
            </w:r>
          </w:p>
        </w:tc>
        <w:tc>
          <w:tcPr>
            <w:tcW w:w="60" w:type="dxa"/>
            <w:tcBorders/>
            <w:shd w:fill="auto" w:val="clear"/>
            <w:vAlign w:val="bottom"/>
          </w:tcPr>
          <w:p>
            <w:pPr>
              <w:pStyle w:val="TableHeading"/>
              <w:suppressLineNumbers/>
              <w:spacing w:before="0" w:after="283"/>
              <w:jc w:val="center"/>
              <w:rPr/>
            </w:pPr>
            <w:r>
              <w:rPr/>
              <w:t> </w:t>
            </w:r>
          </w:p>
        </w:tc>
      </w:tr>
      <w:tr>
        <w:trPr/>
        <w:tc>
          <w:tcPr>
            <w:tcW w:w="174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84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184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184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0" w:type="dxa"/>
            <w:tcBorders/>
            <w:shd w:fill="auto" w:val="clear"/>
            <w:vAlign w:val="bottom"/>
          </w:tcPr>
          <w:p>
            <w:pPr>
              <w:pStyle w:val="TableHeading"/>
              <w:suppressLineNumbers/>
              <w:spacing w:before="0" w:after="283"/>
              <w:jc w:val="center"/>
              <w:rPr/>
            </w:pPr>
            <w:r>
              <w:rPr/>
              <w:t> </w:t>
            </w:r>
          </w:p>
        </w:tc>
      </w:tr>
      <w:tr>
        <w:trPr/>
        <w:tc>
          <w:tcPr>
            <w:tcW w:w="174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9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Excess</w:t>
              <w:br/>
              <w:t xml:space="preserve">over MQD </w:t>
            </w:r>
          </w:p>
        </w:tc>
        <w:tc>
          <w:tcPr>
            <w:tcW w:w="225" w:type="dxa"/>
            <w:tcBorders/>
            <w:shd w:fill="auto" w:val="clear"/>
            <w:vAlign w:val="bottom"/>
          </w:tcPr>
          <w:p>
            <w:pPr>
              <w:pStyle w:val="TableHeading"/>
              <w:suppressLineNumbers/>
              <w:spacing w:before="0" w:after="283"/>
              <w:jc w:val="center"/>
              <w:rPr/>
            </w:pPr>
            <w:r>
              <w:rPr/>
              <w:t> </w:t>
            </w:r>
          </w:p>
        </w:tc>
        <w:tc>
          <w:tcPr>
            <w:tcW w:w="9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Excess</w:t>
              <w:br/>
              <w:t xml:space="preserve">over MQD </w:t>
            </w:r>
          </w:p>
        </w:tc>
        <w:tc>
          <w:tcPr>
            <w:tcW w:w="225" w:type="dxa"/>
            <w:tcBorders/>
            <w:shd w:fill="auto" w:val="clear"/>
            <w:vAlign w:val="bottom"/>
          </w:tcPr>
          <w:p>
            <w:pPr>
              <w:pStyle w:val="TableHeading"/>
              <w:suppressLineNumbers/>
              <w:spacing w:before="0" w:after="283"/>
              <w:jc w:val="center"/>
              <w:rPr/>
            </w:pPr>
            <w:r>
              <w:rPr/>
              <w:t> </w:t>
            </w:r>
          </w:p>
        </w:tc>
        <w:tc>
          <w:tcPr>
            <w:tcW w:w="9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w:t>
            </w:r>
            <w:r>
              <w:rPr>
                <w:rFonts w:ascii="times" w:hAnsi="times"/>
                <w:b/>
                <w:position w:val="5"/>
                <w:sz w:val="11"/>
                <w:sz w:val="14"/>
              </w:rPr>
              <w:t>(1)</w:t>
            </w:r>
            <w:r>
              <w:rPr>
                <w:rFonts w:ascii="times" w:hAnsi="times"/>
                <w:b/>
                <w:sz w:val="14"/>
              </w:rPr>
              <w:t xml:space="preserve">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Excess</w:t>
              <w:br/>
              <w:t xml:space="preserve">over MQD </w:t>
            </w:r>
          </w:p>
        </w:tc>
        <w:tc>
          <w:tcPr>
            <w:tcW w:w="60" w:type="dxa"/>
            <w:tcBorders/>
            <w:shd w:fill="auto" w:val="clear"/>
            <w:vAlign w:val="bottom"/>
          </w:tcPr>
          <w:p>
            <w:pPr>
              <w:pStyle w:val="TableHeading"/>
              <w:suppressLineNumbers/>
              <w:spacing w:before="0" w:after="283"/>
              <w:jc w:val="center"/>
              <w:rPr/>
            </w:pPr>
            <w:r>
              <w:rPr/>
              <w:t> </w:t>
            </w:r>
          </w:p>
        </w:tc>
      </w:tr>
      <w:tr>
        <w:trPr/>
        <w:tc>
          <w:tcPr>
            <w:tcW w:w="1740" w:type="dxa"/>
            <w:tcBorders/>
            <w:shd w:fill="CCEEFF" w:val="clear"/>
          </w:tcPr>
          <w:p>
            <w:pPr>
              <w:pStyle w:val="TableContents"/>
              <w:spacing w:before="0" w:after="283"/>
              <w:ind w:left="200" w:right="0" w:hanging="200"/>
              <w:rPr>
                <w:rFonts w:ascii="times" w:hAnsi="times"/>
                <w:sz w:val="20"/>
              </w:rPr>
            </w:pPr>
            <w:r>
              <w:rPr>
                <w:rFonts w:ascii="times" w:hAnsi="times"/>
                <w:sz w:val="20"/>
              </w:rPr>
              <w:t>First Quarter</w:t>
            </w:r>
          </w:p>
        </w:tc>
        <w:tc>
          <w:tcPr>
            <w:tcW w:w="180"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0.8500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0.4000</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0.8000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0.3500</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0.6875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0.2375</w:t>
            </w:r>
          </w:p>
        </w:tc>
        <w:tc>
          <w:tcPr>
            <w:tcW w:w="60" w:type="dxa"/>
            <w:tcBorders/>
            <w:shd w:fill="CCEEFF" w:val="clear"/>
          </w:tcPr>
          <w:p>
            <w:pPr>
              <w:pStyle w:val="TableContents"/>
              <w:spacing w:before="0" w:after="283"/>
              <w:rPr/>
            </w:pPr>
            <w:r>
              <w:rPr/>
              <w:t> </w:t>
            </w:r>
          </w:p>
        </w:tc>
      </w:tr>
      <w:tr>
        <w:trPr/>
        <w:tc>
          <w:tcPr>
            <w:tcW w:w="1740" w:type="dxa"/>
            <w:tcBorders/>
            <w:shd w:fill="FFFFFF" w:val="clear"/>
          </w:tcPr>
          <w:p>
            <w:pPr>
              <w:pStyle w:val="TableContents"/>
              <w:spacing w:before="0" w:after="283"/>
              <w:ind w:left="200" w:right="0" w:hanging="200"/>
              <w:rPr>
                <w:rFonts w:ascii="times" w:hAnsi="times"/>
                <w:sz w:val="20"/>
              </w:rPr>
            </w:pPr>
            <w:r>
              <w:rPr>
                <w:rFonts w:ascii="times" w:hAnsi="times"/>
                <w:sz w:val="20"/>
              </w:rPr>
              <w:t>Second Quarter</w:t>
            </w:r>
          </w:p>
        </w:tc>
        <w:tc>
          <w:tcPr>
            <w:tcW w:w="180"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0.8650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0.4150</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0.8125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0.3625</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0.7075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0.2575</w:t>
            </w:r>
          </w:p>
        </w:tc>
        <w:tc>
          <w:tcPr>
            <w:tcW w:w="60" w:type="dxa"/>
            <w:tcBorders/>
            <w:shd w:fill="FFFFFF" w:val="clear"/>
          </w:tcPr>
          <w:p>
            <w:pPr>
              <w:pStyle w:val="TableContents"/>
              <w:spacing w:before="0" w:after="283"/>
              <w:rPr/>
            </w:pPr>
            <w:r>
              <w:rPr/>
              <w:t> </w:t>
            </w:r>
          </w:p>
        </w:tc>
      </w:tr>
      <w:tr>
        <w:trPr/>
        <w:tc>
          <w:tcPr>
            <w:tcW w:w="1740" w:type="dxa"/>
            <w:tcBorders/>
            <w:shd w:fill="CCEEFF" w:val="clear"/>
          </w:tcPr>
          <w:p>
            <w:pPr>
              <w:pStyle w:val="TableContents"/>
              <w:spacing w:before="0" w:after="283"/>
              <w:ind w:left="200" w:right="0" w:hanging="200"/>
              <w:rPr>
                <w:rFonts w:ascii="times" w:hAnsi="times"/>
                <w:sz w:val="20"/>
              </w:rPr>
            </w:pPr>
            <w:r>
              <w:rPr>
                <w:rFonts w:ascii="times" w:hAnsi="times"/>
                <w:sz w:val="20"/>
              </w:rPr>
              <w:t>Third Quarter</w:t>
            </w:r>
          </w:p>
        </w:tc>
        <w:tc>
          <w:tcPr>
            <w:tcW w:w="180"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0.8875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0.4375</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0.8300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0.3800</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773" w:type="dxa"/>
            <w:tcBorders/>
            <w:shd w:fill="CCEEFF" w:val="clear"/>
          </w:tcPr>
          <w:p>
            <w:pPr>
              <w:pStyle w:val="TableContents"/>
              <w:spacing w:before="0" w:after="283"/>
              <w:jc w:val="right"/>
              <w:rPr>
                <w:rFonts w:ascii="times" w:hAnsi="times"/>
                <w:sz w:val="20"/>
              </w:rPr>
            </w:pPr>
            <w:r>
              <w:rPr>
                <w:rFonts w:ascii="times" w:hAnsi="times"/>
                <w:sz w:val="20"/>
              </w:rPr>
              <w:t>0.7250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0.2750</w:t>
            </w:r>
          </w:p>
        </w:tc>
        <w:tc>
          <w:tcPr>
            <w:tcW w:w="60" w:type="dxa"/>
            <w:tcBorders/>
            <w:shd w:fill="CCEEFF" w:val="clear"/>
          </w:tcPr>
          <w:p>
            <w:pPr>
              <w:pStyle w:val="TableContents"/>
              <w:spacing w:before="0" w:after="283"/>
              <w:rPr/>
            </w:pPr>
            <w:r>
              <w:rPr/>
              <w:t> </w:t>
            </w:r>
          </w:p>
        </w:tc>
      </w:tr>
      <w:tr>
        <w:trPr/>
        <w:tc>
          <w:tcPr>
            <w:tcW w:w="1740" w:type="dxa"/>
            <w:tcBorders/>
            <w:shd w:fill="FFFFFF" w:val="clear"/>
          </w:tcPr>
          <w:p>
            <w:pPr>
              <w:pStyle w:val="TableContents"/>
              <w:spacing w:before="0" w:after="283"/>
              <w:ind w:left="200" w:right="0" w:hanging="200"/>
              <w:rPr>
                <w:rFonts w:ascii="times" w:hAnsi="times"/>
                <w:sz w:val="20"/>
              </w:rPr>
            </w:pPr>
            <w:r>
              <w:rPr>
                <w:rFonts w:ascii="times" w:hAnsi="times"/>
                <w:sz w:val="20"/>
              </w:rPr>
              <w:t>Fourth Quarter</w:t>
            </w:r>
          </w:p>
        </w:tc>
        <w:tc>
          <w:tcPr>
            <w:tcW w:w="180"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0.8925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0.4425</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0.8400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0.3900</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773" w:type="dxa"/>
            <w:tcBorders/>
            <w:shd w:fill="FFFFFF" w:val="clear"/>
          </w:tcPr>
          <w:p>
            <w:pPr>
              <w:pStyle w:val="TableContents"/>
              <w:spacing w:before="0" w:after="283"/>
              <w:jc w:val="right"/>
              <w:rPr>
                <w:rFonts w:ascii="times" w:hAnsi="times"/>
                <w:sz w:val="20"/>
              </w:rPr>
            </w:pPr>
            <w:r>
              <w:rPr>
                <w:rFonts w:ascii="times" w:hAnsi="times"/>
                <w:sz w:val="20"/>
              </w:rPr>
              <w:t>0.7500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0.3000</w:t>
            </w:r>
          </w:p>
        </w:tc>
        <w:tc>
          <w:tcPr>
            <w:tcW w:w="60" w:type="dxa"/>
            <w:tcBorders/>
            <w:shd w:fill="FFFFFF"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Distributions represent those declared and paid in the applicable period. </w:t>
      </w:r>
    </w:p>
    <w:p>
      <w:pPr>
        <w:pStyle w:val="TextBody"/>
        <w:rPr/>
      </w:pPr>
      <w:r>
        <w:rPr/>
        <w:t>        </w:t>
      </w:r>
      <w:r>
        <w:rPr>
          <w:rFonts w:ascii="times" w:hAnsi="times"/>
          <w:sz w:val="20"/>
        </w:rPr>
        <w:t xml:space="preserve">Total cash distributions made were as follows (in millions, except per unit amounts): </w:t>
      </w:r>
    </w:p>
    <w:tbl>
      <w:tblPr>
        <w:tblW w:w="7663" w:type="dxa"/>
        <w:jc w:val="center"/>
        <w:tblInd w:w="0" w:type="dxa"/>
        <w:tblCellMar>
          <w:top w:w="0" w:type="dxa"/>
          <w:left w:w="0" w:type="dxa"/>
          <w:bottom w:w="0" w:type="dxa"/>
          <w:right w:w="0" w:type="dxa"/>
        </w:tblCellMar>
      </w:tblPr>
      <w:tblGrid>
        <w:gridCol w:w="3570"/>
        <w:gridCol w:w="180"/>
        <w:gridCol w:w="125"/>
        <w:gridCol w:w="420"/>
        <w:gridCol w:w="225"/>
        <w:gridCol w:w="137"/>
        <w:gridCol w:w="467"/>
        <w:gridCol w:w="270"/>
        <w:gridCol w:w="130"/>
        <w:gridCol w:w="130"/>
        <w:gridCol w:w="225"/>
        <w:gridCol w:w="125"/>
        <w:gridCol w:w="335"/>
        <w:gridCol w:w="225"/>
        <w:gridCol w:w="132"/>
        <w:gridCol w:w="907"/>
        <w:gridCol w:w="60"/>
      </w:tblGrid>
      <w:tr>
        <w:trPr/>
        <w:tc>
          <w:tcPr>
            <w:tcW w:w="357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57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589"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Distributions Paid </w:t>
            </w:r>
          </w:p>
        </w:tc>
        <w:tc>
          <w:tcPr>
            <w:tcW w:w="225" w:type="dxa"/>
            <w:tcBorders/>
            <w:shd w:fill="auto" w:val="clear"/>
            <w:vAlign w:val="bottom"/>
          </w:tcPr>
          <w:p>
            <w:pPr>
              <w:pStyle w:val="TableHeading"/>
              <w:suppressLineNumbers/>
              <w:spacing w:before="0" w:after="283"/>
              <w:jc w:val="center"/>
              <w:rPr/>
            </w:pPr>
            <w:r>
              <w:rPr/>
              <w:t> </w:t>
            </w:r>
          </w:p>
        </w:tc>
        <w:tc>
          <w:tcPr>
            <w:tcW w:w="1039" w:type="dxa"/>
            <w:gridSpan w:val="2"/>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r>
      <w:tr>
        <w:trPr/>
        <w:tc>
          <w:tcPr>
            <w:tcW w:w="357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45" w:type="dxa"/>
            <w:gridSpan w:val="2"/>
            <w:tcBorders/>
            <w:shd w:fill="auto" w:val="clear"/>
            <w:vAlign w:val="bottom"/>
          </w:tcPr>
          <w:p>
            <w:pPr>
              <w:pStyle w:val="TableHeading"/>
              <w:spacing w:before="0" w:after="283"/>
              <w:jc w:val="left"/>
              <w:rPr/>
            </w:pPr>
            <w:r>
              <w:rPr/>
              <w:t> </w:t>
            </w:r>
          </w:p>
        </w:tc>
        <w:tc>
          <w:tcPr>
            <w:tcW w:w="225" w:type="dxa"/>
            <w:vMerge w:val="restart"/>
            <w:tcBorders/>
            <w:shd w:fill="auto" w:val="clear"/>
            <w:vAlign w:val="bottom"/>
          </w:tcPr>
          <w:p>
            <w:pPr>
              <w:pStyle w:val="TableHeading"/>
              <w:suppressLineNumbers/>
              <w:spacing w:before="0" w:after="283"/>
              <w:jc w:val="center"/>
              <w:rPr/>
            </w:pPr>
            <w:r>
              <w:rPr/>
              <w:t> </w:t>
            </w:r>
          </w:p>
        </w:tc>
        <w:tc>
          <w:tcPr>
            <w:tcW w:w="1134"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General Partner </w:t>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shd w:fill="auto" w:val="clear"/>
            <w:vAlign w:val="bottom"/>
          </w:tcPr>
          <w:p>
            <w:pPr>
              <w:pStyle w:val="TableHeading"/>
              <w:spacing w:before="0" w:after="283"/>
              <w:jc w:val="left"/>
              <w:rPr/>
            </w:pPr>
            <w:r>
              <w:rPr/>
              <w:t> </w:t>
            </w:r>
          </w:p>
        </w:tc>
        <w:tc>
          <w:tcPr>
            <w:tcW w:w="225" w:type="dxa"/>
            <w:tcBorders/>
            <w:shd w:fill="auto" w:val="clear"/>
            <w:vAlign w:val="bottom"/>
          </w:tcPr>
          <w:p>
            <w:pPr>
              <w:pStyle w:val="TableHeading"/>
              <w:suppressLineNumbers/>
              <w:spacing w:before="0" w:after="283"/>
              <w:jc w:val="center"/>
              <w:rPr/>
            </w:pPr>
            <w:r>
              <w:rPr/>
              <w:t> </w:t>
            </w:r>
          </w:p>
        </w:tc>
        <w:tc>
          <w:tcPr>
            <w:tcW w:w="1039" w:type="dxa"/>
            <w:gridSpan w:val="2"/>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r>
      <w:tr>
        <w:trPr/>
        <w:tc>
          <w:tcPr>
            <w:tcW w:w="3570" w:type="dxa"/>
            <w:tcBorders/>
            <w:shd w:fill="auto" w:val="clear"/>
            <w:vAlign w:val="bottom"/>
          </w:tcPr>
          <w:p>
            <w:pPr>
              <w:pStyle w:val="TableHeading"/>
              <w:spacing w:before="0" w:after="283"/>
              <w:jc w:val="left"/>
              <w:rPr/>
            </w:pPr>
            <w:r>
              <w:rPr/>
              <w:t> </w:t>
            </w:r>
          </w:p>
        </w:tc>
        <w:tc>
          <w:tcPr>
            <w:tcW w:w="180" w:type="dxa"/>
            <w:vMerge w:val="restart"/>
            <w:tcBorders/>
            <w:shd w:fill="auto" w:val="clear"/>
            <w:vAlign w:val="bottom"/>
          </w:tcPr>
          <w:p>
            <w:pPr>
              <w:pStyle w:val="TableHeading"/>
              <w:suppressLineNumbers/>
              <w:spacing w:before="0" w:after="283"/>
              <w:jc w:val="center"/>
              <w:rPr/>
            </w:pPr>
            <w:r>
              <w:rPr/>
              <w:t> </w:t>
            </w:r>
          </w:p>
        </w:tc>
        <w:tc>
          <w:tcPr>
            <w:tcW w:w="545"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Common</w:t>
              <w:br/>
              <w:t xml:space="preserve">Units </w:t>
            </w:r>
          </w:p>
        </w:tc>
        <w:tc>
          <w:tcPr>
            <w:tcW w:w="225" w:type="dxa"/>
            <w:vMerge w:val="continue"/>
            <w:tcBorders/>
            <w:shd w:fill="auto" w:val="clear"/>
            <w:vAlign w:val="bottom"/>
          </w:tcPr>
          <w:p>
            <w:pPr>
              <w:pStyle w:val="Normal"/>
              <w:rPr/>
            </w:pPr>
            <w:r>
              <w:rPr/>
            </w:r>
          </w:p>
        </w:tc>
        <w:tc>
          <w:tcPr>
            <w:tcW w:w="1134" w:type="dxa"/>
            <w:gridSpan w:val="5"/>
            <w:vMerge w:val="continue"/>
            <w:tcBorders>
              <w:bottom w:val="single" w:sz="8" w:space="0" w:color="000000"/>
            </w:tcBorders>
            <w:shd w:fill="auto" w:val="clear"/>
            <w:tcMar>
              <w:bottom w:w="28" w:type="dxa"/>
            </w:tcMar>
            <w:vAlign w:val="bottom"/>
          </w:tcPr>
          <w:p>
            <w:pPr>
              <w:pStyle w:val="Normal"/>
              <w:rPr/>
            </w:pPr>
            <w:r>
              <w:rPr/>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shd w:fill="auto" w:val="clear"/>
            <w:vAlign w:val="bottom"/>
          </w:tcPr>
          <w:p>
            <w:pPr>
              <w:pStyle w:val="TableHeading"/>
              <w:spacing w:before="0" w:after="283"/>
              <w:jc w:val="left"/>
              <w:rPr/>
            </w:pPr>
            <w:r>
              <w:rPr/>
              <w:t> </w:t>
            </w:r>
          </w:p>
        </w:tc>
        <w:tc>
          <w:tcPr>
            <w:tcW w:w="225" w:type="dxa"/>
            <w:vMerge w:val="restart"/>
            <w:tcBorders/>
            <w:shd w:fill="auto" w:val="clear"/>
            <w:vAlign w:val="bottom"/>
          </w:tcPr>
          <w:p>
            <w:pPr>
              <w:pStyle w:val="TableHeading"/>
              <w:suppressLineNumbers/>
              <w:spacing w:before="0" w:after="283"/>
              <w:jc w:val="center"/>
              <w:rPr/>
            </w:pPr>
            <w:r>
              <w:rPr/>
              <w:t> </w:t>
            </w:r>
          </w:p>
        </w:tc>
        <w:tc>
          <w:tcPr>
            <w:tcW w:w="103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Distributions per</w:t>
              <w:br/>
              <w:t>limited partner</w:t>
              <w:br/>
              <w:t xml:space="preserve">unit </w:t>
            </w:r>
          </w:p>
        </w:tc>
        <w:tc>
          <w:tcPr>
            <w:tcW w:w="60" w:type="dxa"/>
            <w:tcBorders/>
            <w:shd w:fill="auto" w:val="clear"/>
            <w:vAlign w:val="bottom"/>
          </w:tcPr>
          <w:p>
            <w:pPr>
              <w:pStyle w:val="TableHeading"/>
              <w:suppressLineNumbers/>
              <w:spacing w:before="0" w:after="283"/>
              <w:jc w:val="center"/>
              <w:rPr/>
            </w:pPr>
            <w:r>
              <w:rPr/>
              <w:t> </w:t>
            </w:r>
          </w:p>
        </w:tc>
      </w:tr>
      <w:tr>
        <w:trPr/>
        <w:tc>
          <w:tcPr>
            <w:tcW w:w="357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Year </w:t>
            </w:r>
          </w:p>
        </w:tc>
        <w:tc>
          <w:tcPr>
            <w:tcW w:w="180" w:type="dxa"/>
            <w:vMerge w:val="continue"/>
            <w:tcBorders/>
            <w:shd w:fill="auto" w:val="clear"/>
            <w:vAlign w:val="bottom"/>
          </w:tcPr>
          <w:p>
            <w:pPr>
              <w:pStyle w:val="Normal"/>
              <w:rPr/>
            </w:pPr>
            <w:r>
              <w:rPr/>
            </w:r>
          </w:p>
        </w:tc>
        <w:tc>
          <w:tcPr>
            <w:tcW w:w="545" w:type="dxa"/>
            <w:gridSpan w:val="2"/>
            <w:vMerge w:val="continue"/>
            <w:tcBorders>
              <w:bottom w:val="single" w:sz="8" w:space="0" w:color="000000"/>
            </w:tcBorders>
            <w:shd w:fill="auto" w:val="clear"/>
            <w:tcMar>
              <w:bottom w:w="28" w:type="dxa"/>
            </w:tcMar>
            <w:vAlign w:val="bottom"/>
          </w:tcPr>
          <w:p>
            <w:pPr>
              <w:pStyle w:val="Normal"/>
              <w:rPr/>
            </w:pPr>
            <w:r>
              <w:rPr/>
            </w:r>
          </w:p>
        </w:tc>
        <w:tc>
          <w:tcPr>
            <w:tcW w:w="225" w:type="dxa"/>
            <w:tcBorders/>
            <w:shd w:fill="auto" w:val="clear"/>
            <w:vAlign w:val="bottom"/>
          </w:tcPr>
          <w:p>
            <w:pPr>
              <w:pStyle w:val="TableHeading"/>
              <w:suppressLineNumbers/>
              <w:spacing w:before="0" w:after="283"/>
              <w:jc w:val="center"/>
              <w:rPr/>
            </w:pPr>
            <w:r>
              <w:rPr/>
              <w:t> </w:t>
            </w:r>
          </w:p>
        </w:tc>
        <w:tc>
          <w:tcPr>
            <w:tcW w:w="6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Incentive </w:t>
            </w:r>
          </w:p>
        </w:tc>
        <w:tc>
          <w:tcPr>
            <w:tcW w:w="270" w:type="dxa"/>
            <w:tcBorders/>
            <w:shd w:fill="auto" w:val="clear"/>
            <w:vAlign w:val="bottom"/>
          </w:tcPr>
          <w:p>
            <w:pPr>
              <w:pStyle w:val="TableHeading"/>
              <w:suppressLineNumbers/>
              <w:spacing w:before="0" w:after="283"/>
              <w:jc w:val="center"/>
              <w:rPr/>
            </w:pPr>
            <w:r>
              <w:rPr/>
              <w:t> </w:t>
            </w:r>
          </w:p>
        </w:tc>
        <w:tc>
          <w:tcPr>
            <w:tcW w:w="2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 </w:t>
            </w:r>
          </w:p>
        </w:tc>
        <w:tc>
          <w:tcPr>
            <w:tcW w:w="225"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225" w:type="dxa"/>
            <w:vMerge w:val="continue"/>
            <w:tcBorders/>
            <w:shd w:fill="auto" w:val="clear"/>
            <w:vAlign w:val="bottom"/>
          </w:tcPr>
          <w:p>
            <w:pPr>
              <w:pStyle w:val="Normal"/>
              <w:rPr/>
            </w:pPr>
            <w:r>
              <w:rPr/>
            </w:r>
          </w:p>
        </w:tc>
        <w:tc>
          <w:tcPr>
            <w:tcW w:w="1039"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Heading"/>
              <w:suppressLineNumbers/>
              <w:spacing w:before="0" w:after="283"/>
              <w:jc w:val="center"/>
              <w:rPr/>
            </w:pPr>
            <w:r>
              <w:rPr/>
              <w:t> </w:t>
            </w:r>
          </w:p>
        </w:tc>
      </w:tr>
      <w:tr>
        <w:trPr/>
        <w:tc>
          <w:tcPr>
            <w:tcW w:w="3570" w:type="dxa"/>
            <w:tcBorders/>
            <w:shd w:fill="CCEEFF" w:val="clear"/>
          </w:tcPr>
          <w:p>
            <w:pPr>
              <w:pStyle w:val="TableContents"/>
              <w:spacing w:before="0" w:after="283"/>
              <w:ind w:left="200" w:right="0" w:hanging="200"/>
              <w:rPr>
                <w:rFonts w:ascii="times" w:hAnsi="times"/>
                <w:sz w:val="20"/>
              </w:rPr>
            </w:pPr>
            <w:r>
              <w:rPr>
                <w:rFonts w:ascii="times" w:hAnsi="times"/>
                <w:sz w:val="20"/>
              </w:rPr>
              <w:t>2008</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20" w:type="dxa"/>
            <w:tcBorders/>
            <w:shd w:fill="CCEEFF" w:val="clear"/>
          </w:tcPr>
          <w:p>
            <w:pPr>
              <w:pStyle w:val="TableContents"/>
              <w:spacing w:before="0" w:after="283"/>
              <w:jc w:val="right"/>
              <w:rPr>
                <w:rFonts w:ascii="times" w:hAnsi="times"/>
                <w:sz w:val="20"/>
              </w:rPr>
            </w:pPr>
            <w:r>
              <w:rPr>
                <w:rFonts w:ascii="times" w:hAnsi="times"/>
                <w:sz w:val="20"/>
              </w:rPr>
              <w:t>418</w:t>
            </w:r>
          </w:p>
        </w:tc>
        <w:tc>
          <w:tcPr>
            <w:tcW w:w="225" w:type="dxa"/>
            <w:tcBorders/>
            <w:shd w:fill="CCEEFF" w:val="clear"/>
          </w:tcPr>
          <w:p>
            <w:pPr>
              <w:pStyle w:val="TableContents"/>
              <w:spacing w:before="0" w:after="283"/>
              <w:rPr/>
            </w:pPr>
            <w:r>
              <w:rPr/>
              <w:t> </w:t>
            </w:r>
          </w:p>
        </w:tc>
        <w:tc>
          <w:tcPr>
            <w:tcW w:w="137" w:type="dxa"/>
            <w:tcBorders/>
            <w:shd w:fill="CCEEFF" w:val="clear"/>
          </w:tcPr>
          <w:p>
            <w:pPr>
              <w:pStyle w:val="TableContents"/>
              <w:spacing w:before="0" w:after="283"/>
              <w:jc w:val="right"/>
              <w:rPr>
                <w:rFonts w:ascii="times" w:hAnsi="times"/>
                <w:sz w:val="20"/>
              </w:rPr>
            </w:pPr>
            <w:r>
              <w:rPr>
                <w:rFonts w:ascii="times" w:hAnsi="times"/>
                <w:sz w:val="20"/>
              </w:rPr>
              <w:t>$</w:t>
            </w:r>
          </w:p>
        </w:tc>
        <w:tc>
          <w:tcPr>
            <w:tcW w:w="467" w:type="dxa"/>
            <w:tcBorders/>
            <w:shd w:fill="CCEEFF" w:val="clear"/>
          </w:tcPr>
          <w:p>
            <w:pPr>
              <w:pStyle w:val="TableContents"/>
              <w:spacing w:before="0" w:after="283"/>
              <w:jc w:val="right"/>
              <w:rPr>
                <w:rFonts w:ascii="times" w:hAnsi="times"/>
                <w:sz w:val="20"/>
              </w:rPr>
            </w:pPr>
            <w:r>
              <w:rPr>
                <w:rFonts w:ascii="times" w:hAnsi="times"/>
                <w:sz w:val="20"/>
              </w:rPr>
              <w:t>106</w:t>
            </w:r>
          </w:p>
        </w:tc>
        <w:tc>
          <w:tcPr>
            <w:tcW w:w="270" w:type="dxa"/>
            <w:tcBorders/>
            <w:shd w:fill="CCEEFF" w:val="clear"/>
          </w:tcPr>
          <w:p>
            <w:pPr>
              <w:pStyle w:val="TableContents"/>
              <w:spacing w:before="0" w:after="283"/>
              <w:rPr/>
            </w:pPr>
            <w:r>
              <w:rPr/>
              <w:t> </w:t>
            </w:r>
          </w:p>
        </w:tc>
        <w:tc>
          <w:tcPr>
            <w:tcW w:w="130" w:type="dxa"/>
            <w:tcBorders/>
            <w:shd w:fill="CCEEFF" w:val="clear"/>
          </w:tcPr>
          <w:p>
            <w:pPr>
              <w:pStyle w:val="TableContents"/>
              <w:spacing w:before="0" w:after="283"/>
              <w:jc w:val="right"/>
              <w:rPr>
                <w:rFonts w:ascii="times" w:hAnsi="times"/>
                <w:sz w:val="20"/>
              </w:rPr>
            </w:pPr>
            <w:r>
              <w:rPr>
                <w:rFonts w:ascii="times" w:hAnsi="times"/>
                <w:sz w:val="20"/>
              </w:rPr>
              <w:t>$</w:t>
            </w:r>
          </w:p>
        </w:tc>
        <w:tc>
          <w:tcPr>
            <w:tcW w:w="130" w:type="dxa"/>
            <w:tcBorders/>
            <w:shd w:fill="CCEEFF" w:val="clear"/>
          </w:tcPr>
          <w:p>
            <w:pPr>
              <w:pStyle w:val="TableContents"/>
              <w:spacing w:before="0" w:after="283"/>
              <w:jc w:val="right"/>
              <w:rPr>
                <w:rFonts w:ascii="times" w:hAnsi="times"/>
                <w:sz w:val="20"/>
              </w:rPr>
            </w:pPr>
            <w:r>
              <w:rPr>
                <w:rFonts w:ascii="times" w:hAnsi="times"/>
                <w:sz w:val="20"/>
              </w:rPr>
              <w:t>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532</w:t>
            </w:r>
          </w:p>
        </w:tc>
        <w:tc>
          <w:tcPr>
            <w:tcW w:w="225" w:type="dxa"/>
            <w:tcBorders/>
            <w:shd w:fill="CCEEFF" w:val="clear"/>
          </w:tcPr>
          <w:p>
            <w:pPr>
              <w:pStyle w:val="TableContents"/>
              <w:spacing w:before="0" w:after="283"/>
              <w:rPr/>
            </w:pPr>
            <w:r>
              <w:rPr/>
              <w:t> </w:t>
            </w:r>
          </w:p>
        </w:tc>
        <w:tc>
          <w:tcPr>
            <w:tcW w:w="132" w:type="dxa"/>
            <w:tcBorders/>
            <w:shd w:fill="CCEEFF" w:val="clear"/>
          </w:tcPr>
          <w:p>
            <w:pPr>
              <w:pStyle w:val="TableContents"/>
              <w:spacing w:before="0" w:after="283"/>
              <w:jc w:val="right"/>
              <w:rPr>
                <w:rFonts w:ascii="times" w:hAnsi="times"/>
                <w:sz w:val="20"/>
              </w:rPr>
            </w:pPr>
            <w:r>
              <w:rPr>
                <w:rFonts w:ascii="times" w:hAnsi="times"/>
                <w:sz w:val="20"/>
              </w:rPr>
              <w:t>$</w:t>
            </w:r>
          </w:p>
        </w:tc>
        <w:tc>
          <w:tcPr>
            <w:tcW w:w="907" w:type="dxa"/>
            <w:tcBorders/>
            <w:shd w:fill="CCEEFF" w:val="clear"/>
          </w:tcPr>
          <w:p>
            <w:pPr>
              <w:pStyle w:val="TableContents"/>
              <w:spacing w:before="0" w:after="283"/>
              <w:jc w:val="right"/>
              <w:rPr>
                <w:rFonts w:ascii="times" w:hAnsi="times"/>
                <w:sz w:val="20"/>
              </w:rPr>
            </w:pPr>
            <w:r>
              <w:rPr>
                <w:rFonts w:ascii="times" w:hAnsi="times"/>
                <w:sz w:val="20"/>
              </w:rPr>
              <w:t>3.50</w:t>
            </w:r>
          </w:p>
        </w:tc>
        <w:tc>
          <w:tcPr>
            <w:tcW w:w="60" w:type="dxa"/>
            <w:tcBorders/>
            <w:shd w:fill="CCEEFF" w:val="clear"/>
          </w:tcPr>
          <w:p>
            <w:pPr>
              <w:pStyle w:val="TableContents"/>
              <w:spacing w:before="0" w:after="283"/>
              <w:rPr/>
            </w:pPr>
            <w:r>
              <w:rPr/>
              <w:t> </w:t>
            </w:r>
          </w:p>
        </w:tc>
      </w:tr>
      <w:tr>
        <w:trPr/>
        <w:tc>
          <w:tcPr>
            <w:tcW w:w="3570" w:type="dxa"/>
            <w:tcBorders/>
            <w:shd w:fill="FFFFFF" w:val="clear"/>
          </w:tcPr>
          <w:p>
            <w:pPr>
              <w:pStyle w:val="TableContents"/>
              <w:spacing w:before="0" w:after="283"/>
              <w:ind w:left="200" w:right="0" w:hanging="200"/>
              <w:rPr>
                <w:rFonts w:ascii="times" w:hAnsi="times"/>
                <w:sz w:val="20"/>
              </w:rPr>
            </w:pPr>
            <w:r>
              <w:rPr>
                <w:rFonts w:ascii="times" w:hAnsi="times"/>
                <w:sz w:val="20"/>
              </w:rPr>
              <w:t>2007</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420" w:type="dxa"/>
            <w:tcBorders/>
            <w:shd w:fill="FFFFFF" w:val="clear"/>
          </w:tcPr>
          <w:p>
            <w:pPr>
              <w:pStyle w:val="TableContents"/>
              <w:spacing w:before="0" w:after="283"/>
              <w:jc w:val="right"/>
              <w:rPr>
                <w:rFonts w:ascii="times" w:hAnsi="times"/>
                <w:sz w:val="20"/>
              </w:rPr>
            </w:pPr>
            <w:r>
              <w:rPr>
                <w:rFonts w:ascii="times" w:hAnsi="times"/>
                <w:sz w:val="20"/>
              </w:rPr>
              <w:t>370</w:t>
            </w:r>
          </w:p>
        </w:tc>
        <w:tc>
          <w:tcPr>
            <w:tcW w:w="225" w:type="dxa"/>
            <w:tcBorders/>
            <w:shd w:fill="FFFFFF" w:val="clear"/>
          </w:tcPr>
          <w:p>
            <w:pPr>
              <w:pStyle w:val="TableContents"/>
              <w:spacing w:before="0" w:after="283"/>
              <w:rPr/>
            </w:pPr>
            <w:r>
              <w:rPr/>
              <w:t> </w:t>
            </w:r>
          </w:p>
        </w:tc>
        <w:tc>
          <w:tcPr>
            <w:tcW w:w="137" w:type="dxa"/>
            <w:tcBorders/>
            <w:shd w:fill="FFFFFF" w:val="clear"/>
          </w:tcPr>
          <w:p>
            <w:pPr>
              <w:pStyle w:val="TableContents"/>
              <w:spacing w:before="0" w:after="283"/>
              <w:jc w:val="right"/>
              <w:rPr>
                <w:rFonts w:ascii="times" w:hAnsi="times"/>
                <w:sz w:val="20"/>
              </w:rPr>
            </w:pPr>
            <w:r>
              <w:rPr>
                <w:rFonts w:ascii="times" w:hAnsi="times"/>
                <w:sz w:val="20"/>
              </w:rPr>
              <w:t>$</w:t>
            </w:r>
          </w:p>
        </w:tc>
        <w:tc>
          <w:tcPr>
            <w:tcW w:w="467" w:type="dxa"/>
            <w:tcBorders/>
            <w:shd w:fill="FFFFFF" w:val="clear"/>
          </w:tcPr>
          <w:p>
            <w:pPr>
              <w:pStyle w:val="TableContents"/>
              <w:spacing w:before="0" w:after="283"/>
              <w:jc w:val="right"/>
              <w:rPr>
                <w:rFonts w:ascii="times" w:hAnsi="times"/>
                <w:sz w:val="20"/>
              </w:rPr>
            </w:pPr>
            <w:r>
              <w:rPr>
                <w:rFonts w:ascii="times" w:hAnsi="times"/>
                <w:sz w:val="20"/>
              </w:rPr>
              <w:t>73</w:t>
            </w:r>
          </w:p>
        </w:tc>
        <w:tc>
          <w:tcPr>
            <w:tcW w:w="270" w:type="dxa"/>
            <w:tcBorders/>
            <w:shd w:fill="FFFFFF" w:val="clear"/>
          </w:tcPr>
          <w:p>
            <w:pPr>
              <w:pStyle w:val="TableContents"/>
              <w:spacing w:before="0" w:after="283"/>
              <w:rPr/>
            </w:pPr>
            <w:r>
              <w:rPr/>
              <w:t> </w:t>
            </w:r>
          </w:p>
        </w:tc>
        <w:tc>
          <w:tcPr>
            <w:tcW w:w="130" w:type="dxa"/>
            <w:tcBorders/>
            <w:shd w:fill="FFFFFF" w:val="clear"/>
          </w:tcPr>
          <w:p>
            <w:pPr>
              <w:pStyle w:val="TableContents"/>
              <w:spacing w:before="0" w:after="283"/>
              <w:jc w:val="right"/>
              <w:rPr>
                <w:rFonts w:ascii="times" w:hAnsi="times"/>
                <w:sz w:val="20"/>
              </w:rPr>
            </w:pPr>
            <w:r>
              <w:rPr>
                <w:rFonts w:ascii="times" w:hAnsi="times"/>
                <w:sz w:val="20"/>
              </w:rPr>
              <w:t>$</w:t>
            </w:r>
          </w:p>
        </w:tc>
        <w:tc>
          <w:tcPr>
            <w:tcW w:w="130" w:type="dxa"/>
            <w:tcBorders/>
            <w:shd w:fill="FFFFFF" w:val="clear"/>
          </w:tcPr>
          <w:p>
            <w:pPr>
              <w:pStyle w:val="TableContents"/>
              <w:spacing w:before="0" w:after="283"/>
              <w:jc w:val="right"/>
              <w:rPr>
                <w:rFonts w:ascii="times" w:hAnsi="times"/>
                <w:sz w:val="20"/>
              </w:rPr>
            </w:pPr>
            <w:r>
              <w:rPr>
                <w:rFonts w:ascii="times" w:hAnsi="times"/>
                <w:sz w:val="20"/>
              </w:rPr>
              <w:t>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tcPr>
          <w:p>
            <w:pPr>
              <w:pStyle w:val="TableContents"/>
              <w:spacing w:before="0" w:after="283"/>
              <w:jc w:val="right"/>
              <w:rPr>
                <w:rFonts w:ascii="times" w:hAnsi="times"/>
                <w:sz w:val="20"/>
              </w:rPr>
            </w:pPr>
            <w:r>
              <w:rPr>
                <w:rFonts w:ascii="times" w:hAnsi="times"/>
                <w:sz w:val="20"/>
              </w:rPr>
              <w:t>451</w:t>
            </w:r>
          </w:p>
        </w:tc>
        <w:tc>
          <w:tcPr>
            <w:tcW w:w="225" w:type="dxa"/>
            <w:tcBorders/>
            <w:shd w:fill="FFFFFF" w:val="clear"/>
          </w:tcPr>
          <w:p>
            <w:pPr>
              <w:pStyle w:val="TableContents"/>
              <w:spacing w:before="0" w:after="283"/>
              <w:rPr/>
            </w:pPr>
            <w:r>
              <w:rPr/>
              <w:t> </w:t>
            </w:r>
          </w:p>
        </w:tc>
        <w:tc>
          <w:tcPr>
            <w:tcW w:w="132" w:type="dxa"/>
            <w:tcBorders/>
            <w:shd w:fill="FFFFFF" w:val="clear"/>
          </w:tcPr>
          <w:p>
            <w:pPr>
              <w:pStyle w:val="TableContents"/>
              <w:spacing w:before="0" w:after="283"/>
              <w:jc w:val="right"/>
              <w:rPr>
                <w:rFonts w:ascii="times" w:hAnsi="times"/>
                <w:sz w:val="20"/>
              </w:rPr>
            </w:pPr>
            <w:r>
              <w:rPr>
                <w:rFonts w:ascii="times" w:hAnsi="times"/>
                <w:sz w:val="20"/>
              </w:rPr>
              <w:t>$</w:t>
            </w:r>
          </w:p>
        </w:tc>
        <w:tc>
          <w:tcPr>
            <w:tcW w:w="907" w:type="dxa"/>
            <w:tcBorders/>
            <w:shd w:fill="FFFFFF" w:val="clear"/>
          </w:tcPr>
          <w:p>
            <w:pPr>
              <w:pStyle w:val="TableContents"/>
              <w:spacing w:before="0" w:after="283"/>
              <w:jc w:val="right"/>
              <w:rPr>
                <w:rFonts w:ascii="times" w:hAnsi="times"/>
                <w:sz w:val="20"/>
              </w:rPr>
            </w:pPr>
            <w:r>
              <w:rPr>
                <w:rFonts w:ascii="times" w:hAnsi="times"/>
                <w:sz w:val="20"/>
              </w:rPr>
              <w:t>3.28</w:t>
            </w:r>
          </w:p>
        </w:tc>
        <w:tc>
          <w:tcPr>
            <w:tcW w:w="60" w:type="dxa"/>
            <w:tcBorders/>
            <w:shd w:fill="FFFFFF" w:val="clear"/>
          </w:tcPr>
          <w:p>
            <w:pPr>
              <w:pStyle w:val="TableContents"/>
              <w:spacing w:before="0" w:after="283"/>
              <w:rPr/>
            </w:pPr>
            <w:r>
              <w:rPr/>
              <w:t> </w:t>
            </w:r>
          </w:p>
        </w:tc>
      </w:tr>
      <w:tr>
        <w:trPr/>
        <w:tc>
          <w:tcPr>
            <w:tcW w:w="3570" w:type="dxa"/>
            <w:tcBorders/>
            <w:shd w:fill="CCEEFF" w:val="clear"/>
          </w:tcPr>
          <w:p>
            <w:pPr>
              <w:pStyle w:val="TableContents"/>
              <w:spacing w:before="0" w:after="283"/>
              <w:ind w:left="200" w:right="0" w:hanging="200"/>
              <w:rPr>
                <w:rFonts w:ascii="times" w:hAnsi="times"/>
                <w:sz w:val="20"/>
              </w:rPr>
            </w:pPr>
            <w:r>
              <w:rPr>
                <w:rFonts w:ascii="times" w:hAnsi="times"/>
                <w:sz w:val="20"/>
              </w:rPr>
              <w:t>2006</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20" w:type="dxa"/>
            <w:tcBorders/>
            <w:shd w:fill="CCEEFF" w:val="clear"/>
          </w:tcPr>
          <w:p>
            <w:pPr>
              <w:pStyle w:val="TableContents"/>
              <w:spacing w:before="0" w:after="283"/>
              <w:jc w:val="right"/>
              <w:rPr>
                <w:rFonts w:ascii="times" w:hAnsi="times"/>
                <w:sz w:val="20"/>
              </w:rPr>
            </w:pPr>
            <w:r>
              <w:rPr>
                <w:rFonts w:ascii="times" w:hAnsi="times"/>
                <w:sz w:val="20"/>
              </w:rPr>
              <w:t>225</w:t>
            </w:r>
          </w:p>
        </w:tc>
        <w:tc>
          <w:tcPr>
            <w:tcW w:w="225" w:type="dxa"/>
            <w:tcBorders/>
            <w:shd w:fill="CCEEFF" w:val="clear"/>
          </w:tcPr>
          <w:p>
            <w:pPr>
              <w:pStyle w:val="TableContents"/>
              <w:spacing w:before="0" w:after="283"/>
              <w:rPr/>
            </w:pPr>
            <w:r>
              <w:rPr/>
              <w:t> </w:t>
            </w:r>
          </w:p>
        </w:tc>
        <w:tc>
          <w:tcPr>
            <w:tcW w:w="137" w:type="dxa"/>
            <w:tcBorders/>
            <w:shd w:fill="CCEEFF" w:val="clear"/>
          </w:tcPr>
          <w:p>
            <w:pPr>
              <w:pStyle w:val="TableContents"/>
              <w:spacing w:before="0" w:after="283"/>
              <w:jc w:val="right"/>
              <w:rPr>
                <w:rFonts w:ascii="times" w:hAnsi="times"/>
                <w:sz w:val="20"/>
              </w:rPr>
            </w:pPr>
            <w:r>
              <w:rPr>
                <w:rFonts w:ascii="times" w:hAnsi="times"/>
                <w:sz w:val="20"/>
              </w:rPr>
              <w:t>$</w:t>
            </w:r>
          </w:p>
        </w:tc>
        <w:tc>
          <w:tcPr>
            <w:tcW w:w="467" w:type="dxa"/>
            <w:tcBorders/>
            <w:shd w:fill="CCEEFF" w:val="clear"/>
          </w:tcPr>
          <w:p>
            <w:pPr>
              <w:pStyle w:val="TableContents"/>
              <w:spacing w:before="0" w:after="283"/>
              <w:jc w:val="right"/>
              <w:rPr>
                <w:rFonts w:ascii="times" w:hAnsi="times"/>
                <w:sz w:val="20"/>
              </w:rPr>
            </w:pPr>
            <w:r>
              <w:rPr>
                <w:rFonts w:ascii="times" w:hAnsi="times"/>
                <w:sz w:val="20"/>
              </w:rPr>
              <w:t>33</w:t>
            </w:r>
          </w:p>
        </w:tc>
        <w:tc>
          <w:tcPr>
            <w:tcW w:w="270" w:type="dxa"/>
            <w:tcBorders/>
            <w:shd w:fill="CCEEFF" w:val="clear"/>
          </w:tcPr>
          <w:p>
            <w:pPr>
              <w:pStyle w:val="TableContents"/>
              <w:spacing w:before="0" w:after="283"/>
              <w:rPr/>
            </w:pPr>
            <w:r>
              <w:rPr/>
              <w:t> </w:t>
            </w:r>
          </w:p>
        </w:tc>
        <w:tc>
          <w:tcPr>
            <w:tcW w:w="130" w:type="dxa"/>
            <w:tcBorders/>
            <w:shd w:fill="CCEEFF" w:val="clear"/>
          </w:tcPr>
          <w:p>
            <w:pPr>
              <w:pStyle w:val="TableContents"/>
              <w:spacing w:before="0" w:after="283"/>
              <w:jc w:val="right"/>
              <w:rPr>
                <w:rFonts w:ascii="times" w:hAnsi="times"/>
                <w:sz w:val="20"/>
              </w:rPr>
            </w:pPr>
            <w:r>
              <w:rPr>
                <w:rFonts w:ascii="times" w:hAnsi="times"/>
                <w:sz w:val="20"/>
              </w:rPr>
              <w:t>$</w:t>
            </w:r>
          </w:p>
        </w:tc>
        <w:tc>
          <w:tcPr>
            <w:tcW w:w="130" w:type="dxa"/>
            <w:tcBorders/>
            <w:shd w:fill="CCEEFF" w:val="clear"/>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tcPr>
          <w:p>
            <w:pPr>
              <w:pStyle w:val="TableContents"/>
              <w:spacing w:before="0" w:after="283"/>
              <w:jc w:val="right"/>
              <w:rPr>
                <w:rFonts w:ascii="times" w:hAnsi="times"/>
                <w:sz w:val="20"/>
              </w:rPr>
            </w:pPr>
            <w:r>
              <w:rPr>
                <w:rFonts w:ascii="times" w:hAnsi="times"/>
                <w:sz w:val="20"/>
              </w:rPr>
              <w:t>263</w:t>
            </w:r>
          </w:p>
        </w:tc>
        <w:tc>
          <w:tcPr>
            <w:tcW w:w="225" w:type="dxa"/>
            <w:tcBorders/>
            <w:shd w:fill="CCEEFF" w:val="clear"/>
          </w:tcPr>
          <w:p>
            <w:pPr>
              <w:pStyle w:val="TableContents"/>
              <w:spacing w:before="0" w:after="283"/>
              <w:rPr/>
            </w:pPr>
            <w:r>
              <w:rPr/>
              <w:t> </w:t>
            </w:r>
          </w:p>
        </w:tc>
        <w:tc>
          <w:tcPr>
            <w:tcW w:w="132" w:type="dxa"/>
            <w:tcBorders/>
            <w:shd w:fill="CCEEFF" w:val="clear"/>
          </w:tcPr>
          <w:p>
            <w:pPr>
              <w:pStyle w:val="TableContents"/>
              <w:spacing w:before="0" w:after="283"/>
              <w:jc w:val="right"/>
              <w:rPr>
                <w:rFonts w:ascii="times" w:hAnsi="times"/>
                <w:sz w:val="20"/>
              </w:rPr>
            </w:pPr>
            <w:r>
              <w:rPr>
                <w:rFonts w:ascii="times" w:hAnsi="times"/>
                <w:sz w:val="20"/>
              </w:rPr>
              <w:t>$</w:t>
            </w:r>
          </w:p>
        </w:tc>
        <w:tc>
          <w:tcPr>
            <w:tcW w:w="907" w:type="dxa"/>
            <w:tcBorders/>
            <w:shd w:fill="CCEEFF" w:val="clear"/>
          </w:tcPr>
          <w:p>
            <w:pPr>
              <w:pStyle w:val="TableContents"/>
              <w:spacing w:before="0" w:after="283"/>
              <w:jc w:val="right"/>
              <w:rPr>
                <w:rFonts w:ascii="times" w:hAnsi="times"/>
                <w:sz w:val="20"/>
              </w:rPr>
            </w:pPr>
            <w:r>
              <w:rPr>
                <w:rFonts w:ascii="times" w:hAnsi="times"/>
                <w:sz w:val="20"/>
              </w:rPr>
              <w:t>2.87</w:t>
            </w:r>
          </w:p>
        </w:tc>
        <w:tc>
          <w:tcPr>
            <w:tcW w:w="60" w:type="dxa"/>
            <w:tcBorders/>
            <w:shd w:fill="CCEEFF" w:val="clear"/>
          </w:tcPr>
          <w:p>
            <w:pPr>
              <w:pStyle w:val="TableContents"/>
              <w:spacing w:before="0" w:after="283"/>
              <w:rPr/>
            </w:pPr>
            <w:r>
              <w:rPr/>
              <w:t> </w:t>
            </w:r>
          </w:p>
        </w:tc>
      </w:tr>
    </w:tbl>
    <w:p>
      <w:pPr>
        <w:pStyle w:val="TextBody"/>
        <w:rPr/>
      </w:pPr>
      <w:r>
        <w:rPr/>
        <w:t>        </w:t>
      </w:r>
      <w:r>
        <w:rPr>
          <w:rFonts w:ascii="times" w:hAnsi="times"/>
          <w:sz w:val="20"/>
        </w:rPr>
        <w:t xml:space="preserve">On January 14 , 2009, we declared a cash distribution of $0.8925 per unit on our outstanding common units. The distribution was paid on February 13, 2009 to unitholders of record on February 3, 2009, for the period October 1, 2008 through December 31, 2008. The total distribution paid was approximately $140 million, with approximately $110 million paid to our common unitholders and $2 million and $28 million paid to our general partner for its general partner and incentive distribution interests, respectively. </w:t>
      </w:r>
    </w:p>
    <w:p>
      <w:pPr>
        <w:pStyle w:val="TextBody"/>
        <w:jc w:val="center"/>
        <w:rPr>
          <w:rFonts w:ascii="times" w:hAnsi="times"/>
          <w:sz w:val="20"/>
        </w:rPr>
      </w:pPr>
      <w:r>
        <w:rPr>
          <w:rFonts w:ascii="times" w:hAnsi="times"/>
          <w:sz w:val="20"/>
        </w:rPr>
        <w:t>F-33</w:t>
      </w:r>
    </w:p>
    <w:p>
      <w:pPr>
        <w:pStyle w:val="HorizontalLine"/>
        <w:pBdr>
          <w:bottom w:val="single" w:sz="20" w:space="0" w:color="808080"/>
        </w:pBdr>
        <w:rPr/>
      </w:pPr>
      <w:r>
        <w:rPr/>
      </w:r>
      <w:r>
        <w:br w:type="page"/>
      </w:r>
    </w:p>
    <w:p>
      <w:pPr>
        <w:pStyle w:val="TextBody"/>
        <w:rPr/>
      </w:pPr>
      <w:hyperlink w:anchor="bg12101a_main_toc">
        <w:bookmarkStart w:id="267" w:name="page_fs12101_1_34"/>
        <w:bookmarkEnd w:id="26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5Partners' Capital and Distributions (Continued) </w:t>
      </w:r>
    </w:p>
    <w:p>
      <w:pPr>
        <w:pStyle w:val="TextBody"/>
        <w:rPr>
          <w:rFonts w:ascii="times" w:hAnsi="times"/>
          <w:b/>
          <w:i/>
          <w:sz w:val="20"/>
        </w:rPr>
      </w:pPr>
      <w:r>
        <w:rPr>
          <w:rFonts w:ascii="times" w:hAnsi="times"/>
          <w:b/>
          <w:i/>
          <w:sz w:val="20"/>
        </w:rPr>
        <w:t xml:space="preserve">Equity Offerings </w:t>
      </w:r>
    </w:p>
    <w:p>
      <w:pPr>
        <w:pStyle w:val="TextBody"/>
        <w:rPr/>
      </w:pPr>
      <w:r>
        <w:rPr/>
        <w:t>        </w:t>
      </w:r>
      <w:r>
        <w:rPr>
          <w:rFonts w:ascii="times" w:hAnsi="times"/>
          <w:sz w:val="20"/>
        </w:rPr>
        <w:t xml:space="preserve">During the three years ended December 31, 2008, we completed the following equity offerings of our common units (in millions, except per unit data): </w:t>
      </w:r>
    </w:p>
    <w:tbl>
      <w:tblPr>
        <w:tblW w:w="8228" w:type="dxa"/>
        <w:jc w:val="center"/>
        <w:tblInd w:w="0" w:type="dxa"/>
        <w:tblCellMar>
          <w:top w:w="0" w:type="dxa"/>
          <w:left w:w="0" w:type="dxa"/>
          <w:bottom w:w="0" w:type="dxa"/>
          <w:right w:w="0" w:type="dxa"/>
        </w:tblCellMar>
      </w:tblPr>
      <w:tblGrid>
        <w:gridCol w:w="2580"/>
        <w:gridCol w:w="180"/>
        <w:gridCol w:w="75"/>
        <w:gridCol w:w="950"/>
        <w:gridCol w:w="225"/>
        <w:gridCol w:w="128"/>
        <w:gridCol w:w="506"/>
        <w:gridCol w:w="225"/>
        <w:gridCol w:w="134"/>
        <w:gridCol w:w="485"/>
        <w:gridCol w:w="225"/>
        <w:gridCol w:w="281"/>
        <w:gridCol w:w="615"/>
        <w:gridCol w:w="225"/>
        <w:gridCol w:w="125"/>
        <w:gridCol w:w="290"/>
        <w:gridCol w:w="225"/>
        <w:gridCol w:w="188"/>
        <w:gridCol w:w="506"/>
        <w:gridCol w:w="60"/>
      </w:tblGrid>
      <w:tr>
        <w:trPr/>
        <w:tc>
          <w:tcPr>
            <w:tcW w:w="25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58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Period </w:t>
            </w:r>
          </w:p>
        </w:tc>
        <w:tc>
          <w:tcPr>
            <w:tcW w:w="180" w:type="dxa"/>
            <w:tcBorders/>
            <w:shd w:fill="auto" w:val="clear"/>
            <w:vAlign w:val="bottom"/>
          </w:tcPr>
          <w:p>
            <w:pPr>
              <w:pStyle w:val="TableHeading"/>
              <w:suppressLineNumbers/>
              <w:spacing w:before="0" w:after="283"/>
              <w:jc w:val="center"/>
              <w:rPr/>
            </w:pPr>
            <w:r>
              <w:rPr/>
              <w:t> </w:t>
            </w:r>
          </w:p>
        </w:tc>
        <w:tc>
          <w:tcPr>
            <w:tcW w:w="10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Isssued </w:t>
            </w:r>
          </w:p>
        </w:tc>
        <w:tc>
          <w:tcPr>
            <w:tcW w:w="225" w:type="dxa"/>
            <w:tcBorders/>
            <w:shd w:fill="auto" w:val="clear"/>
            <w:vAlign w:val="bottom"/>
          </w:tcPr>
          <w:p>
            <w:pPr>
              <w:pStyle w:val="TableHeading"/>
              <w:suppressLineNumbers/>
              <w:spacing w:before="0" w:after="283"/>
              <w:jc w:val="center"/>
              <w:rPr/>
            </w:pPr>
            <w:r>
              <w:rPr/>
              <w:t> </w:t>
            </w:r>
          </w:p>
        </w:tc>
        <w:tc>
          <w:tcPr>
            <w:tcW w:w="6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Gross</w:t>
              <w:br/>
              <w:t xml:space="preserve">Unit Price </w:t>
            </w:r>
          </w:p>
        </w:tc>
        <w:tc>
          <w:tcPr>
            <w:tcW w:w="225" w:type="dxa"/>
            <w:tcBorders/>
            <w:shd w:fill="auto" w:val="clear"/>
            <w:vAlign w:val="bottom"/>
          </w:tcPr>
          <w:p>
            <w:pPr>
              <w:pStyle w:val="TableHeading"/>
              <w:suppressLineNumbers/>
              <w:spacing w:before="0" w:after="283"/>
              <w:jc w:val="center"/>
              <w:rPr/>
            </w:pPr>
            <w:r>
              <w:rPr/>
              <w:t> </w:t>
            </w:r>
          </w:p>
        </w:tc>
        <w:tc>
          <w:tcPr>
            <w:tcW w:w="61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Proceeds</w:t>
              <w:br/>
              <w:t xml:space="preserve">from Sale </w:t>
            </w:r>
          </w:p>
        </w:tc>
        <w:tc>
          <w:tcPr>
            <w:tcW w:w="225" w:type="dxa"/>
            <w:tcBorders/>
            <w:shd w:fill="auto" w:val="clear"/>
            <w:vAlign w:val="bottom"/>
          </w:tcPr>
          <w:p>
            <w:pPr>
              <w:pStyle w:val="TableHeading"/>
              <w:suppressLineNumbers/>
              <w:spacing w:before="0" w:after="283"/>
              <w:jc w:val="center"/>
              <w:rPr/>
            </w:pPr>
            <w:r>
              <w:rPr/>
              <w:t> </w:t>
            </w:r>
          </w:p>
        </w:tc>
        <w:tc>
          <w:tcPr>
            <w:tcW w:w="89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General</w:t>
              <w:br/>
              <w:t>Partner</w:t>
              <w:br/>
              <w:t xml:space="preserve">Contribution </w:t>
            </w:r>
          </w:p>
        </w:tc>
        <w:tc>
          <w:tcPr>
            <w:tcW w:w="225" w:type="dxa"/>
            <w:tcBorders/>
            <w:shd w:fill="auto" w:val="clear"/>
            <w:vAlign w:val="bottom"/>
          </w:tcPr>
          <w:p>
            <w:pPr>
              <w:pStyle w:val="TableHeading"/>
              <w:suppressLineNumbers/>
              <w:spacing w:before="0" w:after="283"/>
              <w:jc w:val="center"/>
              <w:rPr/>
            </w:pPr>
            <w:r>
              <w:rPr/>
              <w:t> </w:t>
            </w:r>
          </w:p>
        </w:tc>
        <w:tc>
          <w:tcPr>
            <w:tcW w:w="4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Costs </w:t>
            </w:r>
          </w:p>
        </w:tc>
        <w:tc>
          <w:tcPr>
            <w:tcW w:w="225" w:type="dxa"/>
            <w:tcBorders/>
            <w:shd w:fill="auto" w:val="clear"/>
            <w:vAlign w:val="bottom"/>
          </w:tcPr>
          <w:p>
            <w:pPr>
              <w:pStyle w:val="TableHeading"/>
              <w:suppressLineNumbers/>
              <w:spacing w:before="0" w:after="283"/>
              <w:jc w:val="center"/>
              <w:rPr/>
            </w:pPr>
            <w:r>
              <w:rPr/>
              <w:t> </w:t>
            </w:r>
          </w:p>
        </w:tc>
        <w:tc>
          <w:tcPr>
            <w:tcW w:w="6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w:t>
              <w:br/>
              <w:t>Proceeds</w:t>
            </w:r>
            <w:r>
              <w:rPr>
                <w:rFonts w:ascii="times" w:hAnsi="times"/>
                <w:b/>
                <w:position w:val="5"/>
                <w:sz w:val="11"/>
                <w:sz w:val="14"/>
              </w:rPr>
              <w:t>(1)</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2580" w:type="dxa"/>
            <w:tcBorders/>
            <w:shd w:fill="CCEEFF" w:val="clear"/>
          </w:tcPr>
          <w:p>
            <w:pPr>
              <w:pStyle w:val="TableContents"/>
              <w:spacing w:before="0" w:after="283"/>
              <w:ind w:left="200" w:right="0" w:hanging="200"/>
              <w:rPr>
                <w:rFonts w:ascii="times" w:hAnsi="times"/>
                <w:sz w:val="20"/>
              </w:rPr>
            </w:pPr>
            <w:r>
              <w:rPr>
                <w:rFonts w:ascii="times" w:hAnsi="times"/>
                <w:sz w:val="20"/>
              </w:rPr>
              <w:t>April 2008</w:t>
            </w:r>
            <w:r>
              <w:rPr>
                <w:rFonts w:ascii="times" w:hAnsi="times"/>
                <w:position w:val="7"/>
                <w:sz w:val="16"/>
                <w:sz w:val="20"/>
              </w:rPr>
              <w:t>(2)</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6,900,000</w:t>
            </w:r>
          </w:p>
        </w:tc>
        <w:tc>
          <w:tcPr>
            <w:tcW w:w="225" w:type="dxa"/>
            <w:tcBorders/>
            <w:shd w:fill="CCEEFF" w:val="clear"/>
          </w:tcPr>
          <w:p>
            <w:pPr>
              <w:pStyle w:val="TableContents"/>
              <w:spacing w:before="0" w:after="283"/>
              <w:rPr/>
            </w:pPr>
            <w:r>
              <w:rPr/>
              <w:t> </w:t>
            </w:r>
          </w:p>
        </w:tc>
        <w:tc>
          <w:tcPr>
            <w:tcW w:w="128" w:type="dxa"/>
            <w:tcBorders/>
            <w:shd w:fill="CCEEFF" w:val="clear"/>
          </w:tcPr>
          <w:p>
            <w:pPr>
              <w:pStyle w:val="TableContents"/>
              <w:spacing w:before="0" w:after="283"/>
              <w:jc w:val="right"/>
              <w:rPr>
                <w:rFonts w:ascii="times" w:hAnsi="times"/>
                <w:sz w:val="20"/>
              </w:rPr>
            </w:pPr>
            <w:r>
              <w:rPr>
                <w:rFonts w:ascii="times" w:hAnsi="times"/>
                <w:sz w:val="20"/>
              </w:rP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t>46.31</w:t>
            </w:r>
          </w:p>
        </w:tc>
        <w:tc>
          <w:tcPr>
            <w:tcW w:w="225" w:type="dxa"/>
            <w:tcBorders/>
            <w:shd w:fill="CCEEFF" w:val="clear"/>
          </w:tcPr>
          <w:p>
            <w:pPr>
              <w:pStyle w:val="TableContents"/>
              <w:spacing w:before="0" w:after="283"/>
              <w:rPr/>
            </w:pPr>
            <w:r>
              <w:rPr/>
              <w:t> </w:t>
            </w:r>
          </w:p>
        </w:tc>
        <w:tc>
          <w:tcPr>
            <w:tcW w:w="134"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320</w:t>
            </w:r>
          </w:p>
        </w:tc>
        <w:tc>
          <w:tcPr>
            <w:tcW w:w="225" w:type="dxa"/>
            <w:tcBorders/>
            <w:shd w:fill="CCEEFF" w:val="clear"/>
          </w:tcPr>
          <w:p>
            <w:pPr>
              <w:pStyle w:val="TableContents"/>
              <w:spacing w:before="0" w:after="283"/>
              <w:rPr/>
            </w:pPr>
            <w:r>
              <w:rPr/>
              <w:t> </w:t>
            </w:r>
          </w:p>
        </w:tc>
        <w:tc>
          <w:tcPr>
            <w:tcW w:w="281" w:type="dxa"/>
            <w:tcBorders/>
            <w:shd w:fill="CCEEFF" w:val="clear"/>
          </w:tcPr>
          <w:p>
            <w:pPr>
              <w:pStyle w:val="TableContents"/>
              <w:spacing w:before="0" w:after="283"/>
              <w:jc w:val="right"/>
              <w:rPr>
                <w:rFonts w:ascii="times" w:hAnsi="times"/>
                <w:sz w:val="20"/>
              </w:rPr>
            </w:pPr>
            <w:r>
              <w:rPr>
                <w:rFonts w:ascii="times" w:hAnsi="times"/>
                <w:sz w:val="20"/>
              </w:rPr>
              <w:t>$</w:t>
            </w:r>
          </w:p>
        </w:tc>
        <w:tc>
          <w:tcPr>
            <w:tcW w:w="615" w:type="dxa"/>
            <w:tcBorders/>
            <w:shd w:fill="CCEEFF" w:val="clear"/>
          </w:tcPr>
          <w:p>
            <w:pPr>
              <w:pStyle w:val="TableContents"/>
              <w:spacing w:before="0" w:after="283"/>
              <w:jc w:val="right"/>
              <w:rPr>
                <w:rFonts w:ascii="times" w:hAnsi="times"/>
                <w:sz w:val="20"/>
              </w:rPr>
            </w:pPr>
            <w:r>
              <w:rPr>
                <w:rFonts w:ascii="times" w:hAnsi="times"/>
                <w:sz w:val="20"/>
              </w:rPr>
              <w:t>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90" w:type="dxa"/>
            <w:tcBorders/>
            <w:shd w:fill="CCEEFF" w:val="clear"/>
          </w:tcPr>
          <w:p>
            <w:pPr>
              <w:pStyle w:val="TableContents"/>
              <w:spacing w:before="0" w:after="283"/>
              <w:jc w:val="right"/>
              <w:rPr>
                <w:rFonts w:ascii="times" w:hAnsi="times"/>
                <w:sz w:val="20"/>
              </w:rPr>
            </w:pPr>
            <w:r>
              <w:rPr>
                <w:rFonts w:ascii="times" w:hAnsi="times"/>
                <w:sz w:val="20"/>
              </w:rPr>
              <w:t>(11</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88" w:type="dxa"/>
            <w:tcBorders/>
            <w:shd w:fill="CCEEFF" w:val="clear"/>
          </w:tcPr>
          <w:p>
            <w:pPr>
              <w:pStyle w:val="TableContents"/>
              <w:spacing w:before="0" w:after="283"/>
              <w:jc w:val="right"/>
              <w:rPr>
                <w:rFonts w:ascii="times" w:hAnsi="times"/>
                <w:sz w:val="20"/>
              </w:rPr>
            </w:pPr>
            <w:r>
              <w:rPr>
                <w:rFonts w:ascii="times" w:hAnsi="times"/>
                <w:sz w:val="20"/>
              </w:rP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t>315</w:t>
            </w:r>
          </w:p>
        </w:tc>
        <w:tc>
          <w:tcPr>
            <w:tcW w:w="60" w:type="dxa"/>
            <w:tcBorders/>
            <w:shd w:fill="CCEEFF" w:val="clear"/>
          </w:tcPr>
          <w:p>
            <w:pPr>
              <w:pStyle w:val="TableContents"/>
              <w:spacing w:before="0" w:after="283"/>
              <w:rPr/>
            </w:pPr>
            <w:r>
              <w:rPr/>
              <w:t> </w:t>
            </w:r>
          </w:p>
        </w:tc>
      </w:tr>
      <w:tr>
        <w:trPr/>
        <w:tc>
          <w:tcPr>
            <w:tcW w:w="25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506"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9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2580" w:type="dxa"/>
            <w:tcBorders/>
            <w:shd w:fill="FFFFFF" w:val="clear"/>
          </w:tcPr>
          <w:p>
            <w:pPr>
              <w:pStyle w:val="TableContents"/>
              <w:spacing w:before="0" w:after="283"/>
              <w:ind w:left="200" w:right="0" w:hanging="200"/>
              <w:rPr>
                <w:rFonts w:ascii="times" w:hAnsi="times"/>
                <w:b/>
                <w:sz w:val="20"/>
              </w:rPr>
            </w:pPr>
            <w:r>
              <w:rPr>
                <w:rFonts w:ascii="times" w:hAnsi="times"/>
                <w:b/>
                <w:sz w:val="20"/>
              </w:rPr>
              <w:t>2008 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b/>
                <w:sz w:val="20"/>
              </w:rPr>
            </w:pPr>
            <w:r>
              <w:rPr>
                <w:rFonts w:ascii="times" w:hAnsi="times"/>
                <w:b/>
                <w:sz w:val="20"/>
              </w:rPr>
              <w:t>6,900,000</w:t>
            </w:r>
          </w:p>
        </w:tc>
        <w:tc>
          <w:tcPr>
            <w:tcW w:w="225" w:type="dxa"/>
            <w:tcBorders/>
            <w:shd w:fill="FFFFFF" w:val="clear"/>
          </w:tcPr>
          <w:p>
            <w:pPr>
              <w:pStyle w:val="TableContents"/>
              <w:spacing w:before="0" w:after="283"/>
              <w:rPr/>
            </w:pPr>
            <w:r>
              <w:rPr/>
              <w:t> </w:t>
            </w:r>
          </w:p>
        </w:tc>
        <w:tc>
          <w:tcPr>
            <w:tcW w:w="128" w:type="dxa"/>
            <w:tcBorders/>
            <w:shd w:fill="FFFFFF" w:val="clear"/>
          </w:tcPr>
          <w:p>
            <w:pPr>
              <w:pStyle w:val="TableContents"/>
              <w:spacing w:before="0" w:after="283"/>
              <w:rPr/>
            </w:pPr>
            <w:r>
              <w:rPr/>
              <w:t> </w:t>
            </w:r>
          </w:p>
        </w:tc>
        <w:tc>
          <w:tcPr>
            <w:tcW w:w="506" w:type="dxa"/>
            <w:tcBorders/>
            <w:shd w:fill="FFFFFF" w:val="clear"/>
          </w:tcPr>
          <w:p>
            <w:pPr>
              <w:pStyle w:val="TableContents"/>
              <w:spacing w:before="0" w:after="283"/>
              <w:jc w:val="right"/>
              <w:rPr/>
            </w:pPr>
            <w:r>
              <w:rPr/>
              <w:t> </w:t>
            </w:r>
          </w:p>
        </w:tc>
        <w:tc>
          <w:tcPr>
            <w:tcW w:w="225" w:type="dxa"/>
            <w:tcBorders/>
            <w:shd w:fill="FFFFFF" w:val="clear"/>
          </w:tcPr>
          <w:p>
            <w:pPr>
              <w:pStyle w:val="TableContents"/>
              <w:spacing w:before="0" w:after="283"/>
              <w:rPr/>
            </w:pPr>
            <w:r>
              <w:rPr/>
              <w:t> </w:t>
            </w:r>
          </w:p>
        </w:tc>
        <w:tc>
          <w:tcPr>
            <w:tcW w:w="134"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485" w:type="dxa"/>
            <w:tcBorders/>
            <w:shd w:fill="FFFFFF" w:val="clear"/>
          </w:tcPr>
          <w:p>
            <w:pPr>
              <w:pStyle w:val="TableContents"/>
              <w:spacing w:before="0" w:after="283"/>
              <w:jc w:val="right"/>
              <w:rPr>
                <w:rFonts w:ascii="times" w:hAnsi="times"/>
                <w:b/>
                <w:sz w:val="20"/>
              </w:rPr>
            </w:pPr>
            <w:r>
              <w:rPr>
                <w:rFonts w:ascii="times" w:hAnsi="times"/>
                <w:b/>
                <w:sz w:val="20"/>
              </w:rPr>
              <w:t>320</w:t>
            </w:r>
          </w:p>
        </w:tc>
        <w:tc>
          <w:tcPr>
            <w:tcW w:w="225" w:type="dxa"/>
            <w:tcBorders/>
            <w:shd w:fill="FFFFFF" w:val="clear"/>
          </w:tcPr>
          <w:p>
            <w:pPr>
              <w:pStyle w:val="TableContents"/>
              <w:spacing w:before="0" w:after="283"/>
              <w:rPr/>
            </w:pPr>
            <w:r>
              <w:rPr/>
              <w:t> </w:t>
            </w:r>
          </w:p>
        </w:tc>
        <w:tc>
          <w:tcPr>
            <w:tcW w:w="281"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615" w:type="dxa"/>
            <w:tcBorders/>
            <w:shd w:fill="FFFFFF" w:val="clear"/>
          </w:tcPr>
          <w:p>
            <w:pPr>
              <w:pStyle w:val="TableContents"/>
              <w:spacing w:before="0" w:after="283"/>
              <w:jc w:val="right"/>
              <w:rPr>
                <w:rFonts w:ascii="times" w:hAnsi="times"/>
                <w:b/>
                <w:sz w:val="20"/>
              </w:rPr>
            </w:pPr>
            <w:r>
              <w:rPr>
                <w:rFonts w:ascii="times" w:hAnsi="times"/>
                <w:b/>
                <w:sz w:val="20"/>
              </w:rPr>
              <w:t>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290" w:type="dxa"/>
            <w:tcBorders/>
            <w:shd w:fill="FFFFFF" w:val="clear"/>
          </w:tcPr>
          <w:p>
            <w:pPr>
              <w:pStyle w:val="TableContents"/>
              <w:spacing w:before="0" w:after="283"/>
              <w:jc w:val="right"/>
              <w:rPr>
                <w:rFonts w:ascii="times" w:hAnsi="times"/>
                <w:b/>
                <w:sz w:val="20"/>
              </w:rPr>
            </w:pPr>
            <w:r>
              <w:rPr>
                <w:rFonts w:ascii="times" w:hAnsi="times"/>
                <w:b/>
                <w:sz w:val="20"/>
              </w:rPr>
              <w:t>(11</w:t>
            </w:r>
          </w:p>
        </w:tc>
        <w:tc>
          <w:tcPr>
            <w:tcW w:w="225" w:type="dxa"/>
            <w:tcBorders/>
            <w:shd w:fill="FFFFFF" w:val="clear"/>
          </w:tcPr>
          <w:p>
            <w:pPr>
              <w:pStyle w:val="TableContents"/>
              <w:spacing w:before="0" w:after="283"/>
              <w:rPr>
                <w:rFonts w:ascii="times" w:hAnsi="times"/>
                <w:b/>
                <w:sz w:val="20"/>
              </w:rPr>
            </w:pPr>
            <w:r>
              <w:rPr>
                <w:rFonts w:ascii="times" w:hAnsi="times"/>
                <w:b/>
                <w:sz w:val="20"/>
              </w:rPr>
              <w:t>)</w:t>
            </w:r>
          </w:p>
        </w:tc>
        <w:tc>
          <w:tcPr>
            <w:tcW w:w="188"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506" w:type="dxa"/>
            <w:tcBorders/>
            <w:shd w:fill="FFFFFF" w:val="clear"/>
          </w:tcPr>
          <w:p>
            <w:pPr>
              <w:pStyle w:val="TableContents"/>
              <w:spacing w:before="0" w:after="283"/>
              <w:jc w:val="right"/>
              <w:rPr>
                <w:rFonts w:ascii="times" w:hAnsi="times"/>
                <w:b/>
                <w:sz w:val="20"/>
              </w:rPr>
            </w:pPr>
            <w:r>
              <w:rPr>
                <w:rFonts w:ascii="times" w:hAnsi="times"/>
                <w:b/>
                <w:sz w:val="20"/>
              </w:rPr>
              <w:t>315</w:t>
            </w:r>
          </w:p>
        </w:tc>
        <w:tc>
          <w:tcPr>
            <w:tcW w:w="60" w:type="dxa"/>
            <w:tcBorders/>
            <w:shd w:fill="FFFFFF" w:val="clear"/>
          </w:tcPr>
          <w:p>
            <w:pPr>
              <w:pStyle w:val="TableContents"/>
              <w:spacing w:before="0" w:after="283"/>
              <w:rPr/>
            </w:pPr>
            <w:r>
              <w:rPr/>
              <w:t> </w:t>
            </w:r>
          </w:p>
        </w:tc>
      </w:tr>
      <w:tr>
        <w:trPr/>
        <w:tc>
          <w:tcPr>
            <w:tcW w:w="25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506"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9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9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2580" w:type="dxa"/>
            <w:tcBorders/>
            <w:shd w:fill="CCEEFF" w:val="clear"/>
          </w:tcPr>
          <w:p>
            <w:pPr>
              <w:pStyle w:val="TableContents"/>
              <w:spacing w:before="240" w:after="283"/>
              <w:ind w:left="200" w:right="0" w:hanging="200"/>
              <w:rPr>
                <w:rFonts w:ascii="times" w:hAnsi="times"/>
                <w:sz w:val="20"/>
              </w:rPr>
            </w:pPr>
            <w:r>
              <w:rPr>
                <w:rFonts w:ascii="times" w:hAnsi="times"/>
                <w:sz w:val="20"/>
              </w:rPr>
              <w:t>June 2007</w:t>
            </w:r>
            <w:r>
              <w:rPr>
                <w:rFonts w:ascii="times" w:hAnsi="times"/>
                <w:position w:val="7"/>
                <w:sz w:val="16"/>
                <w:sz w:val="20"/>
              </w:rPr>
              <w:t>(3)</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br/>
              <w:t>6,296,172</w:t>
            </w:r>
          </w:p>
        </w:tc>
        <w:tc>
          <w:tcPr>
            <w:tcW w:w="225" w:type="dxa"/>
            <w:tcBorders/>
            <w:shd w:fill="CCEEFF" w:val="clear"/>
          </w:tcPr>
          <w:p>
            <w:pPr>
              <w:pStyle w:val="TableContents"/>
              <w:spacing w:before="0" w:after="283"/>
              <w:rPr/>
            </w:pPr>
            <w:r>
              <w:rPr/>
              <w:t> </w:t>
            </w:r>
          </w:p>
        </w:tc>
        <w:tc>
          <w:tcPr>
            <w:tcW w:w="128"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br/>
              <w:t>59.56</w:t>
            </w:r>
          </w:p>
        </w:tc>
        <w:tc>
          <w:tcPr>
            <w:tcW w:w="225" w:type="dxa"/>
            <w:tcBorders/>
            <w:shd w:fill="CCEEFF" w:val="clear"/>
          </w:tcPr>
          <w:p>
            <w:pPr>
              <w:pStyle w:val="TableContents"/>
              <w:spacing w:before="0" w:after="283"/>
              <w:rPr/>
            </w:pPr>
            <w:r>
              <w:rPr/>
              <w:t> </w:t>
            </w:r>
          </w:p>
        </w:tc>
        <w:tc>
          <w:tcPr>
            <w:tcW w:w="134"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br/>
              <w:t>375</w:t>
            </w:r>
          </w:p>
        </w:tc>
        <w:tc>
          <w:tcPr>
            <w:tcW w:w="225" w:type="dxa"/>
            <w:tcBorders/>
            <w:shd w:fill="CCEEFF" w:val="clear"/>
          </w:tcPr>
          <w:p>
            <w:pPr>
              <w:pStyle w:val="TableContents"/>
              <w:spacing w:before="0" w:after="283"/>
              <w:rPr/>
            </w:pPr>
            <w:r>
              <w:rPr/>
              <w:t> </w:t>
            </w:r>
          </w:p>
        </w:tc>
        <w:tc>
          <w:tcPr>
            <w:tcW w:w="281"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615" w:type="dxa"/>
            <w:tcBorders/>
            <w:shd w:fill="CCEEFF" w:val="clear"/>
          </w:tcPr>
          <w:p>
            <w:pPr>
              <w:pStyle w:val="TableContents"/>
              <w:spacing w:before="0" w:after="283"/>
              <w:jc w:val="right"/>
              <w:rPr>
                <w:rFonts w:ascii="times" w:hAnsi="times"/>
                <w:sz w:val="20"/>
              </w:rPr>
            </w:pPr>
            <w:r>
              <w:rPr>
                <w:rFonts w:ascii="times" w:hAnsi="times"/>
                <w:sz w:val="20"/>
              </w:rPr>
              <w:br/>
              <w:t>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290"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225" w:type="dxa"/>
            <w:tcBorders/>
            <w:shd w:fill="CCEEFF" w:val="clear"/>
          </w:tcPr>
          <w:p>
            <w:pPr>
              <w:pStyle w:val="TableContents"/>
              <w:spacing w:before="0" w:after="283"/>
              <w:rPr/>
            </w:pPr>
            <w:r>
              <w:rPr/>
              <w:t> </w:t>
            </w:r>
          </w:p>
        </w:tc>
        <w:tc>
          <w:tcPr>
            <w:tcW w:w="188"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br/>
              <w:t>383</w:t>
            </w:r>
          </w:p>
        </w:tc>
        <w:tc>
          <w:tcPr>
            <w:tcW w:w="60" w:type="dxa"/>
            <w:tcBorders/>
            <w:shd w:fill="CCEEFF" w:val="clear"/>
          </w:tcPr>
          <w:p>
            <w:pPr>
              <w:pStyle w:val="TableContents"/>
              <w:spacing w:before="0" w:after="283"/>
              <w:rPr/>
            </w:pPr>
            <w:r>
              <w:rPr/>
              <w:t> </w:t>
            </w:r>
          </w:p>
        </w:tc>
      </w:tr>
      <w:tr>
        <w:trPr/>
        <w:tc>
          <w:tcPr>
            <w:tcW w:w="25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506"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9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2580" w:type="dxa"/>
            <w:tcBorders/>
            <w:shd w:fill="FFFFFF" w:val="clear"/>
          </w:tcPr>
          <w:p>
            <w:pPr>
              <w:pStyle w:val="TableContents"/>
              <w:spacing w:before="0" w:after="283"/>
              <w:ind w:left="200" w:right="0" w:hanging="200"/>
              <w:rPr>
                <w:rFonts w:ascii="times" w:hAnsi="times"/>
                <w:b/>
                <w:sz w:val="20"/>
              </w:rPr>
            </w:pPr>
            <w:r>
              <w:rPr>
                <w:rFonts w:ascii="times" w:hAnsi="times"/>
                <w:b/>
                <w:sz w:val="20"/>
              </w:rPr>
              <w:t>2007 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b/>
                <w:sz w:val="20"/>
              </w:rPr>
            </w:pPr>
            <w:r>
              <w:rPr>
                <w:rFonts w:ascii="times" w:hAnsi="times"/>
                <w:b/>
                <w:sz w:val="20"/>
              </w:rPr>
              <w:t>6,296,172</w:t>
            </w:r>
          </w:p>
        </w:tc>
        <w:tc>
          <w:tcPr>
            <w:tcW w:w="225" w:type="dxa"/>
            <w:tcBorders/>
            <w:shd w:fill="FFFFFF" w:val="clear"/>
          </w:tcPr>
          <w:p>
            <w:pPr>
              <w:pStyle w:val="TableContents"/>
              <w:spacing w:before="0" w:after="283"/>
              <w:rPr/>
            </w:pPr>
            <w:r>
              <w:rPr/>
              <w:t> </w:t>
            </w:r>
          </w:p>
        </w:tc>
        <w:tc>
          <w:tcPr>
            <w:tcW w:w="128" w:type="dxa"/>
            <w:tcBorders/>
            <w:shd w:fill="FFFFFF" w:val="clear"/>
          </w:tcPr>
          <w:p>
            <w:pPr>
              <w:pStyle w:val="TableContents"/>
              <w:spacing w:before="0" w:after="283"/>
              <w:rPr/>
            </w:pPr>
            <w:r>
              <w:rPr/>
              <w:t> </w:t>
            </w:r>
          </w:p>
        </w:tc>
        <w:tc>
          <w:tcPr>
            <w:tcW w:w="506" w:type="dxa"/>
            <w:tcBorders/>
            <w:shd w:fill="FFFFFF" w:val="clear"/>
          </w:tcPr>
          <w:p>
            <w:pPr>
              <w:pStyle w:val="TableContents"/>
              <w:spacing w:before="0" w:after="283"/>
              <w:jc w:val="right"/>
              <w:rPr/>
            </w:pPr>
            <w:r>
              <w:rPr/>
              <w:t> </w:t>
            </w:r>
          </w:p>
        </w:tc>
        <w:tc>
          <w:tcPr>
            <w:tcW w:w="225" w:type="dxa"/>
            <w:tcBorders/>
            <w:shd w:fill="FFFFFF" w:val="clear"/>
          </w:tcPr>
          <w:p>
            <w:pPr>
              <w:pStyle w:val="TableContents"/>
              <w:spacing w:before="0" w:after="283"/>
              <w:rPr/>
            </w:pPr>
            <w:r>
              <w:rPr/>
              <w:t> </w:t>
            </w:r>
          </w:p>
        </w:tc>
        <w:tc>
          <w:tcPr>
            <w:tcW w:w="134"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485" w:type="dxa"/>
            <w:tcBorders/>
            <w:shd w:fill="FFFFFF" w:val="clear"/>
          </w:tcPr>
          <w:p>
            <w:pPr>
              <w:pStyle w:val="TableContents"/>
              <w:spacing w:before="0" w:after="283"/>
              <w:jc w:val="right"/>
              <w:rPr>
                <w:rFonts w:ascii="times" w:hAnsi="times"/>
                <w:b/>
                <w:sz w:val="20"/>
              </w:rPr>
            </w:pPr>
            <w:r>
              <w:rPr>
                <w:rFonts w:ascii="times" w:hAnsi="times"/>
                <w:b/>
                <w:sz w:val="20"/>
              </w:rPr>
              <w:t>375</w:t>
            </w:r>
          </w:p>
        </w:tc>
        <w:tc>
          <w:tcPr>
            <w:tcW w:w="225" w:type="dxa"/>
            <w:tcBorders/>
            <w:shd w:fill="FFFFFF" w:val="clear"/>
          </w:tcPr>
          <w:p>
            <w:pPr>
              <w:pStyle w:val="TableContents"/>
              <w:spacing w:before="0" w:after="283"/>
              <w:rPr/>
            </w:pPr>
            <w:r>
              <w:rPr/>
              <w:t> </w:t>
            </w:r>
          </w:p>
        </w:tc>
        <w:tc>
          <w:tcPr>
            <w:tcW w:w="281"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615" w:type="dxa"/>
            <w:tcBorders/>
            <w:shd w:fill="FFFFFF" w:val="clear"/>
          </w:tcPr>
          <w:p>
            <w:pPr>
              <w:pStyle w:val="TableContents"/>
              <w:spacing w:before="0" w:after="283"/>
              <w:jc w:val="right"/>
              <w:rPr>
                <w:rFonts w:ascii="times" w:hAnsi="times"/>
                <w:b/>
                <w:sz w:val="20"/>
              </w:rPr>
            </w:pPr>
            <w:r>
              <w:rPr>
                <w:rFonts w:ascii="times" w:hAnsi="times"/>
                <w:b/>
                <w:sz w:val="20"/>
              </w:rPr>
              <w:t>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290"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225" w:type="dxa"/>
            <w:tcBorders/>
            <w:shd w:fill="FFFFFF" w:val="clear"/>
          </w:tcPr>
          <w:p>
            <w:pPr>
              <w:pStyle w:val="TableContents"/>
              <w:spacing w:before="0" w:after="283"/>
              <w:rPr/>
            </w:pPr>
            <w:r>
              <w:rPr/>
              <w:t> </w:t>
            </w:r>
          </w:p>
        </w:tc>
        <w:tc>
          <w:tcPr>
            <w:tcW w:w="188"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506" w:type="dxa"/>
            <w:tcBorders/>
            <w:shd w:fill="FFFFFF" w:val="clear"/>
          </w:tcPr>
          <w:p>
            <w:pPr>
              <w:pStyle w:val="TableContents"/>
              <w:spacing w:before="0" w:after="283"/>
              <w:jc w:val="right"/>
              <w:rPr>
                <w:rFonts w:ascii="times" w:hAnsi="times"/>
                <w:b/>
                <w:sz w:val="20"/>
              </w:rPr>
            </w:pPr>
            <w:r>
              <w:rPr>
                <w:rFonts w:ascii="times" w:hAnsi="times"/>
                <w:b/>
                <w:sz w:val="20"/>
              </w:rPr>
              <w:t>383</w:t>
            </w:r>
          </w:p>
        </w:tc>
        <w:tc>
          <w:tcPr>
            <w:tcW w:w="60" w:type="dxa"/>
            <w:tcBorders/>
            <w:shd w:fill="FFFFFF" w:val="clear"/>
          </w:tcPr>
          <w:p>
            <w:pPr>
              <w:pStyle w:val="TableContents"/>
              <w:spacing w:before="0" w:after="283"/>
              <w:rPr/>
            </w:pPr>
            <w:r>
              <w:rPr/>
              <w:t> </w:t>
            </w:r>
          </w:p>
        </w:tc>
      </w:tr>
      <w:tr>
        <w:trPr/>
        <w:tc>
          <w:tcPr>
            <w:tcW w:w="25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506"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9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9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2580" w:type="dxa"/>
            <w:tcBorders/>
            <w:shd w:fill="CCEEFF" w:val="clear"/>
          </w:tcPr>
          <w:p>
            <w:pPr>
              <w:pStyle w:val="TableContents"/>
              <w:spacing w:before="240" w:after="283"/>
              <w:ind w:left="200" w:right="0" w:hanging="200"/>
              <w:rPr>
                <w:rFonts w:ascii="times" w:hAnsi="times"/>
                <w:sz w:val="20"/>
              </w:rPr>
            </w:pPr>
            <w:r>
              <w:rPr>
                <w:rFonts w:ascii="times" w:hAnsi="times"/>
                <w:sz w:val="20"/>
              </w:rPr>
              <w:t>December 2006</w:t>
            </w:r>
            <w:r>
              <w:rPr>
                <w:rFonts w:ascii="times" w:hAnsi="times"/>
                <w:position w:val="7"/>
                <w:sz w:val="16"/>
                <w:sz w:val="20"/>
              </w:rPr>
              <w:t>(3)(4)</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br/>
              <w:t>6,163,960</w:t>
            </w:r>
          </w:p>
        </w:tc>
        <w:tc>
          <w:tcPr>
            <w:tcW w:w="225" w:type="dxa"/>
            <w:tcBorders/>
            <w:shd w:fill="CCEEFF" w:val="clear"/>
          </w:tcPr>
          <w:p>
            <w:pPr>
              <w:pStyle w:val="TableContents"/>
              <w:spacing w:before="0" w:after="283"/>
              <w:rPr/>
            </w:pPr>
            <w:r>
              <w:rPr/>
              <w:t> </w:t>
            </w:r>
          </w:p>
        </w:tc>
        <w:tc>
          <w:tcPr>
            <w:tcW w:w="128"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br/>
              <w:t>48.67</w:t>
            </w:r>
          </w:p>
        </w:tc>
        <w:tc>
          <w:tcPr>
            <w:tcW w:w="225" w:type="dxa"/>
            <w:tcBorders/>
            <w:shd w:fill="CCEEFF" w:val="clear"/>
          </w:tcPr>
          <w:p>
            <w:pPr>
              <w:pStyle w:val="TableContents"/>
              <w:spacing w:before="0" w:after="283"/>
              <w:rPr/>
            </w:pPr>
            <w:r>
              <w:rPr/>
              <w:t> </w:t>
            </w:r>
          </w:p>
        </w:tc>
        <w:tc>
          <w:tcPr>
            <w:tcW w:w="134"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br/>
              <w:t>300</w:t>
            </w:r>
          </w:p>
        </w:tc>
        <w:tc>
          <w:tcPr>
            <w:tcW w:w="225" w:type="dxa"/>
            <w:tcBorders/>
            <w:shd w:fill="CCEEFF" w:val="clear"/>
          </w:tcPr>
          <w:p>
            <w:pPr>
              <w:pStyle w:val="TableContents"/>
              <w:spacing w:before="0" w:after="283"/>
              <w:rPr/>
            </w:pPr>
            <w:r>
              <w:rPr/>
              <w:t> </w:t>
            </w:r>
          </w:p>
        </w:tc>
        <w:tc>
          <w:tcPr>
            <w:tcW w:w="281"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615" w:type="dxa"/>
            <w:tcBorders/>
            <w:shd w:fill="CCEEFF" w:val="clear"/>
          </w:tcPr>
          <w:p>
            <w:pPr>
              <w:pStyle w:val="TableContents"/>
              <w:spacing w:before="0" w:after="283"/>
              <w:jc w:val="right"/>
              <w:rPr>
                <w:rFonts w:ascii="times" w:hAnsi="times"/>
                <w:sz w:val="20"/>
              </w:rPr>
            </w:pPr>
            <w:r>
              <w:rPr>
                <w:rFonts w:ascii="times" w:hAnsi="times"/>
                <w:sz w:val="20"/>
              </w:rPr>
              <w:br/>
              <w:t>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290"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225" w:type="dxa"/>
            <w:tcBorders/>
            <w:shd w:fill="CCEEFF" w:val="clear"/>
          </w:tcPr>
          <w:p>
            <w:pPr>
              <w:pStyle w:val="TableContents"/>
              <w:spacing w:before="0" w:after="283"/>
              <w:rPr/>
            </w:pPr>
            <w:r>
              <w:rPr/>
              <w:t> </w:t>
            </w:r>
          </w:p>
        </w:tc>
        <w:tc>
          <w:tcPr>
            <w:tcW w:w="188" w:type="dxa"/>
            <w:tcBorders/>
            <w:shd w:fill="CCEEFF" w:val="clear"/>
          </w:tcPr>
          <w:p>
            <w:pPr>
              <w:pStyle w:val="TableContents"/>
              <w:spacing w:before="0" w:after="283"/>
              <w:jc w:val="right"/>
              <w:rPr>
                <w:rFonts w:ascii="times" w:hAnsi="times"/>
                <w:sz w:val="20"/>
              </w:rPr>
            </w:pPr>
            <w:r>
              <w:rPr>
                <w:rFonts w:ascii="times" w:hAnsi="times"/>
                <w:sz w:val="20"/>
              </w:rPr>
              <w:b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br/>
              <w:t>306</w:t>
            </w:r>
          </w:p>
        </w:tc>
        <w:tc>
          <w:tcPr>
            <w:tcW w:w="60" w:type="dxa"/>
            <w:tcBorders/>
            <w:shd w:fill="CCEEFF" w:val="clear"/>
          </w:tcPr>
          <w:p>
            <w:pPr>
              <w:pStyle w:val="TableContents"/>
              <w:spacing w:before="0" w:after="283"/>
              <w:rPr/>
            </w:pPr>
            <w:r>
              <w:rPr/>
              <w:t> </w:t>
            </w:r>
          </w:p>
        </w:tc>
      </w:tr>
      <w:tr>
        <w:trPr/>
        <w:tc>
          <w:tcPr>
            <w:tcW w:w="2580" w:type="dxa"/>
            <w:tcBorders/>
            <w:shd w:fill="FFFFFF" w:val="clear"/>
          </w:tcPr>
          <w:p>
            <w:pPr>
              <w:pStyle w:val="TableContents"/>
              <w:spacing w:before="0" w:after="283"/>
              <w:ind w:left="200" w:right="0" w:hanging="200"/>
              <w:rPr>
                <w:rFonts w:ascii="times" w:hAnsi="times"/>
                <w:sz w:val="20"/>
              </w:rPr>
            </w:pPr>
            <w:r>
              <w:rPr>
                <w:rFonts w:ascii="times" w:hAnsi="times"/>
                <w:sz w:val="20"/>
              </w:rPr>
              <w:t>July/August 2006</w:t>
            </w:r>
            <w:r>
              <w:rPr>
                <w:rFonts w:ascii="times" w:hAnsi="times"/>
                <w:position w:val="7"/>
                <w:sz w:val="16"/>
                <w:sz w:val="20"/>
              </w:rPr>
              <w:t>(3)(4)</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sz w:val="20"/>
              </w:rPr>
            </w:pPr>
            <w:r>
              <w:rPr>
                <w:rFonts w:ascii="times" w:hAnsi="times"/>
                <w:sz w:val="20"/>
              </w:rPr>
              <w:t>3,720,930</w:t>
            </w:r>
          </w:p>
        </w:tc>
        <w:tc>
          <w:tcPr>
            <w:tcW w:w="225" w:type="dxa"/>
            <w:tcBorders/>
            <w:shd w:fill="FFFFFF" w:val="clear"/>
          </w:tcPr>
          <w:p>
            <w:pPr>
              <w:pStyle w:val="TableContents"/>
              <w:spacing w:before="0" w:after="283"/>
              <w:rPr/>
            </w:pPr>
            <w:r>
              <w:rPr/>
              <w:t> </w:t>
            </w:r>
          </w:p>
        </w:tc>
        <w:tc>
          <w:tcPr>
            <w:tcW w:w="128" w:type="dxa"/>
            <w:tcBorders/>
            <w:shd w:fill="FFFFFF" w:val="clear"/>
          </w:tcPr>
          <w:p>
            <w:pPr>
              <w:pStyle w:val="TableContents"/>
              <w:spacing w:before="0" w:after="283"/>
              <w:jc w:val="right"/>
              <w:rPr>
                <w:rFonts w:ascii="times" w:hAnsi="times"/>
                <w:sz w:val="20"/>
              </w:rPr>
            </w:pPr>
            <w:r>
              <w:rPr>
                <w:rFonts w:ascii="times" w:hAnsi="times"/>
                <w:sz w:val="20"/>
              </w:rPr>
              <w:t>$</w:t>
            </w:r>
          </w:p>
        </w:tc>
        <w:tc>
          <w:tcPr>
            <w:tcW w:w="506" w:type="dxa"/>
            <w:tcBorders/>
            <w:shd w:fill="FFFFFF" w:val="clear"/>
          </w:tcPr>
          <w:p>
            <w:pPr>
              <w:pStyle w:val="TableContents"/>
              <w:spacing w:before="0" w:after="283"/>
              <w:jc w:val="right"/>
              <w:rPr>
                <w:rFonts w:ascii="times" w:hAnsi="times"/>
                <w:sz w:val="20"/>
              </w:rPr>
            </w:pPr>
            <w:r>
              <w:rPr>
                <w:rFonts w:ascii="times" w:hAnsi="times"/>
                <w:sz w:val="20"/>
              </w:rPr>
              <w:t>43.00</w:t>
            </w:r>
          </w:p>
        </w:tc>
        <w:tc>
          <w:tcPr>
            <w:tcW w:w="225" w:type="dxa"/>
            <w:tcBorders/>
            <w:shd w:fill="FFFFFF" w:val="clear"/>
          </w:tcPr>
          <w:p>
            <w:pPr>
              <w:pStyle w:val="TableContents"/>
              <w:spacing w:before="0" w:after="283"/>
              <w:rPr/>
            </w:pPr>
            <w:r>
              <w:rPr/>
              <w:t> </w:t>
            </w:r>
          </w:p>
        </w:tc>
        <w:tc>
          <w:tcPr>
            <w:tcW w:w="134"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160</w:t>
            </w:r>
          </w:p>
        </w:tc>
        <w:tc>
          <w:tcPr>
            <w:tcW w:w="225" w:type="dxa"/>
            <w:tcBorders/>
            <w:shd w:fill="FFFFFF" w:val="clear"/>
          </w:tcPr>
          <w:p>
            <w:pPr>
              <w:pStyle w:val="TableContents"/>
              <w:spacing w:before="0" w:after="283"/>
              <w:rPr/>
            </w:pPr>
            <w:r>
              <w:rPr/>
              <w:t> </w:t>
            </w:r>
          </w:p>
        </w:tc>
        <w:tc>
          <w:tcPr>
            <w:tcW w:w="281" w:type="dxa"/>
            <w:tcBorders/>
            <w:shd w:fill="FFFFFF" w:val="clear"/>
          </w:tcPr>
          <w:p>
            <w:pPr>
              <w:pStyle w:val="TableContents"/>
              <w:spacing w:before="0" w:after="283"/>
              <w:rPr/>
            </w:pPr>
            <w:r>
              <w:rPr/>
              <w:t> </w:t>
            </w:r>
          </w:p>
        </w:tc>
        <w:tc>
          <w:tcPr>
            <w:tcW w:w="615" w:type="dxa"/>
            <w:tcBorders/>
            <w:shd w:fill="FFFFFF" w:val="clear"/>
          </w:tcPr>
          <w:p>
            <w:pPr>
              <w:pStyle w:val="TableContents"/>
              <w:spacing w:before="0" w:after="283"/>
              <w:jc w:val="right"/>
              <w:rPr>
                <w:rFonts w:ascii="times" w:hAnsi="times"/>
                <w:sz w:val="20"/>
              </w:rPr>
            </w:pPr>
            <w:r>
              <w:rPr>
                <w:rFonts w:ascii="times" w:hAnsi="times"/>
                <w:sz w:val="20"/>
              </w:rPr>
              <w:t>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88" w:type="dxa"/>
            <w:tcBorders/>
            <w:shd w:fill="FFFFFF" w:val="clear"/>
          </w:tcPr>
          <w:p>
            <w:pPr>
              <w:pStyle w:val="TableContents"/>
              <w:spacing w:before="0" w:after="283"/>
              <w:rPr/>
            </w:pPr>
            <w:r>
              <w:rPr/>
              <w:t> </w:t>
            </w:r>
          </w:p>
        </w:tc>
        <w:tc>
          <w:tcPr>
            <w:tcW w:w="506" w:type="dxa"/>
            <w:tcBorders/>
            <w:shd w:fill="FFFFFF" w:val="clear"/>
          </w:tcPr>
          <w:p>
            <w:pPr>
              <w:pStyle w:val="TableContents"/>
              <w:spacing w:before="0" w:after="283"/>
              <w:jc w:val="right"/>
              <w:rPr>
                <w:rFonts w:ascii="times" w:hAnsi="times"/>
                <w:sz w:val="20"/>
              </w:rPr>
            </w:pPr>
            <w:r>
              <w:rPr>
                <w:rFonts w:ascii="times" w:hAnsi="times"/>
                <w:sz w:val="20"/>
              </w:rPr>
              <w:t>163</w:t>
            </w:r>
          </w:p>
        </w:tc>
        <w:tc>
          <w:tcPr>
            <w:tcW w:w="60" w:type="dxa"/>
            <w:tcBorders/>
            <w:shd w:fill="FFFFFF" w:val="clear"/>
          </w:tcPr>
          <w:p>
            <w:pPr>
              <w:pStyle w:val="TableContents"/>
              <w:spacing w:before="0" w:after="283"/>
              <w:rPr/>
            </w:pPr>
            <w:r>
              <w:rPr/>
              <w:t> </w:t>
            </w:r>
          </w:p>
        </w:tc>
      </w:tr>
      <w:tr>
        <w:trPr/>
        <w:tc>
          <w:tcPr>
            <w:tcW w:w="2580" w:type="dxa"/>
            <w:tcBorders/>
            <w:shd w:fill="CCEEFF" w:val="clear"/>
          </w:tcPr>
          <w:p>
            <w:pPr>
              <w:pStyle w:val="TableContents"/>
              <w:spacing w:before="0" w:after="283"/>
              <w:ind w:left="200" w:right="0" w:hanging="200"/>
              <w:rPr>
                <w:rFonts w:ascii="times" w:hAnsi="times"/>
                <w:sz w:val="20"/>
              </w:rPr>
            </w:pPr>
            <w:r>
              <w:rPr>
                <w:rFonts w:ascii="times" w:hAnsi="times"/>
                <w:sz w:val="20"/>
              </w:rPr>
              <w:t>March/April 2006</w:t>
            </w:r>
            <w:r>
              <w:rPr>
                <w:rFonts w:ascii="times" w:hAnsi="times"/>
                <w:position w:val="7"/>
                <w:sz w:val="16"/>
                <w:sz w:val="20"/>
              </w:rPr>
              <w:t>(3)(4)</w:t>
            </w:r>
          </w:p>
        </w:tc>
        <w:tc>
          <w:tcPr>
            <w:tcW w:w="180"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950" w:type="dxa"/>
            <w:tcBorders/>
            <w:shd w:fill="CCEEFF" w:val="clear"/>
          </w:tcPr>
          <w:p>
            <w:pPr>
              <w:pStyle w:val="TableContents"/>
              <w:spacing w:before="0" w:after="283"/>
              <w:jc w:val="right"/>
              <w:rPr>
                <w:rFonts w:ascii="times" w:hAnsi="times"/>
                <w:sz w:val="20"/>
              </w:rPr>
            </w:pPr>
            <w:r>
              <w:rPr>
                <w:rFonts w:ascii="times" w:hAnsi="times"/>
                <w:sz w:val="20"/>
              </w:rPr>
              <w:t>3,504,672</w:t>
            </w:r>
          </w:p>
        </w:tc>
        <w:tc>
          <w:tcPr>
            <w:tcW w:w="225" w:type="dxa"/>
            <w:tcBorders/>
            <w:shd w:fill="CCEEFF" w:val="clear"/>
          </w:tcPr>
          <w:p>
            <w:pPr>
              <w:pStyle w:val="TableContents"/>
              <w:spacing w:before="0" w:after="283"/>
              <w:rPr/>
            </w:pPr>
            <w:r>
              <w:rPr/>
              <w:t> </w:t>
            </w:r>
          </w:p>
        </w:tc>
        <w:tc>
          <w:tcPr>
            <w:tcW w:w="128" w:type="dxa"/>
            <w:tcBorders/>
            <w:shd w:fill="CCEEFF" w:val="clear"/>
          </w:tcPr>
          <w:p>
            <w:pPr>
              <w:pStyle w:val="TableContents"/>
              <w:spacing w:before="0" w:after="283"/>
              <w:jc w:val="right"/>
              <w:rPr>
                <w:rFonts w:ascii="times" w:hAnsi="times"/>
                <w:sz w:val="20"/>
              </w:rPr>
            </w:pPr>
            <w:r>
              <w:rPr>
                <w:rFonts w:ascii="times" w:hAnsi="times"/>
                <w:sz w:val="20"/>
              </w:rPr>
              <w:t>$</w:t>
            </w:r>
          </w:p>
        </w:tc>
        <w:tc>
          <w:tcPr>
            <w:tcW w:w="506" w:type="dxa"/>
            <w:tcBorders/>
            <w:shd w:fill="CCEEFF" w:val="clear"/>
          </w:tcPr>
          <w:p>
            <w:pPr>
              <w:pStyle w:val="TableContents"/>
              <w:spacing w:before="0" w:after="283"/>
              <w:jc w:val="right"/>
              <w:rPr>
                <w:rFonts w:ascii="times" w:hAnsi="times"/>
                <w:sz w:val="20"/>
              </w:rPr>
            </w:pPr>
            <w:r>
              <w:rPr>
                <w:rFonts w:ascii="times" w:hAnsi="times"/>
                <w:sz w:val="20"/>
              </w:rPr>
              <w:t>42.80</w:t>
            </w:r>
          </w:p>
        </w:tc>
        <w:tc>
          <w:tcPr>
            <w:tcW w:w="225" w:type="dxa"/>
            <w:tcBorders/>
            <w:shd w:fill="CCEEFF" w:val="clear"/>
          </w:tcPr>
          <w:p>
            <w:pPr>
              <w:pStyle w:val="TableContents"/>
              <w:spacing w:before="0" w:after="283"/>
              <w:rPr/>
            </w:pPr>
            <w:r>
              <w:rPr/>
              <w:t> </w:t>
            </w:r>
          </w:p>
        </w:tc>
        <w:tc>
          <w:tcPr>
            <w:tcW w:w="134" w:type="dxa"/>
            <w:tcBorders/>
            <w:shd w:fill="CCEEFF" w:val="clear"/>
          </w:tcPr>
          <w:p>
            <w:pPr>
              <w:pStyle w:val="TableContents"/>
              <w:spacing w:before="0" w:after="283"/>
              <w:rPr/>
            </w:pPr>
            <w:r>
              <w:rPr/>
              <w:t> </w:t>
            </w:r>
          </w:p>
        </w:tc>
        <w:tc>
          <w:tcPr>
            <w:tcW w:w="485" w:type="dxa"/>
            <w:tcBorders/>
            <w:shd w:fill="CCEEFF" w:val="clear"/>
          </w:tcPr>
          <w:p>
            <w:pPr>
              <w:pStyle w:val="TableContents"/>
              <w:spacing w:before="0" w:after="283"/>
              <w:jc w:val="right"/>
              <w:rPr>
                <w:rFonts w:ascii="times" w:hAnsi="times"/>
                <w:sz w:val="20"/>
              </w:rPr>
            </w:pPr>
            <w:r>
              <w:rPr>
                <w:rFonts w:ascii="times" w:hAnsi="times"/>
                <w:sz w:val="20"/>
              </w:rPr>
              <w:t>150</w:t>
            </w:r>
          </w:p>
        </w:tc>
        <w:tc>
          <w:tcPr>
            <w:tcW w:w="225" w:type="dxa"/>
            <w:tcBorders/>
            <w:shd w:fill="CCEEFF" w:val="clear"/>
          </w:tcPr>
          <w:p>
            <w:pPr>
              <w:pStyle w:val="TableContents"/>
              <w:spacing w:before="0" w:after="283"/>
              <w:rPr/>
            </w:pPr>
            <w:r>
              <w:rPr/>
              <w:t> </w:t>
            </w:r>
          </w:p>
        </w:tc>
        <w:tc>
          <w:tcPr>
            <w:tcW w:w="281" w:type="dxa"/>
            <w:tcBorders/>
            <w:shd w:fill="CCEEFF" w:val="clear"/>
          </w:tcPr>
          <w:p>
            <w:pPr>
              <w:pStyle w:val="TableContents"/>
              <w:spacing w:before="0" w:after="283"/>
              <w:rPr/>
            </w:pPr>
            <w:r>
              <w:rPr/>
              <w:t> </w:t>
            </w:r>
          </w:p>
        </w:tc>
        <w:tc>
          <w:tcPr>
            <w:tcW w:w="615" w:type="dxa"/>
            <w:tcBorders/>
            <w:shd w:fill="CCEEFF" w:val="clear"/>
          </w:tcPr>
          <w:p>
            <w:pPr>
              <w:pStyle w:val="TableContents"/>
              <w:spacing w:before="0" w:after="283"/>
              <w:jc w:val="right"/>
              <w:rPr>
                <w:rFonts w:ascii="times" w:hAnsi="times"/>
                <w:sz w:val="20"/>
              </w:rPr>
            </w:pPr>
            <w:r>
              <w:rPr>
                <w:rFonts w:ascii="times" w:hAnsi="times"/>
                <w:sz w:val="20"/>
              </w:rPr>
              <w:t>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88" w:type="dxa"/>
            <w:tcBorders/>
            <w:shd w:fill="CCEEFF" w:val="clear"/>
          </w:tcPr>
          <w:p>
            <w:pPr>
              <w:pStyle w:val="TableContents"/>
              <w:spacing w:before="0" w:after="283"/>
              <w:rPr/>
            </w:pPr>
            <w:r>
              <w:rPr/>
              <w:t> </w:t>
            </w:r>
          </w:p>
        </w:tc>
        <w:tc>
          <w:tcPr>
            <w:tcW w:w="506" w:type="dxa"/>
            <w:tcBorders/>
            <w:shd w:fill="CCEEFF" w:val="clear"/>
          </w:tcPr>
          <w:p>
            <w:pPr>
              <w:pStyle w:val="TableContents"/>
              <w:spacing w:before="0" w:after="283"/>
              <w:jc w:val="right"/>
              <w:rPr>
                <w:rFonts w:ascii="times" w:hAnsi="times"/>
                <w:sz w:val="20"/>
              </w:rPr>
            </w:pPr>
            <w:r>
              <w:rPr>
                <w:rFonts w:ascii="times" w:hAnsi="times"/>
                <w:sz w:val="20"/>
              </w:rPr>
              <w:t>152</w:t>
            </w:r>
          </w:p>
        </w:tc>
        <w:tc>
          <w:tcPr>
            <w:tcW w:w="60" w:type="dxa"/>
            <w:tcBorders/>
            <w:shd w:fill="CCEEFF" w:val="clear"/>
          </w:tcPr>
          <w:p>
            <w:pPr>
              <w:pStyle w:val="TableContents"/>
              <w:spacing w:before="0" w:after="283"/>
              <w:rPr/>
            </w:pPr>
            <w:r>
              <w:rPr/>
              <w:t> </w:t>
            </w:r>
          </w:p>
        </w:tc>
      </w:tr>
      <w:tr>
        <w:trPr/>
        <w:tc>
          <w:tcPr>
            <w:tcW w:w="25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506"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9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2580" w:type="dxa"/>
            <w:tcBorders/>
            <w:shd w:fill="FFFFFF" w:val="clear"/>
          </w:tcPr>
          <w:p>
            <w:pPr>
              <w:pStyle w:val="TableContents"/>
              <w:spacing w:before="0" w:after="283"/>
              <w:ind w:left="200" w:right="0" w:hanging="200"/>
              <w:rPr>
                <w:rFonts w:ascii="times" w:hAnsi="times"/>
                <w:b/>
                <w:sz w:val="20"/>
              </w:rPr>
            </w:pPr>
            <w:r>
              <w:rPr>
                <w:rFonts w:ascii="times" w:hAnsi="times"/>
                <w:b/>
                <w:sz w:val="20"/>
              </w:rPr>
              <w:t>2006 Total</w:t>
            </w:r>
          </w:p>
        </w:tc>
        <w:tc>
          <w:tcPr>
            <w:tcW w:w="180"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950" w:type="dxa"/>
            <w:tcBorders/>
            <w:shd w:fill="FFFFFF" w:val="clear"/>
          </w:tcPr>
          <w:p>
            <w:pPr>
              <w:pStyle w:val="TableContents"/>
              <w:spacing w:before="0" w:after="283"/>
              <w:jc w:val="right"/>
              <w:rPr>
                <w:rFonts w:ascii="times" w:hAnsi="times"/>
                <w:b/>
                <w:sz w:val="20"/>
              </w:rPr>
            </w:pPr>
            <w:r>
              <w:rPr>
                <w:rFonts w:ascii="times" w:hAnsi="times"/>
                <w:b/>
                <w:sz w:val="20"/>
              </w:rPr>
              <w:t>13,389,562</w:t>
            </w:r>
          </w:p>
        </w:tc>
        <w:tc>
          <w:tcPr>
            <w:tcW w:w="225" w:type="dxa"/>
            <w:tcBorders/>
            <w:shd w:fill="FFFFFF" w:val="clear"/>
          </w:tcPr>
          <w:p>
            <w:pPr>
              <w:pStyle w:val="TableContents"/>
              <w:spacing w:before="0" w:after="283"/>
              <w:rPr/>
            </w:pPr>
            <w:r>
              <w:rPr/>
              <w:t> </w:t>
            </w:r>
          </w:p>
        </w:tc>
        <w:tc>
          <w:tcPr>
            <w:tcW w:w="128" w:type="dxa"/>
            <w:tcBorders/>
            <w:shd w:fill="FFFFFF" w:val="clear"/>
          </w:tcPr>
          <w:p>
            <w:pPr>
              <w:pStyle w:val="TableContents"/>
              <w:spacing w:before="0" w:after="283"/>
              <w:rPr/>
            </w:pPr>
            <w:r>
              <w:rPr/>
              <w:t> </w:t>
            </w:r>
          </w:p>
        </w:tc>
        <w:tc>
          <w:tcPr>
            <w:tcW w:w="506" w:type="dxa"/>
            <w:tcBorders/>
            <w:shd w:fill="FFFFFF" w:val="clear"/>
          </w:tcPr>
          <w:p>
            <w:pPr>
              <w:pStyle w:val="TableContents"/>
              <w:spacing w:before="0" w:after="283"/>
              <w:jc w:val="right"/>
              <w:rPr/>
            </w:pPr>
            <w:r>
              <w:rPr/>
              <w:t> </w:t>
            </w:r>
          </w:p>
        </w:tc>
        <w:tc>
          <w:tcPr>
            <w:tcW w:w="225" w:type="dxa"/>
            <w:tcBorders/>
            <w:shd w:fill="FFFFFF" w:val="clear"/>
          </w:tcPr>
          <w:p>
            <w:pPr>
              <w:pStyle w:val="TableContents"/>
              <w:spacing w:before="0" w:after="283"/>
              <w:rPr/>
            </w:pPr>
            <w:r>
              <w:rPr/>
              <w:t> </w:t>
            </w:r>
          </w:p>
        </w:tc>
        <w:tc>
          <w:tcPr>
            <w:tcW w:w="134"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485" w:type="dxa"/>
            <w:tcBorders/>
            <w:shd w:fill="FFFFFF" w:val="clear"/>
          </w:tcPr>
          <w:p>
            <w:pPr>
              <w:pStyle w:val="TableContents"/>
              <w:spacing w:before="0" w:after="283"/>
              <w:jc w:val="right"/>
              <w:rPr>
                <w:rFonts w:ascii="times" w:hAnsi="times"/>
                <w:b/>
                <w:sz w:val="20"/>
              </w:rPr>
            </w:pPr>
            <w:r>
              <w:rPr>
                <w:rFonts w:ascii="times" w:hAnsi="times"/>
                <w:b/>
                <w:sz w:val="20"/>
              </w:rPr>
              <w:t>610</w:t>
            </w:r>
          </w:p>
        </w:tc>
        <w:tc>
          <w:tcPr>
            <w:tcW w:w="225" w:type="dxa"/>
            <w:tcBorders/>
            <w:shd w:fill="FFFFFF" w:val="clear"/>
          </w:tcPr>
          <w:p>
            <w:pPr>
              <w:pStyle w:val="TableContents"/>
              <w:spacing w:before="0" w:after="283"/>
              <w:rPr/>
            </w:pPr>
            <w:r>
              <w:rPr/>
              <w:t> </w:t>
            </w:r>
          </w:p>
        </w:tc>
        <w:tc>
          <w:tcPr>
            <w:tcW w:w="281"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615" w:type="dxa"/>
            <w:tcBorders/>
            <w:shd w:fill="FFFFFF" w:val="clear"/>
          </w:tcPr>
          <w:p>
            <w:pPr>
              <w:pStyle w:val="TableContents"/>
              <w:spacing w:before="0" w:after="283"/>
              <w:jc w:val="right"/>
              <w:rPr>
                <w:rFonts w:ascii="times" w:hAnsi="times"/>
                <w:b/>
                <w:sz w:val="20"/>
              </w:rPr>
            </w:pPr>
            <w:r>
              <w:rPr>
                <w:rFonts w:ascii="times" w:hAnsi="times"/>
                <w:b/>
                <w:sz w:val="20"/>
              </w:rPr>
              <w:t>12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290" w:type="dxa"/>
            <w:tcBorders/>
            <w:shd w:fill="FFFFFF" w:val="clear"/>
          </w:tcPr>
          <w:p>
            <w:pPr>
              <w:pStyle w:val="TableContents"/>
              <w:spacing w:before="0" w:after="283"/>
              <w:jc w:val="right"/>
              <w:rPr>
                <w:rFonts w:ascii="times" w:hAnsi="times"/>
                <w:b/>
                <w:sz w:val="20"/>
              </w:rPr>
            </w:pPr>
            <w:r>
              <w:rPr>
                <w:rFonts w:ascii="times" w:hAnsi="times"/>
                <w:b/>
                <w:sz w:val="20"/>
              </w:rPr>
              <w:t>(1</w:t>
            </w:r>
          </w:p>
        </w:tc>
        <w:tc>
          <w:tcPr>
            <w:tcW w:w="225" w:type="dxa"/>
            <w:tcBorders/>
            <w:shd w:fill="FFFFFF" w:val="clear"/>
          </w:tcPr>
          <w:p>
            <w:pPr>
              <w:pStyle w:val="TableContents"/>
              <w:spacing w:before="0" w:after="283"/>
              <w:rPr>
                <w:rFonts w:ascii="times" w:hAnsi="times"/>
                <w:b/>
                <w:sz w:val="20"/>
              </w:rPr>
            </w:pPr>
            <w:r>
              <w:rPr>
                <w:rFonts w:ascii="times" w:hAnsi="times"/>
                <w:b/>
                <w:sz w:val="20"/>
              </w:rPr>
              <w:t>)</w:t>
            </w:r>
          </w:p>
        </w:tc>
        <w:tc>
          <w:tcPr>
            <w:tcW w:w="188" w:type="dxa"/>
            <w:tcBorders/>
            <w:shd w:fill="FFFFFF" w:val="clear"/>
          </w:tcPr>
          <w:p>
            <w:pPr>
              <w:pStyle w:val="TableContents"/>
              <w:spacing w:before="0" w:after="283"/>
              <w:jc w:val="right"/>
              <w:rPr>
                <w:rFonts w:ascii="times" w:hAnsi="times"/>
                <w:b/>
                <w:sz w:val="20"/>
              </w:rPr>
            </w:pPr>
            <w:r>
              <w:rPr>
                <w:rFonts w:ascii="times" w:hAnsi="times"/>
                <w:b/>
                <w:sz w:val="20"/>
              </w:rPr>
              <w:t>$</w:t>
            </w:r>
          </w:p>
        </w:tc>
        <w:tc>
          <w:tcPr>
            <w:tcW w:w="506" w:type="dxa"/>
            <w:tcBorders/>
            <w:shd w:fill="FFFFFF" w:val="clear"/>
          </w:tcPr>
          <w:p>
            <w:pPr>
              <w:pStyle w:val="TableContents"/>
              <w:spacing w:before="0" w:after="283"/>
              <w:jc w:val="right"/>
              <w:rPr>
                <w:rFonts w:ascii="times" w:hAnsi="times"/>
                <w:b/>
                <w:sz w:val="20"/>
              </w:rPr>
            </w:pPr>
            <w:r>
              <w:rPr>
                <w:rFonts w:ascii="times" w:hAnsi="times"/>
                <w:b/>
                <w:sz w:val="20"/>
              </w:rPr>
              <w:t>621</w:t>
            </w:r>
          </w:p>
        </w:tc>
        <w:tc>
          <w:tcPr>
            <w:tcW w:w="60" w:type="dxa"/>
            <w:tcBorders/>
            <w:shd w:fill="FFFFFF" w:val="clear"/>
          </w:tcPr>
          <w:p>
            <w:pPr>
              <w:pStyle w:val="TableContents"/>
              <w:spacing w:before="0" w:after="283"/>
              <w:rPr/>
            </w:pPr>
            <w:r>
              <w:rPr/>
              <w:t> </w:t>
            </w:r>
          </w:p>
        </w:tc>
      </w:tr>
      <w:tr>
        <w:trPr/>
        <w:tc>
          <w:tcPr>
            <w:tcW w:w="25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02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28" w:type="dxa"/>
            <w:tcBorders/>
            <w:shd w:fill="auto" w:val="clear"/>
          </w:tcPr>
          <w:p>
            <w:pPr>
              <w:pStyle w:val="TableContents"/>
              <w:spacing w:before="0" w:after="283"/>
              <w:rPr/>
            </w:pPr>
            <w:r>
              <w:rPr/>
              <w:t> </w:t>
            </w:r>
          </w:p>
        </w:tc>
        <w:tc>
          <w:tcPr>
            <w:tcW w:w="506"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89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9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Net proceeds for 2006 exclude the common units issued and our general partner's proportionate capital contribution of $22 million pertaining to the equity exchange for the Pacific acquisition.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The April 2008 offering of common units was an underwritten transaction that required us to pay a gross spread.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These offerings were direct placements of common units, did not involve underwriters and did not require a gross spread. However, the gross unit price includes the discount to market required to execute these transactions. </w:t>
      </w:r>
    </w:p>
    <w:p>
      <w:pPr>
        <w:pStyle w:val="ListHeading"/>
        <w:spacing w:before="0" w:after="0"/>
        <w:rPr>
          <w:rFonts w:ascii="times" w:hAnsi="times"/>
          <w:position w:val="7"/>
          <w:sz w:val="16"/>
          <w:sz w:val="20"/>
        </w:rPr>
      </w:pPr>
      <w:r>
        <w:rPr>
          <w:rFonts w:ascii="times" w:hAnsi="times"/>
          <w:position w:val="7"/>
          <w:sz w:val="16"/>
          <w:sz w:val="20"/>
        </w:rPr>
        <w:t>(4)</w:t>
      </w:r>
    </w:p>
    <w:p>
      <w:pPr>
        <w:pStyle w:val="ListContents"/>
        <w:spacing w:before="0" w:after="283"/>
        <w:rPr>
          <w:rFonts w:ascii="times" w:hAnsi="times"/>
          <w:sz w:val="20"/>
        </w:rPr>
      </w:pPr>
      <w:r>
        <w:rPr>
          <w:rFonts w:ascii="times" w:hAnsi="times"/>
          <w:sz w:val="20"/>
        </w:rPr>
        <w:t xml:space="preserve">These offerings involved related parties. See Note 9. </w:t>
      </w:r>
    </w:p>
    <w:p>
      <w:pPr>
        <w:pStyle w:val="TextBody"/>
        <w:rPr>
          <w:rFonts w:ascii="times" w:hAnsi="times"/>
          <w:b/>
          <w:i/>
          <w:sz w:val="20"/>
        </w:rPr>
      </w:pPr>
      <w:r>
        <w:rPr>
          <w:rFonts w:ascii="times" w:hAnsi="times"/>
          <w:b/>
          <w:i/>
          <w:sz w:val="20"/>
        </w:rPr>
        <w:t xml:space="preserve">Class B Units of Plains AAP, L.P. </w:t>
      </w:r>
    </w:p>
    <w:p>
      <w:pPr>
        <w:pStyle w:val="TextBody"/>
        <w:rPr/>
      </w:pPr>
      <w:r>
        <w:rPr/>
        <w:t>        </w:t>
      </w:r>
      <w:r>
        <w:rPr>
          <w:rFonts w:ascii="times" w:hAnsi="times"/>
          <w:sz w:val="20"/>
        </w:rPr>
        <w:t xml:space="preserve">In August 2007, the owners of Plains AAP, L.P. authorized the creation and issuance of up to 200,000 Class B units in Plains AAP, L.P., and authorized the board of directors of Plains All American GP LLC to issue grants. At December 31, 2008, approximately 154,000 Class B units have been granted and the remaining units are reserved for future grants. See Note 10 for further discussion of Class B units. </w:t>
      </w:r>
    </w:p>
    <w:p>
      <w:pPr>
        <w:pStyle w:val="TextBody"/>
        <w:rPr>
          <w:rFonts w:ascii="times" w:hAnsi="times"/>
          <w:b/>
          <w:sz w:val="20"/>
        </w:rPr>
      </w:pPr>
      <w:r>
        <w:rPr>
          <w:rFonts w:ascii="times" w:hAnsi="times"/>
          <w:b/>
          <w:sz w:val="20"/>
        </w:rPr>
        <w:t xml:space="preserve">Note 6Derivatives and Hedging Instruments </w:t>
      </w:r>
    </w:p>
    <w:p>
      <w:pPr>
        <w:pStyle w:val="TextBody"/>
        <w:rPr/>
      </w:pPr>
      <w:r>
        <w:rPr/>
        <w:t>        </w:t>
      </w:r>
      <w:r>
        <w:rPr>
          <w:rFonts w:ascii="times" w:hAnsi="times"/>
          <w:sz w:val="20"/>
        </w:rPr>
        <w:t xml:space="preserve">We utilize various derivative instruments to (i) manage our exposure to commodity price risk, (ii) engage in a controlled commodity trading program, (iii) manage our exposure to interest rate risk and (iv) manage our exposure to currency exchange rate risk. Our risk management policies and procedures are designed to monitor interest rates, currency exchange rates, NYMEX, ICE and over-the-counter positions, as well as physical volumes, grades, locations and delivery schedules to help ensure that our hedging activities address our market risks. Our policy is to formally document all </w:t>
      </w:r>
    </w:p>
    <w:p>
      <w:pPr>
        <w:pStyle w:val="TextBody"/>
        <w:jc w:val="center"/>
        <w:rPr>
          <w:rFonts w:ascii="times" w:hAnsi="times"/>
          <w:sz w:val="20"/>
        </w:rPr>
      </w:pPr>
      <w:r>
        <w:rPr>
          <w:rFonts w:ascii="times" w:hAnsi="times"/>
          <w:sz w:val="20"/>
        </w:rPr>
        <w:t>F-34</w:t>
      </w:r>
    </w:p>
    <w:p>
      <w:pPr>
        <w:pStyle w:val="HorizontalLine"/>
        <w:pBdr>
          <w:bottom w:val="single" w:sz="20" w:space="0" w:color="808080"/>
        </w:pBdr>
        <w:rPr/>
      </w:pPr>
      <w:r>
        <w:rPr/>
      </w:r>
      <w:r>
        <w:br w:type="page"/>
      </w:r>
    </w:p>
    <w:p>
      <w:pPr>
        <w:pStyle w:val="TextBody"/>
        <w:rPr/>
      </w:pPr>
      <w:hyperlink w:anchor="bg12101a_main_toc">
        <w:bookmarkStart w:id="268" w:name="page_fs12101_1_35"/>
        <w:bookmarkEnd w:id="26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6Derivatives and Hedging Instruments (Continued) </w:t>
      </w:r>
    </w:p>
    <w:p>
      <w:pPr>
        <w:pStyle w:val="TextBody"/>
        <w:rPr/>
      </w:pPr>
      <w:r>
        <w:rPr/>
      </w:r>
    </w:p>
    <w:p>
      <w:pPr>
        <w:pStyle w:val="TextBody"/>
        <w:rPr>
          <w:rFonts w:ascii="times" w:hAnsi="times"/>
          <w:sz w:val="20"/>
        </w:rPr>
      </w:pPr>
      <w:r>
        <w:rPr>
          <w:rFonts w:ascii="times" w:hAnsi="times"/>
          <w:sz w:val="20"/>
        </w:rPr>
        <w:t xml:space="preserve">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or the fair value of hedged items. </w:t>
      </w:r>
    </w:p>
    <w:p>
      <w:pPr>
        <w:pStyle w:val="TextBody"/>
        <w:rPr>
          <w:rFonts w:ascii="times" w:hAnsi="times"/>
          <w:b/>
          <w:i/>
          <w:sz w:val="20"/>
        </w:rPr>
      </w:pPr>
      <w:r>
        <w:rPr>
          <w:rFonts w:ascii="times" w:hAnsi="times"/>
          <w:b/>
          <w:i/>
          <w:sz w:val="20"/>
        </w:rPr>
        <w:t xml:space="preserve">Summary of Financial Impact </w:t>
      </w:r>
    </w:p>
    <w:p>
      <w:pPr>
        <w:pStyle w:val="TextBody"/>
        <w:rPr/>
      </w:pPr>
      <w:r>
        <w:rPr/>
        <w:t>        </w:t>
      </w:r>
      <w:r>
        <w:rPr>
          <w:rFonts w:ascii="times" w:hAnsi="times"/>
          <w:sz w:val="20"/>
        </w:rPr>
        <w:t xml:space="preserve">The majority of our derivative activity is related to our commodity price risk hedging activities. Through these activities, we hedge our exposure to price fluctuations with respect to crude oil, LPG, natural gas and refined products as well as with respect to expected purchases, sales and transportation of these commodities. The instruments that qualify for hedge accounting are designated as cash flow hedges. Therefore, the corresponding changes in fair value for the effective portion of the hedges are deferred to AOCI and recognized in revenues in the periods during which the underlying physical transactions occur. Derivatives that do not qualify for hedge accounting and the portion of cash flow hedges that is not highly effective, as defined in SFAS 133, in offsetting changes in cash flows of the hedged items, are marked-to-market in revenues each period. Cash settlements associated with our derivative activities are reflected as operating cash flows in our consolidated statements of cash flows. </w:t>
      </w:r>
    </w:p>
    <w:p>
      <w:pPr>
        <w:pStyle w:val="TextBody"/>
        <w:rPr/>
      </w:pPr>
      <w:r>
        <w:rPr/>
        <w:t>        </w:t>
      </w:r>
      <w:r>
        <w:rPr>
          <w:rFonts w:ascii="times" w:hAnsi="times"/>
          <w:sz w:val="20"/>
        </w:rPr>
        <w:t xml:space="preserve">The following table summarizes the net assets and liabilities on our consolidated balance sheet that are related to the fair value of our open derivative positions (in millions): </w:t>
      </w:r>
    </w:p>
    <w:tbl>
      <w:tblPr>
        <w:tblW w:w="6085" w:type="dxa"/>
        <w:jc w:val="center"/>
        <w:tblInd w:w="0" w:type="dxa"/>
        <w:tblCellMar>
          <w:top w:w="0" w:type="dxa"/>
          <w:left w:w="0" w:type="dxa"/>
          <w:bottom w:w="0" w:type="dxa"/>
          <w:right w:w="0" w:type="dxa"/>
        </w:tblCellMar>
      </w:tblPr>
      <w:tblGrid>
        <w:gridCol w:w="150"/>
        <w:gridCol w:w="4515"/>
        <w:gridCol w:w="180"/>
        <w:gridCol w:w="125"/>
        <w:gridCol w:w="395"/>
        <w:gridCol w:w="225"/>
        <w:gridCol w:w="125"/>
        <w:gridCol w:w="290"/>
        <w:gridCol w:w="80"/>
      </w:tblGrid>
      <w:tr>
        <w:trPr/>
        <w:tc>
          <w:tcPr>
            <w:tcW w:w="150" w:type="dxa"/>
            <w:tcBorders/>
            <w:shd w:fill="auto" w:val="clear"/>
            <w:vAlign w:val="center"/>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46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16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80" w:type="dxa"/>
            <w:tcBorders/>
            <w:shd w:fill="auto" w:val="clear"/>
            <w:vAlign w:val="bottom"/>
          </w:tcPr>
          <w:p>
            <w:pPr>
              <w:pStyle w:val="TableHeading"/>
              <w:suppressLineNumbers/>
              <w:spacing w:before="0" w:after="283"/>
              <w:jc w:val="center"/>
              <w:rPr/>
            </w:pPr>
            <w:r>
              <w:rPr/>
              <w:t> </w:t>
            </w:r>
          </w:p>
        </w:tc>
      </w:tr>
      <w:tr>
        <w:trPr/>
        <w:tc>
          <w:tcPr>
            <w:tcW w:w="466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4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80" w:type="dxa"/>
            <w:tcBorders/>
            <w:shd w:fill="auto" w:val="clear"/>
            <w:vAlign w:val="bottom"/>
          </w:tcPr>
          <w:p>
            <w:pPr>
              <w:pStyle w:val="TableHeading"/>
              <w:suppressLineNumbers/>
              <w:spacing w:before="0" w:after="283"/>
              <w:jc w:val="center"/>
              <w:rPr/>
            </w:pPr>
            <w:r>
              <w:rPr/>
              <w:t> </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 current assets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231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90" w:type="dxa"/>
            <w:tcBorders/>
            <w:shd w:fill="CCEEFF" w:val="clear"/>
          </w:tcPr>
          <w:p>
            <w:pPr>
              <w:pStyle w:val="TableContents"/>
              <w:spacing w:before="0" w:after="283"/>
              <w:jc w:val="right"/>
              <w:rPr>
                <w:rFonts w:ascii="times" w:hAnsi="times"/>
                <w:sz w:val="20"/>
              </w:rPr>
            </w:pPr>
            <w:r>
              <w:rPr>
                <w:rFonts w:ascii="times" w:hAnsi="times"/>
                <w:sz w:val="20"/>
              </w:rPr>
              <w:t>56</w:t>
            </w:r>
          </w:p>
        </w:tc>
        <w:tc>
          <w:tcPr>
            <w:tcW w:w="80" w:type="dxa"/>
            <w:tcBorders/>
            <w:shd w:fill="CCEEFF" w:val="clear"/>
          </w:tcPr>
          <w:p>
            <w:pPr>
              <w:pStyle w:val="TableContents"/>
              <w:spacing w:before="0" w:after="283"/>
              <w:rPr/>
            </w:pPr>
            <w:r>
              <w:rPr/>
              <w:t> </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 long-term assets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148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26</w:t>
            </w:r>
          </w:p>
        </w:tc>
        <w:tc>
          <w:tcPr>
            <w:tcW w:w="80" w:type="dxa"/>
            <w:tcBorders/>
            <w:shd w:fill="FFFFFF" w:val="clear"/>
          </w:tcPr>
          <w:p>
            <w:pPr>
              <w:pStyle w:val="TableContents"/>
              <w:spacing w:before="0" w:after="283"/>
              <w:rPr/>
            </w:pPr>
            <w:r>
              <w:rPr/>
              <w:t> </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 current liabilities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(319</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20"/>
              </w:rPr>
            </w:pPr>
            <w:r>
              <w:rPr>
                <w:rFonts w:ascii="times" w:hAnsi="times"/>
                <w:sz w:val="20"/>
              </w:rPr>
              <w:t>(97</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Other long-term liabilities and deferred credits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(72</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(22</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Other</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20"/>
              </w:rPr>
            </w:pPr>
            <w:r>
              <w:rPr>
                <w:rFonts w:ascii="times" w:hAnsi="times"/>
                <w:sz w:val="20"/>
              </w:rPr>
              <w:t>1</w:t>
            </w:r>
          </w:p>
        </w:tc>
        <w:tc>
          <w:tcPr>
            <w:tcW w:w="80" w:type="dxa"/>
            <w:tcBorders/>
            <w:shd w:fill="CCEEFF" w:val="clear"/>
          </w:tcPr>
          <w:p>
            <w:pPr>
              <w:pStyle w:val="TableContents"/>
              <w:spacing w:before="0" w:after="283"/>
              <w:rPr/>
            </w:pPr>
            <w:r>
              <w:rPr/>
              <w:t> </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515" w:type="dxa"/>
            <w:tcBorders/>
            <w:shd w:fill="FFFFFF" w:val="clear"/>
          </w:tcPr>
          <w:p>
            <w:pPr>
              <w:pStyle w:val="TableContents"/>
              <w:spacing w:before="0" w:after="283"/>
              <w:ind w:left="200" w:right="0" w:hanging="200"/>
              <w:rPr>
                <w:rFonts w:ascii="times" w:hAnsi="times"/>
                <w:sz w:val="20"/>
              </w:rPr>
            </w:pPr>
            <w:r>
              <w:rPr>
                <w:rFonts w:ascii="times" w:hAnsi="times"/>
                <w:sz w:val="20"/>
              </w:rPr>
              <w:t>Net Liability</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(12</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90" w:type="dxa"/>
            <w:tcBorders/>
            <w:shd w:fill="FFFFFF" w:val="clear"/>
          </w:tcPr>
          <w:p>
            <w:pPr>
              <w:pStyle w:val="TableContents"/>
              <w:spacing w:before="0" w:after="283"/>
              <w:jc w:val="right"/>
              <w:rPr>
                <w:rFonts w:ascii="times" w:hAnsi="times"/>
                <w:sz w:val="20"/>
              </w:rPr>
            </w:pPr>
            <w:r>
              <w:rPr>
                <w:rFonts w:ascii="times" w:hAnsi="times"/>
                <w:sz w:val="20"/>
              </w:rPr>
              <w:t>(36</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6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The net liability related to the fair value of our open derivative positions consists of unrealized gains/losses recognized in earnings and unrealized gains/losses deferred to AOCI as follows, by category (in millions, losses designated in parentheses): </w:t>
      </w:r>
    </w:p>
    <w:tbl>
      <w:tblPr>
        <w:tblW w:w="7943" w:type="dxa"/>
        <w:jc w:val="center"/>
        <w:tblInd w:w="0" w:type="dxa"/>
        <w:tblCellMar>
          <w:top w:w="0" w:type="dxa"/>
          <w:left w:w="0" w:type="dxa"/>
          <w:bottom w:w="0" w:type="dxa"/>
          <w:right w:w="0" w:type="dxa"/>
        </w:tblCellMar>
      </w:tblPr>
      <w:tblGrid>
        <w:gridCol w:w="3165"/>
        <w:gridCol w:w="180"/>
        <w:gridCol w:w="140"/>
        <w:gridCol w:w="539"/>
        <w:gridCol w:w="225"/>
        <w:gridCol w:w="202"/>
        <w:gridCol w:w="420"/>
        <w:gridCol w:w="225"/>
        <w:gridCol w:w="125"/>
        <w:gridCol w:w="290"/>
        <w:gridCol w:w="225"/>
        <w:gridCol w:w="140"/>
        <w:gridCol w:w="539"/>
        <w:gridCol w:w="225"/>
        <w:gridCol w:w="176"/>
        <w:gridCol w:w="428"/>
        <w:gridCol w:w="225"/>
        <w:gridCol w:w="135"/>
        <w:gridCol w:w="259"/>
        <w:gridCol w:w="80"/>
      </w:tblGrid>
      <w:tr>
        <w:trPr/>
        <w:tc>
          <w:tcPr>
            <w:tcW w:w="316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316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166"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2008 </w:t>
            </w:r>
          </w:p>
        </w:tc>
        <w:tc>
          <w:tcPr>
            <w:tcW w:w="225" w:type="dxa"/>
            <w:tcBorders/>
            <w:shd w:fill="auto" w:val="clear"/>
            <w:vAlign w:val="bottom"/>
          </w:tcPr>
          <w:p>
            <w:pPr>
              <w:pStyle w:val="TableHeading"/>
              <w:suppressLineNumbers/>
              <w:spacing w:before="0" w:after="283"/>
              <w:jc w:val="center"/>
              <w:rPr/>
            </w:pPr>
            <w:r>
              <w:rPr/>
              <w:t> </w:t>
            </w:r>
          </w:p>
        </w:tc>
        <w:tc>
          <w:tcPr>
            <w:tcW w:w="2127"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2007 </w:t>
            </w:r>
          </w:p>
        </w:tc>
        <w:tc>
          <w:tcPr>
            <w:tcW w:w="80" w:type="dxa"/>
            <w:tcBorders/>
            <w:shd w:fill="auto" w:val="clear"/>
            <w:vAlign w:val="bottom"/>
          </w:tcPr>
          <w:p>
            <w:pPr>
              <w:pStyle w:val="TableHeading"/>
              <w:suppressLineNumbers/>
              <w:spacing w:before="0" w:after="283"/>
              <w:jc w:val="center"/>
              <w:rPr/>
            </w:pPr>
            <w:r>
              <w:rPr/>
              <w:t> </w:t>
            </w:r>
          </w:p>
        </w:tc>
      </w:tr>
      <w:tr>
        <w:trPr/>
        <w:tc>
          <w:tcPr>
            <w:tcW w:w="316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6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 Asset</w:t>
              <w:br/>
              <w:t xml:space="preserve">(Liability) </w:t>
            </w:r>
          </w:p>
        </w:tc>
        <w:tc>
          <w:tcPr>
            <w:tcW w:w="225" w:type="dxa"/>
            <w:tcBorders/>
            <w:shd w:fill="auto" w:val="clear"/>
            <w:vAlign w:val="bottom"/>
          </w:tcPr>
          <w:p>
            <w:pPr>
              <w:pStyle w:val="TableHeading"/>
              <w:suppressLineNumbers/>
              <w:spacing w:before="0" w:after="283"/>
              <w:jc w:val="center"/>
              <w:rPr/>
            </w:pPr>
            <w:r>
              <w:rPr/>
              <w:t> </w:t>
            </w:r>
          </w:p>
        </w:tc>
        <w:tc>
          <w:tcPr>
            <w:tcW w:w="62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Earnings </w:t>
            </w:r>
          </w:p>
        </w:tc>
        <w:tc>
          <w:tcPr>
            <w:tcW w:w="225" w:type="dxa"/>
            <w:tcBorders/>
            <w:shd w:fill="auto" w:val="clear"/>
            <w:vAlign w:val="bottom"/>
          </w:tcPr>
          <w:p>
            <w:pPr>
              <w:pStyle w:val="TableHeading"/>
              <w:suppressLineNumbers/>
              <w:spacing w:before="0" w:after="283"/>
              <w:jc w:val="center"/>
              <w:rPr/>
            </w:pPr>
            <w:r>
              <w:rPr/>
              <w:t> </w:t>
            </w:r>
          </w:p>
        </w:tc>
        <w:tc>
          <w:tcPr>
            <w:tcW w:w="4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AOCI </w:t>
            </w:r>
          </w:p>
        </w:tc>
        <w:tc>
          <w:tcPr>
            <w:tcW w:w="225" w:type="dxa"/>
            <w:tcBorders/>
            <w:shd w:fill="auto" w:val="clear"/>
            <w:vAlign w:val="bottom"/>
          </w:tcPr>
          <w:p>
            <w:pPr>
              <w:pStyle w:val="TableHeading"/>
              <w:suppressLineNumbers/>
              <w:spacing w:before="0" w:after="283"/>
              <w:jc w:val="center"/>
              <w:rPr/>
            </w:pPr>
            <w:r>
              <w:rPr/>
              <w:t> </w:t>
            </w:r>
          </w:p>
        </w:tc>
        <w:tc>
          <w:tcPr>
            <w:tcW w:w="6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Net Asset</w:t>
              <w:br/>
              <w:t xml:space="preserve">(Liability) </w:t>
            </w:r>
          </w:p>
        </w:tc>
        <w:tc>
          <w:tcPr>
            <w:tcW w:w="225" w:type="dxa"/>
            <w:tcBorders/>
            <w:shd w:fill="auto" w:val="clear"/>
            <w:vAlign w:val="bottom"/>
          </w:tcPr>
          <w:p>
            <w:pPr>
              <w:pStyle w:val="TableHeading"/>
              <w:suppressLineNumbers/>
              <w:spacing w:before="0" w:after="283"/>
              <w:jc w:val="center"/>
              <w:rPr/>
            </w:pPr>
            <w:r>
              <w:rPr/>
              <w:t> </w:t>
            </w:r>
          </w:p>
        </w:tc>
        <w:tc>
          <w:tcPr>
            <w:tcW w:w="6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Earnings </w:t>
            </w:r>
          </w:p>
        </w:tc>
        <w:tc>
          <w:tcPr>
            <w:tcW w:w="225" w:type="dxa"/>
            <w:tcBorders/>
            <w:shd w:fill="auto" w:val="clear"/>
            <w:vAlign w:val="bottom"/>
          </w:tcPr>
          <w:p>
            <w:pPr>
              <w:pStyle w:val="TableHeading"/>
              <w:suppressLineNumbers/>
              <w:spacing w:before="0" w:after="283"/>
              <w:jc w:val="center"/>
              <w:rPr/>
            </w:pPr>
            <w:r>
              <w:rPr/>
              <w:t> </w:t>
            </w:r>
          </w:p>
        </w:tc>
        <w:tc>
          <w:tcPr>
            <w:tcW w:w="39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AOCI </w:t>
            </w:r>
          </w:p>
        </w:tc>
        <w:tc>
          <w:tcPr>
            <w:tcW w:w="80" w:type="dxa"/>
            <w:tcBorders/>
            <w:shd w:fill="auto" w:val="clear"/>
            <w:vAlign w:val="bottom"/>
          </w:tcPr>
          <w:p>
            <w:pPr>
              <w:pStyle w:val="TableHeading"/>
              <w:suppressLineNumbers/>
              <w:spacing w:before="0" w:after="283"/>
              <w:jc w:val="center"/>
              <w:rPr/>
            </w:pPr>
            <w:r>
              <w:rPr/>
              <w:t> </w:t>
            </w:r>
          </w:p>
        </w:tc>
      </w:tr>
      <w:tr>
        <w:trPr/>
        <w:tc>
          <w:tcPr>
            <w:tcW w:w="3165" w:type="dxa"/>
            <w:tcBorders/>
            <w:shd w:fill="CCEEFF" w:val="clear"/>
          </w:tcPr>
          <w:p>
            <w:pPr>
              <w:pStyle w:val="TableContents"/>
              <w:spacing w:before="0" w:after="283"/>
              <w:ind w:left="200" w:right="0" w:hanging="200"/>
              <w:rPr>
                <w:rFonts w:ascii="times" w:hAnsi="times"/>
                <w:sz w:val="20"/>
              </w:rPr>
            </w:pPr>
            <w:r>
              <w:rPr>
                <w:rFonts w:ascii="times" w:hAnsi="times"/>
                <w:sz w:val="20"/>
              </w:rPr>
              <w:t>Commodity price risk hedging</w:t>
            </w:r>
          </w:p>
        </w:tc>
        <w:tc>
          <w:tcPr>
            <w:tcW w:w="180"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jc w:val="right"/>
              <w:rPr>
                <w:rFonts w:ascii="times" w:hAnsi="times"/>
                <w:sz w:val="20"/>
              </w:rPr>
            </w:pPr>
            <w:r>
              <w:rPr>
                <w:rFonts w:ascii="times" w:hAnsi="times"/>
                <w:sz w:val="20"/>
              </w:rPr>
              <w:t>$</w:t>
            </w:r>
          </w:p>
        </w:tc>
        <w:tc>
          <w:tcPr>
            <w:tcW w:w="539" w:type="dxa"/>
            <w:tcBorders/>
            <w:shd w:fill="CCEEFF" w:val="clear"/>
          </w:tcPr>
          <w:p>
            <w:pPr>
              <w:pStyle w:val="TableContents"/>
              <w:spacing w:before="0" w:after="283"/>
              <w:jc w:val="right"/>
              <w:rPr>
                <w:rFonts w:ascii="times" w:hAnsi="times"/>
                <w:sz w:val="20"/>
              </w:rPr>
            </w:pPr>
            <w:r>
              <w:rPr>
                <w:rFonts w:ascii="times" w:hAnsi="times"/>
                <w:sz w:val="20"/>
              </w:rPr>
              <w:t>(30</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202" w:type="dxa"/>
            <w:tcBorders/>
            <w:shd w:fill="CCEEFF" w:val="clear"/>
          </w:tcPr>
          <w:p>
            <w:pPr>
              <w:pStyle w:val="TableContents"/>
              <w:spacing w:before="0" w:after="283"/>
              <w:jc w:val="right"/>
              <w:rPr>
                <w:rFonts w:ascii="times" w:hAnsi="times"/>
                <w:sz w:val="20"/>
              </w:rPr>
            </w:pPr>
            <w:r>
              <w:rPr>
                <w:rFonts w:ascii="times" w:hAnsi="times"/>
                <w:sz w:val="20"/>
              </w:rPr>
              <w:t>$</w:t>
            </w:r>
          </w:p>
        </w:tc>
        <w:tc>
          <w:tcPr>
            <w:tcW w:w="420" w:type="dxa"/>
            <w:tcBorders/>
            <w:shd w:fill="CCEEFF" w:val="clear"/>
          </w:tcPr>
          <w:p>
            <w:pPr>
              <w:pStyle w:val="TableContents"/>
              <w:spacing w:before="0" w:after="283"/>
              <w:jc w:val="right"/>
              <w:rPr>
                <w:rFonts w:ascii="times" w:hAnsi="times"/>
                <w:sz w:val="20"/>
              </w:rPr>
            </w:pPr>
            <w:r>
              <w:rPr>
                <w:rFonts w:ascii="times" w:hAnsi="times"/>
                <w:sz w:val="20"/>
              </w:rPr>
              <w:t>57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90" w:type="dxa"/>
            <w:tcBorders/>
            <w:shd w:fill="CCEEFF" w:val="clear"/>
          </w:tcPr>
          <w:p>
            <w:pPr>
              <w:pStyle w:val="TableContents"/>
              <w:spacing w:before="0" w:after="283"/>
              <w:jc w:val="right"/>
              <w:rPr>
                <w:rFonts w:ascii="times" w:hAnsi="times"/>
                <w:sz w:val="20"/>
              </w:rPr>
            </w:pPr>
            <w:r>
              <w:rPr>
                <w:rFonts w:ascii="times" w:hAnsi="times"/>
                <w:sz w:val="20"/>
              </w:rPr>
              <w:t>(87</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40" w:type="dxa"/>
            <w:tcBorders/>
            <w:shd w:fill="CCEEFF" w:val="clear"/>
          </w:tcPr>
          <w:p>
            <w:pPr>
              <w:pStyle w:val="TableContents"/>
              <w:spacing w:before="0" w:after="283"/>
              <w:jc w:val="right"/>
              <w:rPr>
                <w:rFonts w:ascii="times" w:hAnsi="times"/>
                <w:sz w:val="20"/>
              </w:rPr>
            </w:pPr>
            <w:r>
              <w:rPr>
                <w:rFonts w:ascii="times" w:hAnsi="times"/>
                <w:sz w:val="20"/>
              </w:rPr>
              <w:t>$</w:t>
            </w:r>
          </w:p>
        </w:tc>
        <w:tc>
          <w:tcPr>
            <w:tcW w:w="539" w:type="dxa"/>
            <w:tcBorders/>
            <w:shd w:fill="CCEEFF" w:val="clear"/>
          </w:tcPr>
          <w:p>
            <w:pPr>
              <w:pStyle w:val="TableContents"/>
              <w:spacing w:before="0" w:after="283"/>
              <w:jc w:val="right"/>
              <w:rPr>
                <w:rFonts w:ascii="times" w:hAnsi="times"/>
                <w:sz w:val="20"/>
              </w:rPr>
            </w:pPr>
            <w:r>
              <w:rPr>
                <w:rFonts w:ascii="times" w:hAnsi="times"/>
                <w:sz w:val="20"/>
              </w:rPr>
              <w:t>(38</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76" w:type="dxa"/>
            <w:tcBorders/>
            <w:shd w:fill="CCEEFF" w:val="clear"/>
          </w:tcPr>
          <w:p>
            <w:pPr>
              <w:pStyle w:val="TableContents"/>
              <w:spacing w:before="0" w:after="283"/>
              <w:jc w:val="right"/>
              <w:rPr>
                <w:rFonts w:ascii="times" w:hAnsi="times"/>
                <w:sz w:val="20"/>
              </w:rPr>
            </w:pPr>
            <w:r>
              <w:rPr>
                <w:rFonts w:ascii="times" w:hAnsi="times"/>
                <w:sz w:val="20"/>
              </w:rPr>
              <w:t>$</w:t>
            </w:r>
          </w:p>
        </w:tc>
        <w:tc>
          <w:tcPr>
            <w:tcW w:w="428" w:type="dxa"/>
            <w:tcBorders/>
            <w:shd w:fill="CCEEFF" w:val="clear"/>
          </w:tcPr>
          <w:p>
            <w:pPr>
              <w:pStyle w:val="TableContents"/>
              <w:spacing w:before="0" w:after="283"/>
              <w:jc w:val="right"/>
              <w:rPr>
                <w:rFonts w:ascii="times" w:hAnsi="times"/>
                <w:sz w:val="20"/>
              </w:rPr>
            </w:pPr>
            <w:r>
              <w:rPr>
                <w:rFonts w:ascii="times" w:hAnsi="times"/>
                <w:sz w:val="20"/>
              </w:rPr>
              <w:t>(48</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35" w:type="dxa"/>
            <w:tcBorders/>
            <w:shd w:fill="CCEEFF" w:val="clear"/>
          </w:tcPr>
          <w:p>
            <w:pPr>
              <w:pStyle w:val="TableContents"/>
              <w:spacing w:before="0" w:after="283"/>
              <w:jc w:val="right"/>
              <w:rPr>
                <w:rFonts w:ascii="times" w:hAnsi="times"/>
                <w:sz w:val="20"/>
              </w:rPr>
            </w:pPr>
            <w:r>
              <w:rPr>
                <w:rFonts w:ascii="times" w:hAnsi="times"/>
                <w:sz w:val="20"/>
              </w:rPr>
              <w:t>$</w:t>
            </w:r>
          </w:p>
        </w:tc>
        <w:tc>
          <w:tcPr>
            <w:tcW w:w="259" w:type="dxa"/>
            <w:tcBorders/>
            <w:shd w:fill="CCEEFF" w:val="clear"/>
          </w:tcPr>
          <w:p>
            <w:pPr>
              <w:pStyle w:val="TableContents"/>
              <w:spacing w:before="0" w:after="283"/>
              <w:jc w:val="right"/>
              <w:rPr>
                <w:rFonts w:ascii="times" w:hAnsi="times"/>
                <w:sz w:val="20"/>
              </w:rPr>
            </w:pPr>
            <w:r>
              <w:rPr>
                <w:rFonts w:ascii="times" w:hAnsi="times"/>
                <w:sz w:val="20"/>
              </w:rPr>
              <w:t>10</w:t>
            </w:r>
          </w:p>
        </w:tc>
        <w:tc>
          <w:tcPr>
            <w:tcW w:w="80" w:type="dxa"/>
            <w:tcBorders/>
            <w:shd w:fill="CCEEFF" w:val="clear"/>
          </w:tcPr>
          <w:p>
            <w:pPr>
              <w:pStyle w:val="TableContents"/>
              <w:spacing w:before="0" w:after="283"/>
              <w:rPr/>
            </w:pPr>
            <w:r>
              <w:rPr/>
              <w:t> </w:t>
            </w:r>
          </w:p>
        </w:tc>
      </w:tr>
      <w:tr>
        <w:trPr/>
        <w:tc>
          <w:tcPr>
            <w:tcW w:w="3165" w:type="dxa"/>
            <w:tcBorders/>
            <w:shd w:fill="FFFFFF" w:val="clear"/>
          </w:tcPr>
          <w:p>
            <w:pPr>
              <w:pStyle w:val="TableContents"/>
              <w:spacing w:before="0" w:after="283"/>
              <w:ind w:left="200" w:right="0" w:hanging="200"/>
              <w:rPr>
                <w:rFonts w:ascii="times" w:hAnsi="times"/>
                <w:sz w:val="20"/>
              </w:rPr>
            </w:pPr>
            <w:r>
              <w:rPr>
                <w:rFonts w:ascii="times" w:hAnsi="times"/>
                <w:sz w:val="20"/>
              </w:rPr>
              <w:t>Controlled trading program</w:t>
            </w:r>
          </w:p>
        </w:tc>
        <w:tc>
          <w:tcPr>
            <w:tcW w:w="180"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rPr/>
            </w:pPr>
            <w:r>
              <w:rPr/>
              <w:t> </w:t>
            </w:r>
          </w:p>
        </w:tc>
        <w:tc>
          <w:tcPr>
            <w:tcW w:w="539"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42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rPr/>
            </w:pPr>
            <w:r>
              <w:rPr/>
              <w:t> </w:t>
            </w:r>
          </w:p>
        </w:tc>
        <w:tc>
          <w:tcPr>
            <w:tcW w:w="539"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76" w:type="dxa"/>
            <w:tcBorders/>
            <w:shd w:fill="FFFFFF" w:val="clear"/>
          </w:tcPr>
          <w:p>
            <w:pPr>
              <w:pStyle w:val="TableContents"/>
              <w:spacing w:before="0" w:after="283"/>
              <w:rPr/>
            </w:pPr>
            <w:r>
              <w:rPr/>
              <w:t> </w:t>
            </w:r>
          </w:p>
        </w:tc>
        <w:tc>
          <w:tcPr>
            <w:tcW w:w="428"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35" w:type="dxa"/>
            <w:tcBorders/>
            <w:shd w:fill="FFFFFF" w:val="clear"/>
          </w:tcPr>
          <w:p>
            <w:pPr>
              <w:pStyle w:val="TableContents"/>
              <w:spacing w:before="0" w:after="283"/>
              <w:rPr/>
            </w:pPr>
            <w:r>
              <w:rPr/>
              <w:t> </w:t>
            </w:r>
          </w:p>
        </w:tc>
        <w:tc>
          <w:tcPr>
            <w:tcW w:w="259" w:type="dxa"/>
            <w:tcBorders/>
            <w:shd w:fill="FFFFFF" w:val="clear"/>
          </w:tcPr>
          <w:p>
            <w:pPr>
              <w:pStyle w:val="TableContents"/>
              <w:spacing w:before="0" w:after="283"/>
              <w:jc w:val="right"/>
              <w:rPr>
                <w:rFonts w:ascii="times" w:hAnsi="times"/>
                <w:sz w:val="20"/>
              </w:rPr>
            </w:pPr>
            <w:r>
              <w:rPr>
                <w:rFonts w:ascii="times" w:hAnsi="times"/>
                <w:sz w:val="20"/>
              </w:rPr>
              <w:t></w:t>
            </w:r>
          </w:p>
        </w:tc>
        <w:tc>
          <w:tcPr>
            <w:tcW w:w="80" w:type="dxa"/>
            <w:tcBorders/>
            <w:shd w:fill="FFFFFF" w:val="clear"/>
          </w:tcPr>
          <w:p>
            <w:pPr>
              <w:pStyle w:val="TableContents"/>
              <w:spacing w:before="0" w:after="283"/>
              <w:rPr/>
            </w:pPr>
            <w:r>
              <w:rPr/>
              <w:t> </w:t>
            </w:r>
          </w:p>
        </w:tc>
      </w:tr>
      <w:tr>
        <w:trPr/>
        <w:tc>
          <w:tcPr>
            <w:tcW w:w="3165" w:type="dxa"/>
            <w:tcBorders/>
            <w:shd w:fill="CCEEFF" w:val="clear"/>
          </w:tcPr>
          <w:p>
            <w:pPr>
              <w:pStyle w:val="TableContents"/>
              <w:spacing w:before="0" w:after="283"/>
              <w:ind w:left="200" w:right="0" w:hanging="200"/>
              <w:rPr>
                <w:rFonts w:ascii="times" w:hAnsi="times"/>
                <w:sz w:val="20"/>
              </w:rPr>
            </w:pPr>
            <w:r>
              <w:rPr>
                <w:rFonts w:ascii="times" w:hAnsi="times"/>
                <w:sz w:val="20"/>
              </w:rPr>
              <w:t>Interest rate risk hedging</w:t>
            </w:r>
          </w:p>
        </w:tc>
        <w:tc>
          <w:tcPr>
            <w:tcW w:w="180"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rPr/>
            </w:pPr>
            <w:r>
              <w:rPr/>
              <w:t> </w:t>
            </w:r>
          </w:p>
        </w:tc>
        <w:tc>
          <w:tcPr>
            <w:tcW w:w="539" w:type="dxa"/>
            <w:tcBorders/>
            <w:shd w:fill="CCEEFF" w:val="clear"/>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420" w:type="dxa"/>
            <w:tcBorders/>
            <w:shd w:fill="CCEEFF" w:val="clear"/>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rPr/>
            </w:pPr>
            <w:r>
              <w:rPr/>
              <w:t> </w:t>
            </w:r>
          </w:p>
        </w:tc>
        <w:tc>
          <w:tcPr>
            <w:tcW w:w="539" w:type="dxa"/>
            <w:tcBorders/>
            <w:shd w:fill="CCEEFF" w:val="clear"/>
          </w:tcPr>
          <w:p>
            <w:pPr>
              <w:pStyle w:val="TableContents"/>
              <w:spacing w:before="0" w:after="283"/>
              <w:jc w:val="right"/>
              <w:rPr>
                <w:rFonts w:ascii="times" w:hAnsi="times"/>
                <w:sz w:val="20"/>
              </w:rPr>
            </w:pPr>
            <w:r>
              <w:rPr>
                <w:rFonts w:ascii="times" w:hAnsi="times"/>
                <w:sz w:val="20"/>
              </w:rPr>
              <w:t>3</w:t>
            </w:r>
          </w:p>
        </w:tc>
        <w:tc>
          <w:tcPr>
            <w:tcW w:w="225" w:type="dxa"/>
            <w:tcBorders/>
            <w:shd w:fill="CCEEFF" w:val="clear"/>
          </w:tcPr>
          <w:p>
            <w:pPr>
              <w:pStyle w:val="TableContents"/>
              <w:spacing w:before="0" w:after="283"/>
              <w:rPr/>
            </w:pPr>
            <w:r>
              <w:rPr/>
              <w:t> </w:t>
            </w:r>
          </w:p>
        </w:tc>
        <w:tc>
          <w:tcPr>
            <w:tcW w:w="176" w:type="dxa"/>
            <w:tcBorders/>
            <w:shd w:fill="CCEEFF" w:val="clear"/>
          </w:tcPr>
          <w:p>
            <w:pPr>
              <w:pStyle w:val="TableContents"/>
              <w:spacing w:before="0" w:after="283"/>
              <w:rPr/>
            </w:pPr>
            <w:r>
              <w:rPr/>
              <w:t> </w:t>
            </w:r>
          </w:p>
        </w:tc>
        <w:tc>
          <w:tcPr>
            <w:tcW w:w="428" w:type="dxa"/>
            <w:tcBorders/>
            <w:shd w:fill="CCEEFF" w:val="clear"/>
          </w:tcPr>
          <w:p>
            <w:pPr>
              <w:pStyle w:val="TableContents"/>
              <w:spacing w:before="0" w:after="283"/>
              <w:jc w:val="right"/>
              <w:rPr>
                <w:rFonts w:ascii="times" w:hAnsi="times"/>
                <w:sz w:val="20"/>
              </w:rPr>
            </w:pPr>
            <w:r>
              <w:rPr>
                <w:rFonts w:ascii="times" w:hAnsi="times"/>
                <w:sz w:val="20"/>
              </w:rPr>
              <w:t>3</w:t>
            </w:r>
          </w:p>
        </w:tc>
        <w:tc>
          <w:tcPr>
            <w:tcW w:w="225" w:type="dxa"/>
            <w:tcBorders/>
            <w:shd w:fill="CCEEFF" w:val="clear"/>
          </w:tcPr>
          <w:p>
            <w:pPr>
              <w:pStyle w:val="TableContents"/>
              <w:spacing w:before="0" w:after="283"/>
              <w:rPr/>
            </w:pPr>
            <w:r>
              <w:rPr/>
              <w:t> </w:t>
            </w:r>
          </w:p>
        </w:tc>
        <w:tc>
          <w:tcPr>
            <w:tcW w:w="135" w:type="dxa"/>
            <w:tcBorders/>
            <w:shd w:fill="CCEEFF" w:val="clear"/>
          </w:tcPr>
          <w:p>
            <w:pPr>
              <w:pStyle w:val="TableContents"/>
              <w:spacing w:before="0" w:after="283"/>
              <w:rPr/>
            </w:pPr>
            <w:r>
              <w:rPr/>
              <w:t> </w:t>
            </w:r>
          </w:p>
        </w:tc>
        <w:tc>
          <w:tcPr>
            <w:tcW w:w="259" w:type="dxa"/>
            <w:tcBorders/>
            <w:shd w:fill="CCEEFF" w:val="clear"/>
          </w:tcPr>
          <w:p>
            <w:pPr>
              <w:pStyle w:val="TableContents"/>
              <w:spacing w:before="0" w:after="283"/>
              <w:jc w:val="right"/>
              <w:rPr>
                <w:rFonts w:ascii="times" w:hAnsi="times"/>
                <w:sz w:val="20"/>
              </w:rPr>
            </w:pPr>
            <w:r>
              <w:rPr>
                <w:rFonts w:ascii="times" w:hAnsi="times"/>
                <w:sz w:val="20"/>
              </w:rPr>
              <w:t></w:t>
            </w:r>
          </w:p>
        </w:tc>
        <w:tc>
          <w:tcPr>
            <w:tcW w:w="80" w:type="dxa"/>
            <w:tcBorders/>
            <w:shd w:fill="CCEEFF" w:val="clear"/>
          </w:tcPr>
          <w:p>
            <w:pPr>
              <w:pStyle w:val="TableContents"/>
              <w:spacing w:before="0" w:after="283"/>
              <w:rPr/>
            </w:pPr>
            <w:r>
              <w:rPr/>
              <w:t> </w:t>
            </w:r>
          </w:p>
        </w:tc>
      </w:tr>
      <w:tr>
        <w:trPr/>
        <w:tc>
          <w:tcPr>
            <w:tcW w:w="3165" w:type="dxa"/>
            <w:tcBorders/>
            <w:shd w:fill="FFFFFF" w:val="clear"/>
          </w:tcPr>
          <w:p>
            <w:pPr>
              <w:pStyle w:val="TableContents"/>
              <w:spacing w:before="0" w:after="283"/>
              <w:ind w:left="200" w:right="0" w:hanging="200"/>
              <w:rPr>
                <w:rFonts w:ascii="times" w:hAnsi="times"/>
                <w:sz w:val="20"/>
              </w:rPr>
            </w:pPr>
            <w:r>
              <w:rPr>
                <w:rFonts w:ascii="times" w:hAnsi="times"/>
                <w:sz w:val="20"/>
              </w:rPr>
              <w:t>Currency exchange rate risk hedging</w:t>
            </w:r>
          </w:p>
        </w:tc>
        <w:tc>
          <w:tcPr>
            <w:tcW w:w="180"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rPr/>
            </w:pPr>
            <w:r>
              <w:rPr/>
              <w:t> </w:t>
            </w:r>
          </w:p>
        </w:tc>
        <w:tc>
          <w:tcPr>
            <w:tcW w:w="539" w:type="dxa"/>
            <w:tcBorders/>
            <w:shd w:fill="FFFFFF" w:val="clear"/>
          </w:tcPr>
          <w:p>
            <w:pPr>
              <w:pStyle w:val="TableContents"/>
              <w:spacing w:before="0" w:after="283"/>
              <w:jc w:val="right"/>
              <w:rPr>
                <w:rFonts w:ascii="times" w:hAnsi="times"/>
                <w:sz w:val="20"/>
              </w:rPr>
            </w:pPr>
            <w:r>
              <w:rPr>
                <w:rFonts w:ascii="times" w:hAnsi="times"/>
                <w:sz w:val="20"/>
              </w:rPr>
              <w:t>13</w:t>
            </w:r>
          </w:p>
        </w:tc>
        <w:tc>
          <w:tcPr>
            <w:tcW w:w="22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420" w:type="dxa"/>
            <w:tcBorders/>
            <w:shd w:fill="FFFFFF" w:val="clear"/>
          </w:tcPr>
          <w:p>
            <w:pPr>
              <w:pStyle w:val="TableContents"/>
              <w:spacing w:before="0" w:after="283"/>
              <w:jc w:val="right"/>
              <w:rPr>
                <w:rFonts w:ascii="times" w:hAnsi="times"/>
                <w:sz w:val="20"/>
              </w:rPr>
            </w:pPr>
            <w:r>
              <w:rPr>
                <w:rFonts w:ascii="times" w:hAnsi="times"/>
                <w:sz w:val="20"/>
              </w:rPr>
              <w:t>(3</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16</w:t>
            </w:r>
          </w:p>
        </w:tc>
        <w:tc>
          <w:tcPr>
            <w:tcW w:w="225" w:type="dxa"/>
            <w:tcBorders/>
            <w:shd w:fill="FFFFFF" w:val="clear"/>
          </w:tcPr>
          <w:p>
            <w:pPr>
              <w:pStyle w:val="TableContents"/>
              <w:spacing w:before="0" w:after="283"/>
              <w:rPr/>
            </w:pPr>
            <w:r>
              <w:rPr/>
              <w:t> </w:t>
            </w:r>
          </w:p>
        </w:tc>
        <w:tc>
          <w:tcPr>
            <w:tcW w:w="140" w:type="dxa"/>
            <w:tcBorders/>
            <w:shd w:fill="FFFFFF" w:val="clear"/>
          </w:tcPr>
          <w:p>
            <w:pPr>
              <w:pStyle w:val="TableContents"/>
              <w:spacing w:before="0" w:after="283"/>
              <w:rPr/>
            </w:pPr>
            <w:r>
              <w:rPr/>
              <w:t> </w:t>
            </w:r>
          </w:p>
        </w:tc>
        <w:tc>
          <w:tcPr>
            <w:tcW w:w="539" w:type="dxa"/>
            <w:tcBorders/>
            <w:shd w:fill="FFFFFF" w:val="clear"/>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76" w:type="dxa"/>
            <w:tcBorders/>
            <w:shd w:fill="FFFFFF" w:val="clear"/>
          </w:tcPr>
          <w:p>
            <w:pPr>
              <w:pStyle w:val="TableContents"/>
              <w:spacing w:before="0" w:after="283"/>
              <w:rPr/>
            </w:pPr>
            <w:r>
              <w:rPr/>
              <w:t> </w:t>
            </w:r>
          </w:p>
        </w:tc>
        <w:tc>
          <w:tcPr>
            <w:tcW w:w="428"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35" w:type="dxa"/>
            <w:tcBorders/>
            <w:shd w:fill="FFFFFF" w:val="clear"/>
          </w:tcPr>
          <w:p>
            <w:pPr>
              <w:pStyle w:val="TableContents"/>
              <w:spacing w:before="0" w:after="283"/>
              <w:rPr/>
            </w:pPr>
            <w:r>
              <w:rPr/>
              <w:t> </w:t>
            </w:r>
          </w:p>
        </w:tc>
        <w:tc>
          <w:tcPr>
            <w:tcW w:w="259" w:type="dxa"/>
            <w:tcBorders/>
            <w:shd w:fill="FFFFFF" w:val="clear"/>
          </w:tcPr>
          <w:p>
            <w:pPr>
              <w:pStyle w:val="TableContents"/>
              <w:spacing w:before="0" w:after="283"/>
              <w:jc w:val="right"/>
              <w:rPr>
                <w:rFonts w:ascii="times" w:hAnsi="times"/>
                <w:sz w:val="20"/>
              </w:rPr>
            </w:pPr>
            <w:r>
              <w:rPr>
                <w:rFonts w:ascii="times" w:hAnsi="times"/>
                <w:sz w:val="20"/>
              </w:rPr>
              <w:t>(1</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316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22"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0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9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3165"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140" w:type="dxa"/>
            <w:tcBorders/>
            <w:shd w:fill="CCEEFF" w:val="clear"/>
          </w:tcPr>
          <w:p>
            <w:pPr>
              <w:pStyle w:val="TableContents"/>
              <w:spacing w:before="0" w:after="283"/>
              <w:jc w:val="right"/>
              <w:rPr>
                <w:rFonts w:ascii="times" w:hAnsi="times"/>
                <w:sz w:val="20"/>
              </w:rPr>
            </w:pPr>
            <w:r>
              <w:rPr>
                <w:rFonts w:ascii="times" w:hAnsi="times"/>
                <w:sz w:val="20"/>
              </w:rPr>
              <w:t>$</w:t>
            </w:r>
          </w:p>
        </w:tc>
        <w:tc>
          <w:tcPr>
            <w:tcW w:w="539" w:type="dxa"/>
            <w:tcBorders/>
            <w:shd w:fill="CCEEFF" w:val="clear"/>
          </w:tcPr>
          <w:p>
            <w:pPr>
              <w:pStyle w:val="TableContents"/>
              <w:spacing w:before="0" w:after="283"/>
              <w:jc w:val="right"/>
              <w:rPr>
                <w:rFonts w:ascii="times" w:hAnsi="times"/>
                <w:sz w:val="20"/>
              </w:rPr>
            </w:pPr>
            <w:r>
              <w:rPr>
                <w:rFonts w:ascii="times" w:hAnsi="times"/>
                <w:sz w:val="20"/>
              </w:rPr>
              <w:t>(12</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202" w:type="dxa"/>
            <w:tcBorders/>
            <w:shd w:fill="CCEEFF" w:val="clear"/>
          </w:tcPr>
          <w:p>
            <w:pPr>
              <w:pStyle w:val="TableContents"/>
              <w:spacing w:before="0" w:after="283"/>
              <w:jc w:val="right"/>
              <w:rPr>
                <w:rFonts w:ascii="times" w:hAnsi="times"/>
                <w:sz w:val="20"/>
              </w:rPr>
            </w:pPr>
            <w:r>
              <w:rPr>
                <w:rFonts w:ascii="times" w:hAnsi="times"/>
                <w:sz w:val="20"/>
              </w:rPr>
              <w:t>$</w:t>
            </w:r>
          </w:p>
        </w:tc>
        <w:tc>
          <w:tcPr>
            <w:tcW w:w="420" w:type="dxa"/>
            <w:tcBorders/>
            <w:shd w:fill="CCEEFF" w:val="clear"/>
          </w:tcPr>
          <w:p>
            <w:pPr>
              <w:pStyle w:val="TableContents"/>
              <w:spacing w:before="0" w:after="283"/>
              <w:jc w:val="right"/>
              <w:rPr>
                <w:rFonts w:ascii="times" w:hAnsi="times"/>
                <w:sz w:val="20"/>
              </w:rPr>
            </w:pPr>
            <w:r>
              <w:rPr>
                <w:rFonts w:ascii="times" w:hAnsi="times"/>
                <w:sz w:val="20"/>
              </w:rPr>
              <w:t>59</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90" w:type="dxa"/>
            <w:tcBorders/>
            <w:shd w:fill="CCEEFF" w:val="clear"/>
          </w:tcPr>
          <w:p>
            <w:pPr>
              <w:pStyle w:val="TableContents"/>
              <w:spacing w:before="0" w:after="283"/>
              <w:jc w:val="right"/>
              <w:rPr>
                <w:rFonts w:ascii="times" w:hAnsi="times"/>
                <w:sz w:val="20"/>
              </w:rPr>
            </w:pPr>
            <w:r>
              <w:rPr>
                <w:rFonts w:ascii="times" w:hAnsi="times"/>
                <w:sz w:val="20"/>
              </w:rPr>
              <w:t>(71</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40" w:type="dxa"/>
            <w:tcBorders/>
            <w:shd w:fill="CCEEFF" w:val="clear"/>
          </w:tcPr>
          <w:p>
            <w:pPr>
              <w:pStyle w:val="TableContents"/>
              <w:spacing w:before="0" w:after="283"/>
              <w:jc w:val="right"/>
              <w:rPr>
                <w:rFonts w:ascii="times" w:hAnsi="times"/>
                <w:sz w:val="20"/>
              </w:rPr>
            </w:pPr>
            <w:r>
              <w:rPr>
                <w:rFonts w:ascii="times" w:hAnsi="times"/>
                <w:sz w:val="20"/>
              </w:rPr>
              <w:t>$</w:t>
            </w:r>
          </w:p>
        </w:tc>
        <w:tc>
          <w:tcPr>
            <w:tcW w:w="539" w:type="dxa"/>
            <w:tcBorders/>
            <w:shd w:fill="CCEEFF" w:val="clear"/>
          </w:tcPr>
          <w:p>
            <w:pPr>
              <w:pStyle w:val="TableContents"/>
              <w:spacing w:before="0" w:after="283"/>
              <w:jc w:val="right"/>
              <w:rPr>
                <w:rFonts w:ascii="times" w:hAnsi="times"/>
                <w:sz w:val="20"/>
              </w:rPr>
            </w:pPr>
            <w:r>
              <w:rPr>
                <w:rFonts w:ascii="times" w:hAnsi="times"/>
                <w:sz w:val="20"/>
              </w:rPr>
              <w:t>(36</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76" w:type="dxa"/>
            <w:tcBorders/>
            <w:shd w:fill="CCEEFF" w:val="clear"/>
          </w:tcPr>
          <w:p>
            <w:pPr>
              <w:pStyle w:val="TableContents"/>
              <w:spacing w:before="0" w:after="283"/>
              <w:jc w:val="right"/>
              <w:rPr>
                <w:rFonts w:ascii="times" w:hAnsi="times"/>
                <w:sz w:val="20"/>
              </w:rPr>
            </w:pPr>
            <w:r>
              <w:rPr>
                <w:rFonts w:ascii="times" w:hAnsi="times"/>
                <w:sz w:val="20"/>
              </w:rPr>
              <w:t>$</w:t>
            </w:r>
          </w:p>
        </w:tc>
        <w:tc>
          <w:tcPr>
            <w:tcW w:w="428" w:type="dxa"/>
            <w:tcBorders/>
            <w:shd w:fill="CCEEFF" w:val="clear"/>
          </w:tcPr>
          <w:p>
            <w:pPr>
              <w:pStyle w:val="TableContents"/>
              <w:spacing w:before="0" w:after="283"/>
              <w:jc w:val="right"/>
              <w:rPr>
                <w:rFonts w:ascii="times" w:hAnsi="times"/>
                <w:sz w:val="20"/>
              </w:rPr>
            </w:pPr>
            <w:r>
              <w:rPr>
                <w:rFonts w:ascii="times" w:hAnsi="times"/>
                <w:sz w:val="20"/>
              </w:rPr>
              <w:t>(45</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35" w:type="dxa"/>
            <w:tcBorders/>
            <w:shd w:fill="CCEEFF" w:val="clear"/>
          </w:tcPr>
          <w:p>
            <w:pPr>
              <w:pStyle w:val="TableContents"/>
              <w:spacing w:before="0" w:after="283"/>
              <w:jc w:val="right"/>
              <w:rPr>
                <w:rFonts w:ascii="times" w:hAnsi="times"/>
                <w:sz w:val="20"/>
              </w:rPr>
            </w:pPr>
            <w:r>
              <w:rPr>
                <w:rFonts w:ascii="times" w:hAnsi="times"/>
                <w:sz w:val="20"/>
              </w:rPr>
              <w:t>$</w:t>
            </w:r>
          </w:p>
        </w:tc>
        <w:tc>
          <w:tcPr>
            <w:tcW w:w="259" w:type="dxa"/>
            <w:tcBorders/>
            <w:shd w:fill="CCEEFF" w:val="clear"/>
          </w:tcPr>
          <w:p>
            <w:pPr>
              <w:pStyle w:val="TableContents"/>
              <w:spacing w:before="0" w:after="283"/>
              <w:jc w:val="right"/>
              <w:rPr>
                <w:rFonts w:ascii="times" w:hAnsi="times"/>
                <w:sz w:val="20"/>
              </w:rPr>
            </w:pPr>
            <w:r>
              <w:rPr>
                <w:rFonts w:ascii="times" w:hAnsi="times"/>
                <w:sz w:val="20"/>
              </w:rPr>
              <w:t>9</w:t>
            </w:r>
          </w:p>
        </w:tc>
        <w:tc>
          <w:tcPr>
            <w:tcW w:w="80" w:type="dxa"/>
            <w:tcBorders/>
            <w:shd w:fill="CCEEFF" w:val="clear"/>
          </w:tcPr>
          <w:p>
            <w:pPr>
              <w:pStyle w:val="TableContents"/>
              <w:spacing w:before="0" w:after="283"/>
              <w:rPr/>
            </w:pPr>
            <w:r>
              <w:rPr/>
              <w:t> </w:t>
            </w:r>
          </w:p>
        </w:tc>
      </w:tr>
      <w:tr>
        <w:trPr/>
        <w:tc>
          <w:tcPr>
            <w:tcW w:w="316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22"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9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F-35</w:t>
      </w:r>
    </w:p>
    <w:p>
      <w:pPr>
        <w:pStyle w:val="HorizontalLine"/>
        <w:pBdr>
          <w:bottom w:val="single" w:sz="20" w:space="0" w:color="808080"/>
        </w:pBdr>
        <w:rPr/>
      </w:pPr>
      <w:r>
        <w:rPr/>
      </w:r>
      <w:r>
        <w:br w:type="page"/>
      </w:r>
    </w:p>
    <w:p>
      <w:pPr>
        <w:pStyle w:val="TextBody"/>
        <w:rPr/>
      </w:pPr>
      <w:hyperlink w:anchor="bg12101a_main_toc">
        <w:bookmarkStart w:id="269" w:name="page_fs12101_1_36"/>
        <w:bookmarkEnd w:id="26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6Derivatives and Hedging Instruments (Continued) </w:t>
      </w:r>
    </w:p>
    <w:p>
      <w:pPr>
        <w:pStyle w:val="TextBody"/>
        <w:rPr/>
      </w:pPr>
      <w:r>
        <w:rPr/>
        <w:t>        </w:t>
      </w:r>
      <w:r>
        <w:rPr>
          <w:rFonts w:ascii="times" w:hAnsi="times"/>
          <w:sz w:val="20"/>
        </w:rPr>
        <w:t xml:space="preserve">In addition to the net liability related to open derivative positions of $71 million, AOCI also includes deferred gains on settled hedges and other items. The following table summarizes our total net deferred gains in AOCI associated with derivitive instruments (in millions): </w:t>
      </w:r>
    </w:p>
    <w:tbl>
      <w:tblPr>
        <w:tblW w:w="6049" w:type="dxa"/>
        <w:jc w:val="center"/>
        <w:tblInd w:w="0" w:type="dxa"/>
        <w:tblCellMar>
          <w:top w:w="0" w:type="dxa"/>
          <w:left w:w="0" w:type="dxa"/>
          <w:bottom w:w="0" w:type="dxa"/>
          <w:right w:w="0" w:type="dxa"/>
        </w:tblCellMar>
      </w:tblPr>
      <w:tblGrid>
        <w:gridCol w:w="4755"/>
        <w:gridCol w:w="180"/>
        <w:gridCol w:w="125"/>
        <w:gridCol w:w="335"/>
        <w:gridCol w:w="225"/>
        <w:gridCol w:w="141"/>
        <w:gridCol w:w="208"/>
        <w:gridCol w:w="80"/>
      </w:tblGrid>
      <w:tr>
        <w:trPr/>
        <w:tc>
          <w:tcPr>
            <w:tcW w:w="475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47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03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80" w:type="dxa"/>
            <w:tcBorders/>
            <w:shd w:fill="auto" w:val="clear"/>
            <w:vAlign w:val="bottom"/>
          </w:tcPr>
          <w:p>
            <w:pPr>
              <w:pStyle w:val="TableHeading"/>
              <w:suppressLineNumbers/>
              <w:spacing w:before="0" w:after="283"/>
              <w:jc w:val="center"/>
              <w:rPr/>
            </w:pPr>
            <w:r>
              <w:rPr/>
              <w:t> </w:t>
            </w:r>
          </w:p>
        </w:tc>
      </w:tr>
      <w:tr>
        <w:trPr/>
        <w:tc>
          <w:tcPr>
            <w:tcW w:w="47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80" w:type="dxa"/>
            <w:tcBorders/>
            <w:shd w:fill="auto" w:val="clear"/>
            <w:vAlign w:val="bottom"/>
          </w:tcPr>
          <w:p>
            <w:pPr>
              <w:pStyle w:val="TableHeading"/>
              <w:suppressLineNumbers/>
              <w:spacing w:before="0" w:after="283"/>
              <w:jc w:val="center"/>
              <w:rPr/>
            </w:pPr>
            <w:r>
              <w:rPr/>
              <w:t> </w:t>
            </w:r>
          </w:p>
        </w:tc>
      </w:tr>
      <w:tr>
        <w:trPr/>
        <w:tc>
          <w:tcPr>
            <w:tcW w:w="475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gains and (losses) on open hedges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(71</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08"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80" w:type="dxa"/>
            <w:tcBorders/>
            <w:shd w:fill="CCEEFF" w:val="clear"/>
            <w:vAlign w:val="bottom"/>
          </w:tcPr>
          <w:p>
            <w:pPr>
              <w:pStyle w:val="TableContents"/>
              <w:spacing w:before="0" w:after="283"/>
              <w:rPr/>
            </w:pPr>
            <w:r>
              <w:rPr/>
              <w:t> </w:t>
            </w:r>
          </w:p>
        </w:tc>
      </w:tr>
      <w:tr>
        <w:trPr/>
        <w:tc>
          <w:tcPr>
            <w:tcW w:w="475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Deferred gains and (losses) on settled hedges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237</w:t>
            </w:r>
          </w:p>
        </w:tc>
        <w:tc>
          <w:tcPr>
            <w:tcW w:w="225"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20"/>
              </w:rPr>
            </w:pPr>
            <w:r>
              <w:rPr>
                <w:rFonts w:ascii="times" w:hAnsi="times"/>
                <w:sz w:val="20"/>
              </w:rPr>
              <w:t>(5</w:t>
            </w:r>
          </w:p>
        </w:tc>
        <w:tc>
          <w:tcPr>
            <w:tcW w:w="80"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75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Reclassification to earnings for open inventory hedges associated with lower-of-cost-or-market adjustments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0" w:type="dxa"/>
            <w:tcBorders/>
            <w:shd w:fill="CCEEFF" w:val="clear"/>
            <w:vAlign w:val="bottom"/>
          </w:tcPr>
          <w:p>
            <w:pPr>
              <w:pStyle w:val="TableContents"/>
              <w:spacing w:before="0" w:after="283"/>
              <w:rPr/>
            </w:pPr>
            <w:r>
              <w:rPr/>
              <w:t> </w:t>
            </w:r>
          </w:p>
        </w:tc>
      </w:tr>
      <w:tr>
        <w:trPr/>
        <w:tc>
          <w:tcPr>
            <w:tcW w:w="47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75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AOCI deferred gain associated with derivitive instruments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161</w:t>
            </w:r>
          </w:p>
        </w:tc>
        <w:tc>
          <w:tcPr>
            <w:tcW w:w="225"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08"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80" w:type="dxa"/>
            <w:tcBorders/>
            <w:shd w:fill="FFFFFF" w:val="clear"/>
            <w:vAlign w:val="bottom"/>
          </w:tcPr>
          <w:p>
            <w:pPr>
              <w:pStyle w:val="TableContents"/>
              <w:spacing w:before="0" w:after="283"/>
              <w:rPr/>
            </w:pPr>
            <w:r>
              <w:rPr/>
              <w:t> </w:t>
            </w:r>
          </w:p>
        </w:tc>
      </w:tr>
      <w:tr>
        <w:trPr/>
        <w:tc>
          <w:tcPr>
            <w:tcW w:w="47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The total amount of deferred net gain recorded in AOCI is expected to be reclassified to future earnings contemporaneously with (i) the related physical purchase or delivery of the underlying commodity, (ii) interest expense accruals associated with the underlying debt instruments and (iii) the recognition of a foreign currency gain or loss upon the remeasurement of certain CAD denominated intercompany interest receivables. Of the total net gain deferred in AOCI at December 31, 2008, a net gain of approximately $67 million will be reclassified to earnings in the next twelve months. Of the remaining deferred gain in AOCI, approximately 83% is expected to be reclassified to earnings prior to 2012 with the remaining deferred gain being reclassed to earnings through 2018. Because a portion of these amounts is based on market prices at the current period end, actual amounts to be reclassified will differ and could vary materially as a result of changes in market conditions. </w:t>
      </w:r>
    </w:p>
    <w:p>
      <w:pPr>
        <w:pStyle w:val="TextBody"/>
        <w:rPr/>
      </w:pPr>
      <w:r>
        <w:rPr/>
        <w:t>        </w:t>
      </w:r>
      <w:r>
        <w:rPr>
          <w:rFonts w:ascii="times" w:hAnsi="times"/>
          <w:sz w:val="20"/>
        </w:rPr>
        <w:t xml:space="preserve">During the year ended December 31, 2008, and in conjunction with the closing of our Rainbow acquisition, we initially anticipated the sale of 350,000 barrels of crude oil linefill and hedged the commodity price risk associated with the anticipated sale. Upon our determination that the anticipated sale was no longer probable of occurring, we discontinued hedge accounting and reclassed a deferred gain of $17 million from AOCI to crude oil, refined products and LPG sales. During the year ended December 31, 2007, no amounts were reclassified to earnings from AOCI in connection with forecasted transactions that were no longer considered probable of occurring. We recognized a loss in crude oil, refined products and LPG sales of approximately $1 million during each of the years ended December 31, 2008 and December 31, 2007 associated with cash flow hedge ineffectiveness. </w:t>
      </w:r>
    </w:p>
    <w:p>
      <w:pPr>
        <w:pStyle w:val="TextBody"/>
        <w:rPr/>
      </w:pPr>
      <w:r>
        <w:rPr/>
        <w:t>        </w:t>
      </w:r>
      <w:r>
        <w:rPr>
          <w:rFonts w:ascii="times" w:hAnsi="times"/>
          <w:sz w:val="20"/>
        </w:rPr>
        <w:t xml:space="preserve">We do not enter into master netting agreements with our derivative counterparties, nor do we offset the assets and liabilities associated with the fair value of our derivatives with amounts we have recognized related to our right to receive or our obligation to pay cash collateral. When we deposit cash collateral with our brokers, we recognize a broker receivable, which is a component of our accounts receivable. Our broker receivable was approximately $81 million and $16 million as of December 31, 2008 and December 31, 2007, respectively. </w:t>
      </w:r>
    </w:p>
    <w:p>
      <w:pPr>
        <w:pStyle w:val="TextBody"/>
        <w:rPr/>
      </w:pPr>
      <w:r>
        <w:rPr/>
        <w:t>        </w:t>
      </w:r>
      <w:r>
        <w:rPr>
          <w:rFonts w:ascii="times" w:hAnsi="times"/>
          <w:sz w:val="20"/>
        </w:rPr>
        <w:t xml:space="preserve">The following sections discuss our risk management activities in the indicated categories. </w:t>
      </w:r>
    </w:p>
    <w:p>
      <w:pPr>
        <w:pStyle w:val="TextBody"/>
        <w:rPr>
          <w:rFonts w:ascii="times" w:hAnsi="times"/>
          <w:b/>
          <w:i/>
          <w:sz w:val="20"/>
        </w:rPr>
      </w:pPr>
      <w:r>
        <w:rPr>
          <w:rFonts w:ascii="times" w:hAnsi="times"/>
          <w:b/>
          <w:i/>
          <w:sz w:val="20"/>
        </w:rPr>
        <w:t xml:space="preserve">Commodity Price-Risk Hedging </w:t>
      </w:r>
    </w:p>
    <w:p>
      <w:pPr>
        <w:pStyle w:val="TextBody"/>
        <w:rPr/>
      </w:pPr>
      <w:r>
        <w:rPr/>
        <w:t>        </w:t>
      </w:r>
      <w:r>
        <w:rPr>
          <w:rFonts w:ascii="times" w:hAnsi="times"/>
          <w:sz w:val="20"/>
        </w:rPr>
        <w:t xml:space="preserve">We use derivative instruments to hedge our exposure to price fluctuations with respect to crude oil, LPG, refined products, and natural gas, and expected purchases, sales and transportation of these commodities. The derivative instruments we use consist primarily of futures, options and swaps traded </w:t>
      </w:r>
    </w:p>
    <w:p>
      <w:pPr>
        <w:pStyle w:val="TextBody"/>
        <w:jc w:val="center"/>
        <w:rPr>
          <w:rFonts w:ascii="times" w:hAnsi="times"/>
          <w:sz w:val="20"/>
        </w:rPr>
      </w:pPr>
      <w:r>
        <w:rPr>
          <w:rFonts w:ascii="times" w:hAnsi="times"/>
          <w:sz w:val="20"/>
        </w:rPr>
        <w:t>F-36</w:t>
      </w:r>
    </w:p>
    <w:p>
      <w:pPr>
        <w:pStyle w:val="HorizontalLine"/>
        <w:pBdr>
          <w:bottom w:val="single" w:sz="20" w:space="0" w:color="808080"/>
        </w:pBdr>
        <w:rPr/>
      </w:pPr>
      <w:r>
        <w:rPr/>
      </w:r>
      <w:r>
        <w:br w:type="page"/>
      </w:r>
    </w:p>
    <w:p>
      <w:pPr>
        <w:pStyle w:val="TextBody"/>
        <w:rPr/>
      </w:pPr>
      <w:hyperlink w:anchor="bg12101a_main_toc">
        <w:bookmarkStart w:id="270" w:name="page_fs12101_1_37"/>
        <w:bookmarkEnd w:id="27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6Derivatives and Hedging Instruments (Continued) </w:t>
      </w:r>
    </w:p>
    <w:p>
      <w:pPr>
        <w:pStyle w:val="TextBody"/>
        <w:rPr/>
      </w:pPr>
      <w:r>
        <w:rPr/>
      </w:r>
    </w:p>
    <w:p>
      <w:pPr>
        <w:pStyle w:val="TextBody"/>
        <w:rPr>
          <w:rFonts w:ascii="times" w:hAnsi="times"/>
          <w:sz w:val="20"/>
        </w:rPr>
      </w:pPr>
      <w:r>
        <w:rPr>
          <w:rFonts w:ascii="times" w:hAnsi="times"/>
          <w:sz w:val="20"/>
        </w:rPr>
        <w:t xml:space="preserve">on the NYMEX, ICE and in over-the-counter transactions, including commodity swap and option contracts entered into with financial institutions and other energy companies. In accordance with SFAS 133, these derivative instruments are recognized on the balance sheet at fair value. The instruments that qualify for hedge accounting are designated as cash flow hedges. Therefore, the corresponding changes in fair value for the effective portion of the hedges are deferred into AOCI and recognized in revenues or purchases and related costs in the periods during which the underlying physical transactions occur. We have determined that substantially all of our physical purchase and sale agreements qualify for the normal purchase and sale exclusion and thus are not subject to SFAS 133. Physical transactions that are derivatives and are ineligible, or become ineligible, for the normal purchase and sale treatment (e.g. due to changes in settlement provisions) are recorded on the balance sheet as assets or liabilities at their fair value, with the changes in fair value recorded net in revenues. </w:t>
      </w:r>
    </w:p>
    <w:p>
      <w:pPr>
        <w:pStyle w:val="TextBody"/>
        <w:rPr>
          <w:rFonts w:ascii="times" w:hAnsi="times"/>
          <w:b/>
          <w:i/>
          <w:sz w:val="20"/>
        </w:rPr>
      </w:pPr>
      <w:r>
        <w:rPr>
          <w:rFonts w:ascii="times" w:hAnsi="times"/>
          <w:b/>
          <w:i/>
          <w:sz w:val="20"/>
        </w:rPr>
        <w:t xml:space="preserve">Controlled Trading Program </w:t>
      </w:r>
    </w:p>
    <w:p>
      <w:pPr>
        <w:pStyle w:val="TextBody"/>
        <w:rPr/>
      </w:pPr>
      <w:r>
        <w:rPr/>
        <w:t>        </w:t>
      </w:r>
      <w:r>
        <w:rPr>
          <w:rFonts w:ascii="times" w:hAnsi="times"/>
          <w:sz w:val="20"/>
        </w:rPr>
        <w:t xml:space="preserve">Although we seek to maintain a position that is substantially balanced within our marketing activities, we may experience net unbalanced positions for short periods of time as a result of production, transportation and delivery variances as well as logistical issues associated with inclement weather conditions. When unscheduled physical inventory builds or draws do occur, they are monitored constantly and managed to a balanced position over a reasonable period of time. In connection with managing these positions and maintaining a constant presence in the marketplace, both necessary for our core business, we engage in a controlled trading program for up to an aggregate of 500,000 barrels of crude oil and a substantially lesser amount for LPG. These activities are monitored independently by our risk management function and must take place within predefined limits and authorizations. In accordance with SFAS 133, these derivative instruments are recorded in the balance sheet as assets or liabilities at their fair value, with the changes in fair value recorded net in revenues. </w:t>
      </w:r>
    </w:p>
    <w:p>
      <w:pPr>
        <w:pStyle w:val="TextBody"/>
        <w:rPr>
          <w:rFonts w:ascii="times" w:hAnsi="times"/>
          <w:b/>
          <w:i/>
          <w:sz w:val="20"/>
        </w:rPr>
      </w:pPr>
      <w:r>
        <w:rPr>
          <w:rFonts w:ascii="times" w:hAnsi="times"/>
          <w:b/>
          <w:i/>
          <w:sz w:val="20"/>
        </w:rPr>
        <w:t xml:space="preserve">Interest Rate Risk Hedging </w:t>
      </w:r>
    </w:p>
    <w:p>
      <w:pPr>
        <w:pStyle w:val="TextBody"/>
        <w:rPr/>
      </w:pPr>
      <w:r>
        <w:rPr/>
        <w:t>        </w:t>
      </w:r>
      <w:r>
        <w:rPr>
          <w:rFonts w:ascii="times" w:hAnsi="times"/>
          <w:sz w:val="20"/>
        </w:rPr>
        <w:t xml:space="preserve">As of December 31, 2008, AOCI includes a total deferred loss of approximately $7 million that relates to terminated interest rate swaps and "treasury locks" (a financial derivative instrument that enables a company to lock in the U.S. Treasury Note rate) that were cash settled in connection with the issuance and refinancing of debt agreements over the past five years. The deferred loss related to these instruments is being amortized to interest expense over the original terms of the forecasted debt instruments. </w:t>
      </w:r>
    </w:p>
    <w:p>
      <w:pPr>
        <w:pStyle w:val="TextBody"/>
        <w:rPr/>
      </w:pPr>
      <w:r>
        <w:rPr/>
        <w:t>        </w:t>
      </w:r>
      <w:r>
        <w:rPr>
          <w:rFonts w:ascii="times" w:hAnsi="times"/>
          <w:sz w:val="20"/>
        </w:rPr>
        <w:t xml:space="preserve">In November 2006, in conjunction with the Pacific merger, we assumed interest rate swap agreements with an aggregate notional principal amount of $80 million to receive interest at a fixed rate of 7.125% and to pay interest at an average variable rate of six month LIBOR plus 1.67% (set in advance or in arrears depending on the swap transaction). The interest rate swaps mature June 15, 2014 and are callable at the same dates and terms as the 7.125% senior notes. Our counterparties may exercise their call option on June 15, 2009 by paying us $3 million. These swaps were originally entered into to hedge against changes in the fair value of the 7.125% Senior Notes resulting from market fluctuations to LIBOR. Hedge accounting was discontinued on June 30, 2007. The change in fair value of the interest rate swaps is recorded in earnings each period. </w:t>
      </w:r>
    </w:p>
    <w:p>
      <w:pPr>
        <w:pStyle w:val="TextBody"/>
        <w:jc w:val="center"/>
        <w:rPr>
          <w:rFonts w:ascii="times" w:hAnsi="times"/>
          <w:sz w:val="20"/>
        </w:rPr>
      </w:pPr>
      <w:r>
        <w:rPr>
          <w:rFonts w:ascii="times" w:hAnsi="times"/>
          <w:sz w:val="20"/>
        </w:rPr>
        <w:t>F-37</w:t>
      </w:r>
    </w:p>
    <w:p>
      <w:pPr>
        <w:pStyle w:val="HorizontalLine"/>
        <w:pBdr>
          <w:bottom w:val="single" w:sz="20" w:space="0" w:color="808080"/>
        </w:pBdr>
        <w:rPr/>
      </w:pPr>
      <w:r>
        <w:rPr/>
      </w:r>
      <w:r>
        <w:br w:type="page"/>
      </w:r>
    </w:p>
    <w:p>
      <w:pPr>
        <w:pStyle w:val="TextBody"/>
        <w:rPr/>
      </w:pPr>
      <w:hyperlink w:anchor="bg12101a_main_toc">
        <w:bookmarkStart w:id="271" w:name="page_fs12101_1_38"/>
        <w:bookmarkEnd w:id="27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6Derivatives and Hedging Instruments (Continued) </w:t>
      </w:r>
    </w:p>
    <w:p>
      <w:pPr>
        <w:pStyle w:val="TextBody"/>
        <w:rPr>
          <w:rFonts w:ascii="times" w:hAnsi="times"/>
          <w:b/>
          <w:i/>
          <w:sz w:val="20"/>
        </w:rPr>
      </w:pPr>
      <w:r>
        <w:rPr>
          <w:rFonts w:ascii="times" w:hAnsi="times"/>
          <w:b/>
          <w:i/>
          <w:sz w:val="20"/>
        </w:rPr>
        <w:t xml:space="preserve">Currency Exchange Rate Risk Hedging </w:t>
      </w:r>
    </w:p>
    <w:p>
      <w:pPr>
        <w:pStyle w:val="TextBody"/>
        <w:rPr/>
      </w:pPr>
      <w:r>
        <w:rPr/>
        <w:t>        </w:t>
      </w:r>
      <w:r>
        <w:rPr>
          <w:rFonts w:ascii="times" w:hAnsi="times"/>
          <w:sz w:val="20"/>
        </w:rPr>
        <w:t xml:space="preserve">Because a significant portion of our Canadian business is conducted in CAD and, at times, a portion of our debt is denominated in CAD, we use certain financial instruments to minimize the risks of unfavorable changes in exchange rates. These instruments may include forward exchange contracts, swaps and options. At December 31, 2008, our open foreign exchange derivatives consisted of forward exchange contracts that exchange CAD and U.S. dollars on a net basis as follows (in millions): </w:t>
      </w:r>
    </w:p>
    <w:tbl>
      <w:tblPr>
        <w:tblW w:w="6059" w:type="dxa"/>
        <w:jc w:val="center"/>
        <w:tblInd w:w="0" w:type="dxa"/>
        <w:tblCellMar>
          <w:top w:w="0" w:type="dxa"/>
          <w:left w:w="0" w:type="dxa"/>
          <w:bottom w:w="0" w:type="dxa"/>
          <w:right w:w="0" w:type="dxa"/>
        </w:tblCellMar>
      </w:tblPr>
      <w:tblGrid>
        <w:gridCol w:w="2670"/>
        <w:gridCol w:w="180"/>
        <w:gridCol w:w="125"/>
        <w:gridCol w:w="230"/>
        <w:gridCol w:w="225"/>
        <w:gridCol w:w="132"/>
        <w:gridCol w:w="622"/>
        <w:gridCol w:w="225"/>
        <w:gridCol w:w="1590"/>
        <w:gridCol w:w="60"/>
      </w:tblGrid>
      <w:tr>
        <w:trPr/>
        <w:tc>
          <w:tcPr>
            <w:tcW w:w="267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67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CAD </w:t>
            </w:r>
          </w:p>
        </w:tc>
        <w:tc>
          <w:tcPr>
            <w:tcW w:w="225" w:type="dxa"/>
            <w:tcBorders/>
            <w:shd w:fill="auto" w:val="clear"/>
            <w:vAlign w:val="bottom"/>
          </w:tcPr>
          <w:p>
            <w:pPr>
              <w:pStyle w:val="TableHeading"/>
              <w:suppressLineNumbers/>
              <w:spacing w:before="0" w:after="283"/>
              <w:jc w:val="center"/>
              <w:rPr/>
            </w:pPr>
            <w:r>
              <w:rPr/>
              <w:t> </w:t>
            </w:r>
          </w:p>
        </w:tc>
        <w:tc>
          <w:tcPr>
            <w:tcW w:w="7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U.S. Dollars </w:t>
            </w:r>
          </w:p>
        </w:tc>
        <w:tc>
          <w:tcPr>
            <w:tcW w:w="225" w:type="dxa"/>
            <w:tcBorders/>
            <w:shd w:fill="auto" w:val="clear"/>
            <w:vAlign w:val="bottom"/>
          </w:tcPr>
          <w:p>
            <w:pPr>
              <w:pStyle w:val="TableHeading"/>
              <w:suppressLineNumbers/>
              <w:spacing w:before="0" w:after="283"/>
              <w:jc w:val="center"/>
              <w:rPr/>
            </w:pPr>
            <w:r>
              <w:rPr/>
              <w:t> </w:t>
            </w:r>
          </w:p>
        </w:tc>
        <w:tc>
          <w:tcPr>
            <w:tcW w:w="159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Average Exchange Rate </w:t>
            </w:r>
          </w:p>
        </w:tc>
        <w:tc>
          <w:tcPr>
            <w:tcW w:w="60" w:type="dxa"/>
            <w:tcBorders/>
            <w:shd w:fill="auto" w:val="clear"/>
            <w:vAlign w:val="bottom"/>
          </w:tcPr>
          <w:p>
            <w:pPr>
              <w:pStyle w:val="TableHeading"/>
              <w:suppressLineNumbers/>
              <w:spacing w:before="0" w:after="283"/>
              <w:jc w:val="center"/>
              <w:rPr/>
            </w:pPr>
            <w:r>
              <w:rPr/>
              <w:t> </w:t>
            </w:r>
          </w:p>
        </w:tc>
      </w:tr>
      <w:tr>
        <w:trPr/>
        <w:tc>
          <w:tcPr>
            <w:tcW w:w="2670" w:type="dxa"/>
            <w:tcBorders/>
            <w:shd w:fill="CCEEFF" w:val="clear"/>
          </w:tcPr>
          <w:p>
            <w:pPr>
              <w:pStyle w:val="TableContents"/>
              <w:spacing w:before="0" w:after="283"/>
              <w:ind w:left="200" w:right="0" w:hanging="200"/>
              <w:rPr>
                <w:rFonts w:ascii="times" w:hAnsi="times"/>
                <w:sz w:val="20"/>
              </w:rPr>
            </w:pPr>
            <w:r>
              <w:rPr>
                <w:rFonts w:ascii="times" w:hAnsi="times"/>
                <w:sz w:val="20"/>
              </w:rPr>
              <w:t>2009</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30" w:type="dxa"/>
            <w:tcBorders/>
            <w:shd w:fill="CCEEFF" w:val="clear"/>
          </w:tcPr>
          <w:p>
            <w:pPr>
              <w:pStyle w:val="TableContents"/>
              <w:spacing w:before="0" w:after="283"/>
              <w:jc w:val="right"/>
              <w:rPr>
                <w:rFonts w:ascii="times" w:hAnsi="times"/>
                <w:sz w:val="20"/>
              </w:rPr>
            </w:pPr>
            <w:r>
              <w:rPr>
                <w:rFonts w:ascii="times" w:hAnsi="times"/>
                <w:sz w:val="20"/>
              </w:rPr>
              <w:t>43</w:t>
            </w:r>
          </w:p>
        </w:tc>
        <w:tc>
          <w:tcPr>
            <w:tcW w:w="225" w:type="dxa"/>
            <w:tcBorders/>
            <w:shd w:fill="CCEEFF" w:val="clear"/>
          </w:tcPr>
          <w:p>
            <w:pPr>
              <w:pStyle w:val="TableContents"/>
              <w:spacing w:before="0" w:after="283"/>
              <w:rPr/>
            </w:pPr>
            <w:r>
              <w:rPr/>
              <w:t> </w:t>
            </w:r>
          </w:p>
        </w:tc>
        <w:tc>
          <w:tcPr>
            <w:tcW w:w="132" w:type="dxa"/>
            <w:tcBorders/>
            <w:shd w:fill="CCEEFF" w:val="clear"/>
          </w:tcPr>
          <w:p>
            <w:pPr>
              <w:pStyle w:val="TableContents"/>
              <w:spacing w:before="0" w:after="283"/>
              <w:jc w:val="right"/>
              <w:rPr>
                <w:rFonts w:ascii="times" w:hAnsi="times"/>
                <w:sz w:val="20"/>
              </w:rPr>
            </w:pPr>
            <w:r>
              <w:rPr>
                <w:rFonts w:ascii="times" w:hAnsi="times"/>
                <w:sz w:val="20"/>
              </w:rPr>
              <w:t>$</w:t>
            </w:r>
          </w:p>
        </w:tc>
        <w:tc>
          <w:tcPr>
            <w:tcW w:w="622" w:type="dxa"/>
            <w:tcBorders/>
            <w:shd w:fill="CCEEFF" w:val="clear"/>
          </w:tcPr>
          <w:p>
            <w:pPr>
              <w:pStyle w:val="TableContents"/>
              <w:spacing w:before="0" w:after="283"/>
              <w:jc w:val="right"/>
              <w:rPr>
                <w:rFonts w:ascii="times" w:hAnsi="times"/>
                <w:sz w:val="20"/>
              </w:rPr>
            </w:pPr>
            <w:r>
              <w:rPr>
                <w:rFonts w:ascii="times" w:hAnsi="times"/>
                <w:sz w:val="20"/>
              </w:rPr>
              <w:t>38</w:t>
            </w:r>
          </w:p>
        </w:tc>
        <w:tc>
          <w:tcPr>
            <w:tcW w:w="225" w:type="dxa"/>
            <w:tcBorders/>
            <w:shd w:fill="CCEEFF" w:val="clear"/>
          </w:tcPr>
          <w:p>
            <w:pPr>
              <w:pStyle w:val="TableContents"/>
              <w:spacing w:before="0" w:after="283"/>
              <w:rPr/>
            </w:pPr>
            <w:r>
              <w:rPr/>
              <w:t> </w:t>
            </w:r>
          </w:p>
        </w:tc>
        <w:tc>
          <w:tcPr>
            <w:tcW w:w="1590" w:type="dxa"/>
            <w:tcBorders/>
            <w:shd w:fill="CCEEFF" w:val="clear"/>
          </w:tcPr>
          <w:p>
            <w:pPr>
              <w:pStyle w:val="TableContents"/>
              <w:spacing w:before="0" w:after="283"/>
              <w:jc w:val="right"/>
              <w:rPr>
                <w:rFonts w:ascii="times" w:hAnsi="times"/>
                <w:sz w:val="20"/>
              </w:rPr>
            </w:pPr>
            <w:r>
              <w:rPr>
                <w:rFonts w:ascii="times" w:hAnsi="times"/>
                <w:sz w:val="20"/>
              </w:rPr>
              <w:t>CAD $1.12 to US $1.00</w:t>
            </w:r>
          </w:p>
        </w:tc>
        <w:tc>
          <w:tcPr>
            <w:tcW w:w="60" w:type="dxa"/>
            <w:tcBorders/>
            <w:shd w:fill="CCEEFF" w:val="clear"/>
          </w:tcPr>
          <w:p>
            <w:pPr>
              <w:pStyle w:val="TableContents"/>
              <w:spacing w:before="0" w:after="283"/>
              <w:rPr/>
            </w:pPr>
            <w:r>
              <w:rPr/>
              <w:t> </w:t>
            </w:r>
          </w:p>
        </w:tc>
      </w:tr>
      <w:tr>
        <w:trPr/>
        <w:tc>
          <w:tcPr>
            <w:tcW w:w="2670" w:type="dxa"/>
            <w:tcBorders/>
            <w:shd w:fill="FFFFFF" w:val="clear"/>
          </w:tcPr>
          <w:p>
            <w:pPr>
              <w:pStyle w:val="TableContents"/>
              <w:spacing w:before="0" w:after="283"/>
              <w:ind w:left="200" w:right="0" w:hanging="200"/>
              <w:rPr>
                <w:rFonts w:ascii="times" w:hAnsi="times"/>
                <w:sz w:val="20"/>
              </w:rPr>
            </w:pPr>
            <w:r>
              <w:rPr>
                <w:rFonts w:ascii="times" w:hAnsi="times"/>
                <w:sz w:val="20"/>
              </w:rPr>
              <w:t>2010</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tcPr>
          <w:p>
            <w:pPr>
              <w:pStyle w:val="TableContents"/>
              <w:spacing w:before="0" w:after="283"/>
              <w:jc w:val="right"/>
              <w:rPr>
                <w:rFonts w:ascii="times" w:hAnsi="times"/>
                <w:sz w:val="20"/>
              </w:rPr>
            </w:pPr>
            <w:r>
              <w:rPr>
                <w:rFonts w:ascii="times" w:hAnsi="times"/>
                <w:sz w:val="20"/>
              </w:rPr>
              <w:t>25</w:t>
            </w:r>
          </w:p>
        </w:tc>
        <w:tc>
          <w:tcPr>
            <w:tcW w:w="225" w:type="dxa"/>
            <w:tcBorders/>
            <w:shd w:fill="FFFFFF" w:val="clear"/>
          </w:tcPr>
          <w:p>
            <w:pPr>
              <w:pStyle w:val="TableContents"/>
              <w:spacing w:before="0" w:after="283"/>
              <w:rPr/>
            </w:pPr>
            <w:r>
              <w:rPr/>
              <w:t> </w:t>
            </w:r>
          </w:p>
        </w:tc>
        <w:tc>
          <w:tcPr>
            <w:tcW w:w="132" w:type="dxa"/>
            <w:tcBorders/>
            <w:shd w:fill="FFFFFF" w:val="clear"/>
          </w:tcPr>
          <w:p>
            <w:pPr>
              <w:pStyle w:val="TableContents"/>
              <w:spacing w:before="0" w:after="283"/>
              <w:jc w:val="right"/>
              <w:rPr>
                <w:rFonts w:ascii="times" w:hAnsi="times"/>
                <w:sz w:val="20"/>
              </w:rPr>
            </w:pPr>
            <w:r>
              <w:rPr>
                <w:rFonts w:ascii="times" w:hAnsi="times"/>
                <w:sz w:val="20"/>
              </w:rPr>
              <w:t>$</w:t>
            </w:r>
          </w:p>
        </w:tc>
        <w:tc>
          <w:tcPr>
            <w:tcW w:w="622" w:type="dxa"/>
            <w:tcBorders/>
            <w:shd w:fill="FFFFFF" w:val="clear"/>
          </w:tcPr>
          <w:p>
            <w:pPr>
              <w:pStyle w:val="TableContents"/>
              <w:spacing w:before="0" w:after="283"/>
              <w:jc w:val="right"/>
              <w:rPr>
                <w:rFonts w:ascii="times" w:hAnsi="times"/>
                <w:sz w:val="20"/>
              </w:rPr>
            </w:pPr>
            <w:r>
              <w:rPr>
                <w:rFonts w:ascii="times" w:hAnsi="times"/>
                <w:sz w:val="20"/>
              </w:rPr>
              <w:t>25</w:t>
            </w:r>
          </w:p>
        </w:tc>
        <w:tc>
          <w:tcPr>
            <w:tcW w:w="225" w:type="dxa"/>
            <w:tcBorders/>
            <w:shd w:fill="FFFFFF" w:val="clear"/>
          </w:tcPr>
          <w:p>
            <w:pPr>
              <w:pStyle w:val="TableContents"/>
              <w:spacing w:before="0" w:after="283"/>
              <w:rPr/>
            </w:pPr>
            <w:r>
              <w:rPr/>
              <w:t> </w:t>
            </w:r>
          </w:p>
        </w:tc>
        <w:tc>
          <w:tcPr>
            <w:tcW w:w="1590" w:type="dxa"/>
            <w:tcBorders/>
            <w:shd w:fill="FFFFFF" w:val="clear"/>
          </w:tcPr>
          <w:p>
            <w:pPr>
              <w:pStyle w:val="TableContents"/>
              <w:spacing w:before="0" w:after="283"/>
              <w:jc w:val="right"/>
              <w:rPr>
                <w:rFonts w:ascii="times" w:hAnsi="times"/>
                <w:sz w:val="20"/>
              </w:rPr>
            </w:pPr>
            <w:r>
              <w:rPr>
                <w:rFonts w:ascii="times" w:hAnsi="times"/>
                <w:sz w:val="20"/>
              </w:rPr>
              <w:t>CAD $1.00 to US $1.00</w:t>
            </w:r>
          </w:p>
        </w:tc>
        <w:tc>
          <w:tcPr>
            <w:tcW w:w="60" w:type="dxa"/>
            <w:tcBorders/>
            <w:shd w:fill="FFFFFF" w:val="clear"/>
          </w:tcPr>
          <w:p>
            <w:pPr>
              <w:pStyle w:val="TableContents"/>
              <w:spacing w:before="0" w:after="283"/>
              <w:rPr/>
            </w:pPr>
            <w:r>
              <w:rPr/>
              <w:t> </w:t>
            </w:r>
          </w:p>
        </w:tc>
      </w:tr>
      <w:tr>
        <w:trPr/>
        <w:tc>
          <w:tcPr>
            <w:tcW w:w="2670" w:type="dxa"/>
            <w:tcBorders/>
            <w:shd w:fill="CCEEFF" w:val="clear"/>
          </w:tcPr>
          <w:p>
            <w:pPr>
              <w:pStyle w:val="TableContents"/>
              <w:spacing w:before="0" w:after="283"/>
              <w:ind w:left="200" w:right="0" w:hanging="200"/>
              <w:rPr>
                <w:rFonts w:ascii="times" w:hAnsi="times"/>
                <w:sz w:val="20"/>
              </w:rPr>
            </w:pPr>
            <w:r>
              <w:rPr>
                <w:rFonts w:ascii="times" w:hAnsi="times"/>
                <w:sz w:val="20"/>
              </w:rPr>
              <w:t>2011</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30" w:type="dxa"/>
            <w:tcBorders/>
            <w:shd w:fill="CCEEFF" w:val="clear"/>
          </w:tcPr>
          <w:p>
            <w:pPr>
              <w:pStyle w:val="TableContents"/>
              <w:spacing w:before="0" w:after="283"/>
              <w:jc w:val="right"/>
              <w:rPr>
                <w:rFonts w:ascii="times" w:hAnsi="times"/>
                <w:sz w:val="20"/>
              </w:rPr>
            </w:pPr>
            <w:r>
              <w:rPr>
                <w:rFonts w:ascii="times" w:hAnsi="times"/>
                <w:sz w:val="20"/>
              </w:rPr>
              <w:t>25</w:t>
            </w:r>
          </w:p>
        </w:tc>
        <w:tc>
          <w:tcPr>
            <w:tcW w:w="225" w:type="dxa"/>
            <w:tcBorders/>
            <w:shd w:fill="CCEEFF" w:val="clear"/>
          </w:tcPr>
          <w:p>
            <w:pPr>
              <w:pStyle w:val="TableContents"/>
              <w:spacing w:before="0" w:after="283"/>
              <w:rPr/>
            </w:pPr>
            <w:r>
              <w:rPr/>
              <w:t> </w:t>
            </w:r>
          </w:p>
        </w:tc>
        <w:tc>
          <w:tcPr>
            <w:tcW w:w="132" w:type="dxa"/>
            <w:tcBorders/>
            <w:shd w:fill="CCEEFF" w:val="clear"/>
          </w:tcPr>
          <w:p>
            <w:pPr>
              <w:pStyle w:val="TableContents"/>
              <w:spacing w:before="0" w:after="283"/>
              <w:jc w:val="right"/>
              <w:rPr>
                <w:rFonts w:ascii="times" w:hAnsi="times"/>
                <w:sz w:val="20"/>
              </w:rPr>
            </w:pPr>
            <w:r>
              <w:rPr>
                <w:rFonts w:ascii="times" w:hAnsi="times"/>
                <w:sz w:val="20"/>
              </w:rPr>
              <w:t>$</w:t>
            </w:r>
          </w:p>
        </w:tc>
        <w:tc>
          <w:tcPr>
            <w:tcW w:w="622" w:type="dxa"/>
            <w:tcBorders/>
            <w:shd w:fill="CCEEFF" w:val="clear"/>
          </w:tcPr>
          <w:p>
            <w:pPr>
              <w:pStyle w:val="TableContents"/>
              <w:spacing w:before="0" w:after="283"/>
              <w:jc w:val="right"/>
              <w:rPr>
                <w:rFonts w:ascii="times" w:hAnsi="times"/>
                <w:sz w:val="20"/>
              </w:rPr>
            </w:pPr>
            <w:r>
              <w:rPr>
                <w:rFonts w:ascii="times" w:hAnsi="times"/>
                <w:sz w:val="20"/>
              </w:rPr>
              <w:t>25</w:t>
            </w:r>
          </w:p>
        </w:tc>
        <w:tc>
          <w:tcPr>
            <w:tcW w:w="225" w:type="dxa"/>
            <w:tcBorders/>
            <w:shd w:fill="CCEEFF" w:val="clear"/>
          </w:tcPr>
          <w:p>
            <w:pPr>
              <w:pStyle w:val="TableContents"/>
              <w:spacing w:before="0" w:after="283"/>
              <w:rPr/>
            </w:pPr>
            <w:r>
              <w:rPr/>
              <w:t> </w:t>
            </w:r>
          </w:p>
        </w:tc>
        <w:tc>
          <w:tcPr>
            <w:tcW w:w="1590" w:type="dxa"/>
            <w:tcBorders/>
            <w:shd w:fill="CCEEFF" w:val="clear"/>
          </w:tcPr>
          <w:p>
            <w:pPr>
              <w:pStyle w:val="TableContents"/>
              <w:spacing w:before="0" w:after="283"/>
              <w:jc w:val="right"/>
              <w:rPr>
                <w:rFonts w:ascii="times" w:hAnsi="times"/>
                <w:sz w:val="20"/>
              </w:rPr>
            </w:pPr>
            <w:r>
              <w:rPr>
                <w:rFonts w:ascii="times" w:hAnsi="times"/>
                <w:sz w:val="20"/>
              </w:rPr>
              <w:t>CAD $1.00 to US $1.00</w:t>
            </w:r>
          </w:p>
        </w:tc>
        <w:tc>
          <w:tcPr>
            <w:tcW w:w="60" w:type="dxa"/>
            <w:tcBorders/>
            <w:shd w:fill="CCEEFF" w:val="clear"/>
          </w:tcPr>
          <w:p>
            <w:pPr>
              <w:pStyle w:val="TableContents"/>
              <w:spacing w:before="0" w:after="283"/>
              <w:rPr/>
            </w:pPr>
            <w:r>
              <w:rPr/>
              <w:t> </w:t>
            </w:r>
          </w:p>
        </w:tc>
      </w:tr>
      <w:tr>
        <w:trPr/>
        <w:tc>
          <w:tcPr>
            <w:tcW w:w="2670" w:type="dxa"/>
            <w:tcBorders/>
            <w:shd w:fill="FFFFFF" w:val="clear"/>
          </w:tcPr>
          <w:p>
            <w:pPr>
              <w:pStyle w:val="TableContents"/>
              <w:spacing w:before="0" w:after="283"/>
              <w:ind w:left="200" w:right="0" w:hanging="200"/>
              <w:rPr>
                <w:rFonts w:ascii="times" w:hAnsi="times"/>
                <w:sz w:val="20"/>
              </w:rPr>
            </w:pPr>
            <w:r>
              <w:rPr>
                <w:rFonts w:ascii="times" w:hAnsi="times"/>
                <w:sz w:val="20"/>
              </w:rPr>
              <w:t>2012</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tcPr>
          <w:p>
            <w:pPr>
              <w:pStyle w:val="TableContents"/>
              <w:spacing w:before="0" w:after="283"/>
              <w:jc w:val="right"/>
              <w:rPr>
                <w:rFonts w:ascii="times" w:hAnsi="times"/>
                <w:sz w:val="20"/>
              </w:rPr>
            </w:pPr>
            <w:r>
              <w:rPr>
                <w:rFonts w:ascii="times" w:hAnsi="times"/>
                <w:sz w:val="20"/>
              </w:rPr>
              <w:t>25</w:t>
            </w:r>
          </w:p>
        </w:tc>
        <w:tc>
          <w:tcPr>
            <w:tcW w:w="225" w:type="dxa"/>
            <w:tcBorders/>
            <w:shd w:fill="FFFFFF" w:val="clear"/>
          </w:tcPr>
          <w:p>
            <w:pPr>
              <w:pStyle w:val="TableContents"/>
              <w:spacing w:before="0" w:after="283"/>
              <w:rPr/>
            </w:pPr>
            <w:r>
              <w:rPr/>
              <w:t> </w:t>
            </w:r>
          </w:p>
        </w:tc>
        <w:tc>
          <w:tcPr>
            <w:tcW w:w="132" w:type="dxa"/>
            <w:tcBorders/>
            <w:shd w:fill="FFFFFF" w:val="clear"/>
          </w:tcPr>
          <w:p>
            <w:pPr>
              <w:pStyle w:val="TableContents"/>
              <w:spacing w:before="0" w:after="283"/>
              <w:jc w:val="right"/>
              <w:rPr>
                <w:rFonts w:ascii="times" w:hAnsi="times"/>
                <w:sz w:val="20"/>
              </w:rPr>
            </w:pPr>
            <w:r>
              <w:rPr>
                <w:rFonts w:ascii="times" w:hAnsi="times"/>
                <w:sz w:val="20"/>
              </w:rPr>
              <w:t>$</w:t>
            </w:r>
          </w:p>
        </w:tc>
        <w:tc>
          <w:tcPr>
            <w:tcW w:w="622" w:type="dxa"/>
            <w:tcBorders/>
            <w:shd w:fill="FFFFFF" w:val="clear"/>
          </w:tcPr>
          <w:p>
            <w:pPr>
              <w:pStyle w:val="TableContents"/>
              <w:spacing w:before="0" w:after="283"/>
              <w:jc w:val="right"/>
              <w:rPr>
                <w:rFonts w:ascii="times" w:hAnsi="times"/>
                <w:sz w:val="20"/>
              </w:rPr>
            </w:pPr>
            <w:r>
              <w:rPr>
                <w:rFonts w:ascii="times" w:hAnsi="times"/>
                <w:sz w:val="20"/>
              </w:rPr>
              <w:t>25</w:t>
            </w:r>
          </w:p>
        </w:tc>
        <w:tc>
          <w:tcPr>
            <w:tcW w:w="225" w:type="dxa"/>
            <w:tcBorders/>
            <w:shd w:fill="FFFFFF" w:val="clear"/>
          </w:tcPr>
          <w:p>
            <w:pPr>
              <w:pStyle w:val="TableContents"/>
              <w:spacing w:before="0" w:after="283"/>
              <w:rPr/>
            </w:pPr>
            <w:r>
              <w:rPr/>
              <w:t> </w:t>
            </w:r>
          </w:p>
        </w:tc>
        <w:tc>
          <w:tcPr>
            <w:tcW w:w="1590" w:type="dxa"/>
            <w:tcBorders/>
            <w:shd w:fill="FFFFFF" w:val="clear"/>
          </w:tcPr>
          <w:p>
            <w:pPr>
              <w:pStyle w:val="TableContents"/>
              <w:spacing w:before="0" w:after="283"/>
              <w:jc w:val="right"/>
              <w:rPr>
                <w:rFonts w:ascii="times" w:hAnsi="times"/>
                <w:sz w:val="20"/>
              </w:rPr>
            </w:pPr>
            <w:r>
              <w:rPr>
                <w:rFonts w:ascii="times" w:hAnsi="times"/>
                <w:sz w:val="20"/>
              </w:rPr>
              <w:t>CAD $1.00 to US $1.00</w:t>
            </w:r>
          </w:p>
        </w:tc>
        <w:tc>
          <w:tcPr>
            <w:tcW w:w="60" w:type="dxa"/>
            <w:tcBorders/>
            <w:shd w:fill="FFFFFF" w:val="clear"/>
          </w:tcPr>
          <w:p>
            <w:pPr>
              <w:pStyle w:val="TableContents"/>
              <w:spacing w:before="0" w:after="283"/>
              <w:rPr/>
            </w:pPr>
            <w:r>
              <w:rPr/>
              <w:t> </w:t>
            </w:r>
          </w:p>
        </w:tc>
      </w:tr>
      <w:tr>
        <w:trPr/>
        <w:tc>
          <w:tcPr>
            <w:tcW w:w="2670" w:type="dxa"/>
            <w:tcBorders/>
            <w:shd w:fill="CCEEFF" w:val="clear"/>
          </w:tcPr>
          <w:p>
            <w:pPr>
              <w:pStyle w:val="TableContents"/>
              <w:spacing w:before="0" w:after="283"/>
              <w:ind w:left="200" w:right="0" w:hanging="200"/>
              <w:rPr>
                <w:rFonts w:ascii="times" w:hAnsi="times"/>
                <w:sz w:val="20"/>
              </w:rPr>
            </w:pPr>
            <w:r>
              <w:rPr>
                <w:rFonts w:ascii="times" w:hAnsi="times"/>
                <w:sz w:val="20"/>
              </w:rPr>
              <w:t>2013</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30" w:type="dxa"/>
            <w:tcBorders/>
            <w:shd w:fill="CCEEFF" w:val="clear"/>
          </w:tcPr>
          <w:p>
            <w:pPr>
              <w:pStyle w:val="TableContents"/>
              <w:spacing w:before="0" w:after="283"/>
              <w:jc w:val="right"/>
              <w:rPr>
                <w:rFonts w:ascii="times" w:hAnsi="times"/>
                <w:sz w:val="20"/>
              </w:rPr>
            </w:pPr>
            <w:r>
              <w:rPr>
                <w:rFonts w:ascii="times" w:hAnsi="times"/>
                <w:sz w:val="20"/>
              </w:rPr>
              <w:t>19</w:t>
            </w:r>
          </w:p>
        </w:tc>
        <w:tc>
          <w:tcPr>
            <w:tcW w:w="225" w:type="dxa"/>
            <w:tcBorders/>
            <w:shd w:fill="CCEEFF" w:val="clear"/>
          </w:tcPr>
          <w:p>
            <w:pPr>
              <w:pStyle w:val="TableContents"/>
              <w:spacing w:before="0" w:after="283"/>
              <w:rPr/>
            </w:pPr>
            <w:r>
              <w:rPr/>
              <w:t> </w:t>
            </w:r>
          </w:p>
        </w:tc>
        <w:tc>
          <w:tcPr>
            <w:tcW w:w="132" w:type="dxa"/>
            <w:tcBorders/>
            <w:shd w:fill="CCEEFF" w:val="clear"/>
          </w:tcPr>
          <w:p>
            <w:pPr>
              <w:pStyle w:val="TableContents"/>
              <w:spacing w:before="0" w:after="283"/>
              <w:jc w:val="right"/>
              <w:rPr>
                <w:rFonts w:ascii="times" w:hAnsi="times"/>
                <w:sz w:val="20"/>
              </w:rPr>
            </w:pPr>
            <w:r>
              <w:rPr>
                <w:rFonts w:ascii="times" w:hAnsi="times"/>
                <w:sz w:val="20"/>
              </w:rPr>
              <w:t>$</w:t>
            </w:r>
          </w:p>
        </w:tc>
        <w:tc>
          <w:tcPr>
            <w:tcW w:w="622" w:type="dxa"/>
            <w:tcBorders/>
            <w:shd w:fill="CCEEFF" w:val="clear"/>
          </w:tcPr>
          <w:p>
            <w:pPr>
              <w:pStyle w:val="TableContents"/>
              <w:spacing w:before="0" w:after="283"/>
              <w:jc w:val="right"/>
              <w:rPr>
                <w:rFonts w:ascii="times" w:hAnsi="times"/>
                <w:sz w:val="20"/>
              </w:rPr>
            </w:pPr>
            <w:r>
              <w:rPr>
                <w:rFonts w:ascii="times" w:hAnsi="times"/>
                <w:sz w:val="20"/>
              </w:rPr>
              <w:t>19</w:t>
            </w:r>
          </w:p>
        </w:tc>
        <w:tc>
          <w:tcPr>
            <w:tcW w:w="225" w:type="dxa"/>
            <w:tcBorders/>
            <w:shd w:fill="CCEEFF" w:val="clear"/>
          </w:tcPr>
          <w:p>
            <w:pPr>
              <w:pStyle w:val="TableContents"/>
              <w:spacing w:before="0" w:after="283"/>
              <w:rPr/>
            </w:pPr>
            <w:r>
              <w:rPr/>
              <w:t> </w:t>
            </w:r>
          </w:p>
        </w:tc>
        <w:tc>
          <w:tcPr>
            <w:tcW w:w="1590" w:type="dxa"/>
            <w:tcBorders/>
            <w:shd w:fill="CCEEFF" w:val="clear"/>
          </w:tcPr>
          <w:p>
            <w:pPr>
              <w:pStyle w:val="TableContents"/>
              <w:spacing w:before="0" w:after="283"/>
              <w:jc w:val="right"/>
              <w:rPr>
                <w:rFonts w:ascii="times" w:hAnsi="times"/>
                <w:sz w:val="20"/>
              </w:rPr>
            </w:pPr>
            <w:r>
              <w:rPr>
                <w:rFonts w:ascii="times" w:hAnsi="times"/>
                <w:sz w:val="20"/>
              </w:rPr>
              <w:t>CAD $1.00 to US $1.00</w:t>
            </w:r>
          </w:p>
        </w:tc>
        <w:tc>
          <w:tcPr>
            <w:tcW w:w="60" w:type="dxa"/>
            <w:tcBorders/>
            <w:shd w:fill="CCEEFF" w:val="clear"/>
          </w:tcPr>
          <w:p>
            <w:pPr>
              <w:pStyle w:val="TableContents"/>
              <w:spacing w:before="0" w:after="283"/>
              <w:rPr/>
            </w:pPr>
            <w:r>
              <w:rPr/>
              <w:t> </w:t>
            </w:r>
          </w:p>
        </w:tc>
      </w:tr>
    </w:tbl>
    <w:p>
      <w:pPr>
        <w:pStyle w:val="TextBody"/>
        <w:rPr/>
      </w:pPr>
      <w:r>
        <w:rPr/>
        <w:t>        </w:t>
      </w:r>
      <w:r>
        <w:rPr>
          <w:rFonts w:ascii="times" w:hAnsi="times"/>
          <w:sz w:val="20"/>
        </w:rPr>
        <w:t xml:space="preserve">These financial instruments are placed with large, highly rated financial institutions. </w:t>
      </w:r>
    </w:p>
    <w:p>
      <w:pPr>
        <w:pStyle w:val="TextBody"/>
        <w:rPr/>
      </w:pPr>
      <w:r>
        <w:rPr/>
        <w:t>        </w:t>
      </w:r>
      <w:r>
        <w:rPr>
          <w:rFonts w:ascii="times" w:hAnsi="times"/>
          <w:sz w:val="20"/>
        </w:rPr>
        <w:t xml:space="preserve">In anticipation of closing the Rainbow acquisition, we entered into a forward currency exchange contract, which exchanged Canadian dollars and US dollars, to hedge the foreign currency exchange risk inherent in the acquisition price. In May 2008, we settled the forward contract, which resulted in a gain of approximately $8 million. </w:t>
      </w:r>
    </w:p>
    <w:p>
      <w:pPr>
        <w:pStyle w:val="TextBody"/>
        <w:rPr/>
      </w:pPr>
      <w:r>
        <w:rPr/>
        <w:t>        </w:t>
      </w:r>
      <w:r>
        <w:rPr>
          <w:rFonts w:ascii="times" w:hAnsi="times"/>
          <w:sz w:val="20"/>
        </w:rPr>
        <w:t xml:space="preserve">Upon closing of the Rainbow acquisition, we entered into a CAD-denominated intercompany note. In order to hedge the foreign currency exposure on the interest payments, we entered into forward currency exchange contracts. In October 2008, we settled half of these instruments which resulted in a gain of approximately $17 million, which is deferred in AOCI. </w:t>
      </w:r>
    </w:p>
    <w:p>
      <w:pPr>
        <w:pStyle w:val="TextBody"/>
        <w:rPr>
          <w:rFonts w:ascii="times" w:hAnsi="times"/>
          <w:b/>
          <w:i/>
          <w:sz w:val="20"/>
        </w:rPr>
      </w:pPr>
      <w:r>
        <w:rPr>
          <w:rFonts w:ascii="times" w:hAnsi="times"/>
          <w:b/>
          <w:i/>
          <w:sz w:val="20"/>
        </w:rPr>
        <w:t xml:space="preserve">Adoption of SFAS 157 </w:t>
      </w:r>
    </w:p>
    <w:p>
      <w:pPr>
        <w:pStyle w:val="TextBody"/>
        <w:rPr/>
      </w:pPr>
      <w:r>
        <w:rPr/>
        <w:t>        </w:t>
      </w:r>
      <w:r>
        <w:rPr>
          <w:rFonts w:ascii="times" w:hAnsi="times"/>
          <w:sz w:val="20"/>
        </w:rPr>
        <w:t xml:space="preserve">Effective January 1, 2008, we adopted SFAS 157 which, among other things, requires enhanced disclosures about assets and liabilities carried at fair value. As defined in SFAS 157, fair value is the price that would be received from selling an asset, or paid to transfer a liability, in an orderly transaction between market participants at the measurement date. Whenever possible, we use market data that market participants would use when pricing an asset or liability. These inputs can be either readily observable or market corroborated. We apply the market approach for recurring fair value measurements related to our derivatives.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w:t>
      </w:r>
    </w:p>
    <w:p>
      <w:pPr>
        <w:pStyle w:val="TextBody"/>
        <w:rPr/>
      </w:pPr>
      <w:r>
        <w:rPr/>
        <w:t>        </w:t>
      </w:r>
      <w:r>
        <w:rPr>
          <w:rFonts w:ascii="times" w:hAnsi="times"/>
          <w:sz w:val="20"/>
        </w:rPr>
        <w:t xml:space="preserve">The following table sets forth by level within the fair value hierarchy our financial assets and liabilities that were accounted for at fair value on a recurring basis as of December 31, 2008. As required by SFAS 157, financial assets and liabilities are classified in their entirety based on the lowest level of input that is significant to the fair value measurement. Our assessment of the significance of a </w:t>
      </w:r>
    </w:p>
    <w:p>
      <w:pPr>
        <w:pStyle w:val="TextBody"/>
        <w:jc w:val="center"/>
        <w:rPr>
          <w:rFonts w:ascii="times" w:hAnsi="times"/>
          <w:sz w:val="20"/>
        </w:rPr>
      </w:pPr>
      <w:r>
        <w:rPr>
          <w:rFonts w:ascii="times" w:hAnsi="times"/>
          <w:sz w:val="20"/>
        </w:rPr>
        <w:t>F-38</w:t>
      </w:r>
    </w:p>
    <w:p>
      <w:pPr>
        <w:pStyle w:val="HorizontalLine"/>
        <w:pBdr>
          <w:bottom w:val="single" w:sz="20" w:space="0" w:color="808080"/>
        </w:pBdr>
        <w:rPr/>
      </w:pPr>
      <w:r>
        <w:rPr/>
      </w:r>
      <w:r>
        <w:br w:type="page"/>
      </w:r>
    </w:p>
    <w:p>
      <w:pPr>
        <w:pStyle w:val="TextBody"/>
        <w:rPr/>
      </w:pPr>
      <w:hyperlink w:anchor="bg12101a_main_toc">
        <w:bookmarkStart w:id="272" w:name="page_fs12101_1_39"/>
        <w:bookmarkEnd w:id="27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6Derivatives and Hedging Instruments (Continued) </w:t>
      </w:r>
    </w:p>
    <w:p>
      <w:pPr>
        <w:pStyle w:val="TextBody"/>
        <w:rPr/>
      </w:pPr>
      <w:r>
        <w:rPr/>
      </w:r>
    </w:p>
    <w:p>
      <w:pPr>
        <w:pStyle w:val="TextBody"/>
        <w:rPr>
          <w:rFonts w:ascii="times" w:hAnsi="times"/>
          <w:sz w:val="20"/>
        </w:rPr>
      </w:pPr>
      <w:r>
        <w:rPr>
          <w:rFonts w:ascii="times" w:hAnsi="times"/>
          <w:sz w:val="20"/>
        </w:rPr>
        <w:t xml:space="preserve">particular input to the fair value measurement requires judgment and may affect the placement of assets and liabilities within the fair value hierarchy levels. </w:t>
      </w:r>
    </w:p>
    <w:tbl>
      <w:tblPr>
        <w:tblW w:w="7601" w:type="dxa"/>
        <w:jc w:val="center"/>
        <w:tblInd w:w="0" w:type="dxa"/>
        <w:tblCellMar>
          <w:top w:w="0" w:type="dxa"/>
          <w:left w:w="0" w:type="dxa"/>
          <w:bottom w:w="0" w:type="dxa"/>
          <w:right w:w="0" w:type="dxa"/>
        </w:tblCellMar>
      </w:tblPr>
      <w:tblGrid>
        <w:gridCol w:w="150"/>
        <w:gridCol w:w="4485"/>
        <w:gridCol w:w="180"/>
        <w:gridCol w:w="125"/>
        <w:gridCol w:w="395"/>
        <w:gridCol w:w="225"/>
        <w:gridCol w:w="192"/>
        <w:gridCol w:w="315"/>
        <w:gridCol w:w="225"/>
        <w:gridCol w:w="131"/>
        <w:gridCol w:w="353"/>
        <w:gridCol w:w="225"/>
        <w:gridCol w:w="125"/>
        <w:gridCol w:w="395"/>
        <w:gridCol w:w="80"/>
      </w:tblGrid>
      <w:tr>
        <w:trPr/>
        <w:tc>
          <w:tcPr>
            <w:tcW w:w="150" w:type="dxa"/>
            <w:tcBorders/>
            <w:shd w:fill="auto" w:val="clear"/>
            <w:vAlign w:val="center"/>
          </w:tcPr>
          <w:p>
            <w:pPr>
              <w:pStyle w:val="TableContents"/>
              <w:spacing w:before="0" w:after="283"/>
              <w:rPr>
                <w:sz w:val="4"/>
                <w:szCs w:val="4"/>
              </w:rPr>
            </w:pPr>
            <w:r>
              <w:rPr>
                <w:sz w:val="4"/>
                <w:szCs w:val="4"/>
              </w:rPr>
            </w:r>
          </w:p>
        </w:tc>
        <w:tc>
          <w:tcPr>
            <w:tcW w:w="44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463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706"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Fair Value as of December 31, 2008</w:t>
              <w:br/>
              <w:t xml:space="preserve">(in millions) </w:t>
            </w:r>
          </w:p>
        </w:tc>
        <w:tc>
          <w:tcPr>
            <w:tcW w:w="80" w:type="dxa"/>
            <w:tcBorders/>
            <w:shd w:fill="auto" w:val="clear"/>
            <w:vAlign w:val="bottom"/>
          </w:tcPr>
          <w:p>
            <w:pPr>
              <w:pStyle w:val="TableHeading"/>
              <w:suppressLineNumbers/>
              <w:spacing w:before="0" w:after="283"/>
              <w:jc w:val="center"/>
              <w:rPr/>
            </w:pPr>
            <w:r>
              <w:rPr/>
              <w:t> </w:t>
            </w:r>
          </w:p>
        </w:tc>
      </w:tr>
      <w:tr>
        <w:trPr/>
        <w:tc>
          <w:tcPr>
            <w:tcW w:w="4635"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Recurring Fair Value Measures </w:t>
            </w:r>
          </w:p>
        </w:tc>
        <w:tc>
          <w:tcPr>
            <w:tcW w:w="180"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1 </w:t>
            </w:r>
          </w:p>
        </w:tc>
        <w:tc>
          <w:tcPr>
            <w:tcW w:w="225" w:type="dxa"/>
            <w:tcBorders/>
            <w:shd w:fill="auto" w:val="clear"/>
            <w:vAlign w:val="bottom"/>
          </w:tcPr>
          <w:p>
            <w:pPr>
              <w:pStyle w:val="TableHeading"/>
              <w:suppressLineNumbers/>
              <w:spacing w:before="0" w:after="283"/>
              <w:jc w:val="center"/>
              <w:rPr/>
            </w:pPr>
            <w:r>
              <w:rPr/>
              <w:t> </w:t>
            </w:r>
          </w:p>
        </w:tc>
        <w:tc>
          <w:tcPr>
            <w:tcW w:w="50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2 </w:t>
            </w:r>
          </w:p>
        </w:tc>
        <w:tc>
          <w:tcPr>
            <w:tcW w:w="225" w:type="dxa"/>
            <w:tcBorders/>
            <w:shd w:fill="auto" w:val="clear"/>
            <w:vAlign w:val="bottom"/>
          </w:tcPr>
          <w:p>
            <w:pPr>
              <w:pStyle w:val="TableHeading"/>
              <w:suppressLineNumbers/>
              <w:spacing w:before="0" w:after="283"/>
              <w:jc w:val="center"/>
              <w:rPr/>
            </w:pPr>
            <w:r>
              <w:rPr/>
              <w:t> </w:t>
            </w:r>
          </w:p>
        </w:tc>
        <w:tc>
          <w:tcPr>
            <w:tcW w:w="4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Level 3 </w:t>
            </w:r>
          </w:p>
        </w:tc>
        <w:tc>
          <w:tcPr>
            <w:tcW w:w="22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80" w:type="dxa"/>
            <w:tcBorders/>
            <w:shd w:fill="auto" w:val="clear"/>
            <w:vAlign w:val="bottom"/>
          </w:tcPr>
          <w:p>
            <w:pPr>
              <w:pStyle w:val="TableHeading"/>
              <w:suppressLineNumbers/>
              <w:spacing w:before="0" w:after="283"/>
              <w:jc w:val="center"/>
              <w:rPr/>
            </w:pPr>
            <w:r>
              <w:rPr/>
              <w:t> </w:t>
            </w:r>
          </w:p>
        </w:tc>
      </w:tr>
      <w:tr>
        <w:trPr/>
        <w:tc>
          <w:tcPr>
            <w:tcW w:w="463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Assets: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92" w:type="dxa"/>
            <w:tcBorders/>
            <w:shd w:fill="CCEEFF" w:val="clear"/>
          </w:tcPr>
          <w:p>
            <w:pPr>
              <w:pStyle w:val="TableContents"/>
              <w:spacing w:before="0" w:after="283"/>
              <w:rPr/>
            </w:pPr>
            <w:r>
              <w:rPr/>
              <w:t> </w:t>
            </w:r>
          </w:p>
        </w:tc>
        <w:tc>
          <w:tcPr>
            <w:tcW w:w="315"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rPr/>
            </w:pPr>
            <w:r>
              <w:rPr/>
              <w:t> </w:t>
            </w:r>
          </w:p>
        </w:tc>
        <w:tc>
          <w:tcPr>
            <w:tcW w:w="353"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Commodity derivatives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t>235</w:t>
            </w:r>
          </w:p>
        </w:tc>
        <w:tc>
          <w:tcPr>
            <w:tcW w:w="225" w:type="dxa"/>
            <w:tcBorders/>
            <w:shd w:fill="FFFFFF" w:val="clear"/>
          </w:tcPr>
          <w:p>
            <w:pPr>
              <w:pStyle w:val="TableContents"/>
              <w:spacing w:before="0" w:after="283"/>
              <w:rPr/>
            </w:pPr>
            <w:r>
              <w:rPr/>
              <w:t> </w:t>
            </w:r>
          </w:p>
        </w:tc>
        <w:tc>
          <w:tcPr>
            <w:tcW w:w="192" w:type="dxa"/>
            <w:tcBorders/>
            <w:shd w:fill="FFFFFF" w:val="clear"/>
          </w:tcPr>
          <w:p>
            <w:pPr>
              <w:pStyle w:val="TableContents"/>
              <w:spacing w:before="0" w:after="283"/>
              <w:jc w:val="right"/>
              <w:rPr>
                <w:rFonts w:ascii="times" w:hAnsi="times"/>
                <w:sz w:val="20"/>
              </w:rPr>
            </w:pPr>
            <w:r>
              <w:rPr>
                <w:rFonts w:ascii="times" w:hAnsi="times"/>
                <w:sz w:val="20"/>
              </w:rPr>
              <w:t>$</w:t>
            </w:r>
          </w:p>
        </w:tc>
        <w:tc>
          <w:tcPr>
            <w:tcW w:w="315" w:type="dxa"/>
            <w:tcBorders/>
            <w:shd w:fill="FFFFFF" w:val="clear"/>
          </w:tcPr>
          <w:p>
            <w:pPr>
              <w:pStyle w:val="TableContents"/>
              <w:spacing w:before="0" w:after="283"/>
              <w:jc w:val="right"/>
              <w:rPr>
                <w:rFonts w:ascii="times" w:hAnsi="times"/>
                <w:sz w:val="20"/>
              </w:rPr>
            </w:pPr>
            <w:r>
              <w:rPr>
                <w:rFonts w:ascii="times" w:hAnsi="times"/>
                <w:sz w:val="20"/>
              </w:rPr>
              <w:t>9</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t>$</w:t>
            </w:r>
          </w:p>
        </w:tc>
        <w:tc>
          <w:tcPr>
            <w:tcW w:w="353" w:type="dxa"/>
            <w:tcBorders/>
            <w:shd w:fill="FFFFFF" w:val="clear"/>
          </w:tcPr>
          <w:p>
            <w:pPr>
              <w:pStyle w:val="TableContents"/>
              <w:spacing w:before="0" w:after="283"/>
              <w:jc w:val="right"/>
              <w:rPr>
                <w:rFonts w:ascii="times" w:hAnsi="times"/>
                <w:sz w:val="20"/>
              </w:rPr>
            </w:pPr>
            <w:r>
              <w:rPr>
                <w:rFonts w:ascii="times" w:hAnsi="times"/>
                <w:sz w:val="20"/>
              </w:rPr>
              <w:t>112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t>356</w:t>
            </w:r>
          </w:p>
        </w:tc>
        <w:tc>
          <w:tcPr>
            <w:tcW w:w="8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Interest rate derivatives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92" w:type="dxa"/>
            <w:tcBorders/>
            <w:shd w:fill="CCEEFF" w:val="clear"/>
          </w:tcPr>
          <w:p>
            <w:pPr>
              <w:pStyle w:val="TableContents"/>
              <w:spacing w:before="0" w:after="283"/>
              <w:rPr/>
            </w:pPr>
            <w:r>
              <w:rPr/>
              <w:t> </w:t>
            </w:r>
          </w:p>
        </w:tc>
        <w:tc>
          <w:tcPr>
            <w:tcW w:w="31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rPr/>
            </w:pPr>
            <w:r>
              <w:rPr/>
              <w:t> </w:t>
            </w:r>
          </w:p>
        </w:tc>
        <w:tc>
          <w:tcPr>
            <w:tcW w:w="353" w:type="dxa"/>
            <w:tcBorders/>
            <w:shd w:fill="CCEEFF" w:val="clear"/>
          </w:tcPr>
          <w:p>
            <w:pPr>
              <w:pStyle w:val="TableContents"/>
              <w:spacing w:before="0" w:after="283"/>
              <w:jc w:val="right"/>
              <w:rPr>
                <w:rFonts w:ascii="times" w:hAnsi="times"/>
                <w:sz w:val="20"/>
              </w:rPr>
            </w:pPr>
            <w:r>
              <w:rPr>
                <w:rFonts w:ascii="times" w:hAnsi="times"/>
                <w:sz w:val="20"/>
              </w:rPr>
              <w:t>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5</w:t>
            </w:r>
          </w:p>
        </w:tc>
        <w:tc>
          <w:tcPr>
            <w:tcW w:w="8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Foreign currency derivatives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92" w:type="dxa"/>
            <w:tcBorders/>
            <w:shd w:fill="FFFFFF" w:val="clear"/>
          </w:tcPr>
          <w:p>
            <w:pPr>
              <w:pStyle w:val="TableContents"/>
              <w:spacing w:before="0" w:after="283"/>
              <w:rPr/>
            </w:pPr>
            <w:r>
              <w:rPr/>
              <w:t> </w:t>
            </w:r>
          </w:p>
        </w:tc>
        <w:tc>
          <w:tcPr>
            <w:tcW w:w="315"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rPr/>
            </w:pPr>
            <w:r>
              <w:rPr/>
              <w:t> </w:t>
            </w:r>
          </w:p>
        </w:tc>
        <w:tc>
          <w:tcPr>
            <w:tcW w:w="353" w:type="dxa"/>
            <w:tcBorders/>
            <w:shd w:fill="FFFFFF" w:val="clear"/>
          </w:tcPr>
          <w:p>
            <w:pPr>
              <w:pStyle w:val="TableContents"/>
              <w:spacing w:before="0" w:after="283"/>
              <w:jc w:val="right"/>
              <w:rPr>
                <w:rFonts w:ascii="times" w:hAnsi="times"/>
                <w:sz w:val="20"/>
              </w:rPr>
            </w:pPr>
            <w:r>
              <w:rPr>
                <w:rFonts w:ascii="times" w:hAnsi="times"/>
                <w:sz w:val="20"/>
              </w:rPr>
              <w:t>18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18</w:t>
            </w:r>
          </w:p>
        </w:tc>
        <w:tc>
          <w:tcPr>
            <w:tcW w:w="80" w:type="dxa"/>
            <w:tcBorders/>
            <w:shd w:fill="FFFFFF" w:val="clear"/>
          </w:tcPr>
          <w:p>
            <w:pPr>
              <w:pStyle w:val="TableContents"/>
              <w:spacing w:before="0" w:after="283"/>
              <w:rPr/>
            </w:pPr>
            <w:r>
              <w:rPr/>
              <w:t> </w:t>
            </w:r>
          </w:p>
        </w:tc>
      </w:tr>
      <w:tr>
        <w:trPr/>
        <w:tc>
          <w:tcPr>
            <w:tcW w:w="463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0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Total assets at fair value</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235</w:t>
            </w:r>
          </w:p>
        </w:tc>
        <w:tc>
          <w:tcPr>
            <w:tcW w:w="225" w:type="dxa"/>
            <w:tcBorders/>
            <w:shd w:fill="CCEEFF" w:val="clear"/>
          </w:tcPr>
          <w:p>
            <w:pPr>
              <w:pStyle w:val="TableContents"/>
              <w:spacing w:before="0" w:after="283"/>
              <w:rPr/>
            </w:pPr>
            <w:r>
              <w:rPr/>
              <w:t> </w:t>
            </w:r>
          </w:p>
        </w:tc>
        <w:tc>
          <w:tcPr>
            <w:tcW w:w="192" w:type="dxa"/>
            <w:tcBorders/>
            <w:shd w:fill="CCEEFF" w:val="clear"/>
          </w:tcPr>
          <w:p>
            <w:pPr>
              <w:pStyle w:val="TableContents"/>
              <w:spacing w:before="0" w:after="283"/>
              <w:jc w:val="right"/>
              <w:rPr>
                <w:rFonts w:ascii="times" w:hAnsi="times"/>
                <w:sz w:val="20"/>
              </w:rPr>
            </w:pPr>
            <w:r>
              <w:rPr>
                <w:rFonts w:ascii="times" w:hAnsi="times"/>
                <w:sz w:val="20"/>
              </w:rPr>
              <w:t>$</w:t>
            </w:r>
          </w:p>
        </w:tc>
        <w:tc>
          <w:tcPr>
            <w:tcW w:w="315" w:type="dxa"/>
            <w:tcBorders/>
            <w:shd w:fill="CCEEFF" w:val="clear"/>
          </w:tcPr>
          <w:p>
            <w:pPr>
              <w:pStyle w:val="TableContents"/>
              <w:spacing w:before="0" w:after="283"/>
              <w:jc w:val="right"/>
              <w:rPr>
                <w:rFonts w:ascii="times" w:hAnsi="times"/>
                <w:sz w:val="20"/>
              </w:rPr>
            </w:pPr>
            <w:r>
              <w:rPr>
                <w:rFonts w:ascii="times" w:hAnsi="times"/>
                <w:sz w:val="20"/>
              </w:rPr>
              <w:t>9</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353" w:type="dxa"/>
            <w:tcBorders/>
            <w:shd w:fill="CCEEFF" w:val="clear"/>
          </w:tcPr>
          <w:p>
            <w:pPr>
              <w:pStyle w:val="TableContents"/>
              <w:spacing w:before="0" w:after="283"/>
              <w:jc w:val="right"/>
              <w:rPr>
                <w:rFonts w:ascii="times" w:hAnsi="times"/>
                <w:sz w:val="20"/>
              </w:rPr>
            </w:pPr>
            <w:r>
              <w:rPr>
                <w:rFonts w:ascii="times" w:hAnsi="times"/>
                <w:sz w:val="20"/>
              </w:rPr>
              <w:t>135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379</w:t>
            </w:r>
          </w:p>
        </w:tc>
        <w:tc>
          <w:tcPr>
            <w:tcW w:w="80" w:type="dxa"/>
            <w:tcBorders/>
            <w:shd w:fill="CCEEFF" w:val="clear"/>
          </w:tcPr>
          <w:p>
            <w:pPr>
              <w:pStyle w:val="TableContents"/>
              <w:spacing w:before="0" w:after="283"/>
              <w:rPr/>
            </w:pPr>
            <w:r>
              <w:rPr/>
              <w:t> </w:t>
            </w:r>
          </w:p>
        </w:tc>
      </w:tr>
      <w:tr>
        <w:trPr/>
        <w:tc>
          <w:tcPr>
            <w:tcW w:w="463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07"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8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35" w:type="dxa"/>
            <w:gridSpan w:val="2"/>
            <w:tcBorders/>
            <w:shd w:fill="FFFFFF" w:val="clear"/>
          </w:tcPr>
          <w:p>
            <w:pPr>
              <w:pStyle w:val="TableContents"/>
              <w:spacing w:before="240" w:after="283"/>
              <w:ind w:left="200" w:right="0" w:hanging="200"/>
              <w:rPr>
                <w:rFonts w:ascii="times" w:hAnsi="times"/>
                <w:sz w:val="20"/>
              </w:rPr>
            </w:pPr>
            <w:r>
              <w:rPr>
                <w:rFonts w:ascii="times" w:hAnsi="times"/>
                <w:sz w:val="20"/>
              </w:rPr>
              <w:t>Liabilities: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92" w:type="dxa"/>
            <w:tcBorders/>
            <w:shd w:fill="FFFFFF" w:val="clear"/>
          </w:tcPr>
          <w:p>
            <w:pPr>
              <w:pStyle w:val="TableContents"/>
              <w:spacing w:before="0" w:after="283"/>
              <w:rPr/>
            </w:pPr>
            <w:r>
              <w:rPr/>
              <w:t> </w:t>
            </w:r>
          </w:p>
        </w:tc>
        <w:tc>
          <w:tcPr>
            <w:tcW w:w="315"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rPr/>
            </w:pPr>
            <w:r>
              <w:rPr/>
              <w:t> </w:t>
            </w:r>
          </w:p>
        </w:tc>
        <w:tc>
          <w:tcPr>
            <w:tcW w:w="353" w:type="dxa"/>
            <w:tcBorders/>
            <w:shd w:fill="FFFFFF" w:val="clear"/>
          </w:tcPr>
          <w:p>
            <w:pPr>
              <w:pStyle w:val="TableContents"/>
              <w:spacing w:before="0" w:after="283"/>
              <w:rPr/>
            </w:pPr>
            <w:r>
              <w:rPr/>
              <w:t> </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rPr/>
            </w:pPr>
            <w:r>
              <w:rPr/>
              <w:t> </w:t>
            </w:r>
          </w:p>
        </w:tc>
        <w:tc>
          <w:tcPr>
            <w:tcW w:w="8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Commodity derivatives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(330</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92" w:type="dxa"/>
            <w:tcBorders/>
            <w:shd w:fill="CCEEFF" w:val="clear"/>
          </w:tcPr>
          <w:p>
            <w:pPr>
              <w:pStyle w:val="TableContents"/>
              <w:spacing w:before="0" w:after="283"/>
              <w:jc w:val="right"/>
              <w:rPr>
                <w:rFonts w:ascii="times" w:hAnsi="times"/>
                <w:sz w:val="20"/>
              </w:rPr>
            </w:pPr>
            <w:r>
              <w:rPr>
                <w:rFonts w:ascii="times" w:hAnsi="times"/>
                <w:sz w:val="20"/>
              </w:rPr>
              <w:t>$</w:t>
            </w:r>
          </w:p>
        </w:tc>
        <w:tc>
          <w:tcPr>
            <w:tcW w:w="31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353" w:type="dxa"/>
            <w:tcBorders/>
            <w:shd w:fill="CCEEFF" w:val="clear"/>
          </w:tcPr>
          <w:p>
            <w:pPr>
              <w:pStyle w:val="TableContents"/>
              <w:spacing w:before="0" w:after="283"/>
              <w:jc w:val="right"/>
              <w:rPr>
                <w:rFonts w:ascii="times" w:hAnsi="times"/>
                <w:sz w:val="20"/>
              </w:rPr>
            </w:pPr>
            <w:r>
              <w:rPr>
                <w:rFonts w:ascii="times" w:hAnsi="times"/>
                <w:sz w:val="20"/>
              </w:rPr>
              <w:t>(56</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(386</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150" w:type="dxa"/>
            <w:tcBorders/>
            <w:shd w:fill="FFFFFF" w:val="clear"/>
          </w:tcPr>
          <w:p>
            <w:pPr>
              <w:pStyle w:val="TableContents"/>
              <w:spacing w:before="0" w:after="283"/>
              <w:rPr/>
            </w:pPr>
            <w:r>
              <w:rPr/>
              <w:t> </w:t>
            </w:r>
          </w:p>
        </w:tc>
        <w:tc>
          <w:tcPr>
            <w:tcW w:w="4485" w:type="dxa"/>
            <w:tcBorders/>
            <w:shd w:fill="FFFFFF" w:val="clear"/>
          </w:tcPr>
          <w:p>
            <w:pPr>
              <w:pStyle w:val="TableContents"/>
              <w:spacing w:before="0" w:after="283"/>
              <w:ind w:left="200" w:right="0" w:hanging="200"/>
              <w:rPr>
                <w:rFonts w:ascii="times" w:hAnsi="times"/>
                <w:sz w:val="20"/>
              </w:rPr>
            </w:pPr>
            <w:r>
              <w:rPr>
                <w:rFonts w:ascii="times" w:hAnsi="times"/>
                <w:sz w:val="20"/>
              </w:rPr>
              <w:t>Foreign currency derivatives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92" w:type="dxa"/>
            <w:tcBorders/>
            <w:shd w:fill="FFFFFF" w:val="clear"/>
          </w:tcPr>
          <w:p>
            <w:pPr>
              <w:pStyle w:val="TableContents"/>
              <w:spacing w:before="0" w:after="283"/>
              <w:rPr/>
            </w:pPr>
            <w:r>
              <w:rPr/>
              <w:t> </w:t>
            </w:r>
          </w:p>
        </w:tc>
        <w:tc>
          <w:tcPr>
            <w:tcW w:w="315" w:type="dxa"/>
            <w:tcBorders/>
            <w:shd w:fill="FFFFFF" w:val="clear"/>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rPr/>
            </w:pPr>
            <w:r>
              <w:rPr/>
              <w:t> </w:t>
            </w:r>
          </w:p>
        </w:tc>
        <w:tc>
          <w:tcPr>
            <w:tcW w:w="353" w:type="dxa"/>
            <w:tcBorders/>
            <w:shd w:fill="FFFFFF" w:val="clear"/>
          </w:tcPr>
          <w:p>
            <w:pPr>
              <w:pStyle w:val="TableContents"/>
              <w:spacing w:before="0" w:after="283"/>
              <w:jc w:val="right"/>
              <w:rPr>
                <w:rFonts w:ascii="times" w:hAnsi="times"/>
                <w:sz w:val="20"/>
              </w:rPr>
            </w:pPr>
            <w:r>
              <w:rPr>
                <w:rFonts w:ascii="times" w:hAnsi="times"/>
                <w:sz w:val="20"/>
              </w:rPr>
              <w:t>(5</w:t>
            </w:r>
          </w:p>
        </w:tc>
        <w:tc>
          <w:tcPr>
            <w:tcW w:w="225"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(5</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63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0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8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485" w:type="dxa"/>
            <w:tcBorders/>
            <w:shd w:fill="CCEEFF" w:val="clear"/>
          </w:tcPr>
          <w:p>
            <w:pPr>
              <w:pStyle w:val="TableContents"/>
              <w:spacing w:before="0" w:after="283"/>
              <w:ind w:left="200" w:right="0" w:hanging="200"/>
              <w:rPr>
                <w:rFonts w:ascii="times" w:hAnsi="times"/>
                <w:sz w:val="20"/>
              </w:rPr>
            </w:pPr>
            <w:r>
              <w:rPr>
                <w:rFonts w:ascii="times" w:hAnsi="times"/>
                <w:sz w:val="20"/>
              </w:rPr>
              <w:t>Total liabilities at fair value</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(330</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92" w:type="dxa"/>
            <w:tcBorders/>
            <w:shd w:fill="CCEEFF" w:val="clear"/>
          </w:tcPr>
          <w:p>
            <w:pPr>
              <w:pStyle w:val="TableContents"/>
              <w:spacing w:before="0" w:after="283"/>
              <w:jc w:val="right"/>
              <w:rPr>
                <w:rFonts w:ascii="times" w:hAnsi="times"/>
                <w:sz w:val="20"/>
              </w:rPr>
            </w:pPr>
            <w:r>
              <w:rPr>
                <w:rFonts w:ascii="times" w:hAnsi="times"/>
                <w:sz w:val="20"/>
              </w:rPr>
              <w:t>$</w:t>
            </w:r>
          </w:p>
        </w:tc>
        <w:tc>
          <w:tcPr>
            <w:tcW w:w="315" w:type="dxa"/>
            <w:tcBorders/>
            <w:shd w:fill="CCEEFF" w:val="clear"/>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tcPr>
          <w:p>
            <w:pPr>
              <w:pStyle w:val="TableContents"/>
              <w:spacing w:before="0" w:after="283"/>
              <w:rPr/>
            </w:pPr>
            <w:r>
              <w:rPr/>
              <w:t> </w:t>
            </w:r>
          </w:p>
        </w:tc>
        <w:tc>
          <w:tcPr>
            <w:tcW w:w="131" w:type="dxa"/>
            <w:tcBorders/>
            <w:shd w:fill="CCEEFF" w:val="clear"/>
          </w:tcPr>
          <w:p>
            <w:pPr>
              <w:pStyle w:val="TableContents"/>
              <w:spacing w:before="0" w:after="283"/>
              <w:jc w:val="right"/>
              <w:rPr>
                <w:rFonts w:ascii="times" w:hAnsi="times"/>
                <w:sz w:val="20"/>
              </w:rPr>
            </w:pPr>
            <w:r>
              <w:rPr>
                <w:rFonts w:ascii="times" w:hAnsi="times"/>
                <w:sz w:val="20"/>
              </w:rPr>
              <w:t>$</w:t>
            </w:r>
          </w:p>
        </w:tc>
        <w:tc>
          <w:tcPr>
            <w:tcW w:w="353" w:type="dxa"/>
            <w:tcBorders/>
            <w:shd w:fill="CCEEFF" w:val="clear"/>
          </w:tcPr>
          <w:p>
            <w:pPr>
              <w:pStyle w:val="TableContents"/>
              <w:spacing w:before="0" w:after="283"/>
              <w:jc w:val="right"/>
              <w:rPr>
                <w:rFonts w:ascii="times" w:hAnsi="times"/>
                <w:sz w:val="20"/>
              </w:rPr>
            </w:pPr>
            <w:r>
              <w:rPr>
                <w:rFonts w:ascii="times" w:hAnsi="times"/>
                <w:sz w:val="20"/>
              </w:rPr>
              <w:t>(61</w:t>
            </w:r>
          </w:p>
        </w:tc>
        <w:tc>
          <w:tcPr>
            <w:tcW w:w="225"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(391</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463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07"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8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635" w:type="dxa"/>
            <w:gridSpan w:val="2"/>
            <w:tcBorders/>
            <w:shd w:fill="FFFFFF" w:val="clear"/>
          </w:tcPr>
          <w:p>
            <w:pPr>
              <w:pStyle w:val="TableContents"/>
              <w:spacing w:before="240" w:after="283"/>
              <w:ind w:left="200" w:right="0" w:hanging="200"/>
              <w:rPr>
                <w:rFonts w:ascii="times" w:hAnsi="times"/>
                <w:sz w:val="20"/>
              </w:rPr>
            </w:pPr>
            <w:r>
              <w:rPr>
                <w:rFonts w:ascii="times" w:hAnsi="times"/>
                <w:sz w:val="20"/>
              </w:rPr>
              <w:t>Net asset/(liability) at fair value</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b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br/>
              <w:t>(95</w:t>
            </w:r>
          </w:p>
        </w:tc>
        <w:tc>
          <w:tcPr>
            <w:tcW w:w="225" w:type="dxa"/>
            <w:tcBorders/>
            <w:shd w:fill="FFFFFF" w:val="clear"/>
          </w:tcPr>
          <w:p>
            <w:pPr>
              <w:pStyle w:val="TableContents"/>
              <w:spacing w:before="0" w:after="283"/>
              <w:rPr>
                <w:rFonts w:ascii="times" w:hAnsi="times"/>
                <w:sz w:val="20"/>
              </w:rPr>
            </w:pPr>
            <w:r>
              <w:rPr>
                <w:rFonts w:ascii="times" w:hAnsi="times"/>
                <w:sz w:val="20"/>
              </w:rPr>
              <w:br/>
              <w:t>)</w:t>
            </w:r>
          </w:p>
        </w:tc>
        <w:tc>
          <w:tcPr>
            <w:tcW w:w="192" w:type="dxa"/>
            <w:tcBorders/>
            <w:shd w:fill="FFFFFF" w:val="clear"/>
          </w:tcPr>
          <w:p>
            <w:pPr>
              <w:pStyle w:val="TableContents"/>
              <w:spacing w:before="0" w:after="283"/>
              <w:jc w:val="right"/>
              <w:rPr>
                <w:rFonts w:ascii="times" w:hAnsi="times"/>
                <w:sz w:val="20"/>
              </w:rPr>
            </w:pPr>
            <w:r>
              <w:rPr>
                <w:rFonts w:ascii="times" w:hAnsi="times"/>
                <w:sz w:val="20"/>
              </w:rPr>
              <w:br/>
              <w:t>$</w:t>
            </w:r>
          </w:p>
        </w:tc>
        <w:tc>
          <w:tcPr>
            <w:tcW w:w="315" w:type="dxa"/>
            <w:tcBorders/>
            <w:shd w:fill="FFFFFF" w:val="clear"/>
          </w:tcPr>
          <w:p>
            <w:pPr>
              <w:pStyle w:val="TableContents"/>
              <w:spacing w:before="0" w:after="283"/>
              <w:jc w:val="right"/>
              <w:rPr>
                <w:rFonts w:ascii="times" w:hAnsi="times"/>
                <w:sz w:val="20"/>
              </w:rPr>
            </w:pPr>
            <w:r>
              <w:rPr>
                <w:rFonts w:ascii="times" w:hAnsi="times"/>
                <w:sz w:val="20"/>
              </w:rPr>
              <w:br/>
              <w:t>9</w:t>
            </w:r>
          </w:p>
        </w:tc>
        <w:tc>
          <w:tcPr>
            <w:tcW w:w="225" w:type="dxa"/>
            <w:tcBorders/>
            <w:shd w:fill="FFFFFF" w:val="clear"/>
          </w:tcPr>
          <w:p>
            <w:pPr>
              <w:pStyle w:val="TableContents"/>
              <w:spacing w:before="0" w:after="283"/>
              <w:rPr/>
            </w:pPr>
            <w:r>
              <w:rPr/>
              <w:t> </w:t>
            </w:r>
          </w:p>
        </w:tc>
        <w:tc>
          <w:tcPr>
            <w:tcW w:w="131" w:type="dxa"/>
            <w:tcBorders/>
            <w:shd w:fill="FFFFFF" w:val="clear"/>
          </w:tcPr>
          <w:p>
            <w:pPr>
              <w:pStyle w:val="TableContents"/>
              <w:spacing w:before="0" w:after="283"/>
              <w:jc w:val="right"/>
              <w:rPr>
                <w:rFonts w:ascii="times" w:hAnsi="times"/>
                <w:sz w:val="20"/>
              </w:rPr>
            </w:pPr>
            <w:r>
              <w:rPr>
                <w:rFonts w:ascii="times" w:hAnsi="times"/>
                <w:sz w:val="20"/>
              </w:rPr>
              <w:br/>
              <w:t>$</w:t>
            </w:r>
          </w:p>
        </w:tc>
        <w:tc>
          <w:tcPr>
            <w:tcW w:w="353" w:type="dxa"/>
            <w:tcBorders/>
            <w:shd w:fill="FFFFFF" w:val="clear"/>
          </w:tcPr>
          <w:p>
            <w:pPr>
              <w:pStyle w:val="TableContents"/>
              <w:spacing w:before="0" w:after="283"/>
              <w:jc w:val="right"/>
              <w:rPr>
                <w:rFonts w:ascii="times" w:hAnsi="times"/>
                <w:sz w:val="20"/>
              </w:rPr>
            </w:pPr>
            <w:r>
              <w:rPr>
                <w:rFonts w:ascii="times" w:hAnsi="times"/>
                <w:sz w:val="20"/>
              </w:rPr>
              <w:br/>
              <w:t>74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b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br/>
              <w:t>(12</w:t>
            </w:r>
          </w:p>
        </w:tc>
        <w:tc>
          <w:tcPr>
            <w:tcW w:w="80" w:type="dxa"/>
            <w:tcBorders/>
            <w:shd w:fill="FFFFFF" w:val="clear"/>
          </w:tcPr>
          <w:p>
            <w:pPr>
              <w:pStyle w:val="TableContents"/>
              <w:spacing w:before="0" w:after="283"/>
              <w:rPr>
                <w:rFonts w:ascii="times" w:hAnsi="times"/>
                <w:sz w:val="20"/>
              </w:rPr>
            </w:pPr>
            <w:r>
              <w:rPr>
                <w:rFonts w:ascii="times" w:hAnsi="times"/>
                <w:sz w:val="20"/>
              </w:rPr>
              <w:br/>
              <w:t>)</w:t>
            </w:r>
          </w:p>
        </w:tc>
      </w:tr>
      <w:tr>
        <w:trPr/>
        <w:tc>
          <w:tcPr>
            <w:tcW w:w="463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07"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8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rPr>
          <w:rFonts w:ascii="times" w:hAnsi="times"/>
          <w:sz w:val="20"/>
        </w:rPr>
      </w:pPr>
      <w:r>
        <w:rPr>
          <w:rFonts w:ascii="times" w:hAnsi="times"/>
          <w:sz w:val="20"/>
        </w:rPr>
        <w:t xml:space="preserve">The determination of the fair values above incorporates various factors required under SFAS 157. These factors include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We measure credit risk by deriving a probability of default from market observed credit default swap spreads as of the measurement date. The probability of default is applied to the net credit exposure of each of our counterparties and includes a recovery rate adjustment. The recovery rate is an estimate of what would ultimately be recovered through a bankruptcy proceeding in the event of default. Fair value adjustments related to counterparty credit risk resulted in a net deferred loss of $1 million in AOCI during the year ended December 31, 2008. There were no changes to any of our valuation techniques during the period. </w:t>
      </w:r>
    </w:p>
    <w:p>
      <w:pPr>
        <w:pStyle w:val="TextBody"/>
        <w:rPr>
          <w:rFonts w:ascii="times" w:hAnsi="times"/>
          <w:b/>
          <w:i/>
          <w:sz w:val="20"/>
        </w:rPr>
      </w:pPr>
      <w:r>
        <w:rPr>
          <w:rFonts w:ascii="times" w:hAnsi="times"/>
          <w:b/>
          <w:i/>
          <w:sz w:val="20"/>
        </w:rPr>
        <w:t xml:space="preserve">Level 1 </w:t>
      </w:r>
    </w:p>
    <w:p>
      <w:pPr>
        <w:pStyle w:val="TextBody"/>
        <w:rPr/>
      </w:pPr>
      <w:r>
        <w:rPr/>
        <w:t>        </w:t>
      </w:r>
      <w:r>
        <w:rPr>
          <w:rFonts w:ascii="times" w:hAnsi="times"/>
          <w:sz w:val="20"/>
        </w:rPr>
        <w:t xml:space="preserve">Included within level 1 of the fair value hierarchy are commodity derivatives that are exchange traded. Exchange-traded derivative contracts include futures, options and swaps. The fair value of exchange-traded commodity derivatives is based on unadjusted quoted prices in active markets and is therefore classified within level 1 of the fair value hierarchy. </w:t>
      </w:r>
    </w:p>
    <w:p>
      <w:pPr>
        <w:pStyle w:val="TextBody"/>
        <w:rPr>
          <w:rFonts w:ascii="times" w:hAnsi="times"/>
          <w:b/>
          <w:i/>
          <w:sz w:val="20"/>
        </w:rPr>
      </w:pPr>
      <w:r>
        <w:rPr>
          <w:rFonts w:ascii="times" w:hAnsi="times"/>
          <w:b/>
          <w:i/>
          <w:sz w:val="20"/>
        </w:rPr>
        <w:t xml:space="preserve">Level 2 </w:t>
      </w:r>
    </w:p>
    <w:p>
      <w:pPr>
        <w:pStyle w:val="TextBody"/>
        <w:rPr/>
      </w:pPr>
      <w:r>
        <w:rPr/>
        <w:t>        </w:t>
      </w:r>
      <w:r>
        <w:rPr>
          <w:rFonts w:ascii="times" w:hAnsi="times"/>
          <w:sz w:val="20"/>
        </w:rPr>
        <w:t xml:space="preserve">Included within level 2 of the fair value hierarchy is a physical commodity supply contract that meets the definition of a derivative but is not excluded from SFAS 133 under the normal purchase and normal sale scope exception. The fair value of this commodity derivative is measured with level 1 inputs for similar but not identical instruments and therefore must be included in level 2 of the fair value hierarchy. </w:t>
      </w:r>
    </w:p>
    <w:p>
      <w:pPr>
        <w:pStyle w:val="TextBody"/>
        <w:jc w:val="center"/>
        <w:rPr>
          <w:rFonts w:ascii="times" w:hAnsi="times"/>
          <w:sz w:val="20"/>
        </w:rPr>
      </w:pPr>
      <w:r>
        <w:rPr>
          <w:rFonts w:ascii="times" w:hAnsi="times"/>
          <w:sz w:val="20"/>
        </w:rPr>
        <w:t>F-39</w:t>
      </w:r>
    </w:p>
    <w:p>
      <w:pPr>
        <w:pStyle w:val="HorizontalLine"/>
        <w:pBdr>
          <w:bottom w:val="single" w:sz="20" w:space="0" w:color="808080"/>
        </w:pBdr>
        <w:rPr/>
      </w:pPr>
      <w:r>
        <w:rPr/>
      </w:r>
      <w:r>
        <w:br w:type="page"/>
      </w:r>
    </w:p>
    <w:p>
      <w:pPr>
        <w:pStyle w:val="TextBody"/>
        <w:rPr/>
      </w:pPr>
      <w:hyperlink w:anchor="bg12101a_main_toc">
        <w:bookmarkStart w:id="273" w:name="page_fu12101_1_40"/>
        <w:bookmarkEnd w:id="27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6Derivatives and Hedging Instruments (Continued) </w:t>
      </w:r>
    </w:p>
    <w:p>
      <w:pPr>
        <w:pStyle w:val="TextBody"/>
        <w:rPr>
          <w:rFonts w:ascii="times" w:hAnsi="times"/>
          <w:b/>
          <w:i/>
          <w:sz w:val="20"/>
        </w:rPr>
      </w:pPr>
      <w:r>
        <w:rPr>
          <w:rFonts w:ascii="times" w:hAnsi="times"/>
          <w:b/>
          <w:i/>
          <w:sz w:val="20"/>
        </w:rPr>
        <w:t xml:space="preserve">Level 3 </w:t>
      </w:r>
    </w:p>
    <w:p>
      <w:pPr>
        <w:pStyle w:val="TextBody"/>
        <w:rPr/>
      </w:pPr>
      <w:r>
        <w:rPr/>
        <w:t>        </w:t>
      </w:r>
      <w:r>
        <w:rPr>
          <w:rFonts w:ascii="times" w:hAnsi="times"/>
          <w:sz w:val="20"/>
        </w:rPr>
        <w:t xml:space="preserve">Included within level 3 of the fair value hierarchy are (i) commodity derivatives that are not exchange traded, (ii) interest rate derivatives and (iii) foreign currency derivatives, which are described as follows: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Commodity Derivatives: Level 3 commodity derivatives include over-the-counter commodity derivatives such as forwards, swaps and options and certain physical commodity contracts. The fair value of our level 3 derivatives is based on either an indicative broker or dealer price quotation or a valuation model. Our valuation models utilize inputs such as price, volatility and correlation and do not involve significant management judgments.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Rate Derivatives: Level 3 interest rate derivatives include interest rate swaps. The fair value of our interest rate derivatives is based on indicative broker or dealer price quotations. Broker or dealer price quotations are corroborated with objective inputs including forward LIBOR curves and forward Treasury yields that are obtained from pricing services.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that are obtained from pricing services. </w:t>
      </w:r>
    </w:p>
    <w:p>
      <w:pPr>
        <w:pStyle w:val="TextBody"/>
        <w:rPr/>
      </w:pPr>
      <w:r>
        <w:rPr/>
        <w:t>        </w:t>
      </w:r>
      <w:r>
        <w:rPr>
          <w:rFonts w:ascii="times" w:hAnsi="times"/>
          <w:sz w:val="20"/>
        </w:rPr>
        <w:t xml:space="preserve">The majority of the derivatives included in level 3 of the fair value hierarchy are classified as level 3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 </w:t>
      </w:r>
    </w:p>
    <w:p>
      <w:pPr>
        <w:pStyle w:val="TextBody"/>
        <w:jc w:val="center"/>
        <w:rPr>
          <w:rFonts w:ascii="times" w:hAnsi="times"/>
          <w:sz w:val="20"/>
        </w:rPr>
      </w:pPr>
      <w:r>
        <w:rPr>
          <w:rFonts w:ascii="times" w:hAnsi="times"/>
          <w:sz w:val="20"/>
        </w:rPr>
        <w:t>F-40</w:t>
      </w:r>
    </w:p>
    <w:p>
      <w:pPr>
        <w:pStyle w:val="HorizontalLine"/>
        <w:pBdr>
          <w:bottom w:val="single" w:sz="20" w:space="0" w:color="808080"/>
        </w:pBdr>
        <w:rPr/>
      </w:pPr>
      <w:r>
        <w:rPr/>
      </w:r>
      <w:r>
        <w:br w:type="page"/>
      </w:r>
    </w:p>
    <w:p>
      <w:pPr>
        <w:pStyle w:val="TextBody"/>
        <w:rPr/>
      </w:pPr>
      <w:hyperlink w:anchor="bg12101a_main_toc">
        <w:bookmarkStart w:id="274" w:name="page_fu12101_1_41"/>
        <w:bookmarkEnd w:id="27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6Derivatives and Hedging Instruments (Continued) </w:t>
      </w:r>
    </w:p>
    <w:p>
      <w:pPr>
        <w:pStyle w:val="TextBody"/>
        <w:rPr>
          <w:rFonts w:ascii="times" w:hAnsi="times"/>
          <w:b/>
          <w:i/>
          <w:sz w:val="20"/>
        </w:rPr>
      </w:pPr>
      <w:r>
        <w:rPr>
          <w:rFonts w:ascii="times" w:hAnsi="times"/>
          <w:b/>
          <w:i/>
          <w:sz w:val="20"/>
        </w:rPr>
        <w:t xml:space="preserve">Rollforward of Level 3 Net Liability </w:t>
      </w:r>
    </w:p>
    <w:p>
      <w:pPr>
        <w:pStyle w:val="TextBody"/>
        <w:rPr/>
      </w:pPr>
      <w:r>
        <w:rPr/>
        <w:t>        </w:t>
      </w:r>
      <w:r>
        <w:rPr>
          <w:rFonts w:ascii="times" w:hAnsi="times"/>
          <w:sz w:val="20"/>
        </w:rPr>
        <w:t xml:space="preserve">The following table provides a reconciliation of changes in fair value of the beginning and ending balances for our derivatives measured at fair value using inputs classified as level 3 in the fair value hierarchy (in millions): </w:t>
      </w:r>
    </w:p>
    <w:tbl>
      <w:tblPr>
        <w:tblW w:w="10205" w:type="dxa"/>
        <w:jc w:val="center"/>
        <w:tblInd w:w="0" w:type="dxa"/>
        <w:tblCellMar>
          <w:top w:w="0" w:type="dxa"/>
          <w:left w:w="0" w:type="dxa"/>
          <w:bottom w:w="0" w:type="dxa"/>
          <w:right w:w="0" w:type="dxa"/>
        </w:tblCellMar>
      </w:tblPr>
      <w:tblGrid>
        <w:gridCol w:w="298"/>
        <w:gridCol w:w="298"/>
        <w:gridCol w:w="8253"/>
        <w:gridCol w:w="163"/>
        <w:gridCol w:w="135"/>
        <w:gridCol w:w="975"/>
        <w:gridCol w:w="83"/>
      </w:tblGrid>
      <w:tr>
        <w:trPr/>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25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8849" w:type="dxa"/>
            <w:gridSpan w:val="3"/>
            <w:tcBorders/>
            <w:shd w:fill="auto" w:val="clear"/>
            <w:vAlign w:val="bottom"/>
          </w:tcPr>
          <w:p>
            <w:pPr>
              <w:pStyle w:val="TableHeading"/>
              <w:spacing w:before="0" w:after="283"/>
              <w:jc w:val="left"/>
              <w:rPr/>
            </w:pPr>
            <w:r>
              <w:rPr/>
              <w:t> </w:t>
            </w:r>
          </w:p>
        </w:tc>
        <w:tc>
          <w:tcPr>
            <w:tcW w:w="163" w:type="dxa"/>
            <w:tcBorders/>
            <w:shd w:fill="auto" w:val="clear"/>
            <w:vAlign w:val="bottom"/>
          </w:tcPr>
          <w:p>
            <w:pPr>
              <w:pStyle w:val="TableHeading"/>
              <w:suppressLineNumbers/>
              <w:spacing w:before="0" w:after="283"/>
              <w:jc w:val="center"/>
              <w:rPr/>
            </w:pPr>
            <w:r>
              <w:rPr/>
              <w:t> </w:t>
            </w:r>
          </w:p>
        </w:tc>
        <w:tc>
          <w:tcPr>
            <w:tcW w:w="11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2008 </w:t>
            </w:r>
          </w:p>
        </w:tc>
        <w:tc>
          <w:tcPr>
            <w:tcW w:w="83" w:type="dxa"/>
            <w:tcBorders/>
            <w:shd w:fill="auto" w:val="clear"/>
            <w:vAlign w:val="bottom"/>
          </w:tcPr>
          <w:p>
            <w:pPr>
              <w:pStyle w:val="TableHeading"/>
              <w:suppressLineNumbers/>
              <w:spacing w:before="0" w:after="283"/>
              <w:jc w:val="center"/>
              <w:rPr/>
            </w:pPr>
            <w:r>
              <w:rPr/>
              <w:t> </w:t>
            </w:r>
          </w:p>
        </w:tc>
      </w:tr>
      <w:tr>
        <w:trPr/>
        <w:tc>
          <w:tcPr>
            <w:tcW w:w="8849" w:type="dxa"/>
            <w:gridSpan w:val="3"/>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as of January 1, 2008</w:t>
            </w:r>
          </w:p>
        </w:tc>
        <w:tc>
          <w:tcPr>
            <w:tcW w:w="16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5"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298" w:type="dxa"/>
            <w:tcBorders/>
            <w:shd w:fill="FFFFFF" w:val="clear"/>
            <w:vAlign w:val="bottom"/>
          </w:tcPr>
          <w:p>
            <w:pPr>
              <w:pStyle w:val="TableContents"/>
              <w:spacing w:before="0" w:after="283"/>
              <w:rPr/>
            </w:pPr>
            <w:r>
              <w:rPr/>
              <w:t> </w:t>
            </w:r>
          </w:p>
        </w:tc>
        <w:tc>
          <w:tcPr>
            <w:tcW w:w="8551"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Realized and unrealized gains (losses):</w:t>
            </w:r>
          </w:p>
        </w:tc>
        <w:tc>
          <w:tcPr>
            <w:tcW w:w="16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75" w:type="dxa"/>
            <w:tcBorders/>
            <w:shd w:fill="FFFFFF" w:val="clear"/>
            <w:vAlign w:val="bottom"/>
          </w:tcPr>
          <w:p>
            <w:pPr>
              <w:pStyle w:val="TableContents"/>
              <w:spacing w:before="0" w:after="283"/>
              <w:rPr/>
            </w:pPr>
            <w:r>
              <w:rPr/>
              <w:t> </w:t>
            </w:r>
          </w:p>
        </w:tc>
        <w:tc>
          <w:tcPr>
            <w:tcW w:w="83" w:type="dxa"/>
            <w:tcBorders/>
            <w:shd w:fill="FFFFFF" w:val="clear"/>
            <w:vAlign w:val="bottom"/>
          </w:tcPr>
          <w:p>
            <w:pPr>
              <w:pStyle w:val="TableContents"/>
              <w:spacing w:before="0" w:after="283"/>
              <w:rPr/>
            </w:pPr>
            <w:r>
              <w:rPr/>
              <w:t> </w:t>
            </w:r>
          </w:p>
        </w:tc>
      </w:tr>
      <w:tr>
        <w:trPr/>
        <w:tc>
          <w:tcPr>
            <w:tcW w:w="298"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825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Included in earnings</w:t>
            </w:r>
            <w:r>
              <w:rPr>
                <w:rFonts w:ascii="times" w:hAnsi="times"/>
                <w:position w:val="7"/>
                <w:sz w:val="16"/>
                <w:sz w:val="20"/>
              </w:rPr>
              <w:t>(1)</w:t>
            </w:r>
          </w:p>
        </w:tc>
        <w:tc>
          <w:tcPr>
            <w:tcW w:w="16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w:hAnsi="times"/>
                <w:sz w:val="20"/>
              </w:rPr>
            </w:pPr>
            <w:r>
              <w:rPr>
                <w:rFonts w:ascii="times" w:hAnsi="times"/>
                <w:sz w:val="20"/>
              </w:rPr>
              <w:t>68</w:t>
            </w:r>
          </w:p>
        </w:tc>
        <w:tc>
          <w:tcPr>
            <w:tcW w:w="83" w:type="dxa"/>
            <w:tcBorders/>
            <w:shd w:fill="CCEEFF" w:val="clear"/>
            <w:vAlign w:val="bottom"/>
          </w:tcPr>
          <w:p>
            <w:pPr>
              <w:pStyle w:val="TableContents"/>
              <w:spacing w:before="0" w:after="283"/>
              <w:rPr/>
            </w:pPr>
            <w:r>
              <w:rPr/>
              <w:t> </w:t>
            </w:r>
          </w:p>
        </w:tc>
      </w:tr>
      <w:tr>
        <w:trPr/>
        <w:tc>
          <w:tcPr>
            <w:tcW w:w="298"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825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Included in other comprehensive income</w:t>
            </w:r>
          </w:p>
        </w:tc>
        <w:tc>
          <w:tcPr>
            <w:tcW w:w="16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75"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83" w:type="dxa"/>
            <w:tcBorders/>
            <w:shd w:fill="FFFFFF" w:val="clear"/>
            <w:vAlign w:val="bottom"/>
          </w:tcPr>
          <w:p>
            <w:pPr>
              <w:pStyle w:val="TableContents"/>
              <w:spacing w:before="0" w:after="283"/>
              <w:rPr/>
            </w:pPr>
            <w:r>
              <w:rPr/>
              <w:t> </w:t>
            </w:r>
          </w:p>
        </w:tc>
      </w:tr>
      <w:tr>
        <w:trPr/>
        <w:tc>
          <w:tcPr>
            <w:tcW w:w="298" w:type="dxa"/>
            <w:tcBorders/>
            <w:shd w:fill="CCEEFF" w:val="clear"/>
            <w:vAlign w:val="bottom"/>
          </w:tcPr>
          <w:p>
            <w:pPr>
              <w:pStyle w:val="TableContents"/>
              <w:spacing w:before="0" w:after="283"/>
              <w:rPr/>
            </w:pPr>
            <w:r>
              <w:rPr/>
              <w:t> </w:t>
            </w:r>
          </w:p>
        </w:tc>
        <w:tc>
          <w:tcPr>
            <w:tcW w:w="8551"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Purchases, issuances, sales and settlements</w:t>
            </w:r>
          </w:p>
        </w:tc>
        <w:tc>
          <w:tcPr>
            <w:tcW w:w="16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w:hAnsi="times"/>
                <w:sz w:val="20"/>
              </w:rPr>
            </w:pPr>
            <w:r>
              <w:rPr>
                <w:rFonts w:ascii="times" w:hAnsi="times"/>
                <w:sz w:val="20"/>
              </w:rPr>
              <w:t>(8</w:t>
            </w:r>
          </w:p>
        </w:tc>
        <w:tc>
          <w:tcPr>
            <w:tcW w:w="83"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298" w:type="dxa"/>
            <w:tcBorders/>
            <w:shd w:fill="FFFFFF" w:val="clear"/>
            <w:vAlign w:val="bottom"/>
          </w:tcPr>
          <w:p>
            <w:pPr>
              <w:pStyle w:val="TableContents"/>
              <w:spacing w:before="0" w:after="283"/>
              <w:rPr/>
            </w:pPr>
            <w:r>
              <w:rPr/>
              <w:t> </w:t>
            </w:r>
          </w:p>
        </w:tc>
        <w:tc>
          <w:tcPr>
            <w:tcW w:w="8551"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Transfers into or out of level 3</w:t>
            </w:r>
            <w:r>
              <w:rPr>
                <w:rFonts w:ascii="times" w:hAnsi="times"/>
                <w:position w:val="7"/>
                <w:sz w:val="16"/>
                <w:sz w:val="20"/>
              </w:rPr>
              <w:t>(2)</w:t>
            </w:r>
          </w:p>
        </w:tc>
        <w:tc>
          <w:tcPr>
            <w:tcW w:w="16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97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3" w:type="dxa"/>
            <w:tcBorders/>
            <w:shd w:fill="FFFFFF" w:val="clear"/>
            <w:vAlign w:val="bottom"/>
          </w:tcPr>
          <w:p>
            <w:pPr>
              <w:pStyle w:val="TableContents"/>
              <w:spacing w:before="0" w:after="283"/>
              <w:rPr/>
            </w:pPr>
            <w:r>
              <w:rPr/>
              <w:t> </w:t>
            </w:r>
          </w:p>
        </w:tc>
      </w:tr>
      <w:tr>
        <w:trPr/>
        <w:tc>
          <w:tcPr>
            <w:tcW w:w="8849" w:type="dxa"/>
            <w:gridSpan w:val="3"/>
            <w:tcBorders/>
            <w:shd w:fill="auto" w:val="clear"/>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11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8849" w:type="dxa"/>
            <w:gridSpan w:val="3"/>
            <w:tcBorders/>
            <w:shd w:fill="CCEEFF" w:val="clear"/>
            <w:vAlign w:val="bottom"/>
          </w:tcPr>
          <w:p>
            <w:pPr>
              <w:pStyle w:val="TableContents"/>
              <w:spacing w:before="0" w:after="283"/>
              <w:ind w:left="200" w:right="0" w:hanging="200"/>
              <w:rPr>
                <w:rFonts w:ascii="times" w:hAnsi="times"/>
                <w:sz w:val="20"/>
              </w:rPr>
            </w:pPr>
            <w:r>
              <w:rPr>
                <w:rFonts w:ascii="times" w:hAnsi="times"/>
                <w:sz w:val="20"/>
              </w:rPr>
              <w:t>Balance as of December 31, 2008</w:t>
            </w:r>
          </w:p>
        </w:tc>
        <w:tc>
          <w:tcPr>
            <w:tcW w:w="16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75" w:type="dxa"/>
            <w:tcBorders/>
            <w:shd w:fill="CCEEFF" w:val="clear"/>
            <w:vAlign w:val="bottom"/>
          </w:tcPr>
          <w:p>
            <w:pPr>
              <w:pStyle w:val="TableContents"/>
              <w:spacing w:before="0" w:after="283"/>
              <w:jc w:val="right"/>
              <w:rPr>
                <w:rFonts w:ascii="times" w:hAnsi="times"/>
                <w:sz w:val="20"/>
              </w:rPr>
            </w:pPr>
            <w:r>
              <w:rPr>
                <w:rFonts w:ascii="times" w:hAnsi="times"/>
                <w:sz w:val="20"/>
              </w:rPr>
              <w:t>74</w:t>
            </w:r>
          </w:p>
        </w:tc>
        <w:tc>
          <w:tcPr>
            <w:tcW w:w="83" w:type="dxa"/>
            <w:tcBorders/>
            <w:shd w:fill="CCEEFF" w:val="clear"/>
            <w:vAlign w:val="bottom"/>
          </w:tcPr>
          <w:p>
            <w:pPr>
              <w:pStyle w:val="TableContents"/>
              <w:spacing w:before="0" w:after="283"/>
              <w:rPr/>
            </w:pPr>
            <w:r>
              <w:rPr/>
              <w:t> </w:t>
            </w:r>
          </w:p>
        </w:tc>
      </w:tr>
      <w:tr>
        <w:trPr/>
        <w:tc>
          <w:tcPr>
            <w:tcW w:w="8849" w:type="dxa"/>
            <w:gridSpan w:val="3"/>
            <w:tcBorders/>
            <w:shd w:fill="auto" w:val="clear"/>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11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3" w:type="dxa"/>
            <w:tcBorders/>
            <w:shd w:fill="auto" w:val="clear"/>
          </w:tcPr>
          <w:p>
            <w:pPr>
              <w:pStyle w:val="TableContents"/>
              <w:spacing w:before="0" w:after="283"/>
              <w:rPr/>
            </w:pPr>
            <w:r>
              <w:rPr/>
              <w:t> </w:t>
            </w:r>
          </w:p>
        </w:tc>
      </w:tr>
      <w:tr>
        <w:trPr/>
        <w:tc>
          <w:tcPr>
            <w:tcW w:w="8849" w:type="dxa"/>
            <w:gridSpan w:val="3"/>
            <w:tcBorders/>
            <w:shd w:fill="FFFFFF" w:val="clear"/>
            <w:vAlign w:val="bottom"/>
          </w:tcPr>
          <w:p>
            <w:pPr>
              <w:pStyle w:val="TableContents"/>
              <w:spacing w:before="240" w:after="283"/>
              <w:ind w:left="200" w:right="0" w:hanging="200"/>
              <w:rPr>
                <w:rFonts w:ascii="times" w:hAnsi="times"/>
                <w:sz w:val="20"/>
              </w:rPr>
            </w:pPr>
            <w:r>
              <w:rPr>
                <w:rFonts w:ascii="times" w:hAnsi="times"/>
                <w:sz w:val="20"/>
              </w:rPr>
              <w:t>Change in unrealized gains (losses) included in earnings relating to level 3 derivatives still held as of December 31, 2008</w:t>
            </w:r>
            <w:r>
              <w:rPr>
                <w:rFonts w:ascii="times" w:hAnsi="times"/>
                <w:position w:val="7"/>
                <w:sz w:val="16"/>
                <w:sz w:val="20"/>
              </w:rPr>
              <w:t>(3)</w:t>
            </w:r>
          </w:p>
        </w:tc>
        <w:tc>
          <w:tcPr>
            <w:tcW w:w="163"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right"/>
              <w:rPr>
                <w:rFonts w:ascii="times" w:hAnsi="times"/>
                <w:sz w:val="20"/>
              </w:rPr>
            </w:pPr>
            <w:r>
              <w:rPr>
                <w:rFonts w:ascii="times" w:hAnsi="times"/>
                <w:sz w:val="20"/>
              </w:rPr>
              <w:br/>
              <w:t>$</w:t>
            </w:r>
          </w:p>
        </w:tc>
        <w:tc>
          <w:tcPr>
            <w:tcW w:w="975" w:type="dxa"/>
            <w:tcBorders/>
            <w:shd w:fill="FFFFFF" w:val="clear"/>
            <w:vAlign w:val="bottom"/>
          </w:tcPr>
          <w:p>
            <w:pPr>
              <w:pStyle w:val="TableContents"/>
              <w:spacing w:before="0" w:after="283"/>
              <w:jc w:val="right"/>
              <w:rPr>
                <w:rFonts w:ascii="times" w:hAnsi="times"/>
                <w:sz w:val="20"/>
              </w:rPr>
            </w:pPr>
            <w:r>
              <w:rPr>
                <w:rFonts w:ascii="times" w:hAnsi="times"/>
                <w:sz w:val="20"/>
              </w:rPr>
              <w:br/>
              <w:t>44</w:t>
            </w:r>
          </w:p>
        </w:tc>
        <w:tc>
          <w:tcPr>
            <w:tcW w:w="83" w:type="dxa"/>
            <w:tcBorders/>
            <w:shd w:fill="FFFFFF" w:val="clear"/>
            <w:vAlign w:val="bottom"/>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Gains and losses associated with level 3 commodity derivatives are reported in our condensed consolidated statements of operations as crude oil, refined products and LPG sales or purchases. Gains and losses associated with interest rate derivatives are reported in our condensed consolidated statements of operations as other income (expense). Gains and losses associated with foreign currency derivatives are reported in our condensed consolidated statements of operations as either crude oil, refined products and LPG sales or other income (expense).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Transfers into or out of level 3 represent existing assets or liabilities that were either previously categorized at a higher level for which the inputs to the model became unobservable or that were previously classified as level 3 for which the lowest significant input became observable during the period. There were no transfers into or out of level 3 during the period.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1981" w:right="0" w:hanging="0"/>
        <w:rPr>
          <w:rFonts w:ascii="times" w:hAnsi="times"/>
          <w:sz w:val="20"/>
        </w:rPr>
      </w:pPr>
      <w:r>
        <w:rPr>
          <w:rFonts w:ascii="times" w:hAnsi="times"/>
          <w:sz w:val="20"/>
        </w:rPr>
        <w:t xml:space="preserve">The change in unrealized gains and losses related to our level 3 assets and liabilities still held at the end of the period are either recognized in earnings or deferred in AOCI through the application of hedge accounting. Unrealized gains and losses related to our level 3 derivatives that are still held at December 31, 2008 and recognized in earnings are included in our condensed consolidated statements of operations as crude oil, refined products and LPG sales for our commodity derivatives, other income (expense) for our interest rate derivatives and crude oil, refined products and LPG sales or other income (expense) for our foreign currency derivatives. </w:t>
      </w:r>
    </w:p>
    <w:p>
      <w:pPr>
        <w:pStyle w:val="TextBody"/>
        <w:rPr/>
      </w:pPr>
      <w:r>
        <w:rPr/>
        <w:t>        </w:t>
      </w:r>
      <w:r>
        <w:rPr>
          <w:rFonts w:ascii="times" w:hAnsi="times"/>
          <w:sz w:val="20"/>
        </w:rPr>
        <w:t xml:space="preserve">We believe that a proper analysis of our level 3 gains or losses must incorporate the understanding that these items are generally used to hedge our commodity price risk, interest rate risk and foreign currency exchange risk and are therefore offset by the underlying transactions. </w:t>
      </w:r>
    </w:p>
    <w:p>
      <w:pPr>
        <w:pStyle w:val="TextBody"/>
        <w:jc w:val="center"/>
        <w:rPr>
          <w:rFonts w:ascii="times" w:hAnsi="times"/>
          <w:sz w:val="20"/>
        </w:rPr>
      </w:pPr>
      <w:r>
        <w:rPr>
          <w:rFonts w:ascii="times" w:hAnsi="times"/>
          <w:sz w:val="20"/>
        </w:rPr>
        <w:t>F-41</w:t>
      </w:r>
    </w:p>
    <w:p>
      <w:pPr>
        <w:pStyle w:val="HorizontalLine"/>
        <w:pBdr>
          <w:bottom w:val="single" w:sz="20" w:space="0" w:color="808080"/>
        </w:pBdr>
        <w:rPr/>
      </w:pPr>
      <w:r>
        <w:rPr/>
      </w:r>
      <w:r>
        <w:br w:type="page"/>
      </w:r>
    </w:p>
    <w:p>
      <w:pPr>
        <w:pStyle w:val="TextBody"/>
        <w:rPr/>
      </w:pPr>
      <w:hyperlink w:anchor="bg12101a_main_toc">
        <w:bookmarkStart w:id="275" w:name="page_fu12101_1_42"/>
        <w:bookmarkEnd w:id="27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7Income Taxes </w:t>
      </w:r>
    </w:p>
    <w:p>
      <w:pPr>
        <w:pStyle w:val="TextBody"/>
        <w:rPr>
          <w:rFonts w:ascii="times" w:hAnsi="times"/>
          <w:b/>
          <w:i/>
          <w:sz w:val="20"/>
        </w:rPr>
      </w:pPr>
      <w:r>
        <w:rPr>
          <w:rFonts w:ascii="times" w:hAnsi="times"/>
          <w:b/>
          <w:i/>
          <w:sz w:val="20"/>
        </w:rPr>
        <w:t xml:space="preserve">U.S. Federal and State Taxes </w:t>
      </w:r>
    </w:p>
    <w:p>
      <w:pPr>
        <w:pStyle w:val="TextBody"/>
        <w:rPr/>
      </w:pPr>
      <w:r>
        <w:rPr/>
        <w:t>        </w:t>
      </w:r>
      <w:r>
        <w:rPr>
          <w:rFonts w:ascii="times" w:hAnsi="times"/>
          <w:sz w:val="20"/>
        </w:rPr>
        <w:t xml:space="preserve">As a master limited partnership, we are not subject to U.S. federal income taxes; rather the tax effect of our operations is passed through to our unitholders. Although, we are subject to state income taxes in some states, the impact to the years ended December 31, 2008, 2007 and 2006 was immaterial. </w:t>
      </w:r>
    </w:p>
    <w:p>
      <w:pPr>
        <w:pStyle w:val="TextBody"/>
        <w:rPr>
          <w:rFonts w:ascii="times" w:hAnsi="times"/>
          <w:b/>
          <w:i/>
          <w:sz w:val="20"/>
        </w:rPr>
      </w:pPr>
      <w:r>
        <w:rPr>
          <w:rFonts w:ascii="times" w:hAnsi="times"/>
          <w:b/>
          <w:i/>
          <w:sz w:val="20"/>
        </w:rPr>
        <w:t xml:space="preserve">Canadian Federal and Provincial Taxes </w:t>
      </w:r>
    </w:p>
    <w:p>
      <w:pPr>
        <w:pStyle w:val="TextBody"/>
        <w:rPr/>
      </w:pPr>
      <w:r>
        <w:rPr/>
        <w:t>        </w:t>
      </w:r>
      <w:r>
        <w:rPr>
          <w:rFonts w:ascii="times" w:hAnsi="times"/>
          <w:sz w:val="20"/>
        </w:rPr>
        <w:t xml:space="preserve">Certain of our Canadian subsidiaries are corporations for Canadian tax purposes, thus their operations are subject to Canadian federal and provincial income taxes. The remainder of our Canadian operations is conducted through an operating limited partnership, which in the past was treated as a flow-through entity for tax purposes. This entity is subject to Canadian legislation passed in June 2007 that imposes entity-level taxes on certain types of flow-through entities. This legislation includes safe harbor guidelines that grandfather certain existing entities (which, we believe, would include us) and delay the effective date of such legislation until 2011 provided that such entities do not exceed the normal growth guidelines. Although we continuously review acquisition opportunities that, if consummated, could cause us to exceed the normal growth guidelines, we believe that we are currently within the normal growth guidelines. At the time of enactment of the legislation in June 2007, we recognized a net deferred income tax liability of approximately $10 million. This amount represented the estimated tax effect of temporary differences that existed at that time and that were expected to reverse after the date that this legislation is effective for us based on the 28% weighted average tax rate that we expect to be in effect when these temporary differences reverse. Substantially all of this amount is related to differences between book basis and tax basis depreciation on applicable property and equipment. </w:t>
      </w:r>
    </w:p>
    <w:p>
      <w:pPr>
        <w:pStyle w:val="TextBody"/>
        <w:rPr/>
      </w:pPr>
      <w:r>
        <w:rPr/>
        <w:t>        </w:t>
      </w:r>
      <w:r>
        <w:rPr>
          <w:rFonts w:ascii="times" w:hAnsi="times"/>
          <w:sz w:val="20"/>
        </w:rPr>
        <w:t xml:space="preserve">We file Canadian federal and provincial tax returns. Generally, we are no longer subject to Canadian federal and provincial income tax examinations for years before 2005. </w:t>
      </w:r>
    </w:p>
    <w:p>
      <w:pPr>
        <w:pStyle w:val="TextBody"/>
        <w:rPr>
          <w:rFonts w:ascii="times" w:hAnsi="times"/>
          <w:b/>
          <w:i/>
          <w:sz w:val="20"/>
        </w:rPr>
      </w:pPr>
      <w:r>
        <w:rPr>
          <w:rFonts w:ascii="times" w:hAnsi="times"/>
          <w:b/>
          <w:i/>
          <w:sz w:val="20"/>
        </w:rPr>
        <w:t xml:space="preserve">Tax Components </w:t>
      </w:r>
    </w:p>
    <w:p>
      <w:pPr>
        <w:pStyle w:val="TextBody"/>
        <w:rPr/>
      </w:pPr>
      <w:r>
        <w:rPr/>
        <w:t>        </w:t>
      </w:r>
      <w:r>
        <w:rPr>
          <w:rFonts w:ascii="times" w:hAnsi="times"/>
          <w:sz w:val="20"/>
        </w:rPr>
        <w:t xml:space="preserve">Components of the income tax expense are as follows (in millions): </w:t>
      </w:r>
    </w:p>
    <w:tbl>
      <w:tblPr>
        <w:tblW w:w="6048" w:type="dxa"/>
        <w:jc w:val="center"/>
        <w:tblInd w:w="0" w:type="dxa"/>
        <w:tblCellMar>
          <w:top w:w="0" w:type="dxa"/>
          <w:left w:w="0" w:type="dxa"/>
          <w:bottom w:w="0" w:type="dxa"/>
          <w:right w:w="0" w:type="dxa"/>
        </w:tblCellMar>
      </w:tblPr>
      <w:tblGrid>
        <w:gridCol w:w="150"/>
        <w:gridCol w:w="3945"/>
        <w:gridCol w:w="180"/>
        <w:gridCol w:w="141"/>
        <w:gridCol w:w="208"/>
        <w:gridCol w:w="330"/>
        <w:gridCol w:w="125"/>
        <w:gridCol w:w="230"/>
        <w:gridCol w:w="330"/>
        <w:gridCol w:w="147"/>
        <w:gridCol w:w="202"/>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39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09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713"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Yeare Ended December 31, </w:t>
            </w:r>
          </w:p>
        </w:tc>
        <w:tc>
          <w:tcPr>
            <w:tcW w:w="60" w:type="dxa"/>
            <w:tcBorders/>
            <w:shd w:fill="auto" w:val="clear"/>
            <w:vAlign w:val="bottom"/>
          </w:tcPr>
          <w:p>
            <w:pPr>
              <w:pStyle w:val="TableHeading"/>
              <w:suppressLineNumbers/>
              <w:spacing w:before="0" w:after="283"/>
              <w:jc w:val="center"/>
              <w:rPr/>
            </w:pPr>
            <w:r>
              <w:rPr/>
              <w:t> </w:t>
            </w:r>
          </w:p>
        </w:tc>
      </w:tr>
      <w:tr>
        <w:trPr/>
        <w:tc>
          <w:tcPr>
            <w:tcW w:w="409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330" w:type="dxa"/>
            <w:tcBorders/>
            <w:shd w:fill="auto" w:val="clear"/>
            <w:vAlign w:val="bottom"/>
          </w:tcPr>
          <w:p>
            <w:pPr>
              <w:pStyle w:val="TableHeading"/>
              <w:suppressLineNumbers/>
              <w:spacing w:before="0" w:after="283"/>
              <w:jc w:val="center"/>
              <w:rPr/>
            </w:pPr>
            <w:r>
              <w:rPr/>
              <w:t> </w:t>
            </w:r>
          </w:p>
        </w:tc>
        <w:tc>
          <w:tcPr>
            <w:tcW w:w="3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330" w:type="dxa"/>
            <w:tcBorders/>
            <w:shd w:fill="auto" w:val="clear"/>
            <w:vAlign w:val="bottom"/>
          </w:tcPr>
          <w:p>
            <w:pPr>
              <w:pStyle w:val="TableHeading"/>
              <w:suppressLineNumbers/>
              <w:spacing w:before="0" w:after="283"/>
              <w:jc w:val="center"/>
              <w:rPr/>
            </w:pPr>
            <w:r>
              <w:rPr/>
              <w:t> </w:t>
            </w:r>
          </w:p>
        </w:tc>
        <w:tc>
          <w:tcPr>
            <w:tcW w:w="3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0" w:type="dxa"/>
            <w:tcBorders/>
            <w:shd w:fill="auto" w:val="clear"/>
            <w:vAlign w:val="bottom"/>
          </w:tcPr>
          <w:p>
            <w:pPr>
              <w:pStyle w:val="TableHeading"/>
              <w:suppressLineNumbers/>
              <w:spacing w:before="0" w:after="283"/>
              <w:jc w:val="center"/>
              <w:rPr/>
            </w:pPr>
            <w:r>
              <w:rPr/>
              <w:t> </w:t>
            </w:r>
          </w:p>
        </w:tc>
      </w:tr>
      <w:tr>
        <w:trPr/>
        <w:tc>
          <w:tcPr>
            <w:tcW w:w="40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Current tax expense:</w:t>
            </w:r>
          </w:p>
        </w:tc>
        <w:tc>
          <w:tcPr>
            <w:tcW w:w="180" w:type="dxa"/>
            <w:tcBorders/>
            <w:shd w:fill="CCEEFF" w:val="clear"/>
          </w:tcPr>
          <w:p>
            <w:pPr>
              <w:pStyle w:val="TableContents"/>
              <w:spacing w:before="0" w:after="283"/>
              <w:rPr/>
            </w:pPr>
            <w:r>
              <w:rPr/>
              <w:t> </w:t>
            </w:r>
          </w:p>
        </w:tc>
        <w:tc>
          <w:tcPr>
            <w:tcW w:w="14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33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rPr/>
            </w:pPr>
            <w:r>
              <w:rPr/>
              <w:t> </w:t>
            </w:r>
          </w:p>
        </w:tc>
        <w:tc>
          <w:tcPr>
            <w:tcW w:w="330" w:type="dxa"/>
            <w:tcBorders/>
            <w:shd w:fill="CCEEFF" w:val="clear"/>
          </w:tcPr>
          <w:p>
            <w:pPr>
              <w:pStyle w:val="TableContents"/>
              <w:spacing w:before="0" w:after="283"/>
              <w:rPr/>
            </w:pPr>
            <w:r>
              <w:rPr/>
              <w:t> </w:t>
            </w:r>
          </w:p>
        </w:tc>
        <w:tc>
          <w:tcPr>
            <w:tcW w:w="147"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945" w:type="dxa"/>
            <w:tcBorders/>
            <w:shd w:fill="FFFFFF" w:val="clear"/>
          </w:tcPr>
          <w:p>
            <w:pPr>
              <w:pStyle w:val="TableContents"/>
              <w:spacing w:before="0" w:after="283"/>
              <w:ind w:left="200" w:right="0" w:hanging="200"/>
              <w:rPr>
                <w:rFonts w:ascii="times" w:hAnsi="times"/>
                <w:sz w:val="20"/>
              </w:rPr>
            </w:pPr>
            <w:r>
              <w:rPr>
                <w:rFonts w:ascii="times" w:hAnsi="times"/>
                <w:sz w:val="20"/>
              </w:rPr>
              <w:t>State income tax</w:t>
            </w:r>
          </w:p>
        </w:tc>
        <w:tc>
          <w:tcPr>
            <w:tcW w:w="180" w:type="dxa"/>
            <w:tcBorders/>
            <w:shd w:fill="FFFFFF" w:val="clear"/>
          </w:tcPr>
          <w:p>
            <w:pPr>
              <w:pStyle w:val="TableContents"/>
              <w:spacing w:before="0" w:after="283"/>
              <w:rPr/>
            </w:pPr>
            <w:r>
              <w:rPr/>
              <w:t> </w:t>
            </w:r>
          </w:p>
        </w:tc>
        <w:tc>
          <w:tcPr>
            <w:tcW w:w="141" w:type="dxa"/>
            <w:tcBorders/>
            <w:shd w:fill="FFFFFF" w:val="clear"/>
          </w:tcPr>
          <w:p>
            <w:pPr>
              <w:pStyle w:val="TableContents"/>
              <w:spacing w:before="0" w:after="283"/>
              <w:jc w:val="right"/>
              <w:rPr>
                <w:rFonts w:ascii="times" w:hAnsi="times"/>
                <w:sz w:val="20"/>
              </w:rPr>
            </w:pPr>
            <w:r>
              <w:rPr>
                <w:rFonts w:ascii="times" w:hAnsi="times"/>
                <w:sz w:val="20"/>
              </w:rPr>
              <w:t>$</w:t>
            </w:r>
          </w:p>
        </w:tc>
        <w:tc>
          <w:tcPr>
            <w:tcW w:w="208" w:type="dxa"/>
            <w:tcBorders/>
            <w:shd w:fill="FFFFFF" w:val="clear"/>
          </w:tcPr>
          <w:p>
            <w:pPr>
              <w:pStyle w:val="TableContents"/>
              <w:spacing w:before="0" w:after="283"/>
              <w:jc w:val="right"/>
              <w:rPr>
                <w:rFonts w:ascii="times" w:hAnsi="times"/>
                <w:sz w:val="20"/>
              </w:rPr>
            </w:pPr>
            <w:r>
              <w:rPr>
                <w:rFonts w:ascii="times" w:hAnsi="times"/>
                <w:sz w:val="20"/>
              </w:rPr>
              <w:t>1</w:t>
            </w:r>
          </w:p>
        </w:tc>
        <w:tc>
          <w:tcPr>
            <w:tcW w:w="33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tcPr>
          <w:p>
            <w:pPr>
              <w:pStyle w:val="TableContents"/>
              <w:spacing w:before="0" w:after="283"/>
              <w:jc w:val="right"/>
              <w:rPr>
                <w:rFonts w:ascii="times" w:hAnsi="times"/>
                <w:sz w:val="20"/>
              </w:rPr>
            </w:pPr>
            <w:r>
              <w:rPr>
                <w:rFonts w:ascii="times" w:hAnsi="times"/>
                <w:sz w:val="20"/>
              </w:rPr>
              <w:t>1</w:t>
            </w:r>
          </w:p>
        </w:tc>
        <w:tc>
          <w:tcPr>
            <w:tcW w:w="330" w:type="dxa"/>
            <w:tcBorders/>
            <w:shd w:fill="FFFFFF" w:val="clear"/>
          </w:tcPr>
          <w:p>
            <w:pPr>
              <w:pStyle w:val="TableContents"/>
              <w:spacing w:before="0" w:after="283"/>
              <w:rPr/>
            </w:pPr>
            <w:r>
              <w:rPr/>
              <w:t> </w:t>
            </w:r>
          </w:p>
        </w:tc>
        <w:tc>
          <w:tcPr>
            <w:tcW w:w="147" w:type="dxa"/>
            <w:tcBorders/>
            <w:shd w:fill="FFFFFF" w:val="clear"/>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945" w:type="dxa"/>
            <w:tcBorders/>
            <w:shd w:fill="CCEEFF" w:val="clear"/>
          </w:tcPr>
          <w:p>
            <w:pPr>
              <w:pStyle w:val="TableContents"/>
              <w:spacing w:before="0" w:after="283"/>
              <w:ind w:left="200" w:right="0" w:hanging="200"/>
              <w:rPr>
                <w:rFonts w:ascii="times" w:hAnsi="times"/>
                <w:sz w:val="20"/>
              </w:rPr>
            </w:pPr>
            <w:r>
              <w:rPr>
                <w:rFonts w:ascii="times" w:hAnsi="times"/>
                <w:sz w:val="20"/>
              </w:rPr>
              <w:t>Canadian federal and provincial income tax</w:t>
            </w:r>
          </w:p>
        </w:tc>
        <w:tc>
          <w:tcPr>
            <w:tcW w:w="180" w:type="dxa"/>
            <w:tcBorders/>
            <w:shd w:fill="CCEEFF" w:val="clear"/>
          </w:tcPr>
          <w:p>
            <w:pPr>
              <w:pStyle w:val="TableContents"/>
              <w:spacing w:before="0" w:after="283"/>
              <w:rPr/>
            </w:pPr>
            <w:r>
              <w:rPr/>
              <w:t> </w:t>
            </w:r>
          </w:p>
        </w:tc>
        <w:tc>
          <w:tcPr>
            <w:tcW w:w="14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jc w:val="right"/>
              <w:rPr>
                <w:rFonts w:ascii="times" w:hAnsi="times"/>
                <w:sz w:val="20"/>
              </w:rPr>
            </w:pPr>
            <w:r>
              <w:rPr>
                <w:rFonts w:ascii="times" w:hAnsi="times"/>
                <w:sz w:val="20"/>
              </w:rPr>
              <w:t>8</w:t>
            </w:r>
          </w:p>
        </w:tc>
        <w:tc>
          <w:tcPr>
            <w:tcW w:w="33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jc w:val="right"/>
              <w:rPr>
                <w:rFonts w:ascii="times" w:hAnsi="times"/>
                <w:sz w:val="20"/>
              </w:rPr>
            </w:pPr>
            <w:r>
              <w:rPr>
                <w:rFonts w:ascii="times" w:hAnsi="times"/>
                <w:sz w:val="20"/>
              </w:rPr>
              <w:t>2</w:t>
            </w:r>
          </w:p>
        </w:tc>
        <w:tc>
          <w:tcPr>
            <w:tcW w:w="330" w:type="dxa"/>
            <w:tcBorders/>
            <w:shd w:fill="CCEEFF" w:val="clear"/>
          </w:tcPr>
          <w:p>
            <w:pPr>
              <w:pStyle w:val="TableContents"/>
              <w:spacing w:before="0" w:after="283"/>
              <w:rPr/>
            </w:pPr>
            <w:r>
              <w:rPr/>
              <w:t> </w:t>
            </w:r>
          </w:p>
        </w:tc>
        <w:tc>
          <w:tcPr>
            <w:tcW w:w="147"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409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409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Total current tax expense</w:t>
            </w:r>
          </w:p>
        </w:tc>
        <w:tc>
          <w:tcPr>
            <w:tcW w:w="180" w:type="dxa"/>
            <w:tcBorders/>
            <w:shd w:fill="FFFFFF" w:val="clear"/>
          </w:tcPr>
          <w:p>
            <w:pPr>
              <w:pStyle w:val="TableContents"/>
              <w:spacing w:before="0" w:after="283"/>
              <w:rPr/>
            </w:pPr>
            <w:r>
              <w:rPr/>
              <w:t> </w:t>
            </w:r>
          </w:p>
        </w:tc>
        <w:tc>
          <w:tcPr>
            <w:tcW w:w="141" w:type="dxa"/>
            <w:tcBorders/>
            <w:shd w:fill="FFFFFF" w:val="clear"/>
          </w:tcPr>
          <w:p>
            <w:pPr>
              <w:pStyle w:val="TableContents"/>
              <w:spacing w:before="0" w:after="283"/>
              <w:jc w:val="right"/>
              <w:rPr>
                <w:rFonts w:ascii="times" w:hAnsi="times"/>
                <w:sz w:val="20"/>
              </w:rPr>
            </w:pPr>
            <w:r>
              <w:rPr>
                <w:rFonts w:ascii="times" w:hAnsi="times"/>
                <w:sz w:val="20"/>
              </w:rPr>
              <w:t>$</w:t>
            </w:r>
          </w:p>
        </w:tc>
        <w:tc>
          <w:tcPr>
            <w:tcW w:w="208" w:type="dxa"/>
            <w:tcBorders/>
            <w:shd w:fill="FFFFFF" w:val="clear"/>
          </w:tcPr>
          <w:p>
            <w:pPr>
              <w:pStyle w:val="TableContents"/>
              <w:spacing w:before="0" w:after="283"/>
              <w:jc w:val="right"/>
              <w:rPr>
                <w:rFonts w:ascii="times" w:hAnsi="times"/>
                <w:sz w:val="20"/>
              </w:rPr>
            </w:pPr>
            <w:r>
              <w:rPr>
                <w:rFonts w:ascii="times" w:hAnsi="times"/>
                <w:sz w:val="20"/>
              </w:rPr>
              <w:t>9</w:t>
            </w:r>
          </w:p>
        </w:tc>
        <w:tc>
          <w:tcPr>
            <w:tcW w:w="33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tcPr>
          <w:p>
            <w:pPr>
              <w:pStyle w:val="TableContents"/>
              <w:spacing w:before="0" w:after="283"/>
              <w:jc w:val="right"/>
              <w:rPr>
                <w:rFonts w:ascii="times" w:hAnsi="times"/>
                <w:sz w:val="20"/>
              </w:rPr>
            </w:pPr>
            <w:r>
              <w:rPr>
                <w:rFonts w:ascii="times" w:hAnsi="times"/>
                <w:sz w:val="20"/>
              </w:rPr>
              <w:t>3</w:t>
            </w:r>
          </w:p>
        </w:tc>
        <w:tc>
          <w:tcPr>
            <w:tcW w:w="330" w:type="dxa"/>
            <w:tcBorders/>
            <w:shd w:fill="FFFFFF" w:val="clear"/>
          </w:tcPr>
          <w:p>
            <w:pPr>
              <w:pStyle w:val="TableContents"/>
              <w:spacing w:before="0" w:after="283"/>
              <w:rPr/>
            </w:pPr>
            <w:r>
              <w:rPr/>
              <w:t> </w:t>
            </w:r>
          </w:p>
        </w:tc>
        <w:tc>
          <w:tcPr>
            <w:tcW w:w="147" w:type="dxa"/>
            <w:tcBorders/>
            <w:shd w:fill="FFFFFF" w:val="clear"/>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r>
        <w:trPr/>
        <w:tc>
          <w:tcPr>
            <w:tcW w:w="409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40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Deferred tax (benefit)/expense:</w:t>
            </w:r>
          </w:p>
        </w:tc>
        <w:tc>
          <w:tcPr>
            <w:tcW w:w="180" w:type="dxa"/>
            <w:tcBorders/>
            <w:shd w:fill="CCEEFF" w:val="clear"/>
          </w:tcPr>
          <w:p>
            <w:pPr>
              <w:pStyle w:val="TableContents"/>
              <w:spacing w:before="0" w:after="283"/>
              <w:rPr/>
            </w:pPr>
            <w:r>
              <w:rPr/>
              <w:t> </w:t>
            </w:r>
          </w:p>
        </w:tc>
        <w:tc>
          <w:tcPr>
            <w:tcW w:w="14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33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rPr/>
            </w:pPr>
            <w:r>
              <w:rPr/>
              <w:t> </w:t>
            </w:r>
          </w:p>
        </w:tc>
        <w:tc>
          <w:tcPr>
            <w:tcW w:w="330" w:type="dxa"/>
            <w:tcBorders/>
            <w:shd w:fill="CCEEFF" w:val="clear"/>
          </w:tcPr>
          <w:p>
            <w:pPr>
              <w:pStyle w:val="TableContents"/>
              <w:spacing w:before="0" w:after="283"/>
              <w:rPr/>
            </w:pPr>
            <w:r>
              <w:rPr/>
              <w:t> </w:t>
            </w:r>
          </w:p>
        </w:tc>
        <w:tc>
          <w:tcPr>
            <w:tcW w:w="147"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3945" w:type="dxa"/>
            <w:tcBorders/>
            <w:shd w:fill="FFFFFF" w:val="clear"/>
          </w:tcPr>
          <w:p>
            <w:pPr>
              <w:pStyle w:val="TableContents"/>
              <w:spacing w:before="0" w:after="283"/>
              <w:ind w:left="200" w:right="0" w:hanging="200"/>
              <w:rPr>
                <w:rFonts w:ascii="times" w:hAnsi="times"/>
                <w:sz w:val="20"/>
              </w:rPr>
            </w:pPr>
            <w:r>
              <w:rPr>
                <w:rFonts w:ascii="times" w:hAnsi="times"/>
                <w:sz w:val="20"/>
              </w:rPr>
              <w:t>State income tax</w:t>
            </w:r>
          </w:p>
        </w:tc>
        <w:tc>
          <w:tcPr>
            <w:tcW w:w="180" w:type="dxa"/>
            <w:tcBorders/>
            <w:shd w:fill="FFFFFF" w:val="clear"/>
          </w:tcPr>
          <w:p>
            <w:pPr>
              <w:pStyle w:val="TableContents"/>
              <w:spacing w:before="0" w:after="283"/>
              <w:rPr/>
            </w:pPr>
            <w:r>
              <w:rPr/>
              <w:t> </w:t>
            </w:r>
          </w:p>
        </w:tc>
        <w:tc>
          <w:tcPr>
            <w:tcW w:w="141" w:type="dxa"/>
            <w:tcBorders/>
            <w:shd w:fill="FFFFFF" w:val="clear"/>
          </w:tcPr>
          <w:p>
            <w:pPr>
              <w:pStyle w:val="TableContents"/>
              <w:spacing w:before="0" w:after="283"/>
              <w:jc w:val="right"/>
              <w:rPr>
                <w:rFonts w:ascii="times" w:hAnsi="times"/>
                <w:sz w:val="20"/>
              </w:rPr>
            </w:pPr>
            <w:r>
              <w:rPr>
                <w:rFonts w:ascii="times" w:hAnsi="times"/>
                <w:sz w:val="20"/>
              </w:rPr>
              <w:t>$</w:t>
            </w:r>
          </w:p>
        </w:tc>
        <w:tc>
          <w:tcPr>
            <w:tcW w:w="208" w:type="dxa"/>
            <w:tcBorders/>
            <w:shd w:fill="FFFFFF" w:val="clear"/>
          </w:tcPr>
          <w:p>
            <w:pPr>
              <w:pStyle w:val="TableContents"/>
              <w:spacing w:before="0" w:after="283"/>
              <w:jc w:val="right"/>
              <w:rPr>
                <w:rFonts w:ascii="times" w:hAnsi="times"/>
                <w:sz w:val="20"/>
              </w:rPr>
            </w:pPr>
            <w:r>
              <w:rPr>
                <w:rFonts w:ascii="times" w:hAnsi="times"/>
                <w:sz w:val="20"/>
              </w:rPr>
              <w:t></w:t>
            </w:r>
          </w:p>
        </w:tc>
        <w:tc>
          <w:tcPr>
            <w:tcW w:w="33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tcPr>
          <w:p>
            <w:pPr>
              <w:pStyle w:val="TableContents"/>
              <w:spacing w:before="0" w:after="283"/>
              <w:jc w:val="right"/>
              <w:rPr>
                <w:rFonts w:ascii="times" w:hAnsi="times"/>
                <w:sz w:val="20"/>
              </w:rPr>
            </w:pPr>
            <w:r>
              <w:rPr>
                <w:rFonts w:ascii="times" w:hAnsi="times"/>
                <w:sz w:val="20"/>
              </w:rPr>
              <w:t>1</w:t>
            </w:r>
          </w:p>
        </w:tc>
        <w:tc>
          <w:tcPr>
            <w:tcW w:w="330" w:type="dxa"/>
            <w:tcBorders/>
            <w:shd w:fill="FFFFFF" w:val="clear"/>
          </w:tcPr>
          <w:p>
            <w:pPr>
              <w:pStyle w:val="TableContents"/>
              <w:spacing w:before="0" w:after="283"/>
              <w:rPr/>
            </w:pPr>
            <w:r>
              <w:rPr/>
              <w:t> </w:t>
            </w:r>
          </w:p>
        </w:tc>
        <w:tc>
          <w:tcPr>
            <w:tcW w:w="147" w:type="dxa"/>
            <w:tcBorders/>
            <w:shd w:fill="FFFFFF" w:val="clear"/>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3945" w:type="dxa"/>
            <w:tcBorders/>
            <w:shd w:fill="CCEEFF" w:val="clear"/>
          </w:tcPr>
          <w:p>
            <w:pPr>
              <w:pStyle w:val="TableContents"/>
              <w:spacing w:before="0" w:after="283"/>
              <w:ind w:left="200" w:right="0" w:hanging="200"/>
              <w:rPr>
                <w:rFonts w:ascii="times" w:hAnsi="times"/>
                <w:sz w:val="20"/>
              </w:rPr>
            </w:pPr>
            <w:r>
              <w:rPr>
                <w:rFonts w:ascii="times" w:hAnsi="times"/>
                <w:sz w:val="20"/>
              </w:rPr>
              <w:t>Canadian federal and provincial income tax</w:t>
            </w:r>
          </w:p>
        </w:tc>
        <w:tc>
          <w:tcPr>
            <w:tcW w:w="180" w:type="dxa"/>
            <w:tcBorders/>
            <w:shd w:fill="CCEEFF" w:val="clear"/>
          </w:tcPr>
          <w:p>
            <w:pPr>
              <w:pStyle w:val="TableContents"/>
              <w:spacing w:before="0" w:after="283"/>
              <w:rPr/>
            </w:pPr>
            <w:r>
              <w:rPr/>
              <w:t> </w:t>
            </w:r>
          </w:p>
        </w:tc>
        <w:tc>
          <w:tcPr>
            <w:tcW w:w="14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jc w:val="right"/>
              <w:rPr>
                <w:rFonts w:ascii="times" w:hAnsi="times"/>
                <w:sz w:val="20"/>
              </w:rPr>
            </w:pPr>
            <w:r>
              <w:rPr>
                <w:rFonts w:ascii="times" w:hAnsi="times"/>
                <w:sz w:val="20"/>
              </w:rPr>
              <w:t>(1</w:t>
            </w:r>
          </w:p>
        </w:tc>
        <w:tc>
          <w:tcPr>
            <w:tcW w:w="330"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jc w:val="right"/>
              <w:rPr>
                <w:rFonts w:ascii="times" w:hAnsi="times"/>
                <w:sz w:val="20"/>
              </w:rPr>
            </w:pPr>
            <w:r>
              <w:rPr>
                <w:rFonts w:ascii="times" w:hAnsi="times"/>
                <w:sz w:val="20"/>
              </w:rPr>
              <w:t>12</w:t>
            </w:r>
          </w:p>
        </w:tc>
        <w:tc>
          <w:tcPr>
            <w:tcW w:w="330" w:type="dxa"/>
            <w:tcBorders/>
            <w:shd w:fill="CCEEFF" w:val="clear"/>
          </w:tcPr>
          <w:p>
            <w:pPr>
              <w:pStyle w:val="TableContents"/>
              <w:spacing w:before="0" w:after="283"/>
              <w:rPr/>
            </w:pPr>
            <w:r>
              <w:rPr/>
              <w:t> </w:t>
            </w:r>
          </w:p>
        </w:tc>
        <w:tc>
          <w:tcPr>
            <w:tcW w:w="147"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409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409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Total deferred tax (benefit)/expense</w:t>
            </w:r>
          </w:p>
        </w:tc>
        <w:tc>
          <w:tcPr>
            <w:tcW w:w="180" w:type="dxa"/>
            <w:tcBorders/>
            <w:shd w:fill="FFFFFF" w:val="clear"/>
          </w:tcPr>
          <w:p>
            <w:pPr>
              <w:pStyle w:val="TableContents"/>
              <w:spacing w:before="0" w:after="283"/>
              <w:rPr/>
            </w:pPr>
            <w:r>
              <w:rPr/>
              <w:t> </w:t>
            </w:r>
          </w:p>
        </w:tc>
        <w:tc>
          <w:tcPr>
            <w:tcW w:w="141" w:type="dxa"/>
            <w:tcBorders/>
            <w:shd w:fill="FFFFFF" w:val="clear"/>
          </w:tcPr>
          <w:p>
            <w:pPr>
              <w:pStyle w:val="TableContents"/>
              <w:spacing w:before="0" w:after="283"/>
              <w:jc w:val="right"/>
              <w:rPr>
                <w:rFonts w:ascii="times" w:hAnsi="times"/>
                <w:sz w:val="20"/>
              </w:rPr>
            </w:pPr>
            <w:r>
              <w:rPr>
                <w:rFonts w:ascii="times" w:hAnsi="times"/>
                <w:sz w:val="20"/>
              </w:rPr>
              <w:t>$</w:t>
            </w:r>
          </w:p>
        </w:tc>
        <w:tc>
          <w:tcPr>
            <w:tcW w:w="208" w:type="dxa"/>
            <w:tcBorders/>
            <w:shd w:fill="FFFFFF" w:val="clear"/>
          </w:tcPr>
          <w:p>
            <w:pPr>
              <w:pStyle w:val="TableContents"/>
              <w:spacing w:before="0" w:after="283"/>
              <w:jc w:val="right"/>
              <w:rPr>
                <w:rFonts w:ascii="times" w:hAnsi="times"/>
                <w:sz w:val="20"/>
              </w:rPr>
            </w:pPr>
            <w:r>
              <w:rPr>
                <w:rFonts w:ascii="times" w:hAnsi="times"/>
                <w:sz w:val="20"/>
              </w:rPr>
              <w:t>(1</w:t>
            </w:r>
          </w:p>
        </w:tc>
        <w:tc>
          <w:tcPr>
            <w:tcW w:w="330"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30" w:type="dxa"/>
            <w:tcBorders/>
            <w:shd w:fill="FFFFFF" w:val="clear"/>
          </w:tcPr>
          <w:p>
            <w:pPr>
              <w:pStyle w:val="TableContents"/>
              <w:spacing w:before="0" w:after="283"/>
              <w:jc w:val="right"/>
              <w:rPr>
                <w:rFonts w:ascii="times" w:hAnsi="times"/>
                <w:sz w:val="20"/>
              </w:rPr>
            </w:pPr>
            <w:r>
              <w:rPr>
                <w:rFonts w:ascii="times" w:hAnsi="times"/>
                <w:sz w:val="20"/>
              </w:rPr>
              <w:t>13</w:t>
            </w:r>
          </w:p>
        </w:tc>
        <w:tc>
          <w:tcPr>
            <w:tcW w:w="330" w:type="dxa"/>
            <w:tcBorders/>
            <w:shd w:fill="FFFFFF" w:val="clear"/>
          </w:tcPr>
          <w:p>
            <w:pPr>
              <w:pStyle w:val="TableContents"/>
              <w:spacing w:before="0" w:after="283"/>
              <w:rPr/>
            </w:pPr>
            <w:r>
              <w:rPr/>
              <w:t> </w:t>
            </w:r>
          </w:p>
        </w:tc>
        <w:tc>
          <w:tcPr>
            <w:tcW w:w="147" w:type="dxa"/>
            <w:tcBorders/>
            <w:shd w:fill="FFFFFF" w:val="clear"/>
          </w:tcPr>
          <w:p>
            <w:pPr>
              <w:pStyle w:val="TableContents"/>
              <w:spacing w:before="0" w:after="283"/>
              <w:jc w:val="right"/>
              <w:rPr>
                <w:rFonts w:ascii="times" w:hAnsi="times"/>
                <w:sz w:val="20"/>
              </w:rPr>
            </w:pPr>
            <w:r>
              <w:rPr>
                <w:rFonts w:ascii="times" w:hAnsi="times"/>
                <w:sz w:val="20"/>
              </w:rPr>
              <w:t>$</w:t>
            </w:r>
          </w:p>
        </w:tc>
        <w:tc>
          <w:tcPr>
            <w:tcW w:w="202" w:type="dxa"/>
            <w:tcBorders/>
            <w:shd w:fill="FFFFFF" w:val="clear"/>
          </w:tcPr>
          <w:p>
            <w:pPr>
              <w:pStyle w:val="TableContents"/>
              <w:spacing w:before="0" w:after="283"/>
              <w:jc w:val="right"/>
              <w:rPr>
                <w:rFonts w:ascii="times" w:hAnsi="times"/>
                <w:sz w:val="20"/>
              </w:rPr>
            </w:pPr>
            <w:r>
              <w:rPr>
                <w:rFonts w:ascii="times" w:hAnsi="times"/>
                <w:sz w:val="20"/>
              </w:rPr>
              <w:t></w:t>
            </w:r>
          </w:p>
        </w:tc>
        <w:tc>
          <w:tcPr>
            <w:tcW w:w="60" w:type="dxa"/>
            <w:tcBorders/>
            <w:shd w:fill="FFFFFF" w:val="clear"/>
          </w:tcPr>
          <w:p>
            <w:pPr>
              <w:pStyle w:val="TableContents"/>
              <w:spacing w:before="0" w:after="283"/>
              <w:rPr/>
            </w:pPr>
            <w:r>
              <w:rPr/>
              <w:t> </w:t>
            </w:r>
          </w:p>
        </w:tc>
      </w:tr>
      <w:tr>
        <w:trPr/>
        <w:tc>
          <w:tcPr>
            <w:tcW w:w="409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5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409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Total income tax expense</w:t>
            </w:r>
          </w:p>
        </w:tc>
        <w:tc>
          <w:tcPr>
            <w:tcW w:w="180" w:type="dxa"/>
            <w:tcBorders/>
            <w:shd w:fill="CCEEFF" w:val="clear"/>
          </w:tcPr>
          <w:p>
            <w:pPr>
              <w:pStyle w:val="TableContents"/>
              <w:spacing w:before="0" w:after="283"/>
              <w:rPr/>
            </w:pPr>
            <w:r>
              <w:rPr/>
              <w:t> </w:t>
            </w:r>
          </w:p>
        </w:tc>
        <w:tc>
          <w:tcPr>
            <w:tcW w:w="141" w:type="dxa"/>
            <w:tcBorders/>
            <w:shd w:fill="CCEEFF" w:val="clear"/>
          </w:tcPr>
          <w:p>
            <w:pPr>
              <w:pStyle w:val="TableContents"/>
              <w:spacing w:before="0" w:after="283"/>
              <w:jc w:val="right"/>
              <w:rPr>
                <w:rFonts w:ascii="times" w:hAnsi="times"/>
                <w:sz w:val="20"/>
              </w:rPr>
            </w:pPr>
            <w:r>
              <w:rPr>
                <w:rFonts w:ascii="times" w:hAnsi="times"/>
                <w:sz w:val="20"/>
              </w:rPr>
              <w:t>$</w:t>
            </w:r>
          </w:p>
        </w:tc>
        <w:tc>
          <w:tcPr>
            <w:tcW w:w="208" w:type="dxa"/>
            <w:tcBorders/>
            <w:shd w:fill="CCEEFF" w:val="clear"/>
          </w:tcPr>
          <w:p>
            <w:pPr>
              <w:pStyle w:val="TableContents"/>
              <w:spacing w:before="0" w:after="283"/>
              <w:jc w:val="right"/>
              <w:rPr>
                <w:rFonts w:ascii="times" w:hAnsi="times"/>
                <w:sz w:val="20"/>
              </w:rPr>
            </w:pPr>
            <w:r>
              <w:rPr>
                <w:rFonts w:ascii="times" w:hAnsi="times"/>
                <w:sz w:val="20"/>
              </w:rPr>
              <w:t>8</w:t>
            </w:r>
          </w:p>
        </w:tc>
        <w:tc>
          <w:tcPr>
            <w:tcW w:w="33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30" w:type="dxa"/>
            <w:tcBorders/>
            <w:shd w:fill="CCEEFF" w:val="clear"/>
          </w:tcPr>
          <w:p>
            <w:pPr>
              <w:pStyle w:val="TableContents"/>
              <w:spacing w:before="0" w:after="283"/>
              <w:jc w:val="right"/>
              <w:rPr>
                <w:rFonts w:ascii="times" w:hAnsi="times"/>
                <w:sz w:val="20"/>
              </w:rPr>
            </w:pPr>
            <w:r>
              <w:rPr>
                <w:rFonts w:ascii="times" w:hAnsi="times"/>
                <w:sz w:val="20"/>
              </w:rPr>
              <w:t>16</w:t>
            </w:r>
          </w:p>
        </w:tc>
        <w:tc>
          <w:tcPr>
            <w:tcW w:w="330" w:type="dxa"/>
            <w:tcBorders/>
            <w:shd w:fill="CCEEFF" w:val="clear"/>
          </w:tcPr>
          <w:p>
            <w:pPr>
              <w:pStyle w:val="TableContents"/>
              <w:spacing w:before="0" w:after="283"/>
              <w:rPr/>
            </w:pPr>
            <w:r>
              <w:rPr/>
              <w:t> </w:t>
            </w:r>
          </w:p>
        </w:tc>
        <w:tc>
          <w:tcPr>
            <w:tcW w:w="147" w:type="dxa"/>
            <w:tcBorders/>
            <w:shd w:fill="CCEEFF" w:val="clear"/>
          </w:tcPr>
          <w:p>
            <w:pPr>
              <w:pStyle w:val="TableContents"/>
              <w:spacing w:before="0" w:after="283"/>
              <w:jc w:val="right"/>
              <w:rPr>
                <w:rFonts w:ascii="times" w:hAnsi="times"/>
                <w:sz w:val="20"/>
              </w:rPr>
            </w:pPr>
            <w:r>
              <w:rPr>
                <w:rFonts w:ascii="times" w:hAnsi="times"/>
                <w:sz w:val="20"/>
              </w:rPr>
              <w:t>$</w:t>
            </w:r>
          </w:p>
        </w:tc>
        <w:tc>
          <w:tcPr>
            <w:tcW w:w="202"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409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5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330" w:type="dxa"/>
            <w:tcBorders/>
            <w:shd w:fill="auto" w:val="clear"/>
          </w:tcPr>
          <w:p>
            <w:pPr>
              <w:pStyle w:val="TableContents"/>
              <w:spacing w:before="0" w:after="283"/>
              <w:rPr/>
            </w:pPr>
            <w:r>
              <w:rPr/>
              <w:t> </w:t>
            </w:r>
          </w:p>
        </w:tc>
        <w:tc>
          <w:tcPr>
            <w:tcW w:w="3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F-42</w:t>
      </w:r>
    </w:p>
    <w:p>
      <w:pPr>
        <w:pStyle w:val="HorizontalLine"/>
        <w:pBdr>
          <w:bottom w:val="single" w:sz="20" w:space="0" w:color="808080"/>
        </w:pBdr>
        <w:rPr/>
      </w:pPr>
      <w:r>
        <w:rPr/>
      </w:r>
      <w:r>
        <w:br w:type="page"/>
      </w:r>
    </w:p>
    <w:p>
      <w:pPr>
        <w:pStyle w:val="TextBody"/>
        <w:rPr/>
      </w:pPr>
      <w:hyperlink w:anchor="bg12101a_main_toc">
        <w:bookmarkStart w:id="276" w:name="page_fu12101_1_43"/>
        <w:bookmarkEnd w:id="276"/>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7Income Taxes (Continued) </w:t>
      </w:r>
    </w:p>
    <w:p>
      <w:pPr>
        <w:pStyle w:val="TextBody"/>
        <w:rPr/>
      </w:pPr>
      <w:r>
        <w:rPr/>
        <w:t>        </w:t>
      </w:r>
      <w:r>
        <w:rPr>
          <w:rFonts w:ascii="times" w:hAnsi="times"/>
          <w:sz w:val="20"/>
        </w:rPr>
        <w:t xml:space="preserve">The difference between tax expense based on the statutory federal income tax rate and our effective tax expense is summarized as follows (in millions): </w:t>
      </w:r>
    </w:p>
    <w:tbl>
      <w:tblPr>
        <w:tblW w:w="8469" w:type="dxa"/>
        <w:jc w:val="center"/>
        <w:tblInd w:w="0" w:type="dxa"/>
        <w:tblCellMar>
          <w:top w:w="0" w:type="dxa"/>
          <w:left w:w="0" w:type="dxa"/>
          <w:bottom w:w="0" w:type="dxa"/>
          <w:right w:w="0" w:type="dxa"/>
        </w:tblCellMar>
      </w:tblPr>
      <w:tblGrid>
        <w:gridCol w:w="225"/>
        <w:gridCol w:w="5869"/>
        <w:gridCol w:w="180"/>
        <w:gridCol w:w="125"/>
        <w:gridCol w:w="395"/>
        <w:gridCol w:w="225"/>
        <w:gridCol w:w="125"/>
        <w:gridCol w:w="395"/>
        <w:gridCol w:w="225"/>
        <w:gridCol w:w="125"/>
        <w:gridCol w:w="395"/>
        <w:gridCol w:w="185"/>
      </w:tblGrid>
      <w:tr>
        <w:trPr/>
        <w:tc>
          <w:tcPr>
            <w:tcW w:w="225" w:type="dxa"/>
            <w:tcBorders/>
            <w:shd w:fill="auto" w:val="clear"/>
            <w:vAlign w:val="center"/>
          </w:tcPr>
          <w:p>
            <w:pPr>
              <w:pStyle w:val="TableContents"/>
              <w:spacing w:before="0" w:after="283"/>
              <w:rPr>
                <w:sz w:val="4"/>
                <w:szCs w:val="4"/>
              </w:rPr>
            </w:pPr>
            <w:r>
              <w:rPr>
                <w:sz w:val="4"/>
                <w:szCs w:val="4"/>
              </w:rPr>
            </w:r>
          </w:p>
        </w:tc>
        <w:tc>
          <w:tcPr>
            <w:tcW w:w="586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609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010"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85" w:type="dxa"/>
            <w:tcBorders/>
            <w:shd w:fill="auto" w:val="clear"/>
            <w:vAlign w:val="bottom"/>
          </w:tcPr>
          <w:p>
            <w:pPr>
              <w:pStyle w:val="TableHeading"/>
              <w:suppressLineNumbers/>
              <w:spacing w:before="0" w:after="283"/>
              <w:jc w:val="center"/>
              <w:rPr/>
            </w:pPr>
            <w:r>
              <w:rPr/>
              <w:t> </w:t>
            </w:r>
          </w:p>
        </w:tc>
      </w:tr>
      <w:tr>
        <w:trPr/>
        <w:tc>
          <w:tcPr>
            <w:tcW w:w="609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185" w:type="dxa"/>
            <w:tcBorders/>
            <w:shd w:fill="auto" w:val="clear"/>
            <w:vAlign w:val="bottom"/>
          </w:tcPr>
          <w:p>
            <w:pPr>
              <w:pStyle w:val="TableHeading"/>
              <w:suppressLineNumbers/>
              <w:spacing w:before="0" w:after="283"/>
              <w:jc w:val="center"/>
              <w:rPr/>
            </w:pPr>
            <w:r>
              <w:rPr/>
              <w:t> </w:t>
            </w:r>
          </w:p>
        </w:tc>
      </w:tr>
      <w:tr>
        <w:trPr/>
        <w:tc>
          <w:tcPr>
            <w:tcW w:w="609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Income before tax</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445</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381</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285</w:t>
            </w:r>
          </w:p>
        </w:tc>
        <w:tc>
          <w:tcPr>
            <w:tcW w:w="185" w:type="dxa"/>
            <w:tcBorders/>
            <w:shd w:fill="CCEEFF" w:val="clear"/>
            <w:vAlign w:val="bottom"/>
          </w:tcPr>
          <w:p>
            <w:pPr>
              <w:pStyle w:val="TableContents"/>
              <w:spacing w:before="0" w:after="283"/>
              <w:rPr/>
            </w:pPr>
            <w:r>
              <w:rPr/>
              <w:t> </w:t>
            </w:r>
          </w:p>
        </w:tc>
      </w:tr>
      <w:tr>
        <w:trPr/>
        <w:tc>
          <w:tcPr>
            <w:tcW w:w="609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Partnership earnings not subject to current Canadian tax</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(422</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(369</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(285</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09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6094" w:type="dxa"/>
            <w:gridSpan w:val="2"/>
            <w:tcBorders/>
            <w:shd w:fill="CCEEFF" w:val="clear"/>
            <w:vAlign w:val="bottom"/>
          </w:tcPr>
          <w:p>
            <w:pPr>
              <w:pStyle w:val="TableContents"/>
              <w:spacing w:before="0" w:after="283"/>
              <w:ind w:left="200" w:right="0" w:hanging="200"/>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23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12</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r>
      <w:tr>
        <w:trPr/>
        <w:tc>
          <w:tcPr>
            <w:tcW w:w="609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Canadian federal and provincial corporate tax rate</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29.5</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32.1</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32.5</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609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609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Income tax at statutory rate</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r>
      <w:tr>
        <w:trPr/>
        <w:tc>
          <w:tcPr>
            <w:tcW w:w="609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Canadian deferred tax as a result of book versus tax differences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(2</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r>
      <w:tr>
        <w:trPr/>
        <w:tc>
          <w:tcPr>
            <w:tcW w:w="609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Canadian permanent differences between book and tax</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r>
      <w:tr>
        <w:trPr/>
        <w:tc>
          <w:tcPr>
            <w:tcW w:w="609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State income tax</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r>
      <w:tr>
        <w:trPr/>
        <w:tc>
          <w:tcPr>
            <w:tcW w:w="609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225" w:type="dxa"/>
            <w:tcBorders/>
            <w:shd w:fill="CCEEFF" w:val="clear"/>
            <w:vAlign w:val="bottom"/>
          </w:tcPr>
          <w:p>
            <w:pPr>
              <w:pStyle w:val="TableContents"/>
              <w:spacing w:before="0" w:after="283"/>
              <w:rPr/>
            </w:pPr>
            <w:r>
              <w:rPr/>
              <w:t> </w:t>
            </w:r>
          </w:p>
        </w:tc>
        <w:tc>
          <w:tcPr>
            <w:tcW w:w="586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Current income tax expense</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9</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r>
      <w:tr>
        <w:trPr/>
        <w:tc>
          <w:tcPr>
            <w:tcW w:w="609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609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State deferred income tax</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r>
      <w:tr>
        <w:trPr/>
        <w:tc>
          <w:tcPr>
            <w:tcW w:w="609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Canadian corporation deferred tax as a result of book versus tax differences</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(4</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2</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r>
      <w:tr>
        <w:trPr/>
        <w:tc>
          <w:tcPr>
            <w:tcW w:w="609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Flow-through entities deferred tax as a result of book versus tax differences</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3</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10</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r>
      <w:tr>
        <w:trPr/>
        <w:tc>
          <w:tcPr>
            <w:tcW w:w="609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225" w:type="dxa"/>
            <w:tcBorders/>
            <w:shd w:fill="CCEEFF" w:val="clear"/>
            <w:vAlign w:val="bottom"/>
          </w:tcPr>
          <w:p>
            <w:pPr>
              <w:pStyle w:val="TableContents"/>
              <w:spacing w:before="0" w:after="283"/>
              <w:rPr/>
            </w:pPr>
            <w:r>
              <w:rPr/>
              <w:t> </w:t>
            </w:r>
          </w:p>
        </w:tc>
        <w:tc>
          <w:tcPr>
            <w:tcW w:w="5869"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Deferred income tax (benefit)/expense</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13</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r>
      <w:tr>
        <w:trPr/>
        <w:tc>
          <w:tcPr>
            <w:tcW w:w="609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r>
        <w:trPr/>
        <w:tc>
          <w:tcPr>
            <w:tcW w:w="6094" w:type="dxa"/>
            <w:gridSpan w:val="2"/>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 income tax expense</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8</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2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r>
      <w:tr>
        <w:trPr/>
        <w:tc>
          <w:tcPr>
            <w:tcW w:w="609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85"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Deferred tax assets and liabilities, which are included net within other long-term liabilities and deferred credits in our consolidated balance sheet, result from the following (in millions): </w:t>
      </w:r>
    </w:p>
    <w:tbl>
      <w:tblPr>
        <w:tblW w:w="6040" w:type="dxa"/>
        <w:jc w:val="center"/>
        <w:tblInd w:w="0" w:type="dxa"/>
        <w:tblCellMar>
          <w:top w:w="0" w:type="dxa"/>
          <w:left w:w="0" w:type="dxa"/>
          <w:bottom w:w="0" w:type="dxa"/>
          <w:right w:w="0" w:type="dxa"/>
        </w:tblCellMar>
      </w:tblPr>
      <w:tblGrid>
        <w:gridCol w:w="150"/>
        <w:gridCol w:w="4425"/>
        <w:gridCol w:w="180"/>
        <w:gridCol w:w="125"/>
        <w:gridCol w:w="395"/>
        <w:gridCol w:w="270"/>
        <w:gridCol w:w="125"/>
        <w:gridCol w:w="290"/>
        <w:gridCol w:w="80"/>
      </w:tblGrid>
      <w:tr>
        <w:trPr/>
        <w:tc>
          <w:tcPr>
            <w:tcW w:w="150" w:type="dxa"/>
            <w:tcBorders/>
            <w:shd w:fill="auto" w:val="clear"/>
            <w:vAlign w:val="center"/>
          </w:tcPr>
          <w:p>
            <w:pPr>
              <w:pStyle w:val="TableContents"/>
              <w:spacing w:before="0" w:after="283"/>
              <w:rPr>
                <w:sz w:val="4"/>
                <w:szCs w:val="4"/>
              </w:rPr>
            </w:pPr>
            <w:r>
              <w:rPr>
                <w:sz w:val="4"/>
                <w:szCs w:val="4"/>
              </w:rPr>
            </w:r>
          </w:p>
        </w:tc>
        <w:tc>
          <w:tcPr>
            <w:tcW w:w="442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457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20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December 31, </w:t>
            </w:r>
          </w:p>
        </w:tc>
        <w:tc>
          <w:tcPr>
            <w:tcW w:w="80" w:type="dxa"/>
            <w:tcBorders/>
            <w:shd w:fill="auto" w:val="clear"/>
            <w:vAlign w:val="bottom"/>
          </w:tcPr>
          <w:p>
            <w:pPr>
              <w:pStyle w:val="TableHeading"/>
              <w:suppressLineNumbers/>
              <w:spacing w:before="0" w:after="283"/>
              <w:jc w:val="center"/>
              <w:rPr/>
            </w:pPr>
            <w:r>
              <w:rPr/>
              <w:t> </w:t>
            </w:r>
          </w:p>
        </w:tc>
      </w:tr>
      <w:tr>
        <w:trPr/>
        <w:tc>
          <w:tcPr>
            <w:tcW w:w="457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70" w:type="dxa"/>
            <w:tcBorders/>
            <w:shd w:fill="auto" w:val="clear"/>
            <w:vAlign w:val="bottom"/>
          </w:tcPr>
          <w:p>
            <w:pPr>
              <w:pStyle w:val="TableHeading"/>
              <w:suppressLineNumbers/>
              <w:spacing w:before="0" w:after="283"/>
              <w:jc w:val="center"/>
              <w:rPr/>
            </w:pPr>
            <w:r>
              <w:rPr/>
              <w:t> </w:t>
            </w:r>
          </w:p>
        </w:tc>
        <w:tc>
          <w:tcPr>
            <w:tcW w:w="4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80" w:type="dxa"/>
            <w:tcBorders/>
            <w:shd w:fill="auto" w:val="clear"/>
            <w:vAlign w:val="bottom"/>
          </w:tcPr>
          <w:p>
            <w:pPr>
              <w:pStyle w:val="TableHeading"/>
              <w:suppressLineNumbers/>
              <w:spacing w:before="0" w:after="283"/>
              <w:jc w:val="center"/>
              <w:rPr/>
            </w:pPr>
            <w:r>
              <w:rPr/>
              <w:t> </w:t>
            </w:r>
          </w:p>
        </w:tc>
      </w:tr>
      <w:tr>
        <w:trPr/>
        <w:tc>
          <w:tcPr>
            <w:tcW w:w="457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Deferred tax assets: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425" w:type="dxa"/>
            <w:tcBorders/>
            <w:shd w:fill="FFFFFF" w:val="clear"/>
          </w:tcPr>
          <w:p>
            <w:pPr>
              <w:pStyle w:val="TableContents"/>
              <w:spacing w:before="0" w:after="283"/>
              <w:ind w:left="200" w:right="0" w:hanging="200"/>
              <w:rPr>
                <w:rFonts w:ascii="times" w:hAnsi="times"/>
                <w:sz w:val="20"/>
              </w:rPr>
            </w:pPr>
            <w:r>
              <w:rPr>
                <w:rFonts w:ascii="times" w:hAnsi="times"/>
                <w:sz w:val="20"/>
              </w:rPr>
              <w:t>Book accruals in excess of current tax deductions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395" w:type="dxa"/>
            <w:tcBorders/>
            <w:shd w:fill="FFFFFF" w:val="clear"/>
          </w:tcPr>
          <w:p>
            <w:pPr>
              <w:pStyle w:val="TableContents"/>
              <w:spacing w:before="0" w:after="283"/>
              <w:jc w:val="right"/>
              <w:rPr>
                <w:rFonts w:ascii="times" w:hAnsi="times"/>
                <w:sz w:val="20"/>
              </w:rPr>
            </w:pPr>
            <w:r>
              <w:rPr>
                <w:rFonts w:ascii="times" w:hAnsi="times"/>
                <w:sz w:val="20"/>
              </w:rPr>
              <w:t>9</w:t>
            </w:r>
          </w:p>
        </w:tc>
        <w:tc>
          <w:tcPr>
            <w:tcW w:w="27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290" w:type="dxa"/>
            <w:tcBorders/>
            <w:shd w:fill="FFFFFF" w:val="clear"/>
          </w:tcPr>
          <w:p>
            <w:pPr>
              <w:pStyle w:val="TableContents"/>
              <w:spacing w:before="0" w:after="283"/>
              <w:jc w:val="right"/>
              <w:rPr>
                <w:rFonts w:ascii="times" w:hAnsi="times"/>
                <w:sz w:val="20"/>
              </w:rPr>
            </w:pPr>
            <w:r>
              <w:rPr>
                <w:rFonts w:ascii="times" w:hAnsi="times"/>
                <w:sz w:val="20"/>
              </w:rPr>
              <w:t>5</w:t>
            </w:r>
          </w:p>
        </w:tc>
        <w:tc>
          <w:tcPr>
            <w:tcW w:w="80" w:type="dxa"/>
            <w:tcBorders/>
            <w:shd w:fill="FFFFFF" w:val="clear"/>
          </w:tcPr>
          <w:p>
            <w:pPr>
              <w:pStyle w:val="TableContents"/>
              <w:spacing w:before="0" w:after="283"/>
              <w:rPr/>
            </w:pPr>
            <w:r>
              <w:rPr/>
              <w:t> </w:t>
            </w:r>
          </w:p>
        </w:tc>
      </w:tr>
      <w:tr>
        <w:trPr/>
        <w:tc>
          <w:tcPr>
            <w:tcW w:w="150" w:type="dxa"/>
            <w:tcBorders/>
            <w:shd w:fill="CCEEFF" w:val="clear"/>
          </w:tcPr>
          <w:p>
            <w:pPr>
              <w:pStyle w:val="TableContents"/>
              <w:spacing w:before="0" w:after="283"/>
              <w:rPr/>
            </w:pPr>
            <w:r>
              <w:rPr/>
              <w:t> </w:t>
            </w:r>
          </w:p>
        </w:tc>
        <w:tc>
          <w:tcPr>
            <w:tcW w:w="4425" w:type="dxa"/>
            <w:tcBorders/>
            <w:shd w:fill="CCEEFF" w:val="clear"/>
          </w:tcPr>
          <w:p>
            <w:pPr>
              <w:pStyle w:val="TableContents"/>
              <w:spacing w:before="0" w:after="283"/>
              <w:ind w:left="200" w:right="0" w:hanging="200"/>
              <w:rPr>
                <w:rFonts w:ascii="times" w:hAnsi="times"/>
                <w:sz w:val="20"/>
              </w:rPr>
            </w:pPr>
            <w:r>
              <w:rPr>
                <w:rFonts w:ascii="times" w:hAnsi="times"/>
                <w:sz w:val="20"/>
              </w:rPr>
              <w:t>Net operating losses carried forward</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w:t>
            </w:r>
          </w:p>
        </w:tc>
        <w:tc>
          <w:tcPr>
            <w:tcW w:w="27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20"/>
              </w:rPr>
            </w:pPr>
            <w:r>
              <w:rPr>
                <w:rFonts w:ascii="times" w:hAnsi="times"/>
                <w:sz w:val="20"/>
              </w:rPr>
              <w:t>4</w:t>
            </w:r>
          </w:p>
        </w:tc>
        <w:tc>
          <w:tcPr>
            <w:tcW w:w="80" w:type="dxa"/>
            <w:tcBorders/>
            <w:shd w:fill="CCEEFF" w:val="clear"/>
          </w:tcPr>
          <w:p>
            <w:pPr>
              <w:pStyle w:val="TableContents"/>
              <w:spacing w:before="0" w:after="283"/>
              <w:rPr/>
            </w:pPr>
            <w:r>
              <w:rPr/>
              <w:t> </w:t>
            </w:r>
          </w:p>
        </w:tc>
      </w:tr>
      <w:tr>
        <w:trPr/>
        <w:tc>
          <w:tcPr>
            <w:tcW w:w="457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7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Total deferred tax assets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9</w:t>
            </w:r>
          </w:p>
        </w:tc>
        <w:tc>
          <w:tcPr>
            <w:tcW w:w="27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9</w:t>
            </w:r>
          </w:p>
        </w:tc>
        <w:tc>
          <w:tcPr>
            <w:tcW w:w="80" w:type="dxa"/>
            <w:tcBorders/>
            <w:shd w:fill="FFFFFF" w:val="clear"/>
          </w:tcPr>
          <w:p>
            <w:pPr>
              <w:pStyle w:val="TableContents"/>
              <w:spacing w:before="0" w:after="283"/>
              <w:rPr/>
            </w:pPr>
            <w:r>
              <w:rPr/>
              <w:t> </w:t>
            </w:r>
          </w:p>
        </w:tc>
      </w:tr>
      <w:tr>
        <w:trPr/>
        <w:tc>
          <w:tcPr>
            <w:tcW w:w="457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7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Deferred tax liabilities: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rPr/>
            </w:pPr>
            <w:r>
              <w:rPr/>
              <w:t> </w:t>
            </w:r>
          </w:p>
        </w:tc>
        <w:tc>
          <w:tcPr>
            <w:tcW w:w="27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rPr/>
            </w:pPr>
            <w:r>
              <w:rPr/>
              <w:t> </w:t>
            </w:r>
          </w:p>
        </w:tc>
        <w:tc>
          <w:tcPr>
            <w:tcW w:w="80" w:type="dxa"/>
            <w:tcBorders/>
            <w:shd w:fill="CCEEFF"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425" w:type="dxa"/>
            <w:tcBorders/>
            <w:shd w:fill="FFFFFF" w:val="clear"/>
          </w:tcPr>
          <w:p>
            <w:pPr>
              <w:pStyle w:val="TableContents"/>
              <w:spacing w:before="0" w:after="283"/>
              <w:ind w:left="200" w:right="0" w:hanging="200"/>
              <w:rPr>
                <w:rFonts w:ascii="times" w:hAnsi="times"/>
                <w:sz w:val="20"/>
              </w:rPr>
            </w:pPr>
            <w:r>
              <w:rPr>
                <w:rFonts w:ascii="times" w:hAnsi="times"/>
                <w:sz w:val="20"/>
              </w:rPr>
              <w:t>Canadian partnership income subject to deferral</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w:t>
            </w:r>
          </w:p>
        </w:tc>
        <w:tc>
          <w:tcPr>
            <w:tcW w:w="27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(4</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150" w:type="dxa"/>
            <w:tcBorders/>
            <w:shd w:fill="CCEEFF" w:val="clear"/>
          </w:tcPr>
          <w:p>
            <w:pPr>
              <w:pStyle w:val="TableContents"/>
              <w:spacing w:before="0" w:after="283"/>
              <w:rPr/>
            </w:pPr>
            <w:r>
              <w:rPr/>
              <w:t> </w:t>
            </w:r>
          </w:p>
        </w:tc>
        <w:tc>
          <w:tcPr>
            <w:tcW w:w="4425" w:type="dxa"/>
            <w:tcBorders/>
            <w:shd w:fill="CCEEFF" w:val="clear"/>
          </w:tcPr>
          <w:p>
            <w:pPr>
              <w:pStyle w:val="TableContents"/>
              <w:spacing w:before="0" w:after="283"/>
              <w:ind w:left="200" w:right="0" w:hanging="200"/>
              <w:rPr>
                <w:rFonts w:ascii="times" w:hAnsi="times"/>
                <w:sz w:val="20"/>
              </w:rPr>
            </w:pPr>
            <w:r>
              <w:rPr>
                <w:rFonts w:ascii="times" w:hAnsi="times"/>
                <w:sz w:val="20"/>
              </w:rPr>
              <w:t>Property, plant and equipment in excess of tax values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395" w:type="dxa"/>
            <w:tcBorders/>
            <w:shd w:fill="CCEEFF" w:val="clear"/>
          </w:tcPr>
          <w:p>
            <w:pPr>
              <w:pStyle w:val="TableContents"/>
              <w:spacing w:before="0" w:after="283"/>
              <w:jc w:val="right"/>
              <w:rPr>
                <w:rFonts w:ascii="times" w:hAnsi="times"/>
                <w:sz w:val="20"/>
              </w:rPr>
            </w:pPr>
            <w:r>
              <w:rPr>
                <w:rFonts w:ascii="times" w:hAnsi="times"/>
                <w:sz w:val="20"/>
              </w:rPr>
              <w:t>(118</w:t>
            </w:r>
          </w:p>
        </w:tc>
        <w:tc>
          <w:tcPr>
            <w:tcW w:w="270"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20"/>
              </w:rPr>
            </w:pPr>
            <w:r>
              <w:rPr>
                <w:rFonts w:ascii="times" w:hAnsi="times"/>
                <w:sz w:val="20"/>
              </w:rPr>
              <w:t>(29</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457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75"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Total deferred tax liabilities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395" w:type="dxa"/>
            <w:tcBorders/>
            <w:shd w:fill="FFFFFF" w:val="clear"/>
          </w:tcPr>
          <w:p>
            <w:pPr>
              <w:pStyle w:val="TableContents"/>
              <w:spacing w:before="0" w:after="283"/>
              <w:jc w:val="right"/>
              <w:rPr>
                <w:rFonts w:ascii="times" w:hAnsi="times"/>
                <w:sz w:val="20"/>
              </w:rPr>
            </w:pPr>
            <w:r>
              <w:rPr>
                <w:rFonts w:ascii="times" w:hAnsi="times"/>
                <w:sz w:val="20"/>
              </w:rPr>
              <w:t>(118</w:t>
            </w:r>
          </w:p>
        </w:tc>
        <w:tc>
          <w:tcPr>
            <w:tcW w:w="270" w:type="dxa"/>
            <w:tcBorders/>
            <w:shd w:fill="FFFFFF" w:val="clear"/>
          </w:tcPr>
          <w:p>
            <w:pPr>
              <w:pStyle w:val="TableContents"/>
              <w:spacing w:before="0" w:after="283"/>
              <w:rPr>
                <w:rFonts w:ascii="times" w:hAnsi="times"/>
                <w:sz w:val="20"/>
              </w:rPr>
            </w:pPr>
            <w:r>
              <w:rPr>
                <w:rFonts w:ascii="times" w:hAnsi="times"/>
                <w:sz w:val="20"/>
              </w:rPr>
              <w:t>)</w:t>
            </w:r>
          </w:p>
        </w:tc>
        <w:tc>
          <w:tcPr>
            <w:tcW w:w="12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20"/>
              </w:rPr>
            </w:pPr>
            <w:r>
              <w:rPr>
                <w:rFonts w:ascii="times" w:hAnsi="times"/>
                <w:sz w:val="20"/>
              </w:rPr>
              <w:t>(33</w:t>
            </w:r>
          </w:p>
        </w:tc>
        <w:tc>
          <w:tcPr>
            <w:tcW w:w="80" w:type="dxa"/>
            <w:tcBorders/>
            <w:shd w:fill="FFFFFF" w:val="clear"/>
          </w:tcPr>
          <w:p>
            <w:pPr>
              <w:pStyle w:val="TableContents"/>
              <w:spacing w:before="0" w:after="283"/>
              <w:rPr>
                <w:rFonts w:ascii="times" w:hAnsi="times"/>
                <w:sz w:val="20"/>
              </w:rPr>
            </w:pPr>
            <w:r>
              <w:rPr>
                <w:rFonts w:ascii="times" w:hAnsi="times"/>
                <w:sz w:val="20"/>
              </w:rPr>
              <w:t>)</w:t>
            </w:r>
          </w:p>
        </w:tc>
      </w:tr>
      <w:tr>
        <w:trPr/>
        <w:tc>
          <w:tcPr>
            <w:tcW w:w="457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r>
        <w:trPr/>
        <w:tc>
          <w:tcPr>
            <w:tcW w:w="4575"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Net deferred tax liabilities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395" w:type="dxa"/>
            <w:tcBorders/>
            <w:shd w:fill="CCEEFF" w:val="clear"/>
          </w:tcPr>
          <w:p>
            <w:pPr>
              <w:pStyle w:val="TableContents"/>
              <w:spacing w:before="0" w:after="283"/>
              <w:jc w:val="right"/>
              <w:rPr>
                <w:rFonts w:ascii="times" w:hAnsi="times"/>
                <w:sz w:val="20"/>
              </w:rPr>
            </w:pPr>
            <w:r>
              <w:rPr>
                <w:rFonts w:ascii="times" w:hAnsi="times"/>
                <w:sz w:val="20"/>
              </w:rPr>
              <w:t>(109</w:t>
            </w:r>
          </w:p>
        </w:tc>
        <w:tc>
          <w:tcPr>
            <w:tcW w:w="270" w:type="dxa"/>
            <w:tcBorders/>
            <w:shd w:fill="CCEEFF" w:val="clear"/>
          </w:tcPr>
          <w:p>
            <w:pPr>
              <w:pStyle w:val="TableContents"/>
              <w:spacing w:before="0" w:after="283"/>
              <w:rPr>
                <w:rFonts w:ascii="times" w:hAnsi="times"/>
                <w:sz w:val="20"/>
              </w:rPr>
            </w:pPr>
            <w:r>
              <w:rPr>
                <w:rFonts w:ascii="times" w:hAnsi="times"/>
                <w:sz w:val="20"/>
              </w:rPr>
              <w:t>)</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290" w:type="dxa"/>
            <w:tcBorders/>
            <w:shd w:fill="CCEEFF" w:val="clear"/>
          </w:tcPr>
          <w:p>
            <w:pPr>
              <w:pStyle w:val="TableContents"/>
              <w:spacing w:before="0" w:after="283"/>
              <w:jc w:val="right"/>
              <w:rPr>
                <w:rFonts w:ascii="times" w:hAnsi="times"/>
                <w:sz w:val="20"/>
              </w:rPr>
            </w:pPr>
            <w:r>
              <w:rPr>
                <w:rFonts w:ascii="times" w:hAnsi="times"/>
                <w:sz w:val="20"/>
              </w:rPr>
              <w:t>(24</w:t>
            </w:r>
          </w:p>
        </w:tc>
        <w:tc>
          <w:tcPr>
            <w:tcW w:w="80" w:type="dxa"/>
            <w:tcBorders/>
            <w:shd w:fill="CCEEFF" w:val="clear"/>
          </w:tcPr>
          <w:p>
            <w:pPr>
              <w:pStyle w:val="TableContents"/>
              <w:spacing w:before="0" w:after="283"/>
              <w:rPr>
                <w:rFonts w:ascii="times" w:hAnsi="times"/>
                <w:sz w:val="20"/>
              </w:rPr>
            </w:pPr>
            <w:r>
              <w:rPr>
                <w:rFonts w:ascii="times" w:hAnsi="times"/>
                <w:sz w:val="20"/>
              </w:rPr>
              <w:t>)</w:t>
            </w:r>
          </w:p>
        </w:tc>
      </w:tr>
      <w:tr>
        <w:trPr/>
        <w:tc>
          <w:tcPr>
            <w:tcW w:w="457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70" w:type="dxa"/>
            <w:tcBorders/>
            <w:shd w:fill="auto" w:val="clear"/>
          </w:tcPr>
          <w:p>
            <w:pPr>
              <w:pStyle w:val="TableContents"/>
              <w:spacing w:before="0" w:after="283"/>
              <w:rPr/>
            </w:pPr>
            <w:r>
              <w:rPr/>
              <w:t> </w:t>
            </w:r>
          </w:p>
        </w:tc>
        <w:tc>
          <w:tcPr>
            <w:tcW w:w="4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8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We adopted the provisions of FASB Interpretation No. 48, "Accounting for Uncertainty in Income Taxes" ("FIN 48"), an interpretation of SFAS No. 109 "Accounting for Income Taxes," on January 1, 2007. The adoption of FIN 48 had no material impact on our financial statements. We recognize </w:t>
      </w:r>
    </w:p>
    <w:p>
      <w:pPr>
        <w:pStyle w:val="TextBody"/>
        <w:jc w:val="center"/>
        <w:rPr>
          <w:rFonts w:ascii="times" w:hAnsi="times"/>
          <w:sz w:val="20"/>
        </w:rPr>
      </w:pPr>
      <w:r>
        <w:rPr>
          <w:rFonts w:ascii="times" w:hAnsi="times"/>
          <w:sz w:val="20"/>
        </w:rPr>
        <w:t>F-43</w:t>
      </w:r>
    </w:p>
    <w:p>
      <w:pPr>
        <w:pStyle w:val="HorizontalLine"/>
        <w:pBdr>
          <w:bottom w:val="single" w:sz="20" w:space="0" w:color="808080"/>
        </w:pBdr>
        <w:rPr/>
      </w:pPr>
      <w:r>
        <w:rPr/>
      </w:r>
      <w:r>
        <w:br w:type="page"/>
      </w:r>
    </w:p>
    <w:p>
      <w:pPr>
        <w:pStyle w:val="TextBody"/>
        <w:rPr/>
      </w:pPr>
      <w:hyperlink w:anchor="bg12101a_main_toc">
        <w:bookmarkStart w:id="277" w:name="page_fu12101_1_44"/>
        <w:bookmarkEnd w:id="27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7Income Taxes (Continued) </w:t>
      </w:r>
    </w:p>
    <w:p>
      <w:pPr>
        <w:pStyle w:val="TextBody"/>
        <w:rPr/>
      </w:pPr>
      <w:r>
        <w:rPr/>
      </w:r>
    </w:p>
    <w:p>
      <w:pPr>
        <w:pStyle w:val="TextBody"/>
        <w:rPr>
          <w:rFonts w:ascii="times" w:hAnsi="times"/>
          <w:sz w:val="20"/>
        </w:rPr>
      </w:pPr>
      <w:r>
        <w:rPr>
          <w:rFonts w:ascii="times" w:hAnsi="times"/>
          <w:sz w:val="20"/>
        </w:rPr>
        <w:t xml:space="preserve">interest and penalties related to uncertain tax positions in income tax expense. At December 31, 2008 and 2007, we have no material assets, liabilities or accrued interest associated with uncertain tax positions. </w:t>
      </w:r>
    </w:p>
    <w:p>
      <w:pPr>
        <w:pStyle w:val="TextBody"/>
        <w:rPr>
          <w:rFonts w:ascii="times" w:hAnsi="times"/>
          <w:b/>
          <w:sz w:val="20"/>
        </w:rPr>
      </w:pPr>
      <w:r>
        <w:rPr>
          <w:rFonts w:ascii="times" w:hAnsi="times"/>
          <w:b/>
          <w:sz w:val="20"/>
        </w:rPr>
        <w:t xml:space="preserve">Note 8Major Customers and Concentration of Credit Risk </w:t>
      </w:r>
    </w:p>
    <w:p>
      <w:pPr>
        <w:pStyle w:val="TextBody"/>
        <w:rPr/>
      </w:pPr>
      <w:r>
        <w:rPr/>
        <w:t>        </w:t>
      </w:r>
      <w:r>
        <w:rPr>
          <w:rFonts w:ascii="times" w:hAnsi="times"/>
          <w:sz w:val="20"/>
        </w:rPr>
        <w:t xml:space="preserve">Marathon Petroleum Company, LLC accounted for 14%, 19% and 14% of our revenues for each of the three years ended December 31, 2008, 2007 and 2006, respectively. Valero Marketing &amp; Supply Company accounted for 10% of our revenues for the year ended December 31, 2007. ConocoPhillips Company accounted for 12% and 11% of our revenues for the years ended December 31, 2008 and 2007, respectively. No other customers accounted for 10% or more of our revenues during any of the three years. The majority of revenues from these customers pertain to our marketing operations. We believe that the loss of these customers would have only a short-term impact on our operating results. There is risk, however, that we would not be able to identify and access a replacement market at comparable margins. </w:t>
      </w:r>
    </w:p>
    <w:p>
      <w:pPr>
        <w:pStyle w:val="TextBody"/>
        <w:rPr/>
      </w:pPr>
      <w:r>
        <w:rPr/>
        <w:t>        </w:t>
      </w:r>
      <w:r>
        <w:rPr>
          <w:rFonts w:ascii="times" w:hAnsi="times"/>
          <w:sz w:val="20"/>
        </w:rPr>
        <w:t xml:space="preserve">Financial instruments that potentially subject us to concentrations of credit risk consist principally of trade receivables. Our accounts receivable are primarily from purchasers and shippers of crude oil.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w:t>
      </w:r>
    </w:p>
    <w:p>
      <w:pPr>
        <w:pStyle w:val="TextBody"/>
        <w:rPr>
          <w:rFonts w:ascii="times" w:hAnsi="times"/>
          <w:b/>
          <w:sz w:val="20"/>
        </w:rPr>
      </w:pPr>
      <w:r>
        <w:rPr>
          <w:rFonts w:ascii="times" w:hAnsi="times"/>
          <w:b/>
          <w:sz w:val="20"/>
        </w:rPr>
        <w:t xml:space="preserve">Note 9Related Party Transactions </w:t>
      </w:r>
    </w:p>
    <w:p>
      <w:pPr>
        <w:pStyle w:val="TextBody"/>
        <w:rPr>
          <w:rFonts w:ascii="times" w:hAnsi="times"/>
          <w:b/>
          <w:i/>
          <w:sz w:val="20"/>
        </w:rPr>
      </w:pPr>
      <w:r>
        <w:rPr>
          <w:rFonts w:ascii="times" w:hAnsi="times"/>
          <w:b/>
          <w:i/>
          <w:sz w:val="20"/>
        </w:rPr>
        <w:t xml:space="preserve">Reimbursement of Expenses of Our General Partner and its Affiliates </w:t>
      </w:r>
    </w:p>
    <w:p>
      <w:pPr>
        <w:pStyle w:val="TextBody"/>
        <w:rPr/>
      </w:pPr>
      <w:r>
        <w:rPr/>
        <w:t>        </w:t>
      </w:r>
      <w:r>
        <w:rPr>
          <w:rFonts w:ascii="times" w:hAnsi="times"/>
          <w:sz w:val="20"/>
        </w:rPr>
        <w:t xml:space="preserve">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(other than expenses related to the Class B units of Plains AAP, L.P.).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2008, 2007 and 2006 were $289 million, $287 million and $205 million, respectively. </w:t>
      </w:r>
    </w:p>
    <w:p>
      <w:pPr>
        <w:pStyle w:val="TextBody"/>
        <w:rPr>
          <w:rFonts w:ascii="times" w:hAnsi="times"/>
          <w:b/>
          <w:i/>
          <w:sz w:val="20"/>
        </w:rPr>
      </w:pPr>
      <w:r>
        <w:rPr>
          <w:rFonts w:ascii="times" w:hAnsi="times"/>
          <w:b/>
          <w:i/>
          <w:sz w:val="20"/>
        </w:rPr>
        <w:t xml:space="preserve">Vulcan Energy Corporation </w:t>
      </w:r>
    </w:p>
    <w:p>
      <w:pPr>
        <w:pStyle w:val="TextBody"/>
        <w:rPr/>
      </w:pPr>
      <w:r>
        <w:rPr/>
        <w:t>        </w:t>
      </w:r>
      <w:r>
        <w:rPr>
          <w:rFonts w:ascii="times" w:hAnsi="times"/>
          <w:sz w:val="20"/>
        </w:rPr>
        <w:t xml:space="preserve">As of December 31, 2008, Vulcan Energy Corporation ("Vulcan Energy") and its affiliates owned approximately 50% of our general partner interest, as well as approximately 10% of our outstanding limited partner units. </w:t>
      </w:r>
    </w:p>
    <w:p>
      <w:pPr>
        <w:pStyle w:val="TextBody"/>
        <w:rPr/>
      </w:pPr>
      <w:r>
        <w:rPr/>
        <w:t>        </w:t>
      </w:r>
      <w:r>
        <w:rPr>
          <w:rFonts w:ascii="times" w:hAnsi="times"/>
          <w:i/>
          <w:sz w:val="20"/>
        </w:rPr>
        <w:t>Voting Agreement.</w:t>
      </w:r>
      <w:r>
        <w:rPr>
          <w:rFonts w:ascii="times" w:hAnsi="times"/>
        </w:rPr>
        <w:t>    </w:t>
      </w:r>
      <w:r>
        <w:rPr>
          <w:rFonts w:ascii="times" w:hAnsi="times"/>
          <w:sz w:val="20"/>
        </w:rPr>
        <w:t xml:space="preserve">In August 2005, one of the owners of our general partner notified the remaining owners of its intent to sell its 19% interest in the general partner. The remaining owners elected to exercise their right of first refusal, such that the 19% interest was purchased pro rata by all </w:t>
      </w:r>
    </w:p>
    <w:p>
      <w:pPr>
        <w:pStyle w:val="TextBody"/>
        <w:jc w:val="center"/>
        <w:rPr>
          <w:rFonts w:ascii="times" w:hAnsi="times"/>
          <w:sz w:val="20"/>
        </w:rPr>
      </w:pPr>
      <w:r>
        <w:rPr>
          <w:rFonts w:ascii="times" w:hAnsi="times"/>
          <w:sz w:val="20"/>
        </w:rPr>
        <w:t>F-44</w:t>
      </w:r>
    </w:p>
    <w:p>
      <w:pPr>
        <w:pStyle w:val="HorizontalLine"/>
        <w:pBdr>
          <w:bottom w:val="single" w:sz="20" w:space="0" w:color="808080"/>
        </w:pBdr>
        <w:rPr/>
      </w:pPr>
      <w:r>
        <w:rPr/>
      </w:r>
      <w:r>
        <w:br w:type="page"/>
      </w:r>
    </w:p>
    <w:p>
      <w:pPr>
        <w:pStyle w:val="TextBody"/>
        <w:rPr/>
      </w:pPr>
      <w:hyperlink w:anchor="bg12101a_main_toc">
        <w:bookmarkStart w:id="278" w:name="page_fu12101_1_45"/>
        <w:bookmarkEnd w:id="27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9Related Party Transactions (Continued) </w:t>
      </w:r>
    </w:p>
    <w:p>
      <w:pPr>
        <w:pStyle w:val="TextBody"/>
        <w:rPr/>
      </w:pPr>
      <w:r>
        <w:rPr/>
      </w:r>
    </w:p>
    <w:p>
      <w:pPr>
        <w:pStyle w:val="TextBody"/>
        <w:rPr>
          <w:rFonts w:ascii="times" w:hAnsi="times"/>
          <w:sz w:val="20"/>
        </w:rPr>
      </w:pPr>
      <w:r>
        <w:rPr>
          <w:rFonts w:ascii="times" w:hAnsi="times"/>
          <w:sz w:val="20"/>
        </w:rPr>
        <w:t xml:space="preserve">remaining owners. As a result of the transaction, Vulcan Energy's ownership interest increased from 44% to over 50%. At the closing of the transaction, Vulcan Energy entered into a voting agreement that restricts its ability to unilaterally elect or remove our independent directors, and separately, our CEO and COO agreed, subject to certain ongoing conditions, to waive certain change-of-control payment rights that would otherwise have been triggered by the increase in Vulcan Energy's ownership interest. These ownership changes to our general partner had no material impact on us. </w:t>
      </w:r>
    </w:p>
    <w:p>
      <w:pPr>
        <w:pStyle w:val="TextBody"/>
        <w:rPr/>
      </w:pPr>
      <w:r>
        <w:rPr/>
        <w:t>        </w:t>
      </w:r>
      <w:r>
        <w:rPr>
          <w:rFonts w:ascii="times" w:hAnsi="times"/>
          <w:sz w:val="20"/>
        </w:rPr>
        <w:t xml:space="preserve">Another owner of Plains All American GP LLC, Lynx Holdings I, LLC, agreed to restrict certain of its voting rights with respect to its approximate 1.2% membership interest in Plains All American GP LLC. </w:t>
      </w:r>
    </w:p>
    <w:p>
      <w:pPr>
        <w:pStyle w:val="TextBody"/>
        <w:rPr/>
      </w:pPr>
      <w:r>
        <w:rPr/>
        <w:t>        </w:t>
      </w:r>
      <w:r>
        <w:rPr>
          <w:rFonts w:ascii="times" w:hAnsi="times"/>
          <w:i/>
          <w:sz w:val="20"/>
        </w:rPr>
        <w:t>Administrative Services Agreement.</w:t>
      </w:r>
      <w:r>
        <w:rPr>
          <w:rFonts w:ascii="times" w:hAnsi="times"/>
        </w:rPr>
        <w:t>    </w:t>
      </w:r>
      <w:r>
        <w:rPr>
          <w:rFonts w:ascii="times" w:hAnsi="times"/>
          <w:sz w:val="20"/>
        </w:rPr>
        <w:t xml:space="preserve">On October 14, 2005, Plains All American GP LLC ("GP LLC") and Vulcan Energy entered into an Administrative Services Agreement, effective as of September 1, 2005 (the "Services Agreement"). Pursuant to the Services Agreement, GP LLC provides administrative services to Vulcan Energy for consideration of an annual fee, plus certain expenses. Effective October 1, 2006, the annual fee for providing these services was increased to $1 million. Beginning in October 2008, the Services Agreement automatically renews for successive one-year periods unless either party provides written notice of its intention to terminate the Services Agreement. Pursuant to the agreement, Vulcan Energy has appointed certain employees of GP LLC as officers of Vulcan Energy for administrative efficiency. Under the Services Agreement, Vulcan Energy acknowledges that conflicts may arise between itself and GP LLC. If GP LLC believes that a specific service is in conflict with the best interest of GP LLC or its affiliates then GP LLC is entitled to suspend the provision of that service and such a suspension will not constitute a breach of the Services Agreement. </w:t>
      </w:r>
    </w:p>
    <w:p>
      <w:pPr>
        <w:pStyle w:val="TextBody"/>
        <w:rPr/>
      </w:pPr>
      <w:r>
        <w:rPr/>
        <w:t>        </w:t>
      </w:r>
      <w:r>
        <w:rPr>
          <w:rFonts w:ascii="times" w:hAnsi="times"/>
          <w:i/>
          <w:sz w:val="20"/>
        </w:rPr>
        <w:t>Omnibus Agreement.</w:t>
      </w:r>
      <w:r>
        <w:rPr>
          <w:rFonts w:ascii="times" w:hAnsi="times"/>
        </w:rPr>
        <w:t>    </w:t>
      </w:r>
      <w:r>
        <w:rPr>
          <w:rFonts w:ascii="times" w:hAnsi="times"/>
          <w:sz w:val="20"/>
        </w:rPr>
        <w:t xml:space="preserve">PAA, GP LLC, certain affiliated entities and Vulcan Energy are parties to an amended and restated omnibus agreement dated as of July 23, 2004. Pursuant to this agreement, Vulcan Energy has agreed, so long as Vulcan Energy or any of its affiliates owns an interest, directly or indirectly, in GP LLC, not to engage in or acquire any business engaged in the following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crude oil storage, terminalling and gathering activities in any state in the United States (except for Hawaii), the Outer Continental Shelf of the United States or any province or territory in Canada, for any person other than entities affiliated with Vulcan Energy and its affiliates (collectively, the "Vulcan entities") or GP LLC, PAA, its operating partnerships and any controlled affiliates (collectively, the "Plains entities");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crude oil marketing activities;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transportation of crude oil by pipeline in any state in the United States (except for Hawaii), the Outer Continental Shelf of the United States or any province or territory in Canada, for any person other than the Plains entities. </w:t>
      </w:r>
    </w:p>
    <w:p>
      <w:pPr>
        <w:pStyle w:val="TextBody"/>
        <w:rPr/>
      </w:pPr>
      <w:r>
        <w:rPr/>
        <w:t>        </w:t>
      </w:r>
      <w:r>
        <w:rPr>
          <w:rFonts w:ascii="times" w:hAnsi="times"/>
          <w:sz w:val="20"/>
        </w:rPr>
        <w:t xml:space="preserve">These restrictions are subject to specified permitted exceptions and may be terminated by Vulcan Energy upon certain change of control events involving Vulcan Energy. The omnibus agreement further permits, except as otherwise restricted by the omnibus agreement or any other agreement, each Vulcan entity to engage in any business activity, including those that may be in direct competition with the Plains entities. Further, any owner of equity interests in Vulcan Energy may make passive investments in PAA's competitors so long as such owner does not directly or indirectly use any knowledge or </w:t>
      </w:r>
    </w:p>
    <w:p>
      <w:pPr>
        <w:pStyle w:val="TextBody"/>
        <w:jc w:val="center"/>
        <w:rPr>
          <w:rFonts w:ascii="times" w:hAnsi="times"/>
          <w:sz w:val="20"/>
        </w:rPr>
      </w:pPr>
      <w:r>
        <w:rPr>
          <w:rFonts w:ascii="times" w:hAnsi="times"/>
          <w:sz w:val="20"/>
        </w:rPr>
        <w:t>F-45</w:t>
      </w:r>
    </w:p>
    <w:p>
      <w:pPr>
        <w:pStyle w:val="HorizontalLine"/>
        <w:pBdr>
          <w:bottom w:val="single" w:sz="20" w:space="0" w:color="808080"/>
        </w:pBdr>
        <w:rPr/>
      </w:pPr>
      <w:r>
        <w:rPr/>
      </w:r>
      <w:r>
        <w:br w:type="page"/>
      </w:r>
    </w:p>
    <w:p>
      <w:pPr>
        <w:pStyle w:val="TextBody"/>
        <w:rPr/>
      </w:pPr>
      <w:hyperlink w:anchor="bg12101a_main_toc">
        <w:bookmarkStart w:id="279" w:name="page_fu12101_1_46"/>
        <w:bookmarkEnd w:id="27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9Related Party Transactions (Continued) </w:t>
      </w:r>
    </w:p>
    <w:p>
      <w:pPr>
        <w:pStyle w:val="TextBody"/>
        <w:rPr/>
      </w:pPr>
      <w:r>
        <w:rPr/>
      </w:r>
    </w:p>
    <w:p>
      <w:pPr>
        <w:pStyle w:val="TextBody"/>
        <w:rPr>
          <w:rFonts w:ascii="times" w:hAnsi="times"/>
          <w:sz w:val="20"/>
        </w:rPr>
      </w:pPr>
      <w:r>
        <w:rPr>
          <w:rFonts w:ascii="times" w:hAnsi="times"/>
          <w:sz w:val="20"/>
        </w:rPr>
        <w:t xml:space="preserve">confidential information it received through the ownership by a Plains entity to compete, or to engage in or become interested financially in any person that competes, in the restricted activities described above. </w:t>
      </w:r>
    </w:p>
    <w:p>
      <w:pPr>
        <w:pStyle w:val="TextBody"/>
        <w:rPr/>
      </w:pPr>
      <w:r>
        <w:rPr/>
        <w:t>        </w:t>
      </w:r>
      <w:r>
        <w:rPr>
          <w:rFonts w:ascii="times" w:hAnsi="times"/>
          <w:i/>
          <w:sz w:val="20"/>
        </w:rPr>
        <w:t>Crude Oil Purchases.</w:t>
      </w:r>
      <w:r>
        <w:rPr>
          <w:rFonts w:ascii="times" w:hAnsi="times"/>
        </w:rPr>
        <w:t>    </w:t>
      </w:r>
      <w:r>
        <w:rPr>
          <w:rFonts w:ascii="times" w:hAnsi="times"/>
          <w:sz w:val="20"/>
        </w:rPr>
        <w:t xml:space="preserve">From August 2005 to May 2007, Calumet Florida L.L.C ("Calumet") was owned by Vulcan Resources Florida, Inc., the majority of which is owned by Paul G. Allen. In May 2007, Calumet was sold and ceased to be related to Vulcan Energy. In 2007, until the date that Calumet ceased to be related to Vulcan Energy, we purchased crude oil from Calumet for approximately $17 million. We paid approximately $45 million to Calumet for crude oil purchases in 2006. </w:t>
      </w:r>
    </w:p>
    <w:p>
      <w:pPr>
        <w:pStyle w:val="TextBody"/>
        <w:rPr>
          <w:rFonts w:ascii="times" w:hAnsi="times"/>
          <w:b/>
          <w:i/>
          <w:sz w:val="20"/>
        </w:rPr>
      </w:pPr>
      <w:r>
        <w:rPr>
          <w:rFonts w:ascii="times" w:hAnsi="times"/>
          <w:b/>
          <w:i/>
          <w:sz w:val="20"/>
        </w:rPr>
        <w:t xml:space="preserve">Investment in PAA/Vulcan Gas Storage, LLC </w:t>
      </w:r>
    </w:p>
    <w:p>
      <w:pPr>
        <w:pStyle w:val="TextBody"/>
        <w:rPr/>
      </w:pPr>
      <w:r>
        <w:rPr/>
        <w:t>        </w:t>
      </w:r>
      <w:r>
        <w:rPr>
          <w:rFonts w:ascii="times" w:hAnsi="times"/>
          <w:sz w:val="20"/>
        </w:rPr>
        <w:t xml:space="preserve">PAA/Vulcan, a limited liability company, was formed in 2005. We own 50% of PAA/Vulcan and the other 50% is owned by Vulcan Gas Storage LLC, a subsidiary of Vulcan Capital Private Equity I LLC which is an affiliate of Vulcan Energy. W. Lance Conn, a member of our board of directors, has a profits interest in Vulcan Gas Storage LLC. The Board of Directors of PAA/Vulcan consists of an equal number of our representatives and representatives of Vulcan Gas Storage and is responsible for providing strategic direction and policy-making. We, as the managing member, are responsible for the day-to-day operations. PAA/Vulcan is not a variable interest entity, and we do not have the ability to control the entity; therefore, we account for the investment under the equity method in accordance with APB 18. This investment is reflected in investments in unconsolidated entities in our consolidated balance sheet. </w:t>
      </w:r>
    </w:p>
    <w:p>
      <w:pPr>
        <w:pStyle w:val="TextBody"/>
        <w:rPr/>
      </w:pPr>
      <w:r>
        <w:rPr/>
        <w:t>        </w:t>
      </w:r>
      <w:r>
        <w:rPr>
          <w:rFonts w:ascii="times" w:hAnsi="times"/>
          <w:sz w:val="20"/>
        </w:rPr>
        <w:t xml:space="preserve">In September 2005, PAA/Vulcan acquired ECI, an indirect subsidiary of Sempra Energy, for approximately $250 million. We and Vulcan Gas Storage LLC each made an initial cash investment of approximately $113 million and Bluewater Natural Gas Holdings, LLC, a subsidiary of PAA/Vulcan ("Bluewater"), entered into a $90 million credit facility contemporaneously with closing. In August 2006, the borrowing capacity under this facility was increased to $120 million. </w:t>
      </w:r>
    </w:p>
    <w:p>
      <w:pPr>
        <w:pStyle w:val="TextBody"/>
        <w:rPr/>
      </w:pPr>
      <w:r>
        <w:rPr/>
        <w:t>        </w:t>
      </w:r>
      <w:r>
        <w:rPr>
          <w:rFonts w:ascii="times" w:hAnsi="times"/>
          <w:sz w:val="20"/>
        </w:rPr>
        <w:t xml:space="preserve">PAA/Vulcan is developing a natural gas storage facility through its wholly owned subsidiary, Pine Prairie Energy Center, LLC ("Pine Prairie"). Proper functioning of the Pine Prairie storage caverns will require a minimum operating inventory contained in the caverns at all times (referred to as "base gas"). We have arranged to provide the base gas for the storage facility to Pine Prairie at a price not to exceed $8.50 per million cubic feet. In conjunction with this arrangement, we executed hedges on the NYMEX for the relevant delivery periods. At the time of delivery, the base gas will be sold to PAA/Vulcan at the average price that we pay for the base gas (including hedge gains or losses) and we will not recognize any gain or loss. We recorded deferred revenue for receipt of a one-time fee of approximately $1 million for our services to own and manage the hedge positions and to deliver the natural gas. </w:t>
      </w:r>
    </w:p>
    <w:p>
      <w:pPr>
        <w:pStyle w:val="TextBody"/>
        <w:rPr/>
      </w:pPr>
      <w:r>
        <w:rPr/>
        <w:t>        </w:t>
      </w:r>
      <w:r>
        <w:rPr>
          <w:rFonts w:ascii="times" w:hAnsi="times"/>
          <w:sz w:val="20"/>
        </w:rPr>
        <w:t xml:space="preserve">We and Vulcan Gas Storage are both required to make capital contributions in equal proportions to fund equity requests associated with certain projects specified in the joint venture and other agreements. For certain other specified projects, Vulcan Gas Storage has the right, but not the obligation, to participate for up to 50% of such equity requests. In some cases, Vulcan Gas Storage's obligation is subject to a maximum amount, beyond which Vulcan Gas Storage's participation is optional. For any other capital expenditures, or capital expenditures with respect to which Vulcan Gas </w:t>
      </w:r>
    </w:p>
    <w:p>
      <w:pPr>
        <w:pStyle w:val="TextBody"/>
        <w:jc w:val="center"/>
        <w:rPr>
          <w:rFonts w:ascii="times" w:hAnsi="times"/>
          <w:sz w:val="20"/>
        </w:rPr>
      </w:pPr>
      <w:r>
        <w:rPr>
          <w:rFonts w:ascii="times" w:hAnsi="times"/>
          <w:sz w:val="20"/>
        </w:rPr>
        <w:t>F-46</w:t>
      </w:r>
    </w:p>
    <w:p>
      <w:pPr>
        <w:pStyle w:val="HorizontalLine"/>
        <w:pBdr>
          <w:bottom w:val="single" w:sz="20" w:space="0" w:color="808080"/>
        </w:pBdr>
        <w:rPr/>
      </w:pPr>
      <w:r>
        <w:rPr/>
      </w:r>
      <w:r>
        <w:br w:type="page"/>
      </w:r>
    </w:p>
    <w:p>
      <w:pPr>
        <w:pStyle w:val="TextBody"/>
        <w:rPr/>
      </w:pPr>
      <w:hyperlink w:anchor="bg12101a_main_toc">
        <w:bookmarkStart w:id="280" w:name="page_fu12101_1_47"/>
        <w:bookmarkEnd w:id="28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9Related Party Transactions (Continued) </w:t>
      </w:r>
    </w:p>
    <w:p>
      <w:pPr>
        <w:pStyle w:val="TextBody"/>
        <w:rPr/>
      </w:pPr>
      <w:r>
        <w:rPr/>
      </w:r>
    </w:p>
    <w:p>
      <w:pPr>
        <w:pStyle w:val="TextBody"/>
        <w:rPr>
          <w:rFonts w:ascii="times" w:hAnsi="times"/>
          <w:sz w:val="20"/>
        </w:rPr>
      </w:pPr>
      <w:r>
        <w:rPr>
          <w:rFonts w:ascii="times" w:hAnsi="times"/>
          <w:sz w:val="20"/>
        </w:rPr>
        <w:t xml:space="preserve">Storage's participation is optional, if Vulcan Gas Storage elects not to participate, we have the right to make additional capital contributions to fund 100% of the project until our interest in PAA/Vulcan equals 70%. Such contributions would increase our interest in PAA/Vulcan and dilute Vulcan Gas Storage's interest. Once PAA's ownership interest is 70% or more, Vulcan Gas Storage would have the right, but not the obligation, to make future capital contributions proportionate to its ownership interest at the time. During 2008 and 2007, we contributed an additional $37 million and $9 million, respectively, to PAA/Vulcan. During 2008, we received distributions of approximately $7 million from PAA/Vulcan; no such distributions were received during 2007. Vulcan Gas Storage made the same net contribution as we did during 2008 and 2007. Such contributions and distributions did not result in an increase or decrease to our ownership interest. In connection with the construction financing for development of the Pine Prairie storage facility, we and Vulcan Gas Storage have committed to make future aggregate capital contributions up to a maximum of $17.5 million each. </w:t>
      </w:r>
    </w:p>
    <w:p>
      <w:pPr>
        <w:pStyle w:val="TextBody"/>
        <w:rPr/>
      </w:pPr>
      <w:r>
        <w:rPr/>
        <w:t>        </w:t>
      </w:r>
      <w:r>
        <w:rPr>
          <w:rFonts w:ascii="times" w:hAnsi="times"/>
          <w:sz w:val="20"/>
        </w:rPr>
        <w:t xml:space="preserve">In conjunction with the formation of PAA/Vulcan, PAA and Paul G. Allen provided performance and financial guarantees to the seller with respect to PAA/Vulcan's performance under the purchase agreement, as well as in support of continuing guarantees of the seller with respect to ECI's obligations under certain gas storage and other contracts. PAA and Paul G. Allen would be required to perform under these guarantees only if ECI was unable to perform. In addition, we provided a guarantee under one contract with an indefinite life for which neither Vulcan Capital nor Paul G. Allen provided a guarantee. In exchange for the disproportionate guarantee, PAA will receive preference distributions totaling $1 million over ten years from PAA/Vulcan (distributions that would otherwise have been paid to Vulcan Gas Storage). We believe that the fair value of the obligation to stand ready to perform is minimal. In addition, we believe the probability that we would be required to perform under the guaranty is extremely remote; however, there is no dollar limitation on potential future payments that fall under this obligation. </w:t>
      </w:r>
    </w:p>
    <w:p>
      <w:pPr>
        <w:pStyle w:val="TextBody"/>
        <w:rPr/>
      </w:pPr>
      <w:r>
        <w:rPr/>
        <w:t>        </w:t>
      </w:r>
      <w:r>
        <w:rPr>
          <w:rFonts w:ascii="times" w:hAnsi="times"/>
          <w:sz w:val="20"/>
        </w:rPr>
        <w:t xml:space="preserve">PAA/Vulcan reimburses us for the allocated costs of PAA's non-officer staff associated with the management and day-to-day operations of PAA/Vulcan and all out-of-pocket costs. In addition, in the first fiscal year that EBITDA (as defined in the PAA/Vulcan LLC agreement) of PAA/Vulcan exceeds $75 million, we will receive a distribution from PAA/Vulcan equal to $6 million per year for each year since formation of the joint venture, subject to a maximum of 5 years or $30 million. Thereafter, we will receive annually a distribution equal to the greater of $2 million per year or two percent of the EBITDA of PAA/Vulcan. </w:t>
      </w:r>
    </w:p>
    <w:p>
      <w:pPr>
        <w:pStyle w:val="TextBody"/>
        <w:rPr>
          <w:rFonts w:ascii="times" w:hAnsi="times"/>
          <w:b/>
          <w:i/>
          <w:sz w:val="20"/>
        </w:rPr>
      </w:pPr>
      <w:r>
        <w:rPr>
          <w:rFonts w:ascii="times" w:hAnsi="times"/>
          <w:b/>
          <w:i/>
          <w:sz w:val="20"/>
        </w:rPr>
        <w:t xml:space="preserve">Equity Offerings </w:t>
      </w:r>
    </w:p>
    <w:p>
      <w:pPr>
        <w:pStyle w:val="TextBody"/>
        <w:rPr/>
      </w:pPr>
      <w:r>
        <w:rPr/>
        <w:t>        </w:t>
      </w:r>
      <w:r>
        <w:rPr>
          <w:rFonts w:ascii="times" w:hAnsi="times"/>
          <w:sz w:val="20"/>
        </w:rPr>
        <w:t xml:space="preserve">In December 2006, we sold 6,163,960 common units, approximately 10% of which were sold to investment funds affiliated with Kayne Anderson Capital Advisors, L.P. ("KACALP") and 10% to EnCap Investments, L.P. In July and August 2006, we sold a total of 3,720,930 common units, approximately 19% and 13% of which were sold to investment funds affiliated with Vulcan Capital and KACALP, respectively. In March and April 2006, we sold 3,504,672 common units, approximately 20% of which were sold to investment funds affiliated with KACALP. KAFU Holdings, L.P. (which is managed by KACALP), an affiliate of EnCap and an affiliate of Vulcan Capital each have a representative on our board of directors. </w:t>
      </w:r>
    </w:p>
    <w:p>
      <w:pPr>
        <w:pStyle w:val="TextBody"/>
        <w:jc w:val="center"/>
        <w:rPr>
          <w:rFonts w:ascii="times" w:hAnsi="times"/>
          <w:sz w:val="20"/>
        </w:rPr>
      </w:pPr>
      <w:r>
        <w:rPr>
          <w:rFonts w:ascii="times" w:hAnsi="times"/>
          <w:sz w:val="20"/>
        </w:rPr>
        <w:t>F-47</w:t>
      </w:r>
    </w:p>
    <w:p>
      <w:pPr>
        <w:pStyle w:val="HorizontalLine"/>
        <w:pBdr>
          <w:bottom w:val="single" w:sz="20" w:space="0" w:color="808080"/>
        </w:pBdr>
        <w:rPr/>
      </w:pPr>
      <w:r>
        <w:rPr/>
      </w:r>
      <w:r>
        <w:br w:type="page"/>
      </w:r>
    </w:p>
    <w:p>
      <w:pPr>
        <w:pStyle w:val="TextBody"/>
        <w:rPr/>
      </w:pPr>
      <w:hyperlink w:anchor="bg12101a_main_toc">
        <w:bookmarkStart w:id="281" w:name="page_fu12101_1_48"/>
        <w:bookmarkEnd w:id="28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10Equity Compensation Plans </w:t>
      </w:r>
    </w:p>
    <w:p>
      <w:pPr>
        <w:pStyle w:val="TextBody"/>
        <w:rPr/>
      </w:pPr>
      <w:r>
        <w:rPr/>
        <w:t>        </w:t>
      </w:r>
      <w:r>
        <w:rPr>
          <w:rFonts w:ascii="times" w:hAnsi="times"/>
          <w:sz w:val="20"/>
        </w:rPr>
        <w:t xml:space="preserve">Our general partner has adopted the Plains All American GP LLC 1998 Long-Term Incentive Plan (the "1998 Plan"), the 2005 Long-Term Incentive Plan (the "2005 Plan") and the PPX Successor Long-Term Incentive Plan (the "PPX Successor Plan") for employees and directors as well as the Plains All American GP LLC 2006 Long- Term Incentive Tracking Unit Plan (the "2006 Plan") for non-officer employees. The 1998 Plan, 2005 Plan and PPX Successor Plan authorize the grant of an aggregate of 5.4 million common units deliverable upon vesting. Although other types of awards are contemplated under the plans, currently outstanding awards are limited to "phantom units," which mature into the right to receive common units (or cash equivalent) upon vesting. Some awards also include distribution equivalent rights ("DERs"). Subject to applicable earning criteria, a DER entitles the grantee to a cash payment equal to the cash distribution paid on an outstanding common unit. The 2006 Plan authorizes the grant of approximately 1.4 million "tracking units" which, upon vesting, represent the right to receive a cash payment in an amount based upon the market value of a common unit at the time of vesting. Our general partner will be entitled to reimbursement by us for any costs incurred in settling obligations under the plans. </w:t>
      </w:r>
    </w:p>
    <w:p>
      <w:pPr>
        <w:pStyle w:val="TextBody"/>
        <w:rPr/>
      </w:pPr>
      <w:r>
        <w:rPr/>
        <w:t>        </w:t>
      </w:r>
      <w:r>
        <w:rPr>
          <w:rFonts w:ascii="times" w:hAnsi="times"/>
          <w:sz w:val="20"/>
        </w:rPr>
        <w:t xml:space="preserve">Under SFAS 123(R) the fair value of our LTIP awards, which are subject to liability classification, is calculated based on the closing market price of our units at each balance sheet date adjusted for (i) the present value of any distributions that are estimated to occur on the underlying units over the vesting period that will not be received by the award recipients and (ii) an estimated forfeiture rate when appropriate. This fair value is recognized as compensation expense over the period the awards are earned. Our LTIP awards typically contain performance conditions based on attainment of certain annualized distribution levels and vest upon the later of a certain date or the attainment of such levels. For awards with performance conditions, we recognize compensation expense only if the achievement of the performance condition is considered probable and amortize that expense over the service period. When awards with performance conditions that were previously considered improbable of occurring become probable of occurring, we incur additional LTIP compensation expense necessary to adjust the life-to-date accrued liability associated with these awards. Our DER awards typically contain performance conditions based on the attainment of certain annualized distribution levels and become earned upon the earlier of a certain date or the attainment of such levels. The DERs terminate with the vesting or forfeiture of the underlying LTIP award. We recognize compensation expense for DER payments in the period the payment is earned. </w:t>
      </w:r>
    </w:p>
    <w:p>
      <w:pPr>
        <w:pStyle w:val="TextBody"/>
        <w:rPr/>
      </w:pPr>
      <w:r>
        <w:rPr/>
        <w:t>        </w:t>
      </w:r>
      <w:r>
        <w:rPr>
          <w:rFonts w:ascii="times" w:hAnsi="times"/>
          <w:sz w:val="20"/>
        </w:rPr>
        <w:t xml:space="preserve">At December 31, 2008 we have the following LTIP awards outstanding (units in millions): </w:t>
      </w:r>
    </w:p>
    <w:tbl>
      <w:tblPr>
        <w:tblW w:w="5984" w:type="dxa"/>
        <w:jc w:val="center"/>
        <w:tblInd w:w="0" w:type="dxa"/>
        <w:tblCellMar>
          <w:top w:w="0" w:type="dxa"/>
          <w:left w:w="0" w:type="dxa"/>
          <w:bottom w:w="0" w:type="dxa"/>
          <w:right w:w="0" w:type="dxa"/>
        </w:tblCellMar>
      </w:tblPr>
      <w:tblGrid>
        <w:gridCol w:w="142"/>
        <w:gridCol w:w="657"/>
        <w:gridCol w:w="525"/>
        <w:gridCol w:w="1100"/>
        <w:gridCol w:w="525"/>
        <w:gridCol w:w="75"/>
        <w:gridCol w:w="275"/>
        <w:gridCol w:w="525"/>
        <w:gridCol w:w="75"/>
        <w:gridCol w:w="275"/>
        <w:gridCol w:w="525"/>
        <w:gridCol w:w="75"/>
        <w:gridCol w:w="275"/>
        <w:gridCol w:w="525"/>
        <w:gridCol w:w="75"/>
        <w:gridCol w:w="275"/>
        <w:gridCol w:w="60"/>
      </w:tblGrid>
      <w:tr>
        <w:trPr/>
        <w:tc>
          <w:tcPr>
            <w:tcW w:w="142"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799" w:type="dxa"/>
            <w:gridSpan w:val="2"/>
            <w:tcBorders/>
            <w:shd w:fill="auto" w:val="clear"/>
            <w:vAlign w:val="bottom"/>
          </w:tcPr>
          <w:p>
            <w:pPr>
              <w:pStyle w:val="TableHeading"/>
              <w:spacing w:before="0" w:after="283"/>
              <w:jc w:val="left"/>
              <w:rPr/>
            </w:pPr>
            <w:r>
              <w:rPr/>
              <w:t> </w:t>
            </w:r>
          </w:p>
        </w:tc>
        <w:tc>
          <w:tcPr>
            <w:tcW w:w="525" w:type="dxa"/>
            <w:tcBorders/>
            <w:shd w:fill="auto" w:val="clear"/>
            <w:vAlign w:val="bottom"/>
          </w:tcPr>
          <w:p>
            <w:pPr>
              <w:pStyle w:val="TableHeading"/>
              <w:suppressLineNumbers/>
              <w:spacing w:before="0" w:after="283"/>
              <w:jc w:val="center"/>
              <w:rPr/>
            </w:pPr>
            <w:r>
              <w:rPr/>
              <w:t> </w:t>
            </w:r>
          </w:p>
        </w:tc>
        <w:tc>
          <w:tcPr>
            <w:tcW w:w="1100" w:type="dxa"/>
            <w:tcBorders/>
            <w:shd w:fill="auto" w:val="clear"/>
            <w:vAlign w:val="bottom"/>
          </w:tcPr>
          <w:p>
            <w:pPr>
              <w:pStyle w:val="TableHeading"/>
              <w:spacing w:before="0" w:after="283"/>
              <w:jc w:val="left"/>
              <w:rPr/>
            </w:pPr>
            <w:r>
              <w:rPr/>
              <w:t> </w:t>
            </w:r>
          </w:p>
        </w:tc>
        <w:tc>
          <w:tcPr>
            <w:tcW w:w="525" w:type="dxa"/>
            <w:vMerge w:val="restart"/>
            <w:tcBorders/>
            <w:shd w:fill="auto" w:val="clear"/>
            <w:vAlign w:val="bottom"/>
          </w:tcPr>
          <w:p>
            <w:pPr>
              <w:pStyle w:val="TableHeading"/>
              <w:suppressLineNumbers/>
              <w:spacing w:before="0" w:after="283"/>
              <w:jc w:val="center"/>
              <w:rPr/>
            </w:pPr>
            <w:r>
              <w:rPr/>
              <w:t> </w:t>
            </w:r>
          </w:p>
        </w:tc>
        <w:tc>
          <w:tcPr>
            <w:tcW w:w="2975" w:type="dxa"/>
            <w:gridSpan w:val="11"/>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Estimated Unit Vesting Date </w:t>
            </w:r>
          </w:p>
        </w:tc>
        <w:tc>
          <w:tcPr>
            <w:tcW w:w="60" w:type="dxa"/>
            <w:tcBorders/>
            <w:shd w:fill="auto" w:val="clear"/>
            <w:vAlign w:val="bottom"/>
          </w:tcPr>
          <w:p>
            <w:pPr>
              <w:pStyle w:val="TableHeading"/>
              <w:suppressLineNumbers/>
              <w:spacing w:before="0" w:after="283"/>
              <w:jc w:val="center"/>
              <w:rPr/>
            </w:pPr>
            <w:r>
              <w:rPr/>
              <w:t> </w:t>
            </w:r>
          </w:p>
        </w:tc>
      </w:tr>
      <w:tr>
        <w:trPr/>
        <w:tc>
          <w:tcPr>
            <w:tcW w:w="79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LTIP Units</w:t>
              <w:br/>
              <w:t xml:space="preserve">Outstanding </w:t>
            </w:r>
          </w:p>
        </w:tc>
        <w:tc>
          <w:tcPr>
            <w:tcW w:w="525" w:type="dxa"/>
            <w:vMerge w:val="restart"/>
            <w:tcBorders/>
            <w:shd w:fill="auto" w:val="clear"/>
            <w:vAlign w:val="bottom"/>
          </w:tcPr>
          <w:p>
            <w:pPr>
              <w:pStyle w:val="TableHeading"/>
              <w:suppressLineNumbers/>
              <w:spacing w:before="0" w:after="283"/>
              <w:jc w:val="center"/>
              <w:rPr/>
            </w:pPr>
            <w:r>
              <w:rPr/>
              <w:t> </w:t>
            </w:r>
          </w:p>
        </w:tc>
        <w:tc>
          <w:tcPr>
            <w:tcW w:w="1100" w:type="dxa"/>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Vesting</w:t>
              <w:br/>
              <w:t>Distribution</w:t>
              <w:br/>
              <w:t xml:space="preserve">Amount </w:t>
            </w:r>
          </w:p>
        </w:tc>
        <w:tc>
          <w:tcPr>
            <w:tcW w:w="525" w:type="dxa"/>
            <w:vMerge w:val="continue"/>
            <w:tcBorders/>
            <w:shd w:fill="auto" w:val="clear"/>
            <w:vAlign w:val="bottom"/>
          </w:tcPr>
          <w:p>
            <w:pPr>
              <w:pStyle w:val="Normal"/>
              <w:rPr/>
            </w:pPr>
            <w:r>
              <w:rPr/>
            </w:r>
          </w:p>
        </w:tc>
        <w:tc>
          <w:tcPr>
            <w:tcW w:w="2975" w:type="dxa"/>
            <w:gridSpan w:val="11"/>
            <w:vMerge w:val="continue"/>
            <w:tcBorders>
              <w:bottom w:val="single" w:sz="8"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Heading"/>
              <w:suppressLineNumbers/>
              <w:spacing w:before="0" w:after="283"/>
              <w:jc w:val="center"/>
              <w:rPr/>
            </w:pPr>
            <w:r>
              <w:rPr/>
              <w:t> </w:t>
            </w:r>
          </w:p>
        </w:tc>
      </w:tr>
      <w:tr>
        <w:trPr/>
        <w:tc>
          <w:tcPr>
            <w:tcW w:w="799" w:type="dxa"/>
            <w:gridSpan w:val="2"/>
            <w:vMerge w:val="continue"/>
            <w:tcBorders>
              <w:bottom w:val="single" w:sz="8" w:space="0" w:color="000000"/>
            </w:tcBorders>
            <w:shd w:fill="auto" w:val="clear"/>
            <w:tcMar>
              <w:bottom w:w="28" w:type="dxa"/>
            </w:tcMar>
            <w:vAlign w:val="bottom"/>
          </w:tcPr>
          <w:p>
            <w:pPr>
              <w:pStyle w:val="Normal"/>
              <w:rPr/>
            </w:pPr>
            <w:r>
              <w:rPr/>
            </w:r>
          </w:p>
        </w:tc>
        <w:tc>
          <w:tcPr>
            <w:tcW w:w="525" w:type="dxa"/>
            <w:vMerge w:val="continue"/>
            <w:tcBorders/>
            <w:shd w:fill="auto" w:val="clear"/>
            <w:vAlign w:val="bottom"/>
          </w:tcPr>
          <w:p>
            <w:pPr>
              <w:pStyle w:val="Normal"/>
              <w:rPr/>
            </w:pPr>
            <w:r>
              <w:rPr/>
            </w:r>
          </w:p>
        </w:tc>
        <w:tc>
          <w:tcPr>
            <w:tcW w:w="1100" w:type="dxa"/>
            <w:vMerge w:val="continue"/>
            <w:tcBorders>
              <w:bottom w:val="single" w:sz="8" w:space="0" w:color="000000"/>
            </w:tcBorders>
            <w:shd w:fill="auto" w:val="clear"/>
            <w:tcMar>
              <w:bottom w:w="28" w:type="dxa"/>
            </w:tcMar>
            <w:vAlign w:val="bottom"/>
          </w:tcPr>
          <w:p>
            <w:pPr>
              <w:pStyle w:val="Normal"/>
              <w:rPr/>
            </w:pPr>
            <w:r>
              <w:rPr/>
            </w:r>
          </w:p>
        </w:tc>
        <w:tc>
          <w:tcPr>
            <w:tcW w:w="525" w:type="dxa"/>
            <w:tcBorders/>
            <w:shd w:fill="auto" w:val="clear"/>
            <w:vAlign w:val="bottom"/>
          </w:tcPr>
          <w:p>
            <w:pPr>
              <w:pStyle w:val="TableHeading"/>
              <w:suppressLineNumbers/>
              <w:spacing w:before="0" w:after="283"/>
              <w:jc w:val="center"/>
              <w:rPr/>
            </w:pPr>
            <w:r>
              <w:rPr/>
              <w:t> </w:t>
            </w:r>
          </w:p>
        </w:tc>
        <w:tc>
          <w:tcPr>
            <w:tcW w:w="3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525" w:type="dxa"/>
            <w:tcBorders/>
            <w:shd w:fill="auto" w:val="clear"/>
            <w:vAlign w:val="bottom"/>
          </w:tcPr>
          <w:p>
            <w:pPr>
              <w:pStyle w:val="TableHeading"/>
              <w:suppressLineNumbers/>
              <w:spacing w:before="0" w:after="283"/>
              <w:jc w:val="center"/>
              <w:rPr/>
            </w:pPr>
            <w:r>
              <w:rPr/>
              <w:t> </w:t>
            </w:r>
          </w:p>
        </w:tc>
        <w:tc>
          <w:tcPr>
            <w:tcW w:w="3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525" w:type="dxa"/>
            <w:tcBorders/>
            <w:shd w:fill="auto" w:val="clear"/>
            <w:vAlign w:val="bottom"/>
          </w:tcPr>
          <w:p>
            <w:pPr>
              <w:pStyle w:val="TableHeading"/>
              <w:suppressLineNumbers/>
              <w:spacing w:before="0" w:after="283"/>
              <w:jc w:val="center"/>
              <w:rPr/>
            </w:pPr>
            <w:r>
              <w:rPr/>
              <w:t> </w:t>
            </w:r>
          </w:p>
        </w:tc>
        <w:tc>
          <w:tcPr>
            <w:tcW w:w="3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525" w:type="dxa"/>
            <w:tcBorders/>
            <w:shd w:fill="auto" w:val="clear"/>
            <w:vAlign w:val="bottom"/>
          </w:tcPr>
          <w:p>
            <w:pPr>
              <w:pStyle w:val="TableHeading"/>
              <w:suppressLineNumbers/>
              <w:spacing w:before="0" w:after="283"/>
              <w:jc w:val="center"/>
              <w:rPr/>
            </w:pPr>
            <w:r>
              <w:rPr/>
              <w:t> </w:t>
            </w:r>
          </w:p>
        </w:tc>
        <w:tc>
          <w:tcPr>
            <w:tcW w:w="3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60" w:type="dxa"/>
            <w:tcBorders/>
            <w:shd w:fill="auto" w:val="clear"/>
            <w:vAlign w:val="bottom"/>
          </w:tcPr>
          <w:p>
            <w:pPr>
              <w:pStyle w:val="TableHeading"/>
              <w:suppressLineNumbers/>
              <w:spacing w:before="0" w:after="283"/>
              <w:jc w:val="center"/>
              <w:rPr/>
            </w:pPr>
            <w:r>
              <w:rPr/>
              <w:t> </w:t>
            </w:r>
          </w:p>
        </w:tc>
      </w:tr>
      <w:tr>
        <w:trPr/>
        <w:tc>
          <w:tcPr>
            <w:tcW w:w="142" w:type="dxa"/>
            <w:tcBorders/>
            <w:shd w:fill="CCEEFF" w:val="clear"/>
          </w:tcPr>
          <w:p>
            <w:pPr>
              <w:pStyle w:val="TableContents"/>
              <w:spacing w:before="0" w:after="283"/>
              <w:rPr/>
            </w:pPr>
            <w:r>
              <w:rPr/>
              <w:t> </w:t>
            </w:r>
          </w:p>
        </w:tc>
        <w:tc>
          <w:tcPr>
            <w:tcW w:w="657" w:type="dxa"/>
            <w:tcBorders/>
            <w:shd w:fill="CCEEFF" w:val="clear"/>
          </w:tcPr>
          <w:p>
            <w:pPr>
              <w:pStyle w:val="TableContents"/>
              <w:spacing w:before="0" w:after="283"/>
              <w:jc w:val="right"/>
              <w:rPr>
                <w:rFonts w:ascii="times" w:hAnsi="times"/>
                <w:sz w:val="20"/>
              </w:rPr>
            </w:pPr>
            <w:r>
              <w:rPr>
                <w:rFonts w:ascii="times" w:hAnsi="times"/>
                <w:sz w:val="20"/>
              </w:rPr>
              <w:t>1.3</w:t>
            </w:r>
          </w:p>
        </w:tc>
        <w:tc>
          <w:tcPr>
            <w:tcW w:w="5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(1)</w:t>
            </w:r>
          </w:p>
        </w:tc>
        <w:tc>
          <w:tcPr>
            <w:tcW w:w="1100" w:type="dxa"/>
            <w:tcBorders/>
            <w:shd w:fill="CCEEFF" w:val="clear"/>
          </w:tcPr>
          <w:p>
            <w:pPr>
              <w:pStyle w:val="TableContents"/>
              <w:spacing w:before="0" w:after="283"/>
              <w:jc w:val="right"/>
              <w:rPr>
                <w:rFonts w:ascii="times" w:hAnsi="times"/>
                <w:sz w:val="20"/>
              </w:rPr>
            </w:pPr>
            <w:r>
              <w:rPr>
                <w:rFonts w:ascii="times" w:hAnsi="times"/>
                <w:sz w:val="20"/>
              </w:rPr>
              <w:t>$3.20</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0.6</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0.7</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142" w:type="dxa"/>
            <w:tcBorders/>
            <w:shd w:fill="FFFFFF" w:val="clear"/>
          </w:tcPr>
          <w:p>
            <w:pPr>
              <w:pStyle w:val="TableContents"/>
              <w:spacing w:before="0" w:after="283"/>
              <w:rPr/>
            </w:pPr>
            <w:r>
              <w:rPr/>
              <w:t> </w:t>
            </w:r>
          </w:p>
        </w:tc>
        <w:tc>
          <w:tcPr>
            <w:tcW w:w="657" w:type="dxa"/>
            <w:tcBorders/>
            <w:shd w:fill="FFFFFF" w:val="clear"/>
          </w:tcPr>
          <w:p>
            <w:pPr>
              <w:pStyle w:val="TableContents"/>
              <w:spacing w:before="0" w:after="283"/>
              <w:jc w:val="right"/>
              <w:rPr>
                <w:rFonts w:ascii="times" w:hAnsi="times"/>
                <w:sz w:val="20"/>
              </w:rPr>
            </w:pPr>
            <w:r>
              <w:rPr>
                <w:rFonts w:ascii="times" w:hAnsi="times"/>
                <w:sz w:val="20"/>
              </w:rPr>
              <w:t>1.3</w:t>
            </w:r>
          </w:p>
        </w:tc>
        <w:tc>
          <w:tcPr>
            <w:tcW w:w="5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(2)</w:t>
            </w:r>
          </w:p>
        </w:tc>
        <w:tc>
          <w:tcPr>
            <w:tcW w:w="1100" w:type="dxa"/>
            <w:tcBorders/>
            <w:shd w:fill="FFFFFF" w:val="clear"/>
          </w:tcPr>
          <w:p>
            <w:pPr>
              <w:pStyle w:val="TableContents"/>
              <w:spacing w:before="0" w:after="283"/>
              <w:jc w:val="right"/>
              <w:rPr>
                <w:rFonts w:ascii="times" w:hAnsi="times"/>
                <w:sz w:val="20"/>
              </w:rPr>
            </w:pPr>
            <w:r>
              <w:rPr>
                <w:rFonts w:ascii="times" w:hAnsi="times"/>
                <w:sz w:val="20"/>
              </w:rPr>
              <w:t>$3.50 - $4.50</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0.8</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0.5</w:t>
            </w:r>
          </w:p>
        </w:tc>
        <w:tc>
          <w:tcPr>
            <w:tcW w:w="60" w:type="dxa"/>
            <w:tcBorders/>
            <w:shd w:fill="FFFFFF" w:val="clear"/>
          </w:tcPr>
          <w:p>
            <w:pPr>
              <w:pStyle w:val="TableContents"/>
              <w:spacing w:before="0" w:after="283"/>
              <w:rPr/>
            </w:pPr>
            <w:r>
              <w:rPr/>
              <w:t> </w:t>
            </w:r>
          </w:p>
        </w:tc>
      </w:tr>
      <w:tr>
        <w:trPr/>
        <w:tc>
          <w:tcPr>
            <w:tcW w:w="142" w:type="dxa"/>
            <w:tcBorders/>
            <w:shd w:fill="CCEEFF" w:val="clear"/>
          </w:tcPr>
          <w:p>
            <w:pPr>
              <w:pStyle w:val="TableContents"/>
              <w:spacing w:before="0" w:after="283"/>
              <w:rPr/>
            </w:pPr>
            <w:r>
              <w:rPr/>
              <w:t> </w:t>
            </w:r>
          </w:p>
        </w:tc>
        <w:tc>
          <w:tcPr>
            <w:tcW w:w="657" w:type="dxa"/>
            <w:tcBorders/>
            <w:shd w:fill="CCEEFF" w:val="clear"/>
          </w:tcPr>
          <w:p>
            <w:pPr>
              <w:pStyle w:val="TableContents"/>
              <w:spacing w:before="0" w:after="283"/>
              <w:jc w:val="right"/>
              <w:rPr>
                <w:rFonts w:ascii="times" w:hAnsi="times"/>
                <w:sz w:val="20"/>
              </w:rPr>
            </w:pPr>
            <w:r>
              <w:rPr>
                <w:rFonts w:ascii="times" w:hAnsi="times"/>
                <w:sz w:val="20"/>
              </w:rPr>
              <w:t>1.3</w:t>
            </w:r>
          </w:p>
        </w:tc>
        <w:tc>
          <w:tcPr>
            <w:tcW w:w="525" w:type="dxa"/>
            <w:tcBorders/>
            <w:shd w:fill="CCEEFF" w:val="clear"/>
          </w:tcPr>
          <w:p>
            <w:pPr>
              <w:pStyle w:val="TableContents"/>
              <w:spacing w:before="0" w:after="283"/>
              <w:rPr>
                <w:rFonts w:ascii="times" w:hAnsi="times"/>
                <w:position w:val="7"/>
                <w:sz w:val="16"/>
                <w:sz w:val="20"/>
              </w:rPr>
            </w:pPr>
            <w:r>
              <w:rPr>
                <w:rFonts w:ascii="times" w:hAnsi="times"/>
                <w:position w:val="7"/>
                <w:sz w:val="16"/>
                <w:sz w:val="20"/>
              </w:rPr>
              <w:t>(3)</w:t>
            </w:r>
          </w:p>
        </w:tc>
        <w:tc>
          <w:tcPr>
            <w:tcW w:w="1100" w:type="dxa"/>
            <w:tcBorders/>
            <w:shd w:fill="CCEEFF" w:val="clear"/>
          </w:tcPr>
          <w:p>
            <w:pPr>
              <w:pStyle w:val="TableContents"/>
              <w:spacing w:before="0" w:after="283"/>
              <w:jc w:val="right"/>
              <w:rPr>
                <w:rFonts w:ascii="times" w:hAnsi="times"/>
                <w:sz w:val="20"/>
              </w:rPr>
            </w:pPr>
            <w:r>
              <w:rPr>
                <w:rFonts w:ascii="times" w:hAnsi="times"/>
                <w:sz w:val="20"/>
              </w:rPr>
              <w:t>$3.50 - $4.00</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0.8</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0.1</w:t>
            </w:r>
          </w:p>
        </w:tc>
        <w:tc>
          <w:tcPr>
            <w:tcW w:w="525" w:type="dxa"/>
            <w:tcBorders/>
            <w:shd w:fill="CCEEFF" w:val="clear"/>
          </w:tcPr>
          <w:p>
            <w:pPr>
              <w:pStyle w:val="TableContents"/>
              <w:spacing w:before="0" w:after="283"/>
              <w:rPr/>
            </w:pPr>
            <w:r>
              <w:rPr/>
              <w:t> </w:t>
            </w:r>
          </w:p>
        </w:tc>
        <w:tc>
          <w:tcPr>
            <w:tcW w:w="75" w:type="dxa"/>
            <w:tcBorders/>
            <w:shd w:fill="CCEEFF" w:val="clear"/>
          </w:tcPr>
          <w:p>
            <w:pPr>
              <w:pStyle w:val="TableContents"/>
              <w:spacing w:before="0" w:after="283"/>
              <w:rPr/>
            </w:pPr>
            <w:r>
              <w:rPr/>
              <w:t> </w:t>
            </w:r>
          </w:p>
        </w:tc>
        <w:tc>
          <w:tcPr>
            <w:tcW w:w="275" w:type="dxa"/>
            <w:tcBorders/>
            <w:shd w:fill="CCEEFF" w:val="clear"/>
          </w:tcPr>
          <w:p>
            <w:pPr>
              <w:pStyle w:val="TableContents"/>
              <w:spacing w:before="0" w:after="283"/>
              <w:jc w:val="right"/>
              <w:rPr>
                <w:rFonts w:ascii="times" w:hAnsi="times"/>
                <w:sz w:val="20"/>
              </w:rPr>
            </w:pPr>
            <w:r>
              <w:rPr>
                <w:rFonts w:ascii="times" w:hAnsi="times"/>
                <w:sz w:val="20"/>
              </w:rPr>
              <w:t>0.4</w:t>
            </w:r>
          </w:p>
        </w:tc>
        <w:tc>
          <w:tcPr>
            <w:tcW w:w="60" w:type="dxa"/>
            <w:tcBorders/>
            <w:shd w:fill="CCEEFF" w:val="clear"/>
          </w:tcPr>
          <w:p>
            <w:pPr>
              <w:pStyle w:val="TableContents"/>
              <w:spacing w:before="0" w:after="283"/>
              <w:rPr/>
            </w:pPr>
            <w:r>
              <w:rPr/>
              <w:t> </w:t>
            </w:r>
          </w:p>
        </w:tc>
      </w:tr>
      <w:tr>
        <w:trPr/>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1100" w:type="dxa"/>
            <w:tcBorders/>
            <w:shd w:fill="auto" w:val="cle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42" w:type="dxa"/>
            <w:tcBorders/>
            <w:shd w:fill="FFFFFF" w:val="clear"/>
          </w:tcPr>
          <w:p>
            <w:pPr>
              <w:pStyle w:val="TableContents"/>
              <w:spacing w:before="0" w:after="283"/>
              <w:rPr/>
            </w:pPr>
            <w:r>
              <w:rPr/>
              <w:t> </w:t>
            </w:r>
          </w:p>
        </w:tc>
        <w:tc>
          <w:tcPr>
            <w:tcW w:w="657" w:type="dxa"/>
            <w:tcBorders/>
            <w:shd w:fill="FFFFFF" w:val="clear"/>
          </w:tcPr>
          <w:p>
            <w:pPr>
              <w:pStyle w:val="TableContents"/>
              <w:spacing w:before="0" w:after="283"/>
              <w:jc w:val="right"/>
              <w:rPr>
                <w:rFonts w:ascii="times" w:hAnsi="times"/>
                <w:sz w:val="20"/>
              </w:rPr>
            </w:pPr>
            <w:r>
              <w:rPr>
                <w:rFonts w:ascii="times" w:hAnsi="times"/>
                <w:sz w:val="20"/>
              </w:rPr>
              <w:t>3.9</w:t>
            </w:r>
          </w:p>
        </w:tc>
        <w:tc>
          <w:tcPr>
            <w:tcW w:w="525" w:type="dxa"/>
            <w:tcBorders/>
            <w:shd w:fill="FFFFFF" w:val="clear"/>
          </w:tcPr>
          <w:p>
            <w:pPr>
              <w:pStyle w:val="TableContents"/>
              <w:spacing w:before="0" w:after="283"/>
              <w:rPr>
                <w:rFonts w:ascii="times" w:hAnsi="times"/>
                <w:position w:val="7"/>
                <w:sz w:val="16"/>
                <w:sz w:val="20"/>
              </w:rPr>
            </w:pPr>
            <w:r>
              <w:rPr>
                <w:rFonts w:ascii="times" w:hAnsi="times"/>
                <w:position w:val="7"/>
                <w:sz w:val="16"/>
                <w:sz w:val="20"/>
              </w:rPr>
              <w:t>(4)(5)</w:t>
            </w:r>
          </w:p>
        </w:tc>
        <w:tc>
          <w:tcPr>
            <w:tcW w:w="1100" w:type="dxa"/>
            <w:tcBorders/>
            <w:shd w:fill="FFFFFF" w:val="clear"/>
          </w:tcPr>
          <w:p>
            <w:pPr>
              <w:pStyle w:val="TableContents"/>
              <w:spacing w:before="0" w:after="283"/>
              <w:jc w:val="right"/>
              <w:rPr/>
            </w:pPr>
            <w:r>
              <w:rPr/>
              <w:t> </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0.6</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1.5</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0.9</w:t>
            </w:r>
          </w:p>
        </w:tc>
        <w:tc>
          <w:tcPr>
            <w:tcW w:w="525" w:type="dxa"/>
            <w:tcBorders/>
            <w:shd w:fill="FFFFFF" w:val="clear"/>
          </w:tcPr>
          <w:p>
            <w:pPr>
              <w:pStyle w:val="TableContents"/>
              <w:spacing w:before="0" w:after="283"/>
              <w:rPr/>
            </w:pPr>
            <w:r>
              <w:rPr/>
              <w:t> </w:t>
            </w:r>
          </w:p>
        </w:tc>
        <w:tc>
          <w:tcPr>
            <w:tcW w:w="75"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jc w:val="right"/>
              <w:rPr>
                <w:rFonts w:ascii="times" w:hAnsi="times"/>
                <w:sz w:val="20"/>
              </w:rPr>
            </w:pPr>
            <w:r>
              <w:rPr>
                <w:rFonts w:ascii="times" w:hAnsi="times"/>
                <w:sz w:val="20"/>
              </w:rPr>
              <w:t>0.9</w:t>
            </w:r>
          </w:p>
        </w:tc>
        <w:tc>
          <w:tcPr>
            <w:tcW w:w="60" w:type="dxa"/>
            <w:tcBorders/>
            <w:shd w:fill="FFFFFF" w:val="clear"/>
          </w:tcPr>
          <w:p>
            <w:pPr>
              <w:pStyle w:val="TableContents"/>
              <w:spacing w:before="0" w:after="283"/>
              <w:rPr/>
            </w:pPr>
            <w:r>
              <w:rPr/>
              <w:t> </w:t>
            </w:r>
          </w:p>
        </w:tc>
      </w:tr>
      <w:tr>
        <w:trPr/>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1100" w:type="dxa"/>
            <w:tcBorders/>
            <w:shd w:fill="auto" w:val="cle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525" w:type="dxa"/>
            <w:tcBorders/>
            <w:shd w:fill="auto" w:val="clear"/>
          </w:tcPr>
          <w:p>
            <w:pPr>
              <w:pStyle w:val="TableContents"/>
              <w:spacing w:before="0" w:after="283"/>
              <w:rPr/>
            </w:pPr>
            <w:r>
              <w:rPr/>
              <w:t> </w:t>
            </w:r>
          </w:p>
        </w:tc>
        <w:tc>
          <w:tcPr>
            <w:tcW w:w="35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2121" w:right="7552" w:hanging="0"/>
        <w:rPr/>
      </w:pPr>
      <w:r>
        <w:rPr/>
      </w:r>
    </w:p>
    <w:p>
      <w:pPr>
        <w:pStyle w:val="ListHeading"/>
        <w:numPr>
          <w:ilvl w:val="0"/>
          <w:numId w:val="0"/>
        </w:numPr>
        <w:spacing w:before="0" w:after="0"/>
        <w:ind w:left="2121"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2688" w:right="0" w:hanging="0"/>
        <w:rPr>
          <w:rFonts w:ascii="times" w:hAnsi="times"/>
          <w:sz w:val="20"/>
        </w:rPr>
      </w:pPr>
      <w:r>
        <w:rPr>
          <w:rFonts w:ascii="times" w:hAnsi="times"/>
          <w:sz w:val="20"/>
        </w:rPr>
        <w:t xml:space="preserve">Upon our February 2007 annualized distribution of $3.20, these LTIP awards satisfied all distribution requirements and will vest upon completion of the respective service period. </w:t>
      </w:r>
    </w:p>
    <w:p>
      <w:pPr>
        <w:pStyle w:val="TextBody"/>
        <w:jc w:val="center"/>
        <w:rPr>
          <w:rFonts w:ascii="times" w:hAnsi="times"/>
          <w:sz w:val="20"/>
        </w:rPr>
      </w:pPr>
      <w:r>
        <w:rPr>
          <w:rFonts w:ascii="times" w:hAnsi="times"/>
          <w:sz w:val="20"/>
        </w:rPr>
        <w:t>F-48</w:t>
      </w:r>
    </w:p>
    <w:p>
      <w:pPr>
        <w:pStyle w:val="HorizontalLine"/>
        <w:pBdr>
          <w:bottom w:val="single" w:sz="20" w:space="0" w:color="808080"/>
        </w:pBdr>
        <w:rPr/>
      </w:pPr>
      <w:r>
        <w:rPr/>
      </w:r>
      <w:r>
        <w:br w:type="page"/>
      </w:r>
    </w:p>
    <w:p>
      <w:pPr>
        <w:pStyle w:val="TextBody"/>
        <w:rPr/>
      </w:pPr>
      <w:hyperlink w:anchor="bg12101a_main_toc">
        <w:bookmarkStart w:id="282" w:name="page_fu12101_1_49"/>
        <w:bookmarkEnd w:id="28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10Equity Compensation Plans (Continued) </w:t>
      </w:r>
    </w:p>
    <w:p>
      <w:pPr>
        <w:pStyle w:val="ListHeading"/>
        <w:numPr>
          <w:ilvl w:val="0"/>
          <w:numId w:val="0"/>
        </w:numPr>
        <w:spacing w:before="0" w:after="0"/>
        <w:ind w:left="2121"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2688" w:right="0" w:hanging="0"/>
        <w:rPr>
          <w:rFonts w:ascii="times" w:hAnsi="times"/>
          <w:sz w:val="20"/>
        </w:rPr>
      </w:pPr>
      <w:r>
        <w:rPr>
          <w:rFonts w:ascii="times" w:hAnsi="times"/>
          <w:sz w:val="20"/>
        </w:rPr>
        <w:t xml:space="preserve">These LTIP awards have performance conditions requiring the attainment of an annualized distribution of between $3.50 and $4.50 and vest upon the later of a certain date or the attainment of such levels. If the performance conditions are not attained, these awards will be forfeited. For purposes of this disclosure, the awards are presented above assuming the distribution levels are attained and that the awards will vest on the earliest date possible regardless of our current assessment of probability. </w:t>
      </w:r>
    </w:p>
    <w:p>
      <w:pPr>
        <w:pStyle w:val="ListHeading"/>
        <w:numPr>
          <w:ilvl w:val="0"/>
          <w:numId w:val="0"/>
        </w:numPr>
        <w:spacing w:before="0" w:after="0"/>
        <w:ind w:left="2121" w:right="0" w:hanging="0"/>
        <w:rPr>
          <w:rFonts w:ascii="times" w:hAnsi="times"/>
          <w:position w:val="7"/>
          <w:sz w:val="16"/>
          <w:sz w:val="20"/>
        </w:rPr>
      </w:pPr>
      <w:r>
        <w:rPr>
          <w:rFonts w:ascii="times" w:hAnsi="times"/>
          <w:position w:val="7"/>
          <w:sz w:val="16"/>
          <w:sz w:val="20"/>
        </w:rPr>
        <w:t>(3)</w:t>
      </w:r>
    </w:p>
    <w:p>
      <w:pPr>
        <w:pStyle w:val="ListContents"/>
        <w:numPr>
          <w:ilvl w:val="0"/>
          <w:numId w:val="0"/>
        </w:numPr>
        <w:spacing w:before="0" w:after="283"/>
        <w:ind w:left="2688" w:right="0" w:hanging="0"/>
        <w:rPr>
          <w:rFonts w:ascii="times" w:hAnsi="times"/>
          <w:sz w:val="20"/>
        </w:rPr>
      </w:pPr>
      <w:r>
        <w:rPr>
          <w:rFonts w:ascii="times" w:hAnsi="times"/>
          <w:sz w:val="20"/>
        </w:rPr>
        <w:t xml:space="preserve">These LTIP awards have performance conditions requiring the attainment of an annualized distribution of between $3.50 and $4.00. Fifty percent of these awards will vest in 2012 regardless of whether the performance conditions are attained. For purposes of this disclosure, the awards are presented above assuming the distribution levels are attained and that the awards will vest on the earliest date possible regardless of our current assessment of probability. </w:t>
      </w:r>
    </w:p>
    <w:p>
      <w:pPr>
        <w:pStyle w:val="ListHeading"/>
        <w:numPr>
          <w:ilvl w:val="0"/>
          <w:numId w:val="0"/>
        </w:numPr>
        <w:spacing w:before="0" w:after="0"/>
        <w:ind w:left="2121" w:right="0" w:hanging="0"/>
        <w:rPr>
          <w:rFonts w:ascii="times" w:hAnsi="times"/>
          <w:position w:val="7"/>
          <w:sz w:val="16"/>
          <w:sz w:val="20"/>
        </w:rPr>
      </w:pPr>
      <w:r>
        <w:rPr>
          <w:rFonts w:ascii="times" w:hAnsi="times"/>
          <w:position w:val="7"/>
          <w:sz w:val="16"/>
          <w:sz w:val="20"/>
        </w:rPr>
        <w:t>(4)</w:t>
      </w:r>
    </w:p>
    <w:p>
      <w:pPr>
        <w:pStyle w:val="ListContents"/>
        <w:numPr>
          <w:ilvl w:val="0"/>
          <w:numId w:val="0"/>
        </w:numPr>
        <w:spacing w:before="0" w:after="283"/>
        <w:ind w:left="2688" w:right="0" w:hanging="0"/>
        <w:rPr>
          <w:rFonts w:ascii="times" w:hAnsi="times"/>
          <w:sz w:val="20"/>
        </w:rPr>
      </w:pPr>
      <w:r>
        <w:rPr>
          <w:rFonts w:ascii="times" w:hAnsi="times"/>
          <w:sz w:val="20"/>
        </w:rPr>
        <w:t xml:space="preserve">Approximately 2.1 million of our approximately 3.9 million outstanding LTIP awards also include DERs, of which 1.2 million are currently earned. </w:t>
      </w:r>
    </w:p>
    <w:p>
      <w:pPr>
        <w:pStyle w:val="ListHeading"/>
        <w:numPr>
          <w:ilvl w:val="0"/>
          <w:numId w:val="0"/>
        </w:numPr>
        <w:spacing w:before="0" w:after="0"/>
        <w:ind w:left="2121" w:right="0" w:hanging="0"/>
        <w:rPr>
          <w:rFonts w:ascii="times" w:hAnsi="times"/>
          <w:position w:val="7"/>
          <w:sz w:val="16"/>
          <w:sz w:val="20"/>
        </w:rPr>
      </w:pPr>
      <w:r>
        <w:rPr>
          <w:rFonts w:ascii="times" w:hAnsi="times"/>
          <w:position w:val="7"/>
          <w:sz w:val="16"/>
          <w:sz w:val="20"/>
        </w:rPr>
        <w:t>(5)</w:t>
      </w:r>
    </w:p>
    <w:p>
      <w:pPr>
        <w:pStyle w:val="ListContents"/>
        <w:numPr>
          <w:ilvl w:val="0"/>
          <w:numId w:val="0"/>
        </w:numPr>
        <w:spacing w:before="0" w:after="283"/>
        <w:ind w:left="2688" w:right="0" w:hanging="0"/>
        <w:rPr>
          <w:rFonts w:ascii="times" w:hAnsi="times"/>
          <w:sz w:val="20"/>
        </w:rPr>
      </w:pPr>
      <w:r>
        <w:rPr>
          <w:rFonts w:ascii="times" w:hAnsi="times"/>
          <w:sz w:val="20"/>
        </w:rPr>
        <w:t xml:space="preserve">LTIP units outstanding do not include Class B units of Plains AAP, L.P. described below. </w:t>
      </w:r>
    </w:p>
    <w:p>
      <w:pPr>
        <w:pStyle w:val="TextBody"/>
        <w:rPr/>
      </w:pPr>
      <w:r>
        <w:rPr/>
        <w:t>        </w:t>
      </w:r>
      <w:r>
        <w:rPr>
          <w:rFonts w:ascii="times" w:hAnsi="times"/>
          <w:sz w:val="20"/>
        </w:rPr>
        <w:t xml:space="preserve">Our LTIP activity is summarized in the following table (in millions, except weighted average grant date fair values per unit): </w:t>
      </w:r>
    </w:p>
    <w:tbl>
      <w:tblPr>
        <w:tblW w:w="9046" w:type="dxa"/>
        <w:jc w:val="center"/>
        <w:tblInd w:w="0" w:type="dxa"/>
        <w:tblCellMar>
          <w:top w:w="0" w:type="dxa"/>
          <w:left w:w="0" w:type="dxa"/>
          <w:bottom w:w="0" w:type="dxa"/>
          <w:right w:w="0" w:type="dxa"/>
        </w:tblCellMar>
      </w:tblPr>
      <w:tblGrid>
        <w:gridCol w:w="234"/>
        <w:gridCol w:w="2650"/>
        <w:gridCol w:w="180"/>
        <w:gridCol w:w="75"/>
        <w:gridCol w:w="335"/>
        <w:gridCol w:w="225"/>
        <w:gridCol w:w="135"/>
        <w:gridCol w:w="1054"/>
        <w:gridCol w:w="225"/>
        <w:gridCol w:w="75"/>
        <w:gridCol w:w="335"/>
        <w:gridCol w:w="225"/>
        <w:gridCol w:w="135"/>
        <w:gridCol w:w="1054"/>
        <w:gridCol w:w="225"/>
        <w:gridCol w:w="75"/>
        <w:gridCol w:w="335"/>
        <w:gridCol w:w="225"/>
        <w:gridCol w:w="135"/>
        <w:gridCol w:w="1054"/>
        <w:gridCol w:w="60"/>
      </w:tblGrid>
      <w:tr>
        <w:trPr/>
        <w:tc>
          <w:tcPr>
            <w:tcW w:w="234" w:type="dxa"/>
            <w:tcBorders/>
            <w:shd w:fill="auto" w:val="clear"/>
            <w:vAlign w:val="center"/>
          </w:tcPr>
          <w:p>
            <w:pPr>
              <w:pStyle w:val="TableContents"/>
              <w:spacing w:before="0" w:after="283"/>
              <w:rPr>
                <w:sz w:val="4"/>
                <w:szCs w:val="4"/>
              </w:rPr>
            </w:pPr>
            <w:r>
              <w:rPr>
                <w:sz w:val="4"/>
                <w:szCs w:val="4"/>
              </w:rPr>
            </w:r>
          </w:p>
        </w:tc>
        <w:tc>
          <w:tcPr>
            <w:tcW w:w="265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88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5922" w:type="dxa"/>
            <w:gridSpan w:val="1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60" w:type="dxa"/>
            <w:tcBorders/>
            <w:shd w:fill="auto" w:val="clear"/>
            <w:vAlign w:val="bottom"/>
          </w:tcPr>
          <w:p>
            <w:pPr>
              <w:pStyle w:val="TableHeading"/>
              <w:suppressLineNumbers/>
              <w:spacing w:before="0" w:after="283"/>
              <w:jc w:val="center"/>
              <w:rPr/>
            </w:pPr>
            <w:r>
              <w:rPr/>
              <w:t> </w:t>
            </w:r>
          </w:p>
        </w:tc>
      </w:tr>
      <w:tr>
        <w:trPr/>
        <w:tc>
          <w:tcPr>
            <w:tcW w:w="288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82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182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182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0" w:type="dxa"/>
            <w:tcBorders/>
            <w:shd w:fill="auto" w:val="clear"/>
            <w:vAlign w:val="bottom"/>
          </w:tcPr>
          <w:p>
            <w:pPr>
              <w:pStyle w:val="TableHeading"/>
              <w:suppressLineNumbers/>
              <w:spacing w:before="0" w:after="283"/>
              <w:jc w:val="center"/>
              <w:rPr/>
            </w:pPr>
            <w:r>
              <w:rPr/>
              <w:t> </w:t>
            </w:r>
          </w:p>
        </w:tc>
      </w:tr>
      <w:tr>
        <w:trPr/>
        <w:tc>
          <w:tcPr>
            <w:tcW w:w="2884"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25" w:type="dxa"/>
            <w:tcBorders/>
            <w:shd w:fill="auto" w:val="clear"/>
            <w:vAlign w:val="bottom"/>
          </w:tcPr>
          <w:p>
            <w:pPr>
              <w:pStyle w:val="TableHeading"/>
              <w:suppressLineNumbers/>
              <w:spacing w:before="0" w:after="283"/>
              <w:jc w:val="center"/>
              <w:rPr/>
            </w:pPr>
            <w:r>
              <w:rPr/>
              <w:t> </w:t>
            </w:r>
          </w:p>
        </w:tc>
        <w:tc>
          <w:tcPr>
            <w:tcW w:w="118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w:t>
              <w:br/>
              <w:t>Average</w:t>
              <w:br/>
              <w:t>Grant Date</w:t>
              <w:br/>
              <w:t xml:space="preserve">Fair Value per Unit </w:t>
            </w:r>
          </w:p>
        </w:tc>
        <w:tc>
          <w:tcPr>
            <w:tcW w:w="22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25" w:type="dxa"/>
            <w:tcBorders/>
            <w:shd w:fill="auto" w:val="clear"/>
            <w:vAlign w:val="bottom"/>
          </w:tcPr>
          <w:p>
            <w:pPr>
              <w:pStyle w:val="TableHeading"/>
              <w:suppressLineNumbers/>
              <w:spacing w:before="0" w:after="283"/>
              <w:jc w:val="center"/>
              <w:rPr/>
            </w:pPr>
            <w:r>
              <w:rPr/>
              <w:t> </w:t>
            </w:r>
          </w:p>
        </w:tc>
        <w:tc>
          <w:tcPr>
            <w:tcW w:w="118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w:t>
              <w:br/>
              <w:t>Average</w:t>
              <w:br/>
              <w:t>Grant Date</w:t>
              <w:br/>
              <w:t xml:space="preserve">Fair Value per Unit </w:t>
            </w:r>
          </w:p>
        </w:tc>
        <w:tc>
          <w:tcPr>
            <w:tcW w:w="225" w:type="dxa"/>
            <w:tcBorders/>
            <w:shd w:fill="auto" w:val="clear"/>
            <w:vAlign w:val="bottom"/>
          </w:tcPr>
          <w:p>
            <w:pPr>
              <w:pStyle w:val="TableHeading"/>
              <w:suppressLineNumbers/>
              <w:spacing w:before="0" w:after="283"/>
              <w:jc w:val="center"/>
              <w:rPr/>
            </w:pPr>
            <w:r>
              <w:rPr/>
              <w:t> </w:t>
            </w:r>
          </w:p>
        </w:tc>
        <w:tc>
          <w:tcPr>
            <w:tcW w:w="4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Units </w:t>
            </w:r>
          </w:p>
        </w:tc>
        <w:tc>
          <w:tcPr>
            <w:tcW w:w="225" w:type="dxa"/>
            <w:tcBorders/>
            <w:shd w:fill="auto" w:val="clear"/>
            <w:vAlign w:val="bottom"/>
          </w:tcPr>
          <w:p>
            <w:pPr>
              <w:pStyle w:val="TableHeading"/>
              <w:suppressLineNumbers/>
              <w:spacing w:before="0" w:after="283"/>
              <w:jc w:val="center"/>
              <w:rPr/>
            </w:pPr>
            <w:r>
              <w:rPr/>
              <w:t> </w:t>
            </w:r>
          </w:p>
        </w:tc>
        <w:tc>
          <w:tcPr>
            <w:tcW w:w="118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Weighted</w:t>
              <w:br/>
              <w:t>Average</w:t>
              <w:br/>
              <w:t>Grant Date</w:t>
              <w:br/>
              <w:t xml:space="preserve">Fair Value per Unit </w:t>
            </w:r>
          </w:p>
        </w:tc>
        <w:tc>
          <w:tcPr>
            <w:tcW w:w="60" w:type="dxa"/>
            <w:tcBorders/>
            <w:shd w:fill="auto" w:val="clear"/>
            <w:vAlign w:val="bottom"/>
          </w:tcPr>
          <w:p>
            <w:pPr>
              <w:pStyle w:val="TableHeading"/>
              <w:suppressLineNumbers/>
              <w:spacing w:before="0" w:after="283"/>
              <w:jc w:val="center"/>
              <w:rPr/>
            </w:pPr>
            <w:r>
              <w:rPr/>
              <w:t> </w:t>
            </w:r>
          </w:p>
        </w:tc>
      </w:tr>
      <w:tr>
        <w:trPr/>
        <w:tc>
          <w:tcPr>
            <w:tcW w:w="288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Outstanding at beginning of period</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22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37.75</w:t>
            </w:r>
          </w:p>
        </w:tc>
        <w:tc>
          <w:tcPr>
            <w:tcW w:w="2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22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31.94</w:t>
            </w:r>
          </w:p>
        </w:tc>
        <w:tc>
          <w:tcPr>
            <w:tcW w:w="2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2.2</w:t>
            </w:r>
          </w:p>
        </w:tc>
        <w:tc>
          <w:tcPr>
            <w:tcW w:w="22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34.37</w:t>
            </w:r>
          </w:p>
        </w:tc>
        <w:tc>
          <w:tcPr>
            <w:tcW w:w="60" w:type="dxa"/>
            <w:tcBorders/>
            <w:shd w:fill="CCEEFF" w:val="clear"/>
            <w:vAlign w:val="bottom"/>
          </w:tcPr>
          <w:p>
            <w:pPr>
              <w:pStyle w:val="TableContents"/>
              <w:spacing w:before="0" w:after="283"/>
              <w:rPr/>
            </w:pPr>
            <w:r>
              <w:rPr/>
              <w:t> </w:t>
            </w:r>
          </w:p>
        </w:tc>
      </w:tr>
      <w:tr>
        <w:trPr/>
        <w:tc>
          <w:tcPr>
            <w:tcW w:w="234" w:type="dxa"/>
            <w:tcBorders/>
            <w:shd w:fill="FFFFFF" w:val="clear"/>
            <w:vAlign w:val="bottom"/>
          </w:tcPr>
          <w:p>
            <w:pPr>
              <w:pStyle w:val="TableContents"/>
              <w:spacing w:before="0" w:after="283"/>
              <w:rPr/>
            </w:pPr>
            <w:r>
              <w:rPr/>
              <w:t> </w:t>
            </w:r>
          </w:p>
        </w:tc>
        <w:tc>
          <w:tcPr>
            <w:tcW w:w="265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Granted</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0.5</w:t>
            </w:r>
          </w:p>
        </w:tc>
        <w:tc>
          <w:tcPr>
            <w:tcW w:w="22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31.79</w:t>
            </w:r>
          </w:p>
        </w:tc>
        <w:tc>
          <w:tcPr>
            <w:tcW w:w="225"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22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47.25</w:t>
            </w:r>
          </w:p>
        </w:tc>
        <w:tc>
          <w:tcPr>
            <w:tcW w:w="225"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0.9</w:t>
            </w:r>
          </w:p>
        </w:tc>
        <w:tc>
          <w:tcPr>
            <w:tcW w:w="225"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26.00</w:t>
            </w:r>
          </w:p>
        </w:tc>
        <w:tc>
          <w:tcPr>
            <w:tcW w:w="60" w:type="dxa"/>
            <w:tcBorders/>
            <w:shd w:fill="FFFFFF" w:val="clear"/>
            <w:vAlign w:val="bottom"/>
          </w:tcPr>
          <w:p>
            <w:pPr>
              <w:pStyle w:val="TableContents"/>
              <w:spacing w:before="0" w:after="283"/>
              <w:rPr/>
            </w:pPr>
            <w:r>
              <w:rPr/>
              <w:t> </w:t>
            </w:r>
          </w:p>
        </w:tc>
      </w:tr>
      <w:tr>
        <w:trPr/>
        <w:tc>
          <w:tcPr>
            <w:tcW w:w="234" w:type="dxa"/>
            <w:tcBorders/>
            <w:shd w:fill="CCEEFF" w:val="clear"/>
            <w:vAlign w:val="bottom"/>
          </w:tcPr>
          <w:p>
            <w:pPr>
              <w:pStyle w:val="TableContents"/>
              <w:spacing w:before="0" w:after="283"/>
              <w:rPr/>
            </w:pPr>
            <w:r>
              <w:rPr/>
              <w:t> </w:t>
            </w:r>
          </w:p>
        </w:tc>
        <w:tc>
          <w:tcPr>
            <w:tcW w:w="26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Vested</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(0.1</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32.44</w:t>
            </w:r>
          </w:p>
        </w:tc>
        <w:tc>
          <w:tcPr>
            <w:tcW w:w="2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(0.7</w:t>
            </w:r>
          </w:p>
        </w:tc>
        <w:tc>
          <w:tcPr>
            <w:tcW w:w="22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34.86</w:t>
            </w:r>
          </w:p>
        </w:tc>
        <w:tc>
          <w:tcPr>
            <w:tcW w:w="2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vAlign w:val="bottom"/>
          </w:tcPr>
          <w:p>
            <w:pPr>
              <w:pStyle w:val="TableContents"/>
              <w:spacing w:before="0" w:after="283"/>
              <w:rPr/>
            </w:pPr>
            <w:r>
              <w:rPr/>
              <w:t> </w:t>
            </w:r>
          </w:p>
        </w:tc>
      </w:tr>
      <w:tr>
        <w:trPr/>
        <w:tc>
          <w:tcPr>
            <w:tcW w:w="234" w:type="dxa"/>
            <w:tcBorders/>
            <w:shd w:fill="FFFFFF" w:val="clear"/>
            <w:vAlign w:val="bottom"/>
          </w:tcPr>
          <w:p>
            <w:pPr>
              <w:pStyle w:val="TableContents"/>
              <w:spacing w:before="0" w:after="283"/>
              <w:rPr/>
            </w:pPr>
            <w:r>
              <w:rPr/>
              <w:t> </w:t>
            </w:r>
          </w:p>
        </w:tc>
        <w:tc>
          <w:tcPr>
            <w:tcW w:w="265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Cancelled or forfeited</w:t>
            </w:r>
          </w:p>
        </w:tc>
        <w:tc>
          <w:tcPr>
            <w:tcW w:w="18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36.14</w:t>
            </w:r>
          </w:p>
        </w:tc>
        <w:tc>
          <w:tcPr>
            <w:tcW w:w="225"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(0.3</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36.00</w:t>
            </w:r>
          </w:p>
        </w:tc>
        <w:tc>
          <w:tcPr>
            <w:tcW w:w="225"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(0.1</w:t>
            </w:r>
          </w:p>
        </w:tc>
        <w:tc>
          <w:tcPr>
            <w:tcW w:w="22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35"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rFonts w:ascii="times" w:hAnsi="times"/>
                <w:sz w:val="20"/>
              </w:rPr>
            </w:pPr>
            <w:r>
              <w:rPr>
                <w:rFonts w:ascii="times" w:hAnsi="times"/>
                <w:sz w:val="20"/>
              </w:rPr>
              <w:t>33.05</w:t>
            </w:r>
          </w:p>
        </w:tc>
        <w:tc>
          <w:tcPr>
            <w:tcW w:w="60" w:type="dxa"/>
            <w:tcBorders/>
            <w:shd w:fill="FFFFFF" w:val="clear"/>
            <w:vAlign w:val="bottom"/>
          </w:tcPr>
          <w:p>
            <w:pPr>
              <w:pStyle w:val="TableContents"/>
              <w:spacing w:before="0" w:after="283"/>
              <w:rPr/>
            </w:pPr>
            <w:r>
              <w:rPr/>
              <w:t> </w:t>
            </w:r>
          </w:p>
        </w:tc>
      </w:tr>
      <w:tr>
        <w:trPr/>
        <w:tc>
          <w:tcPr>
            <w:tcW w:w="288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18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18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18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2884" w:type="dxa"/>
            <w:gridSpan w:val="2"/>
            <w:tcBorders/>
            <w:shd w:fill="CCEEFF" w:val="clear"/>
            <w:vAlign w:val="bottom"/>
          </w:tcPr>
          <w:p>
            <w:pPr>
              <w:pStyle w:val="TableContents"/>
              <w:spacing w:before="0" w:after="283"/>
              <w:ind w:left="200" w:right="0" w:hanging="200"/>
              <w:rPr>
                <w:rFonts w:ascii="times" w:hAnsi="times"/>
                <w:sz w:val="20"/>
              </w:rPr>
            </w:pPr>
            <w:r>
              <w:rPr>
                <w:rFonts w:ascii="times" w:hAnsi="times"/>
                <w:sz w:val="20"/>
              </w:rPr>
              <w:t>Outstanding at end of period</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3.9</w:t>
            </w:r>
          </w:p>
        </w:tc>
        <w:tc>
          <w:tcPr>
            <w:tcW w:w="22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36.44</w:t>
            </w:r>
          </w:p>
        </w:tc>
        <w:tc>
          <w:tcPr>
            <w:tcW w:w="2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3.6</w:t>
            </w:r>
          </w:p>
        </w:tc>
        <w:tc>
          <w:tcPr>
            <w:tcW w:w="22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37.75</w:t>
            </w:r>
          </w:p>
        </w:tc>
        <w:tc>
          <w:tcPr>
            <w:tcW w:w="2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22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054" w:type="dxa"/>
            <w:tcBorders/>
            <w:shd w:fill="CCEEFF" w:val="clear"/>
            <w:vAlign w:val="bottom"/>
          </w:tcPr>
          <w:p>
            <w:pPr>
              <w:pStyle w:val="TableContents"/>
              <w:spacing w:before="0" w:after="283"/>
              <w:jc w:val="right"/>
              <w:rPr>
                <w:rFonts w:ascii="times" w:hAnsi="times"/>
                <w:sz w:val="20"/>
              </w:rPr>
            </w:pPr>
            <w:r>
              <w:rPr>
                <w:rFonts w:ascii="times" w:hAnsi="times"/>
                <w:sz w:val="20"/>
              </w:rPr>
              <w:t>31.94</w:t>
            </w:r>
          </w:p>
        </w:tc>
        <w:tc>
          <w:tcPr>
            <w:tcW w:w="60" w:type="dxa"/>
            <w:tcBorders/>
            <w:shd w:fill="CCEEFF" w:val="clear"/>
            <w:vAlign w:val="bottom"/>
          </w:tcPr>
          <w:p>
            <w:pPr>
              <w:pStyle w:val="TableContents"/>
              <w:spacing w:before="0" w:after="283"/>
              <w:rPr/>
            </w:pPr>
            <w:r>
              <w:rPr/>
              <w:t> </w:t>
            </w:r>
          </w:p>
        </w:tc>
      </w:tr>
      <w:tr>
        <w:trPr/>
        <w:tc>
          <w:tcPr>
            <w:tcW w:w="2884"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18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18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4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118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Our accrued liability at December 31, 2008 related to all outstanding LTIP awards and DERs is approximately $55 million, which includes an accrual associated with our assessment that an annualized distribution of $3.75 is probable of occurring. We have not deemed a distribution of more than $3.75 to be probable. At December 31, 2007, the accrued liability was approximately $51 million. </w:t>
      </w:r>
    </w:p>
    <w:p>
      <w:pPr>
        <w:pStyle w:val="TextBody"/>
        <w:rPr>
          <w:rFonts w:ascii="times" w:hAnsi="times"/>
          <w:b/>
          <w:i/>
          <w:sz w:val="20"/>
        </w:rPr>
      </w:pPr>
      <w:r>
        <w:rPr>
          <w:rFonts w:ascii="times" w:hAnsi="times"/>
          <w:b/>
          <w:i/>
          <w:sz w:val="20"/>
        </w:rPr>
        <w:t xml:space="preserve">Class B Units of Plains AAP, L.P. </w:t>
      </w:r>
    </w:p>
    <w:p>
      <w:pPr>
        <w:pStyle w:val="TextBody"/>
        <w:rPr/>
      </w:pPr>
      <w:r>
        <w:rPr/>
        <w:t>        </w:t>
      </w:r>
      <w:r>
        <w:rPr>
          <w:rFonts w:ascii="times" w:hAnsi="times"/>
          <w:sz w:val="20"/>
        </w:rPr>
        <w:t xml:space="preserve">In August 2007, the owners of Plains AAP, L.P. authorized the creation and issuance of up to 200,000 Class B units of Plains AAP, L.P. to be administered by the compensation committee. The Class B units are earned in 25% increments upon us achieving annualized distribution levels of $3.50, </w:t>
      </w:r>
    </w:p>
    <w:p>
      <w:pPr>
        <w:pStyle w:val="TextBody"/>
        <w:jc w:val="center"/>
        <w:rPr>
          <w:rFonts w:ascii="times" w:hAnsi="times"/>
          <w:sz w:val="20"/>
        </w:rPr>
      </w:pPr>
      <w:r>
        <w:rPr>
          <w:rFonts w:ascii="times" w:hAnsi="times"/>
          <w:sz w:val="20"/>
        </w:rPr>
        <w:t>F-49</w:t>
      </w:r>
    </w:p>
    <w:p>
      <w:pPr>
        <w:pStyle w:val="HorizontalLine"/>
        <w:pBdr>
          <w:bottom w:val="single" w:sz="20" w:space="0" w:color="808080"/>
        </w:pBdr>
        <w:rPr/>
      </w:pPr>
      <w:r>
        <w:rPr/>
      </w:r>
      <w:r>
        <w:br w:type="page"/>
      </w:r>
    </w:p>
    <w:p>
      <w:pPr>
        <w:pStyle w:val="TextBody"/>
        <w:rPr/>
      </w:pPr>
      <w:hyperlink w:anchor="bg12101a_main_toc">
        <w:bookmarkStart w:id="283" w:name="page_fu12101_1_50"/>
        <w:bookmarkEnd w:id="283"/>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10Equity Compensation Plans (Continued) </w:t>
      </w:r>
    </w:p>
    <w:p>
      <w:pPr>
        <w:pStyle w:val="TextBody"/>
        <w:rPr/>
      </w:pPr>
      <w:r>
        <w:rPr/>
      </w:r>
    </w:p>
    <w:p>
      <w:pPr>
        <w:pStyle w:val="TextBody"/>
        <w:rPr>
          <w:rFonts w:ascii="times" w:hAnsi="times"/>
          <w:sz w:val="20"/>
        </w:rPr>
      </w:pPr>
      <w:r>
        <w:rPr>
          <w:rFonts w:ascii="times" w:hAnsi="times"/>
          <w:sz w:val="20"/>
        </w:rPr>
        <w:t xml:space="preserve">$3.75, $4.00 and $4.50 (or in some cases, within six months thereof). When earned, the Class B units are entitled to participate in distributions paid by Plains AAP, L.P. in excess of $11 million (as adjusted for debt service costs and excluding special distributions funded by debt) per quarter. Assuming all 200,000 Class B units were granted and earned, the maximum participation would be 8% of Plains AAP, L.P.'s distribution in excess of $11 million (as adjusted) each quarter. At December 31, 2008 and 2007, 154,000 Class B units were outstanding and 46,000 Class B units were reserved for future grants. In August 2008, 21,000 Class B units were earned upon the payment of our second quarter distribution of $0.8875 per unit and an additional 17,500 were earned in February 2009. Although the entire economic burden of the Class B units, which are equity classified, is borne solely by Plains AAP, L.P. and does not impact our cash or units outstanding, the intent of the Class B units is to provide a performance incentive and encourage retention for certain members of our senior management. Therefore, we recognize the grant date fair value of the Class B units as compensation expense over the service period. The expense is also reflected as a capital contribution and thus, results in a corresponding credit to Partners' Capital in our Consolidated Financial Statements. The total grant date fair value of the 154,000 Class B units outstanding at December 31, 2008 and 2007 was approximately $34 million of which approximately $13 million and $3 million was recognized as expense during the years ended December 31, 2008 and 2007, respectively. </w:t>
      </w:r>
    </w:p>
    <w:p>
      <w:pPr>
        <w:pStyle w:val="TextBody"/>
        <w:rPr>
          <w:rFonts w:ascii="times" w:hAnsi="times"/>
          <w:b/>
          <w:i/>
          <w:sz w:val="20"/>
        </w:rPr>
      </w:pPr>
      <w:r>
        <w:rPr>
          <w:rFonts w:ascii="times" w:hAnsi="times"/>
          <w:b/>
          <w:i/>
          <w:sz w:val="20"/>
        </w:rPr>
        <w:t xml:space="preserve">Other Consolidated Information </w:t>
      </w:r>
    </w:p>
    <w:p>
      <w:pPr>
        <w:pStyle w:val="TextBody"/>
        <w:rPr/>
      </w:pPr>
      <w:r>
        <w:rPr/>
        <w:t>        </w:t>
      </w:r>
      <w:r>
        <w:rPr>
          <w:rFonts w:ascii="times" w:hAnsi="times"/>
          <w:sz w:val="20"/>
        </w:rPr>
        <w:t xml:space="preserve">We refer to our LTIP Plans and the Class B units collectively as "Equity compensation plans." The table below summarizes the expense recognized and the value of vestings (settled both in units and cash) related to the equity compensation plans (in millions): </w:t>
      </w:r>
    </w:p>
    <w:tbl>
      <w:tblPr>
        <w:tblW w:w="6181" w:type="dxa"/>
        <w:jc w:val="center"/>
        <w:tblInd w:w="0" w:type="dxa"/>
        <w:tblCellMar>
          <w:top w:w="0" w:type="dxa"/>
          <w:left w:w="0" w:type="dxa"/>
          <w:bottom w:w="0" w:type="dxa"/>
          <w:right w:w="0" w:type="dxa"/>
        </w:tblCellMar>
      </w:tblPr>
      <w:tblGrid>
        <w:gridCol w:w="4395"/>
        <w:gridCol w:w="180"/>
        <w:gridCol w:w="127"/>
        <w:gridCol w:w="235"/>
        <w:gridCol w:w="230"/>
        <w:gridCol w:w="127"/>
        <w:gridCol w:w="235"/>
        <w:gridCol w:w="230"/>
        <w:gridCol w:w="127"/>
        <w:gridCol w:w="235"/>
        <w:gridCol w:w="60"/>
      </w:tblGrid>
      <w:tr>
        <w:trPr/>
        <w:tc>
          <w:tcPr>
            <w:tcW w:w="43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39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546"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60" w:type="dxa"/>
            <w:tcBorders/>
            <w:shd w:fill="auto" w:val="clear"/>
            <w:vAlign w:val="bottom"/>
          </w:tcPr>
          <w:p>
            <w:pPr>
              <w:pStyle w:val="TableHeading"/>
              <w:suppressLineNumbers/>
              <w:spacing w:before="0" w:after="283"/>
              <w:jc w:val="center"/>
              <w:rPr/>
            </w:pPr>
            <w:r>
              <w:rPr/>
              <w:t> </w:t>
            </w:r>
          </w:p>
        </w:tc>
      </w:tr>
      <w:tr>
        <w:trPr/>
        <w:tc>
          <w:tcPr>
            <w:tcW w:w="439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6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30" w:type="dxa"/>
            <w:tcBorders/>
            <w:shd w:fill="auto" w:val="clear"/>
            <w:vAlign w:val="bottom"/>
          </w:tcPr>
          <w:p>
            <w:pPr>
              <w:pStyle w:val="TableHeading"/>
              <w:suppressLineNumbers/>
              <w:spacing w:before="0" w:after="283"/>
              <w:jc w:val="center"/>
              <w:rPr/>
            </w:pPr>
            <w:r>
              <w:rPr/>
              <w:t> </w:t>
            </w:r>
          </w:p>
        </w:tc>
        <w:tc>
          <w:tcPr>
            <w:tcW w:w="36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30" w:type="dxa"/>
            <w:tcBorders/>
            <w:shd w:fill="auto" w:val="clear"/>
            <w:vAlign w:val="bottom"/>
          </w:tcPr>
          <w:p>
            <w:pPr>
              <w:pStyle w:val="TableHeading"/>
              <w:suppressLineNumbers/>
              <w:spacing w:before="0" w:after="283"/>
              <w:jc w:val="center"/>
              <w:rPr/>
            </w:pPr>
            <w:r>
              <w:rPr/>
              <w:t> </w:t>
            </w:r>
          </w:p>
        </w:tc>
        <w:tc>
          <w:tcPr>
            <w:tcW w:w="36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0" w:type="dxa"/>
            <w:tcBorders/>
            <w:shd w:fill="auto" w:val="clear"/>
            <w:vAlign w:val="bottom"/>
          </w:tcPr>
          <w:p>
            <w:pPr>
              <w:pStyle w:val="TableHeading"/>
              <w:suppressLineNumbers/>
              <w:spacing w:before="0" w:after="283"/>
              <w:jc w:val="center"/>
              <w:rPr/>
            </w:pPr>
            <w:r>
              <w:rPr/>
              <w:t> </w:t>
            </w:r>
          </w:p>
        </w:tc>
      </w:tr>
      <w:tr>
        <w:trPr/>
        <w:tc>
          <w:tcPr>
            <w:tcW w:w="4395" w:type="dxa"/>
            <w:tcBorders/>
            <w:shd w:fill="CCEEFF" w:val="clear"/>
          </w:tcPr>
          <w:p>
            <w:pPr>
              <w:pStyle w:val="TableContents"/>
              <w:spacing w:before="0" w:after="283"/>
              <w:ind w:left="200" w:right="0" w:hanging="200"/>
              <w:rPr>
                <w:rFonts w:ascii="times" w:hAnsi="times"/>
                <w:sz w:val="20"/>
              </w:rPr>
            </w:pPr>
            <w:r>
              <w:rPr>
                <w:rFonts w:ascii="times" w:hAnsi="times"/>
                <w:sz w:val="20"/>
              </w:rPr>
              <w:t>Equity compensation expense</w:t>
            </w:r>
          </w:p>
        </w:tc>
        <w:tc>
          <w:tcPr>
            <w:tcW w:w="18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jc w:val="right"/>
              <w:rPr>
                <w:rFonts w:ascii="times" w:hAnsi="times"/>
                <w:sz w:val="20"/>
              </w:rPr>
            </w:pPr>
            <w:r>
              <w:rPr>
                <w:rFonts w:ascii="times" w:hAnsi="times"/>
                <w:sz w:val="20"/>
              </w:rPr>
              <w:t>$</w:t>
            </w:r>
          </w:p>
        </w:tc>
        <w:tc>
          <w:tcPr>
            <w:tcW w:w="235" w:type="dxa"/>
            <w:tcBorders/>
            <w:shd w:fill="CCEEFF" w:val="clear"/>
          </w:tcPr>
          <w:p>
            <w:pPr>
              <w:pStyle w:val="TableContents"/>
              <w:spacing w:before="0" w:after="283"/>
              <w:jc w:val="right"/>
              <w:rPr>
                <w:rFonts w:ascii="times" w:hAnsi="times"/>
                <w:sz w:val="20"/>
              </w:rPr>
            </w:pPr>
            <w:r>
              <w:rPr>
                <w:rFonts w:ascii="times" w:hAnsi="times"/>
                <w:sz w:val="20"/>
              </w:rPr>
              <w:t>24</w:t>
            </w:r>
          </w:p>
        </w:tc>
        <w:tc>
          <w:tcPr>
            <w:tcW w:w="23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jc w:val="right"/>
              <w:rPr>
                <w:rFonts w:ascii="times" w:hAnsi="times"/>
                <w:sz w:val="20"/>
              </w:rPr>
            </w:pPr>
            <w:r>
              <w:rPr>
                <w:rFonts w:ascii="times" w:hAnsi="times"/>
                <w:sz w:val="20"/>
              </w:rPr>
              <w:t>$</w:t>
            </w:r>
          </w:p>
        </w:tc>
        <w:tc>
          <w:tcPr>
            <w:tcW w:w="235" w:type="dxa"/>
            <w:tcBorders/>
            <w:shd w:fill="CCEEFF" w:val="clear"/>
          </w:tcPr>
          <w:p>
            <w:pPr>
              <w:pStyle w:val="TableContents"/>
              <w:spacing w:before="0" w:after="283"/>
              <w:jc w:val="right"/>
              <w:rPr>
                <w:rFonts w:ascii="times" w:hAnsi="times"/>
                <w:sz w:val="20"/>
              </w:rPr>
            </w:pPr>
            <w:r>
              <w:rPr>
                <w:rFonts w:ascii="times" w:hAnsi="times"/>
                <w:sz w:val="20"/>
              </w:rPr>
              <w:t>49</w:t>
            </w:r>
          </w:p>
        </w:tc>
        <w:tc>
          <w:tcPr>
            <w:tcW w:w="23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jc w:val="right"/>
              <w:rPr>
                <w:rFonts w:ascii="times" w:hAnsi="times"/>
                <w:sz w:val="20"/>
              </w:rPr>
            </w:pPr>
            <w:r>
              <w:rPr>
                <w:rFonts w:ascii="times" w:hAnsi="times"/>
                <w:sz w:val="20"/>
              </w:rPr>
              <w:t>$</w:t>
            </w:r>
          </w:p>
        </w:tc>
        <w:tc>
          <w:tcPr>
            <w:tcW w:w="235" w:type="dxa"/>
            <w:tcBorders/>
            <w:shd w:fill="CCEEFF" w:val="clear"/>
          </w:tcPr>
          <w:p>
            <w:pPr>
              <w:pStyle w:val="TableContents"/>
              <w:spacing w:before="0" w:after="283"/>
              <w:jc w:val="right"/>
              <w:rPr>
                <w:rFonts w:ascii="times" w:hAnsi="times"/>
                <w:sz w:val="20"/>
              </w:rPr>
            </w:pPr>
            <w:r>
              <w:rPr>
                <w:rFonts w:ascii="times" w:hAnsi="times"/>
                <w:sz w:val="20"/>
              </w:rPr>
              <w:t>43</w:t>
            </w:r>
          </w:p>
        </w:tc>
        <w:tc>
          <w:tcPr>
            <w:tcW w:w="60" w:type="dxa"/>
            <w:tcBorders/>
            <w:shd w:fill="CCEEFF" w:val="clear"/>
          </w:tcPr>
          <w:p>
            <w:pPr>
              <w:pStyle w:val="TableContents"/>
              <w:spacing w:before="0" w:after="283"/>
              <w:rPr/>
            </w:pPr>
            <w:r>
              <w:rPr/>
              <w:t> </w:t>
            </w:r>
          </w:p>
        </w:tc>
      </w:tr>
      <w:tr>
        <w:trPr/>
        <w:tc>
          <w:tcPr>
            <w:tcW w:w="4395" w:type="dxa"/>
            <w:tcBorders/>
            <w:shd w:fill="FFFFFF" w:val="clear"/>
          </w:tcPr>
          <w:p>
            <w:pPr>
              <w:pStyle w:val="TableContents"/>
              <w:spacing w:before="0" w:after="283"/>
              <w:ind w:left="200" w:right="0" w:hanging="200"/>
              <w:rPr>
                <w:rFonts w:ascii="times" w:hAnsi="times"/>
                <w:sz w:val="20"/>
              </w:rPr>
            </w:pPr>
            <w:r>
              <w:rPr>
                <w:rFonts w:ascii="times" w:hAnsi="times"/>
                <w:sz w:val="20"/>
              </w:rPr>
              <w:t>LTIP unit vestings</w:t>
            </w:r>
          </w:p>
        </w:tc>
        <w:tc>
          <w:tcPr>
            <w:tcW w:w="180"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jc w:val="right"/>
              <w:rPr>
                <w:rFonts w:ascii="times" w:hAnsi="times"/>
                <w:sz w:val="20"/>
              </w:rPr>
            </w:pPr>
            <w:r>
              <w:rPr>
                <w:rFonts w:ascii="times" w:hAnsi="times"/>
                <w:sz w:val="20"/>
              </w:rPr>
              <w:t>$</w:t>
            </w:r>
          </w:p>
        </w:tc>
        <w:tc>
          <w:tcPr>
            <w:tcW w:w="235" w:type="dxa"/>
            <w:tcBorders/>
            <w:shd w:fill="FFFFFF" w:val="clear"/>
          </w:tcPr>
          <w:p>
            <w:pPr>
              <w:pStyle w:val="TableContents"/>
              <w:spacing w:before="0" w:after="283"/>
              <w:jc w:val="right"/>
              <w:rPr>
                <w:rFonts w:ascii="times" w:hAnsi="times"/>
                <w:sz w:val="20"/>
              </w:rPr>
            </w:pPr>
            <w:r>
              <w:rPr>
                <w:rFonts w:ascii="times" w:hAnsi="times"/>
                <w:sz w:val="20"/>
              </w:rPr>
              <w:t>1</w:t>
            </w:r>
          </w:p>
        </w:tc>
        <w:tc>
          <w:tcPr>
            <w:tcW w:w="230"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jc w:val="right"/>
              <w:rPr>
                <w:rFonts w:ascii="times" w:hAnsi="times"/>
                <w:sz w:val="20"/>
              </w:rPr>
            </w:pPr>
            <w:r>
              <w:rPr>
                <w:rFonts w:ascii="times" w:hAnsi="times"/>
                <w:sz w:val="20"/>
              </w:rPr>
              <w:t>$</w:t>
            </w:r>
          </w:p>
        </w:tc>
        <w:tc>
          <w:tcPr>
            <w:tcW w:w="235" w:type="dxa"/>
            <w:tcBorders/>
            <w:shd w:fill="FFFFFF" w:val="clear"/>
          </w:tcPr>
          <w:p>
            <w:pPr>
              <w:pStyle w:val="TableContents"/>
              <w:spacing w:before="0" w:after="283"/>
              <w:jc w:val="right"/>
              <w:rPr>
                <w:rFonts w:ascii="times" w:hAnsi="times"/>
                <w:sz w:val="20"/>
              </w:rPr>
            </w:pPr>
            <w:r>
              <w:rPr>
                <w:rFonts w:ascii="times" w:hAnsi="times"/>
                <w:sz w:val="20"/>
              </w:rPr>
              <w:t>17</w:t>
            </w:r>
          </w:p>
        </w:tc>
        <w:tc>
          <w:tcPr>
            <w:tcW w:w="230"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jc w:val="right"/>
              <w:rPr>
                <w:rFonts w:ascii="times" w:hAnsi="times"/>
                <w:sz w:val="20"/>
              </w:rPr>
            </w:pPr>
            <w:r>
              <w:rPr>
                <w:rFonts w:ascii="times" w:hAnsi="times"/>
                <w:sz w:val="20"/>
              </w:rPr>
              <w:t>$</w:t>
            </w:r>
          </w:p>
        </w:tc>
        <w:tc>
          <w:tcPr>
            <w:tcW w:w="235" w:type="dxa"/>
            <w:tcBorders/>
            <w:shd w:fill="FFFFFF" w:val="clear"/>
          </w:tcPr>
          <w:p>
            <w:pPr>
              <w:pStyle w:val="TableContents"/>
              <w:spacing w:before="0" w:after="283"/>
              <w:jc w:val="right"/>
              <w:rPr>
                <w:rFonts w:ascii="times" w:hAnsi="times"/>
                <w:sz w:val="20"/>
              </w:rPr>
            </w:pPr>
            <w:r>
              <w:rPr>
                <w:rFonts w:ascii="times" w:hAnsi="times"/>
                <w:sz w:val="20"/>
              </w:rPr>
              <w:t>1</w:t>
            </w:r>
          </w:p>
        </w:tc>
        <w:tc>
          <w:tcPr>
            <w:tcW w:w="60" w:type="dxa"/>
            <w:tcBorders/>
            <w:shd w:fill="FFFFFF" w:val="clear"/>
          </w:tcPr>
          <w:p>
            <w:pPr>
              <w:pStyle w:val="TableContents"/>
              <w:spacing w:before="0" w:after="283"/>
              <w:rPr/>
            </w:pPr>
            <w:r>
              <w:rPr/>
              <w:t> </w:t>
            </w:r>
          </w:p>
        </w:tc>
      </w:tr>
      <w:tr>
        <w:trPr/>
        <w:tc>
          <w:tcPr>
            <w:tcW w:w="4395" w:type="dxa"/>
            <w:tcBorders/>
            <w:shd w:fill="CCEEFF" w:val="clear"/>
          </w:tcPr>
          <w:p>
            <w:pPr>
              <w:pStyle w:val="TableContents"/>
              <w:spacing w:before="0" w:after="283"/>
              <w:ind w:left="200" w:right="0" w:hanging="200"/>
              <w:rPr>
                <w:rFonts w:ascii="times" w:hAnsi="times"/>
                <w:sz w:val="20"/>
              </w:rPr>
            </w:pPr>
            <w:r>
              <w:rPr>
                <w:rFonts w:ascii="times" w:hAnsi="times"/>
                <w:sz w:val="20"/>
              </w:rPr>
              <w:t>LTIP cash settled vestings</w:t>
            </w:r>
          </w:p>
        </w:tc>
        <w:tc>
          <w:tcPr>
            <w:tcW w:w="18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jc w:val="right"/>
              <w:rPr>
                <w:rFonts w:ascii="times" w:hAnsi="times"/>
                <w:sz w:val="20"/>
              </w:rPr>
            </w:pPr>
            <w:r>
              <w:rPr>
                <w:rFonts w:ascii="times" w:hAnsi="times"/>
                <w:sz w:val="20"/>
              </w:rPr>
              <w:t>$</w:t>
            </w:r>
          </w:p>
        </w:tc>
        <w:tc>
          <w:tcPr>
            <w:tcW w:w="235" w:type="dxa"/>
            <w:tcBorders/>
            <w:shd w:fill="CCEEFF" w:val="clear"/>
          </w:tcPr>
          <w:p>
            <w:pPr>
              <w:pStyle w:val="TableContents"/>
              <w:spacing w:before="0" w:after="283"/>
              <w:jc w:val="right"/>
              <w:rPr>
                <w:rFonts w:ascii="times" w:hAnsi="times"/>
                <w:sz w:val="20"/>
              </w:rPr>
            </w:pPr>
            <w:r>
              <w:rPr>
                <w:rFonts w:ascii="times" w:hAnsi="times"/>
                <w:sz w:val="20"/>
              </w:rPr>
              <w:t>2</w:t>
            </w:r>
          </w:p>
        </w:tc>
        <w:tc>
          <w:tcPr>
            <w:tcW w:w="23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jc w:val="right"/>
              <w:rPr>
                <w:rFonts w:ascii="times" w:hAnsi="times"/>
                <w:sz w:val="20"/>
              </w:rPr>
            </w:pPr>
            <w:r>
              <w:rPr>
                <w:rFonts w:ascii="times" w:hAnsi="times"/>
                <w:sz w:val="20"/>
              </w:rPr>
              <w:t>$</w:t>
            </w:r>
          </w:p>
        </w:tc>
        <w:tc>
          <w:tcPr>
            <w:tcW w:w="235" w:type="dxa"/>
            <w:tcBorders/>
            <w:shd w:fill="CCEEFF" w:val="clear"/>
          </w:tcPr>
          <w:p>
            <w:pPr>
              <w:pStyle w:val="TableContents"/>
              <w:spacing w:before="0" w:after="283"/>
              <w:jc w:val="right"/>
              <w:rPr>
                <w:rFonts w:ascii="times" w:hAnsi="times"/>
                <w:sz w:val="20"/>
              </w:rPr>
            </w:pPr>
            <w:r>
              <w:rPr>
                <w:rFonts w:ascii="times" w:hAnsi="times"/>
                <w:sz w:val="20"/>
              </w:rPr>
              <w:t>16</w:t>
            </w:r>
          </w:p>
        </w:tc>
        <w:tc>
          <w:tcPr>
            <w:tcW w:w="230" w:type="dxa"/>
            <w:tcBorders/>
            <w:shd w:fill="CCEEFF" w:val="clear"/>
          </w:tcPr>
          <w:p>
            <w:pPr>
              <w:pStyle w:val="TableContents"/>
              <w:spacing w:before="0" w:after="283"/>
              <w:rPr/>
            </w:pPr>
            <w:r>
              <w:rPr/>
              <w:t> </w:t>
            </w:r>
          </w:p>
        </w:tc>
        <w:tc>
          <w:tcPr>
            <w:tcW w:w="127" w:type="dxa"/>
            <w:tcBorders/>
            <w:shd w:fill="CCEEFF" w:val="clear"/>
          </w:tcPr>
          <w:p>
            <w:pPr>
              <w:pStyle w:val="TableContents"/>
              <w:spacing w:before="0" w:after="283"/>
              <w:jc w:val="right"/>
              <w:rPr>
                <w:rFonts w:ascii="times" w:hAnsi="times"/>
                <w:sz w:val="20"/>
              </w:rPr>
            </w:pPr>
            <w:r>
              <w:rPr>
                <w:rFonts w:ascii="times" w:hAnsi="times"/>
                <w:sz w:val="20"/>
              </w:rPr>
              <w:t>$</w:t>
            </w:r>
          </w:p>
        </w:tc>
        <w:tc>
          <w:tcPr>
            <w:tcW w:w="235" w:type="dxa"/>
            <w:tcBorders/>
            <w:shd w:fill="CCEEFF" w:val="clear"/>
          </w:tcPr>
          <w:p>
            <w:pPr>
              <w:pStyle w:val="TableContents"/>
              <w:spacing w:before="0" w:after="283"/>
              <w:jc w:val="right"/>
              <w:rPr>
                <w:rFonts w:ascii="times" w:hAnsi="times"/>
                <w:sz w:val="20"/>
              </w:rPr>
            </w:pPr>
            <w:r>
              <w:rPr>
                <w:rFonts w:ascii="times" w:hAnsi="times"/>
                <w:sz w:val="20"/>
              </w:rPr>
              <w:t>2</w:t>
            </w:r>
          </w:p>
        </w:tc>
        <w:tc>
          <w:tcPr>
            <w:tcW w:w="60" w:type="dxa"/>
            <w:tcBorders/>
            <w:shd w:fill="CCEEFF" w:val="clear"/>
          </w:tcPr>
          <w:p>
            <w:pPr>
              <w:pStyle w:val="TableContents"/>
              <w:spacing w:before="0" w:after="283"/>
              <w:rPr/>
            </w:pPr>
            <w:r>
              <w:rPr/>
              <w:t> </w:t>
            </w:r>
          </w:p>
        </w:tc>
      </w:tr>
      <w:tr>
        <w:trPr/>
        <w:tc>
          <w:tcPr>
            <w:tcW w:w="4395" w:type="dxa"/>
            <w:tcBorders/>
            <w:shd w:fill="FFFFFF" w:val="clear"/>
          </w:tcPr>
          <w:p>
            <w:pPr>
              <w:pStyle w:val="TableContents"/>
              <w:spacing w:before="0" w:after="283"/>
              <w:ind w:left="200" w:right="0" w:hanging="200"/>
              <w:rPr>
                <w:rFonts w:ascii="times" w:hAnsi="times"/>
                <w:sz w:val="20"/>
              </w:rPr>
            </w:pPr>
            <w:r>
              <w:rPr>
                <w:rFonts w:ascii="times" w:hAnsi="times"/>
                <w:sz w:val="20"/>
              </w:rPr>
              <w:t>DER cash payments</w:t>
            </w:r>
          </w:p>
        </w:tc>
        <w:tc>
          <w:tcPr>
            <w:tcW w:w="180"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jc w:val="right"/>
              <w:rPr>
                <w:rFonts w:ascii="times" w:hAnsi="times"/>
                <w:sz w:val="20"/>
              </w:rPr>
            </w:pPr>
            <w:r>
              <w:rPr>
                <w:rFonts w:ascii="times" w:hAnsi="times"/>
                <w:sz w:val="20"/>
              </w:rPr>
              <w:t>$</w:t>
            </w:r>
          </w:p>
        </w:tc>
        <w:tc>
          <w:tcPr>
            <w:tcW w:w="235" w:type="dxa"/>
            <w:tcBorders/>
            <w:shd w:fill="FFFFFF" w:val="clear"/>
          </w:tcPr>
          <w:p>
            <w:pPr>
              <w:pStyle w:val="TableContents"/>
              <w:spacing w:before="0" w:after="283"/>
              <w:jc w:val="right"/>
              <w:rPr>
                <w:rFonts w:ascii="times" w:hAnsi="times"/>
                <w:sz w:val="20"/>
              </w:rPr>
            </w:pPr>
            <w:r>
              <w:rPr>
                <w:rFonts w:ascii="times" w:hAnsi="times"/>
                <w:sz w:val="20"/>
              </w:rPr>
              <w:t>4</w:t>
            </w:r>
          </w:p>
        </w:tc>
        <w:tc>
          <w:tcPr>
            <w:tcW w:w="230"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jc w:val="right"/>
              <w:rPr>
                <w:rFonts w:ascii="times" w:hAnsi="times"/>
                <w:sz w:val="20"/>
              </w:rPr>
            </w:pPr>
            <w:r>
              <w:rPr>
                <w:rFonts w:ascii="times" w:hAnsi="times"/>
                <w:sz w:val="20"/>
              </w:rPr>
              <w:t>$</w:t>
            </w:r>
          </w:p>
        </w:tc>
        <w:tc>
          <w:tcPr>
            <w:tcW w:w="235" w:type="dxa"/>
            <w:tcBorders/>
            <w:shd w:fill="FFFFFF" w:val="clear"/>
          </w:tcPr>
          <w:p>
            <w:pPr>
              <w:pStyle w:val="TableContents"/>
              <w:spacing w:before="0" w:after="283"/>
              <w:jc w:val="right"/>
              <w:rPr>
                <w:rFonts w:ascii="times" w:hAnsi="times"/>
                <w:sz w:val="20"/>
              </w:rPr>
            </w:pPr>
            <w:r>
              <w:rPr>
                <w:rFonts w:ascii="times" w:hAnsi="times"/>
                <w:sz w:val="20"/>
              </w:rPr>
              <w:t>4</w:t>
            </w:r>
          </w:p>
        </w:tc>
        <w:tc>
          <w:tcPr>
            <w:tcW w:w="230" w:type="dxa"/>
            <w:tcBorders/>
            <w:shd w:fill="FFFFFF" w:val="clear"/>
          </w:tcPr>
          <w:p>
            <w:pPr>
              <w:pStyle w:val="TableContents"/>
              <w:spacing w:before="0" w:after="283"/>
              <w:rPr/>
            </w:pPr>
            <w:r>
              <w:rPr/>
              <w:t> </w:t>
            </w:r>
          </w:p>
        </w:tc>
        <w:tc>
          <w:tcPr>
            <w:tcW w:w="127" w:type="dxa"/>
            <w:tcBorders/>
            <w:shd w:fill="FFFFFF" w:val="clear"/>
          </w:tcPr>
          <w:p>
            <w:pPr>
              <w:pStyle w:val="TableContents"/>
              <w:spacing w:before="0" w:after="283"/>
              <w:jc w:val="right"/>
              <w:rPr>
                <w:rFonts w:ascii="times" w:hAnsi="times"/>
                <w:sz w:val="20"/>
              </w:rPr>
            </w:pPr>
            <w:r>
              <w:rPr>
                <w:rFonts w:ascii="times" w:hAnsi="times"/>
                <w:sz w:val="20"/>
              </w:rPr>
              <w:t>$</w:t>
            </w:r>
          </w:p>
        </w:tc>
        <w:tc>
          <w:tcPr>
            <w:tcW w:w="235" w:type="dxa"/>
            <w:tcBorders/>
            <w:shd w:fill="FFFFFF" w:val="clear"/>
          </w:tcPr>
          <w:p>
            <w:pPr>
              <w:pStyle w:val="TableContents"/>
              <w:spacing w:before="0" w:after="283"/>
              <w:jc w:val="right"/>
              <w:rPr>
                <w:rFonts w:ascii="times" w:hAnsi="times"/>
                <w:sz w:val="20"/>
              </w:rPr>
            </w:pPr>
            <w:r>
              <w:rPr>
                <w:rFonts w:ascii="times" w:hAnsi="times"/>
                <w:sz w:val="20"/>
              </w:rPr>
              <w:t>3</w:t>
            </w:r>
          </w:p>
        </w:tc>
        <w:tc>
          <w:tcPr>
            <w:tcW w:w="60" w:type="dxa"/>
            <w:tcBorders/>
            <w:shd w:fill="FFFFFF" w:val="clear"/>
          </w:tcPr>
          <w:p>
            <w:pPr>
              <w:pStyle w:val="TableContents"/>
              <w:spacing w:before="0" w:after="283"/>
              <w:rPr/>
            </w:pPr>
            <w:r>
              <w:rPr/>
              <w:t> </w:t>
            </w:r>
          </w:p>
        </w:tc>
      </w:tr>
    </w:tbl>
    <w:p>
      <w:pPr>
        <w:pStyle w:val="TextBody"/>
        <w:rPr/>
      </w:pPr>
      <w:r>
        <w:rPr/>
        <w:t>        </w:t>
      </w:r>
      <w:r>
        <w:rPr>
          <w:rFonts w:ascii="times" w:hAnsi="times"/>
          <w:sz w:val="20"/>
        </w:rPr>
        <w:t xml:space="preserve">Approximately 0.3 million units were issued in 2007 in connection with the settlement of vested awards. The remaining 0.1 million and 0.4 million of awards that vested during 2008 and 2007, respectively, were settled in cash. There was an insignificant amount of units issued in connection with the settlement of vested awards in 2006. As of December 31, 2008 and 2007, the weighted average remaining contractual life of our outstanding LTIP awards was approximately two years based on expected vesting dates. Based on the December 31, 2008 fair value measurement and probability assessment regarding future distributions, we expect to recognize approximately $41 million of additional expense over the life of our outstanding awards related to the remaining unrecognized fair value. This estimate is based on the closing market price of our units of $34.69 at December 31, 2008. Actual amounts may differ materially as a result of a change in the market price of our units and/or </w:t>
      </w:r>
    </w:p>
    <w:p>
      <w:pPr>
        <w:pStyle w:val="TextBody"/>
        <w:jc w:val="center"/>
        <w:rPr>
          <w:rFonts w:ascii="times" w:hAnsi="times"/>
          <w:sz w:val="20"/>
        </w:rPr>
      </w:pPr>
      <w:r>
        <w:rPr>
          <w:rFonts w:ascii="times" w:hAnsi="times"/>
          <w:sz w:val="20"/>
        </w:rPr>
        <w:t>F-50</w:t>
      </w:r>
    </w:p>
    <w:p>
      <w:pPr>
        <w:pStyle w:val="HorizontalLine"/>
        <w:pBdr>
          <w:bottom w:val="single" w:sz="20" w:space="0" w:color="808080"/>
        </w:pBdr>
        <w:rPr/>
      </w:pPr>
      <w:r>
        <w:rPr/>
      </w:r>
      <w:r>
        <w:br w:type="page"/>
      </w:r>
    </w:p>
    <w:p>
      <w:pPr>
        <w:pStyle w:val="TextBody"/>
        <w:rPr/>
      </w:pPr>
      <w:hyperlink w:anchor="bg12101a_main_toc">
        <w:bookmarkStart w:id="284" w:name="page_fu12101_1_51"/>
        <w:bookmarkEnd w:id="28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10Equity Compensation Plans (Continued) </w:t>
      </w:r>
    </w:p>
    <w:p>
      <w:pPr>
        <w:pStyle w:val="TextBody"/>
        <w:rPr/>
      </w:pPr>
      <w:r>
        <w:rPr/>
      </w:r>
    </w:p>
    <w:p>
      <w:pPr>
        <w:pStyle w:val="TextBody"/>
        <w:rPr>
          <w:rFonts w:ascii="times" w:hAnsi="times"/>
          <w:sz w:val="20"/>
        </w:rPr>
      </w:pPr>
      <w:r>
        <w:rPr>
          <w:rFonts w:ascii="times" w:hAnsi="times"/>
          <w:sz w:val="20"/>
        </w:rPr>
        <w:t xml:space="preserve">probability assessment regarding future distributions. We estimate that the remaining fair value will be recognized in expense as shown below (in millions): </w:t>
      </w:r>
    </w:p>
    <w:tbl>
      <w:tblPr>
        <w:tblW w:w="5899" w:type="dxa"/>
        <w:jc w:val="center"/>
        <w:tblInd w:w="0" w:type="dxa"/>
        <w:tblCellMar>
          <w:top w:w="0" w:type="dxa"/>
          <w:left w:w="0" w:type="dxa"/>
          <w:bottom w:w="0" w:type="dxa"/>
          <w:right w:w="0" w:type="dxa"/>
        </w:tblCellMar>
      </w:tblPr>
      <w:tblGrid>
        <w:gridCol w:w="150"/>
        <w:gridCol w:w="4200"/>
        <w:gridCol w:w="180"/>
        <w:gridCol w:w="135"/>
        <w:gridCol w:w="1174"/>
        <w:gridCol w:w="60"/>
      </w:tblGrid>
      <w:tr>
        <w:trPr/>
        <w:tc>
          <w:tcPr>
            <w:tcW w:w="150" w:type="dxa"/>
            <w:tcBorders/>
            <w:shd w:fill="auto" w:val="clear"/>
            <w:vAlign w:val="center"/>
          </w:tcPr>
          <w:p>
            <w:pPr>
              <w:pStyle w:val="TableContents"/>
              <w:spacing w:before="0" w:after="283"/>
              <w:rPr>
                <w:sz w:val="4"/>
                <w:szCs w:val="4"/>
              </w:rPr>
            </w:pPr>
            <w:r>
              <w:rPr>
                <w:sz w:val="4"/>
                <w:szCs w:val="4"/>
              </w:rPr>
            </w:r>
          </w:p>
        </w:tc>
        <w:tc>
          <w:tcPr>
            <w:tcW w:w="420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350" w:type="dxa"/>
            <w:gridSpan w:val="2"/>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Year </w:t>
            </w:r>
          </w:p>
        </w:tc>
        <w:tc>
          <w:tcPr>
            <w:tcW w:w="180" w:type="dxa"/>
            <w:tcBorders/>
            <w:shd w:fill="auto" w:val="clear"/>
            <w:vAlign w:val="bottom"/>
          </w:tcPr>
          <w:p>
            <w:pPr>
              <w:pStyle w:val="TableHeading"/>
              <w:suppressLineNumbers/>
              <w:spacing w:before="0" w:after="283"/>
              <w:jc w:val="center"/>
              <w:rPr/>
            </w:pPr>
            <w:r>
              <w:rPr/>
              <w:t> </w:t>
            </w:r>
          </w:p>
        </w:tc>
        <w:tc>
          <w:tcPr>
            <w:tcW w:w="13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Equity Compensation</w:t>
              <w:br/>
              <w:t>Plan Fair Value</w:t>
              <w:br/>
              <w:t>Amortization</w:t>
            </w:r>
            <w:r>
              <w:rPr>
                <w:rFonts w:ascii="times" w:hAnsi="times"/>
                <w:b/>
                <w:position w:val="5"/>
                <w:sz w:val="11"/>
                <w:sz w:val="14"/>
              </w:rPr>
              <w:t>(1)(2)</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435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2009</w:t>
            </w:r>
          </w:p>
        </w:tc>
        <w:tc>
          <w:tcPr>
            <w:tcW w:w="180" w:type="dxa"/>
            <w:tcBorders/>
            <w:shd w:fill="CCEEFF" w:val="clear"/>
          </w:tcPr>
          <w:p>
            <w:pPr>
              <w:pStyle w:val="TableContents"/>
              <w:spacing w:before="0" w:after="283"/>
              <w:rPr/>
            </w:pPr>
            <w:r>
              <w:rPr/>
              <w:t> </w:t>
            </w:r>
          </w:p>
        </w:tc>
        <w:tc>
          <w:tcPr>
            <w:tcW w:w="135" w:type="dxa"/>
            <w:tcBorders/>
            <w:shd w:fill="CCEEFF" w:val="clear"/>
          </w:tcPr>
          <w:p>
            <w:pPr>
              <w:pStyle w:val="TableContents"/>
              <w:spacing w:before="0" w:after="283"/>
              <w:jc w:val="right"/>
              <w:rPr>
                <w:rFonts w:ascii="times" w:hAnsi="times"/>
                <w:sz w:val="20"/>
              </w:rPr>
            </w:pPr>
            <w:r>
              <w:rPr>
                <w:rFonts w:ascii="times" w:hAnsi="times"/>
                <w:sz w:val="20"/>
              </w:rPr>
              <w:t>$</w:t>
            </w:r>
          </w:p>
        </w:tc>
        <w:tc>
          <w:tcPr>
            <w:tcW w:w="1174" w:type="dxa"/>
            <w:tcBorders/>
            <w:shd w:fill="CCEEFF" w:val="clear"/>
          </w:tcPr>
          <w:p>
            <w:pPr>
              <w:pStyle w:val="TableContents"/>
              <w:spacing w:before="0" w:after="283"/>
              <w:jc w:val="right"/>
              <w:rPr>
                <w:rFonts w:ascii="times" w:hAnsi="times"/>
                <w:sz w:val="20"/>
              </w:rPr>
            </w:pPr>
            <w:r>
              <w:rPr>
                <w:rFonts w:ascii="times" w:hAnsi="times"/>
                <w:sz w:val="20"/>
              </w:rPr>
              <w:t>19</w:t>
            </w:r>
          </w:p>
        </w:tc>
        <w:tc>
          <w:tcPr>
            <w:tcW w:w="60" w:type="dxa"/>
            <w:tcBorders/>
            <w:shd w:fill="CCEEFF" w:val="clear"/>
          </w:tcPr>
          <w:p>
            <w:pPr>
              <w:pStyle w:val="TableContents"/>
              <w:spacing w:before="0" w:after="283"/>
              <w:rPr/>
            </w:pPr>
            <w:r>
              <w:rPr/>
              <w:t> </w:t>
            </w:r>
          </w:p>
        </w:tc>
      </w:tr>
      <w:tr>
        <w:trPr/>
        <w:tc>
          <w:tcPr>
            <w:tcW w:w="435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2010</w:t>
            </w:r>
          </w:p>
        </w:tc>
        <w:tc>
          <w:tcPr>
            <w:tcW w:w="180" w:type="dxa"/>
            <w:tcBorders/>
            <w:shd w:fill="FFFFFF" w:val="clear"/>
          </w:tcPr>
          <w:p>
            <w:pPr>
              <w:pStyle w:val="TableContents"/>
              <w:spacing w:before="0" w:after="283"/>
              <w:rPr/>
            </w:pPr>
            <w:r>
              <w:rPr/>
              <w:t> </w:t>
            </w:r>
          </w:p>
        </w:tc>
        <w:tc>
          <w:tcPr>
            <w:tcW w:w="135" w:type="dxa"/>
            <w:tcBorders/>
            <w:shd w:fill="FFFFFF" w:val="clear"/>
          </w:tcPr>
          <w:p>
            <w:pPr>
              <w:pStyle w:val="TableContents"/>
              <w:spacing w:before="0" w:after="283"/>
              <w:rPr/>
            </w:pPr>
            <w:r>
              <w:rPr/>
              <w:t> </w:t>
            </w:r>
          </w:p>
        </w:tc>
        <w:tc>
          <w:tcPr>
            <w:tcW w:w="1174" w:type="dxa"/>
            <w:tcBorders/>
            <w:shd w:fill="FFFFFF" w:val="clear"/>
          </w:tcPr>
          <w:p>
            <w:pPr>
              <w:pStyle w:val="TableContents"/>
              <w:spacing w:before="0" w:after="283"/>
              <w:jc w:val="right"/>
              <w:rPr>
                <w:rFonts w:ascii="times" w:hAnsi="times"/>
                <w:sz w:val="20"/>
              </w:rPr>
            </w:pPr>
            <w:r>
              <w:rPr>
                <w:rFonts w:ascii="times" w:hAnsi="times"/>
                <w:sz w:val="20"/>
              </w:rPr>
              <w:t>15</w:t>
            </w:r>
          </w:p>
        </w:tc>
        <w:tc>
          <w:tcPr>
            <w:tcW w:w="60" w:type="dxa"/>
            <w:tcBorders/>
            <w:shd w:fill="FFFFFF" w:val="clear"/>
          </w:tcPr>
          <w:p>
            <w:pPr>
              <w:pStyle w:val="TableContents"/>
              <w:spacing w:before="0" w:after="283"/>
              <w:rPr/>
            </w:pPr>
            <w:r>
              <w:rPr/>
              <w:t> </w:t>
            </w:r>
          </w:p>
        </w:tc>
      </w:tr>
      <w:tr>
        <w:trPr/>
        <w:tc>
          <w:tcPr>
            <w:tcW w:w="435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2011</w:t>
            </w:r>
          </w:p>
        </w:tc>
        <w:tc>
          <w:tcPr>
            <w:tcW w:w="180" w:type="dxa"/>
            <w:tcBorders/>
            <w:shd w:fill="CCEEFF" w:val="clear"/>
          </w:tcPr>
          <w:p>
            <w:pPr>
              <w:pStyle w:val="TableContents"/>
              <w:spacing w:before="0" w:after="283"/>
              <w:rPr/>
            </w:pPr>
            <w:r>
              <w:rPr/>
              <w:t> </w:t>
            </w:r>
          </w:p>
        </w:tc>
        <w:tc>
          <w:tcPr>
            <w:tcW w:w="135" w:type="dxa"/>
            <w:tcBorders/>
            <w:shd w:fill="CCEEFF" w:val="clear"/>
          </w:tcPr>
          <w:p>
            <w:pPr>
              <w:pStyle w:val="TableContents"/>
              <w:spacing w:before="0" w:after="283"/>
              <w:rPr/>
            </w:pPr>
            <w:r>
              <w:rPr/>
              <w:t> </w:t>
            </w:r>
          </w:p>
        </w:tc>
        <w:tc>
          <w:tcPr>
            <w:tcW w:w="1174" w:type="dxa"/>
            <w:tcBorders/>
            <w:shd w:fill="CCEEFF" w:val="clear"/>
          </w:tcPr>
          <w:p>
            <w:pPr>
              <w:pStyle w:val="TableContents"/>
              <w:spacing w:before="0" w:after="283"/>
              <w:jc w:val="right"/>
              <w:rPr>
                <w:rFonts w:ascii="times" w:hAnsi="times"/>
                <w:sz w:val="20"/>
              </w:rPr>
            </w:pPr>
            <w:r>
              <w:rPr>
                <w:rFonts w:ascii="times" w:hAnsi="times"/>
                <w:sz w:val="20"/>
              </w:rPr>
              <w:t>5</w:t>
            </w:r>
          </w:p>
        </w:tc>
        <w:tc>
          <w:tcPr>
            <w:tcW w:w="60" w:type="dxa"/>
            <w:tcBorders/>
            <w:shd w:fill="CCEEFF" w:val="clear"/>
          </w:tcPr>
          <w:p>
            <w:pPr>
              <w:pStyle w:val="TableContents"/>
              <w:spacing w:before="0" w:after="283"/>
              <w:rPr/>
            </w:pPr>
            <w:r>
              <w:rPr/>
              <w:t> </w:t>
            </w:r>
          </w:p>
        </w:tc>
      </w:tr>
      <w:tr>
        <w:trPr/>
        <w:tc>
          <w:tcPr>
            <w:tcW w:w="4350" w:type="dxa"/>
            <w:gridSpan w:val="2"/>
            <w:tcBorders/>
            <w:shd w:fill="FFFFFF" w:val="clear"/>
          </w:tcPr>
          <w:p>
            <w:pPr>
              <w:pStyle w:val="TableContents"/>
              <w:spacing w:before="0" w:after="283"/>
              <w:ind w:left="200" w:right="0" w:hanging="200"/>
              <w:rPr>
                <w:rFonts w:ascii="times" w:hAnsi="times"/>
                <w:sz w:val="20"/>
              </w:rPr>
            </w:pPr>
            <w:r>
              <w:rPr>
                <w:rFonts w:ascii="times" w:hAnsi="times"/>
                <w:sz w:val="20"/>
              </w:rPr>
              <w:t>2012</w:t>
            </w:r>
          </w:p>
        </w:tc>
        <w:tc>
          <w:tcPr>
            <w:tcW w:w="180" w:type="dxa"/>
            <w:tcBorders/>
            <w:shd w:fill="FFFFFF" w:val="clear"/>
          </w:tcPr>
          <w:p>
            <w:pPr>
              <w:pStyle w:val="TableContents"/>
              <w:spacing w:before="0" w:after="283"/>
              <w:rPr/>
            </w:pPr>
            <w:r>
              <w:rPr/>
              <w:t> </w:t>
            </w:r>
          </w:p>
        </w:tc>
        <w:tc>
          <w:tcPr>
            <w:tcW w:w="135" w:type="dxa"/>
            <w:tcBorders/>
            <w:shd w:fill="FFFFFF" w:val="clear"/>
          </w:tcPr>
          <w:p>
            <w:pPr>
              <w:pStyle w:val="TableContents"/>
              <w:spacing w:before="0" w:after="283"/>
              <w:rPr/>
            </w:pPr>
            <w:r>
              <w:rPr/>
              <w:t> </w:t>
            </w:r>
          </w:p>
        </w:tc>
        <w:tc>
          <w:tcPr>
            <w:tcW w:w="1174" w:type="dxa"/>
            <w:tcBorders/>
            <w:shd w:fill="FFFFFF" w:val="clear"/>
          </w:tcPr>
          <w:p>
            <w:pPr>
              <w:pStyle w:val="TableContents"/>
              <w:spacing w:before="0" w:after="283"/>
              <w:jc w:val="right"/>
              <w:rPr>
                <w:rFonts w:ascii="times" w:hAnsi="times"/>
                <w:sz w:val="20"/>
              </w:rPr>
            </w:pPr>
            <w:r>
              <w:rPr>
                <w:rFonts w:ascii="times" w:hAnsi="times"/>
                <w:sz w:val="20"/>
              </w:rPr>
              <w:t>2</w:t>
            </w:r>
          </w:p>
        </w:tc>
        <w:tc>
          <w:tcPr>
            <w:tcW w:w="60" w:type="dxa"/>
            <w:tcBorders/>
            <w:shd w:fill="FFFFFF" w:val="clear"/>
          </w:tcPr>
          <w:p>
            <w:pPr>
              <w:pStyle w:val="TableContents"/>
              <w:spacing w:before="0" w:after="283"/>
              <w:rPr/>
            </w:pPr>
            <w:r>
              <w:rPr/>
              <w:t> </w:t>
            </w:r>
          </w:p>
        </w:tc>
      </w:tr>
      <w:tr>
        <w:trPr/>
        <w:tc>
          <w:tcPr>
            <w:tcW w:w="4350" w:type="dxa"/>
            <w:gridSpan w:val="2"/>
            <w:tcBorders/>
            <w:shd w:fill="CCEEFF" w:val="clear"/>
          </w:tcPr>
          <w:p>
            <w:pPr>
              <w:pStyle w:val="TableContents"/>
              <w:spacing w:before="0" w:after="283"/>
              <w:ind w:left="200" w:right="0" w:hanging="200"/>
              <w:rPr>
                <w:rFonts w:ascii="times" w:hAnsi="times"/>
                <w:sz w:val="20"/>
              </w:rPr>
            </w:pPr>
            <w:r>
              <w:rPr>
                <w:rFonts w:ascii="times" w:hAnsi="times"/>
                <w:sz w:val="20"/>
              </w:rPr>
              <w:t>2013</w:t>
            </w:r>
          </w:p>
        </w:tc>
        <w:tc>
          <w:tcPr>
            <w:tcW w:w="180" w:type="dxa"/>
            <w:tcBorders/>
            <w:shd w:fill="CCEEFF" w:val="clear"/>
          </w:tcPr>
          <w:p>
            <w:pPr>
              <w:pStyle w:val="TableContents"/>
              <w:spacing w:before="0" w:after="283"/>
              <w:rPr/>
            </w:pPr>
            <w:r>
              <w:rPr/>
              <w:t> </w:t>
            </w:r>
          </w:p>
        </w:tc>
        <w:tc>
          <w:tcPr>
            <w:tcW w:w="135" w:type="dxa"/>
            <w:tcBorders/>
            <w:shd w:fill="CCEEFF" w:val="clear"/>
          </w:tcPr>
          <w:p>
            <w:pPr>
              <w:pStyle w:val="TableContents"/>
              <w:spacing w:before="0" w:after="283"/>
              <w:rPr/>
            </w:pPr>
            <w:r>
              <w:rPr/>
              <w:t> </w:t>
            </w:r>
          </w:p>
        </w:tc>
        <w:tc>
          <w:tcPr>
            <w:tcW w:w="1174" w:type="dxa"/>
            <w:tcBorders/>
            <w:shd w:fill="CCEEFF" w:val="clear"/>
          </w:tcPr>
          <w:p>
            <w:pPr>
              <w:pStyle w:val="TableContents"/>
              <w:spacing w:before="0" w:after="283"/>
              <w:jc w:val="right"/>
              <w:rPr>
                <w:rFonts w:ascii="times" w:hAnsi="times"/>
                <w:sz w:val="20"/>
              </w:rPr>
            </w:pPr>
            <w:r>
              <w:rPr>
                <w:rFonts w:ascii="times" w:hAnsi="times"/>
                <w:sz w:val="20"/>
              </w:rPr>
              <w:t></w:t>
            </w:r>
          </w:p>
        </w:tc>
        <w:tc>
          <w:tcPr>
            <w:tcW w:w="60" w:type="dxa"/>
            <w:tcBorders/>
            <w:shd w:fill="CCEEFF" w:val="clear"/>
          </w:tcPr>
          <w:p>
            <w:pPr>
              <w:pStyle w:val="TableContents"/>
              <w:spacing w:before="0" w:after="283"/>
              <w:rPr/>
            </w:pPr>
            <w:r>
              <w:rPr/>
              <w:t> </w:t>
            </w:r>
          </w:p>
        </w:tc>
      </w:tr>
      <w:tr>
        <w:trPr/>
        <w:tc>
          <w:tcPr>
            <w:tcW w:w="435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30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50" w:type="dxa"/>
            <w:tcBorders/>
            <w:shd w:fill="FFFFFF" w:val="clear"/>
          </w:tcPr>
          <w:p>
            <w:pPr>
              <w:pStyle w:val="TableContents"/>
              <w:spacing w:before="0" w:after="283"/>
              <w:rPr/>
            </w:pPr>
            <w:r>
              <w:rPr/>
              <w:t> </w:t>
            </w:r>
          </w:p>
        </w:tc>
        <w:tc>
          <w:tcPr>
            <w:tcW w:w="4200" w:type="dxa"/>
            <w:tcBorders/>
            <w:shd w:fill="FFFFFF" w:val="clear"/>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FFFFFF" w:val="clear"/>
          </w:tcPr>
          <w:p>
            <w:pPr>
              <w:pStyle w:val="TableContents"/>
              <w:spacing w:before="0" w:after="283"/>
              <w:rPr/>
            </w:pPr>
            <w:r>
              <w:rPr/>
              <w:t> </w:t>
            </w:r>
          </w:p>
        </w:tc>
        <w:tc>
          <w:tcPr>
            <w:tcW w:w="135" w:type="dxa"/>
            <w:tcBorders/>
            <w:shd w:fill="FFFFFF" w:val="clear"/>
          </w:tcPr>
          <w:p>
            <w:pPr>
              <w:pStyle w:val="TableContents"/>
              <w:spacing w:before="0" w:after="283"/>
              <w:jc w:val="right"/>
              <w:rPr>
                <w:rFonts w:ascii="times" w:hAnsi="times"/>
                <w:sz w:val="20"/>
              </w:rPr>
            </w:pPr>
            <w:r>
              <w:rPr>
                <w:rFonts w:ascii="times" w:hAnsi="times"/>
                <w:sz w:val="20"/>
              </w:rPr>
              <w:t>$</w:t>
            </w:r>
          </w:p>
        </w:tc>
        <w:tc>
          <w:tcPr>
            <w:tcW w:w="1174" w:type="dxa"/>
            <w:tcBorders/>
            <w:shd w:fill="FFFFFF" w:val="clear"/>
          </w:tcPr>
          <w:p>
            <w:pPr>
              <w:pStyle w:val="TableContents"/>
              <w:spacing w:before="0" w:after="283"/>
              <w:jc w:val="right"/>
              <w:rPr>
                <w:rFonts w:ascii="times" w:hAnsi="times"/>
                <w:sz w:val="20"/>
              </w:rPr>
            </w:pPr>
            <w:r>
              <w:rPr>
                <w:rFonts w:ascii="times" w:hAnsi="times"/>
                <w:sz w:val="20"/>
              </w:rPr>
              <w:t>41</w:t>
            </w:r>
          </w:p>
        </w:tc>
        <w:tc>
          <w:tcPr>
            <w:tcW w:w="60" w:type="dxa"/>
            <w:tcBorders/>
            <w:shd w:fill="FFFFFF" w:val="clear"/>
          </w:tcPr>
          <w:p>
            <w:pPr>
              <w:pStyle w:val="TableContents"/>
              <w:spacing w:before="0" w:after="283"/>
              <w:rPr/>
            </w:pPr>
            <w:r>
              <w:rPr/>
              <w:t> </w:t>
            </w:r>
          </w:p>
        </w:tc>
      </w:tr>
      <w:tr>
        <w:trPr/>
        <w:tc>
          <w:tcPr>
            <w:tcW w:w="4350"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30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numPr>
          <w:ilvl w:val="0"/>
          <w:numId w:val="0"/>
        </w:numPr>
        <w:pBdr>
          <w:bottom w:val="single" w:sz="6" w:space="0" w:color="000000"/>
        </w:pBdr>
        <w:ind w:left="1414" w:right="7552" w:hanging="0"/>
        <w:rPr/>
      </w:pPr>
      <w:r>
        <w:rPr/>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(1)</w:t>
      </w:r>
    </w:p>
    <w:p>
      <w:pPr>
        <w:pStyle w:val="ListContents"/>
        <w:numPr>
          <w:ilvl w:val="0"/>
          <w:numId w:val="0"/>
        </w:numPr>
        <w:spacing w:before="0" w:after="283"/>
        <w:ind w:left="1981" w:right="0" w:hanging="0"/>
        <w:rPr>
          <w:rFonts w:ascii="times" w:hAnsi="times"/>
          <w:sz w:val="20"/>
        </w:rPr>
      </w:pPr>
      <w:r>
        <w:rPr>
          <w:rFonts w:ascii="times" w:hAnsi="times"/>
          <w:sz w:val="20"/>
        </w:rPr>
        <w:t xml:space="preserve">Amounts do not include fair value associated with awards containing performance conditions that are not considered to be probable of occurring at December 31, 2008. </w:t>
      </w:r>
    </w:p>
    <w:p>
      <w:pPr>
        <w:pStyle w:val="ListHeading"/>
        <w:numPr>
          <w:ilvl w:val="0"/>
          <w:numId w:val="0"/>
        </w:numPr>
        <w:spacing w:before="0" w:after="0"/>
        <w:ind w:left="1414" w:right="0" w:hanging="0"/>
        <w:rPr>
          <w:rFonts w:ascii="times" w:hAnsi="times"/>
          <w:position w:val="7"/>
          <w:sz w:val="16"/>
          <w:sz w:val="20"/>
        </w:rPr>
      </w:pPr>
      <w:r>
        <w:rPr>
          <w:rFonts w:ascii="times" w:hAnsi="times"/>
          <w:position w:val="7"/>
          <w:sz w:val="16"/>
          <w:sz w:val="20"/>
        </w:rPr>
        <w:t>(2)</w:t>
      </w:r>
    </w:p>
    <w:p>
      <w:pPr>
        <w:pStyle w:val="ListContents"/>
        <w:numPr>
          <w:ilvl w:val="0"/>
          <w:numId w:val="0"/>
        </w:numPr>
        <w:spacing w:before="0" w:after="283"/>
        <w:ind w:left="1981" w:right="0" w:hanging="0"/>
        <w:rPr>
          <w:rFonts w:ascii="times" w:hAnsi="times"/>
          <w:sz w:val="20"/>
        </w:rPr>
      </w:pPr>
      <w:r>
        <w:rPr>
          <w:rFonts w:ascii="times" w:hAnsi="times"/>
          <w:sz w:val="20"/>
        </w:rPr>
        <w:t xml:space="preserve">Includes unamortized fair value associated with Class B units of Plains AAP, L.P. </w:t>
      </w:r>
    </w:p>
    <w:p>
      <w:pPr>
        <w:pStyle w:val="TextBody"/>
        <w:rPr>
          <w:rFonts w:ascii="times" w:hAnsi="times"/>
          <w:b/>
          <w:sz w:val="20"/>
        </w:rPr>
      </w:pPr>
      <w:r>
        <w:rPr>
          <w:rFonts w:ascii="times" w:hAnsi="times"/>
          <w:b/>
          <w:sz w:val="20"/>
        </w:rPr>
        <w:t xml:space="preserve">Note 11Commitments and Contingencies </w:t>
      </w:r>
    </w:p>
    <w:p>
      <w:pPr>
        <w:pStyle w:val="TextBody"/>
        <w:rPr>
          <w:rFonts w:ascii="times" w:hAnsi="times"/>
          <w:b/>
          <w:i/>
          <w:sz w:val="20"/>
        </w:rPr>
      </w:pPr>
      <w:r>
        <w:rPr>
          <w:rFonts w:ascii="times" w:hAnsi="times"/>
          <w:b/>
          <w:i/>
          <w:sz w:val="20"/>
        </w:rPr>
        <w:t xml:space="preserve">Commitments </w:t>
      </w:r>
    </w:p>
    <w:p>
      <w:pPr>
        <w:pStyle w:val="TextBody"/>
        <w:rPr/>
      </w:pPr>
      <w:r>
        <w:rPr/>
        <w:t>        </w:t>
      </w:r>
      <w:r>
        <w:rPr>
          <w:rFonts w:ascii="times" w:hAnsi="times"/>
          <w:sz w:val="20"/>
        </w:rPr>
        <w:t xml:space="preserve">We lease certain real property, equipment and operating facilities under various operating and capital leases. We also incur costs associated with leased land, rights-of-way, permits and regulatory fees, the contracts for which generally extend beyond one year but can be cancelled at any time should they not be required for operations. Future non-cancellable commitments related to these items at December 31, 2008, are summarized below (in millions): </w:t>
      </w:r>
    </w:p>
    <w:tbl>
      <w:tblPr>
        <w:tblW w:w="5875" w:type="dxa"/>
        <w:jc w:val="center"/>
        <w:tblInd w:w="0" w:type="dxa"/>
        <w:tblCellMar>
          <w:top w:w="0" w:type="dxa"/>
          <w:left w:w="0" w:type="dxa"/>
          <w:bottom w:w="0" w:type="dxa"/>
          <w:right w:w="0" w:type="dxa"/>
        </w:tblCellMar>
      </w:tblPr>
      <w:tblGrid>
        <w:gridCol w:w="5175"/>
        <w:gridCol w:w="180"/>
        <w:gridCol w:w="125"/>
        <w:gridCol w:w="335"/>
        <w:gridCol w:w="60"/>
      </w:tblGrid>
      <w:tr>
        <w:trPr/>
        <w:tc>
          <w:tcPr>
            <w:tcW w:w="517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2009</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57</w:t>
            </w:r>
          </w:p>
        </w:tc>
        <w:tc>
          <w:tcPr>
            <w:tcW w:w="60" w:type="dxa"/>
            <w:tcBorders/>
            <w:shd w:fill="CCEEFF" w:val="clear"/>
            <w:vAlign w:val="bottom"/>
          </w:tcPr>
          <w:p>
            <w:pPr>
              <w:pStyle w:val="TableContents"/>
              <w:spacing w:before="0" w:after="283"/>
              <w:rPr/>
            </w:pPr>
            <w:r>
              <w:rPr/>
              <w:t> </w:t>
            </w:r>
          </w:p>
        </w:tc>
      </w:tr>
      <w:tr>
        <w:trPr/>
        <w:tc>
          <w:tcPr>
            <w:tcW w:w="51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2010</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46</w:t>
            </w:r>
          </w:p>
        </w:tc>
        <w:tc>
          <w:tcPr>
            <w:tcW w:w="60" w:type="dxa"/>
            <w:tcBorders/>
            <w:shd w:fill="FFFFFF" w:val="clear"/>
            <w:vAlign w:val="bottom"/>
          </w:tcPr>
          <w:p>
            <w:pPr>
              <w:pStyle w:val="TableContents"/>
              <w:spacing w:before="0" w:after="283"/>
              <w:rPr/>
            </w:pPr>
            <w:r>
              <w:rPr/>
              <w:t> </w:t>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40</w:t>
            </w:r>
          </w:p>
        </w:tc>
        <w:tc>
          <w:tcPr>
            <w:tcW w:w="60" w:type="dxa"/>
            <w:tcBorders/>
            <w:shd w:fill="CCEEFF" w:val="clear"/>
            <w:vAlign w:val="bottom"/>
          </w:tcPr>
          <w:p>
            <w:pPr>
              <w:pStyle w:val="TableContents"/>
              <w:spacing w:before="0" w:after="283"/>
              <w:rPr/>
            </w:pPr>
            <w:r>
              <w:rPr/>
              <w:t> </w:t>
            </w:r>
          </w:p>
        </w:tc>
      </w:tr>
      <w:tr>
        <w:trPr/>
        <w:tc>
          <w:tcPr>
            <w:tcW w:w="51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2012</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60" w:type="dxa"/>
            <w:tcBorders/>
            <w:shd w:fill="FFFFFF" w:val="clear"/>
            <w:vAlign w:val="bottom"/>
          </w:tcPr>
          <w:p>
            <w:pPr>
              <w:pStyle w:val="TableContents"/>
              <w:spacing w:before="0" w:after="283"/>
              <w:rPr/>
            </w:pPr>
            <w:r>
              <w:rPr/>
              <w:t> </w:t>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2013</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26</w:t>
            </w:r>
          </w:p>
        </w:tc>
        <w:tc>
          <w:tcPr>
            <w:tcW w:w="60" w:type="dxa"/>
            <w:tcBorders/>
            <w:shd w:fill="CCEEFF" w:val="clear"/>
            <w:vAlign w:val="bottom"/>
          </w:tcPr>
          <w:p>
            <w:pPr>
              <w:pStyle w:val="TableContents"/>
              <w:spacing w:before="0" w:after="283"/>
              <w:rPr/>
            </w:pPr>
            <w:r>
              <w:rPr/>
              <w:t> </w:t>
            </w:r>
          </w:p>
        </w:tc>
      </w:tr>
      <w:tr>
        <w:trPr/>
        <w:tc>
          <w:tcPr>
            <w:tcW w:w="517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Thereafter</w:t>
            </w:r>
          </w:p>
        </w:tc>
        <w:tc>
          <w:tcPr>
            <w:tcW w:w="18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jc w:val="right"/>
              <w:rPr>
                <w:rFonts w:ascii="times" w:hAnsi="times"/>
                <w:sz w:val="20"/>
              </w:rPr>
            </w:pPr>
            <w:r>
              <w:rPr>
                <w:rFonts w:ascii="times" w:hAnsi="times"/>
                <w:sz w:val="20"/>
              </w:rPr>
              <w:t>204</w:t>
            </w:r>
          </w:p>
        </w:tc>
        <w:tc>
          <w:tcPr>
            <w:tcW w:w="60" w:type="dxa"/>
            <w:tcBorders/>
            <w:shd w:fill="FFFFFF" w:val="clear"/>
            <w:vAlign w:val="bottom"/>
          </w:tcPr>
          <w:p>
            <w:pPr>
              <w:pStyle w:val="TableContents"/>
              <w:spacing w:before="0" w:after="283"/>
              <w:rPr/>
            </w:pPr>
            <w:r>
              <w:rPr/>
              <w:t> </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17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335" w:type="dxa"/>
            <w:tcBorders/>
            <w:shd w:fill="CCEEFF" w:val="clear"/>
            <w:vAlign w:val="bottom"/>
          </w:tcPr>
          <w:p>
            <w:pPr>
              <w:pStyle w:val="TableContents"/>
              <w:spacing w:before="0" w:after="283"/>
              <w:jc w:val="right"/>
              <w:rPr>
                <w:rFonts w:ascii="times" w:hAnsi="times"/>
                <w:sz w:val="20"/>
              </w:rPr>
            </w:pPr>
            <w:r>
              <w:rPr>
                <w:rFonts w:ascii="times" w:hAnsi="times"/>
                <w:sz w:val="20"/>
              </w:rPr>
              <w:t>408</w:t>
            </w:r>
          </w:p>
        </w:tc>
        <w:tc>
          <w:tcPr>
            <w:tcW w:w="60" w:type="dxa"/>
            <w:tcBorders/>
            <w:shd w:fill="CCEEFF" w:val="clear"/>
            <w:vAlign w:val="bottom"/>
          </w:tcPr>
          <w:p>
            <w:pPr>
              <w:pStyle w:val="TableContents"/>
              <w:spacing w:before="0" w:after="283"/>
              <w:rPr/>
            </w:pPr>
            <w:r>
              <w:rPr/>
              <w:t> </w:t>
            </w:r>
          </w:p>
        </w:tc>
      </w:tr>
      <w:tr>
        <w:trPr/>
        <w:tc>
          <w:tcPr>
            <w:tcW w:w="517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6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Expenditures related to leases for 2008, 2007 and 2006 were $82 million, $51 million and $38 million, respectively. </w:t>
      </w:r>
    </w:p>
    <w:p>
      <w:pPr>
        <w:pStyle w:val="TextBody"/>
        <w:rPr>
          <w:rFonts w:ascii="times" w:hAnsi="times"/>
          <w:b/>
          <w:i/>
          <w:sz w:val="20"/>
        </w:rPr>
      </w:pPr>
      <w:r>
        <w:rPr>
          <w:rFonts w:ascii="times" w:hAnsi="times"/>
          <w:b/>
          <w:i/>
          <w:sz w:val="20"/>
        </w:rPr>
        <w:t xml:space="preserve">Contingencies </w:t>
      </w:r>
    </w:p>
    <w:p>
      <w:pPr>
        <w:pStyle w:val="TextBody"/>
        <w:rPr/>
      </w:pPr>
      <w:r>
        <w:rPr/>
        <w:t>        </w:t>
      </w:r>
      <w:r>
        <w:rPr>
          <w:rFonts w:ascii="times" w:hAnsi="times"/>
          <w:i/>
          <w:sz w:val="20"/>
        </w:rPr>
        <w:t>Pipeline Releases.</w:t>
      </w:r>
      <w:r>
        <w:rPr>
          <w:rFonts w:ascii="times" w:hAnsi="times"/>
        </w:rPr>
        <w:t>    </w:t>
      </w:r>
      <w:r>
        <w:rPr>
          <w:rFonts w:ascii="times" w:hAnsi="times"/>
          <w:sz w:val="20"/>
        </w:rPr>
        <w:t xml:space="preserve">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w:t>
      </w:r>
    </w:p>
    <w:p>
      <w:pPr>
        <w:pStyle w:val="TextBody"/>
        <w:jc w:val="center"/>
        <w:rPr>
          <w:rFonts w:ascii="times" w:hAnsi="times"/>
          <w:sz w:val="20"/>
        </w:rPr>
      </w:pPr>
      <w:r>
        <w:rPr>
          <w:rFonts w:ascii="times" w:hAnsi="times"/>
          <w:sz w:val="20"/>
        </w:rPr>
        <w:t>F-51</w:t>
      </w:r>
    </w:p>
    <w:p>
      <w:pPr>
        <w:pStyle w:val="HorizontalLine"/>
        <w:pBdr>
          <w:bottom w:val="single" w:sz="20" w:space="0" w:color="808080"/>
        </w:pBdr>
        <w:rPr/>
      </w:pPr>
      <w:r>
        <w:rPr/>
      </w:r>
      <w:r>
        <w:br w:type="page"/>
      </w:r>
    </w:p>
    <w:p>
      <w:pPr>
        <w:pStyle w:val="TextBody"/>
        <w:rPr/>
      </w:pPr>
      <w:hyperlink w:anchor="bg12101a_main_toc">
        <w:bookmarkStart w:id="285" w:name="page_fu12101_1_52"/>
        <w:bookmarkEnd w:id="28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11Commitments and Contingencies (Continued) </w:t>
      </w:r>
    </w:p>
    <w:p>
      <w:pPr>
        <w:pStyle w:val="TextBody"/>
        <w:rPr>
          <w:rFonts w:ascii="times" w:hAnsi="times"/>
          <w:sz w:val="20"/>
        </w:rPr>
      </w:pPr>
      <w:r>
        <w:rPr>
          <w:rFonts w:ascii="times" w:hAnsi="times"/>
          <w:sz w:val="20"/>
        </w:rPr>
        <w:t xml:space="preserve">River. In both cases, emergency response personnel under the supervision of a unified command structure consisting of representatives of Plains,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$4 million to $5 million. In cooperation with the appropriate state and federal environmental authorities, we have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civil penalty enforcement action under the Federal Clean Water Act. We have cooperated in the investigation and are currently involved in settlement discussions with DOJ and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We understand that the maximum permissible penalty, if any, that EPA could assess with respect to the subject releases under relevant statutes would be approximately $6.8 million. Such statutes contemplate the potential for substantial reduction in penalties based on mitigating circumstances and factors. We believe that several of such circumstances and factors exist, and thus have been a primary focus in our discussions with the DOJ and EPA with respect to these matters. </w:t>
      </w:r>
    </w:p>
    <w:p>
      <w:pPr>
        <w:pStyle w:val="TextBody"/>
        <w:rPr/>
      </w:pPr>
      <w:r>
        <w:rPr/>
        <w:t>        </w:t>
      </w:r>
      <w:r>
        <w:rPr>
          <w:rFonts w:ascii="times" w:hAnsi="times"/>
          <w:i/>
          <w:sz w:val="20"/>
        </w:rPr>
        <w:t>SemCrude Bankruptcy.</w:t>
      </w:r>
      <w:r>
        <w:rPr>
          <w:rFonts w:ascii="times" w:hAnsi="times"/>
        </w:rPr>
        <w:t>    </w:t>
      </w:r>
      <w:r>
        <w:rPr>
          <w:rFonts w:ascii="times" w:hAnsi="times"/>
          <w:sz w:val="20"/>
        </w:rPr>
        <w:t xml:space="preserve">We will from time to time have claims relating to insolvent suppliers, customers or counterparties, such as the bankruptcy proceedings of SemCrude. As a result of our statutory protections and contractual rights of setoff, substantially all of our pre-petition claims against SemCrude should be satisfied. Certain creditors of SemCrude and its affiliates have challenged our contractual and statutory rights to setoff certain of our payables to the debtor against our receivables from the debtor. The aggregate amount subject to challenge is approximately $62 million. We intend to vigorously defend our contractual and statutory rights. </w:t>
      </w:r>
    </w:p>
    <w:p>
      <w:pPr>
        <w:pStyle w:val="TextBody"/>
        <w:rPr/>
      </w:pPr>
      <w:r>
        <w:rPr/>
        <w:t>        </w:t>
      </w:r>
      <w:r>
        <w:rPr>
          <w:rFonts w:ascii="times" w:hAnsi="times"/>
          <w:sz w:val="20"/>
        </w:rPr>
        <w:t xml:space="preserve">On November 15, 2006, we completed the Pacific merger. The following is a summary of the more significant matters that relate to Pacific, its assets or operations. </w:t>
      </w:r>
    </w:p>
    <w:p>
      <w:pPr>
        <w:pStyle w:val="TextBody"/>
        <w:rPr/>
      </w:pPr>
      <w:r>
        <w:rPr/>
        <w:t>        </w:t>
      </w:r>
      <w:r>
        <w:rPr>
          <w:rFonts w:ascii="times" w:hAnsi="times"/>
          <w:i/>
          <w:sz w:val="20"/>
        </w:rPr>
        <w:t>The People of the State of California v. Pacific Pipeline System, LLC ("PPS").</w:t>
      </w:r>
      <w:r>
        <w:rPr>
          <w:rFonts w:ascii="times" w:hAnsi="times"/>
        </w:rPr>
        <w:t>    </w:t>
      </w:r>
      <w:r>
        <w:rPr>
          <w:rFonts w:ascii="times" w:hAnsi="times"/>
          <w:sz w:val="20"/>
        </w:rPr>
        <w:t xml:space="preserve">In March 2005, a release of approximately 3,400 barrels of crude oil occurred on Line 63, subsequently acquired by us in the Pacific merger. The release occurred when the pipeline was severed as a result of a landslide caused by heavy rainfall in the Pyramid Lake area of Los Angeles County. Total projected emergency response, remediation and restoration costs are approximately $26 million, substantially all of which have been incurred and recovered under a pre-existing PPS pollution liability insurance policy. </w:t>
      </w:r>
    </w:p>
    <w:p>
      <w:pPr>
        <w:pStyle w:val="TextBody"/>
        <w:rPr/>
      </w:pPr>
      <w:r>
        <w:rPr/>
        <w:t>        </w:t>
      </w:r>
      <w:r>
        <w:rPr>
          <w:rFonts w:ascii="times" w:hAnsi="times"/>
          <w:sz w:val="20"/>
        </w:rPr>
        <w:t xml:space="preserve">In connection with this release, in March 2006, PPS, a subsidiary acquired in the Pacific merger, was served with a four-count misdemeanor criminal action in the Los Angeles Superior Court Case No. 6NW01020, which alleged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On October 15, 2008 this criminal action (all four counts) was dismissed with prejudice and PPS was not subjected to any fine or penalty. </w:t>
      </w:r>
    </w:p>
    <w:p>
      <w:pPr>
        <w:pStyle w:val="TextBody"/>
        <w:jc w:val="center"/>
        <w:rPr>
          <w:rFonts w:ascii="times" w:hAnsi="times"/>
          <w:sz w:val="20"/>
        </w:rPr>
      </w:pPr>
      <w:r>
        <w:rPr>
          <w:rFonts w:ascii="times" w:hAnsi="times"/>
          <w:sz w:val="20"/>
        </w:rPr>
        <w:t>F-52</w:t>
      </w:r>
    </w:p>
    <w:p>
      <w:pPr>
        <w:pStyle w:val="HorizontalLine"/>
        <w:pBdr>
          <w:bottom w:val="single" w:sz="20" w:space="0" w:color="808080"/>
        </w:pBdr>
        <w:rPr/>
      </w:pPr>
      <w:r>
        <w:rPr/>
      </w:r>
      <w:r>
        <w:br w:type="page"/>
      </w:r>
    </w:p>
    <w:p>
      <w:pPr>
        <w:pStyle w:val="TextBody"/>
        <w:rPr/>
      </w:pPr>
      <w:hyperlink w:anchor="bg12101a_main_toc">
        <w:bookmarkStart w:id="286" w:name="page_fw12101_1_53"/>
        <w:bookmarkEnd w:id="28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11Commitments and Contingencies (Continued) </w:t>
      </w:r>
    </w:p>
    <w:p>
      <w:pPr>
        <w:pStyle w:val="TextBody"/>
        <w:rPr/>
      </w:pPr>
      <w:r>
        <w:rPr/>
        <w:t>        </w:t>
      </w:r>
      <w:r>
        <w:rPr>
          <w:rFonts w:ascii="times" w:hAnsi="times"/>
          <w:sz w:val="20"/>
        </w:rPr>
        <w:t xml:space="preserve">In September 2008, PPS was served by the State of California with a civil complaint in connection with this release, in the Los Angeles Superior Court Case No. BC398627, alleging violations of the California Fish and Game Code for the unlawful deposit of oil or substances harmful to wildlife into the environment, violations of two sections of the California Water Code for the unlawful discharge of waste into state waters without a permit, and violations of the Public Nuisance Code alleging that discharge of petroleum into waters of the state had created a public nuisance. This case was settled in October 2008. Pursuant to the terms of the settlement agreement, PPS paid no fine or penalty, but made civil settlement payments to various agencies of the State of California in the total amount of approximately $1.1 million. </w:t>
      </w:r>
    </w:p>
    <w:p>
      <w:pPr>
        <w:pStyle w:val="TextBody"/>
        <w:rPr/>
      </w:pPr>
      <w:r>
        <w:rPr/>
        <w:t>        </w:t>
      </w:r>
      <w:r>
        <w:rPr>
          <w:rFonts w:ascii="times" w:hAnsi="times"/>
          <w:i/>
          <w:sz w:val="20"/>
        </w:rPr>
        <w:t>United States of America v. Pacific Pipeline System, LLC.</w:t>
      </w:r>
      <w:r>
        <w:rPr>
          <w:rFonts w:ascii="times" w:hAnsi="times"/>
        </w:rPr>
        <w:t>    </w:t>
      </w:r>
      <w:r>
        <w:rPr>
          <w:rFonts w:ascii="times" w:hAnsi="times"/>
          <w:sz w:val="20"/>
        </w:rPr>
        <w:t xml:space="preserve">In September 2008, the EPA filed a civil complaint against PPS in connection with the Pyramid Lake release. The complaint, which was filed in the Federal District Court for the Central District of California, Civil Action No. CV08-5768DSF(SSX), seeks the maximum permissible penalty under the relevant statutes of approximately $3.7 million. The EPA and DOJ have discretion to reduce the fine, if any, after considering other mitigating factors. Because of the uncertainty associated with these factors, the final amount of the fine that will be assessed for the alleged offenses cannot be ascertained. We may also be subjected to injunctive remedies that would impose additional requirements, costs and constraints on our operations. We will defend against these charges. We believe that several defenses and mitigating circumstances and factors exist that could substantially reduce any penalty or fine that might be imposed by the EPA and DOJ, and intend to pursue discussions with the EPA and DOJ regarding such defenses and mitigating circumstances and factors. Although we have established an estimated loss contingency for this matter, we are presently unable to determine whether the March 2005 spill incident may result in a loss in excess of our accrual for this matter. Discussions with the DOJ on behalf of the EPA to resolve this matter have commenced. </w:t>
      </w:r>
    </w:p>
    <w:p>
      <w:pPr>
        <w:pStyle w:val="TextBody"/>
        <w:rPr/>
      </w:pPr>
      <w:r>
        <w:rPr/>
        <w:t>        </w:t>
      </w:r>
      <w:r>
        <w:rPr>
          <w:rFonts w:ascii="times" w:hAnsi="times"/>
          <w:i/>
          <w:sz w:val="20"/>
        </w:rPr>
        <w:t>Exxon v. GATX.</w:t>
      </w:r>
      <w:r>
        <w:rPr>
          <w:rFonts w:ascii="times" w:hAnsi="times"/>
        </w:rPr>
        <w:t>    </w:t>
      </w:r>
      <w:r>
        <w:rPr>
          <w:rFonts w:ascii="times" w:hAnsi="times"/>
          <w:sz w:val="20"/>
        </w:rPr>
        <w:t xml:space="preserve">This Pacific legacy matter involves the allocation of responsibility for remediation of MTBE (and other petroleum product) contamination at the Pacific Atlantic Terminals LLC ("PAT") facility at Paulsboro, New Jersey. The estimated maximum potential remediation cost ranges up to $10 million. Both Exxon and GATX were prior owners of the terminal. We contend that Exxon and GATX are primarily responsible for the majority of the remediation costs. We are in dispute with Kinder Morgan (as successor in interest to GATX) regarding the indemnity by GATX in favor of Pacific in connection with Pacific's purchase of the facility. In a related matter, the New Jersey Department of Environmental Protection has brought suit against GATX and Exxon to recover natural resources damages. Exxon and GATX have filed third-party demands against PAT, seeking indemnity and contribution. We are vigorously defending against any claim that PAT is directly or indirectly liable for damages or costs associated with the contamination. </w:t>
      </w:r>
    </w:p>
    <w:p>
      <w:pPr>
        <w:pStyle w:val="TextBody"/>
        <w:rPr/>
      </w:pPr>
      <w:r>
        <w:rPr/>
        <w:t>        </w:t>
      </w:r>
      <w:r>
        <w:rPr>
          <w:rFonts w:ascii="times" w:hAnsi="times"/>
          <w:i/>
          <w:sz w:val="20"/>
        </w:rPr>
        <w:t>Other Pacific-Legacy Matters.</w:t>
      </w:r>
      <w:r>
        <w:rPr>
          <w:rFonts w:ascii="times" w:hAnsi="times"/>
        </w:rPr>
        <w:t>    </w:t>
      </w:r>
      <w:r>
        <w:rPr>
          <w:rFonts w:ascii="times" w:hAnsi="times"/>
          <w:sz w:val="20"/>
        </w:rPr>
        <w:t xml:space="preserve">Pacific had completed a number of acquisitions that had not been fully integrated prior to the merger with Plains. Accordingly, we have and may become aware of other matters involving the assets and operations acquired in the Pacific merger as they relate to compliance with environmental and safety regulations, which matters may result in mitigative costs or the imposition of fines and penalties. We have, for instance, recently settled numerous air permit violations alleged by the Bay Area Air Quality Management District. </w:t>
      </w:r>
    </w:p>
    <w:p>
      <w:pPr>
        <w:pStyle w:val="TextBody"/>
        <w:rPr/>
      </w:pPr>
      <w:r>
        <w:rPr/>
        <w:t>        </w:t>
      </w:r>
      <w:r>
        <w:rPr>
          <w:rFonts w:ascii="times" w:hAnsi="times"/>
          <w:i/>
          <w:sz w:val="20"/>
        </w:rPr>
        <w:t>General.</w:t>
      </w:r>
      <w:r>
        <w:rPr>
          <w:rFonts w:ascii="times" w:hAnsi="times"/>
        </w:rPr>
        <w:t>    </w:t>
      </w:r>
      <w:r>
        <w:rPr>
          <w:rFonts w:ascii="times" w:hAnsi="times"/>
          <w:sz w:val="20"/>
        </w:rPr>
        <w:t xml:space="preserve">We, in the ordinary course of business, are a claimant and/or a defendant in various legal proceedings. To the extent we are able to assess the likelihood of a negative outcome for these </w:t>
      </w:r>
    </w:p>
    <w:p>
      <w:pPr>
        <w:pStyle w:val="TextBody"/>
        <w:jc w:val="center"/>
        <w:rPr>
          <w:rFonts w:ascii="times" w:hAnsi="times"/>
          <w:sz w:val="20"/>
        </w:rPr>
      </w:pPr>
      <w:r>
        <w:rPr>
          <w:rFonts w:ascii="times" w:hAnsi="times"/>
          <w:sz w:val="20"/>
        </w:rPr>
        <w:t>F-53</w:t>
      </w:r>
    </w:p>
    <w:p>
      <w:pPr>
        <w:pStyle w:val="HorizontalLine"/>
        <w:pBdr>
          <w:bottom w:val="single" w:sz="20" w:space="0" w:color="808080"/>
        </w:pBdr>
        <w:rPr/>
      </w:pPr>
      <w:r>
        <w:rPr/>
      </w:r>
      <w:r>
        <w:br w:type="page"/>
      </w:r>
    </w:p>
    <w:p>
      <w:pPr>
        <w:pStyle w:val="TextBody"/>
        <w:rPr/>
      </w:pPr>
      <w:hyperlink w:anchor="bg12101a_main_toc">
        <w:bookmarkStart w:id="287" w:name="page_fw12101_1_54"/>
        <w:bookmarkEnd w:id="28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11Commitments and Contingencies (Continued) </w:t>
      </w:r>
    </w:p>
    <w:p>
      <w:pPr>
        <w:pStyle w:val="TextBody"/>
        <w:rPr/>
      </w:pPr>
      <w:r>
        <w:rPr/>
      </w:r>
    </w:p>
    <w:p>
      <w:pPr>
        <w:pStyle w:val="TextBody"/>
        <w:rPr>
          <w:rFonts w:ascii="times" w:hAnsi="times"/>
          <w:sz w:val="20"/>
        </w:rPr>
      </w:pPr>
      <w:r>
        <w:rPr>
          <w:rFonts w:ascii="times" w:hAnsi="times"/>
          <w:sz w:val="20"/>
        </w:rPr>
        <w:t xml:space="preserve">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w:t>
      </w:r>
    </w:p>
    <w:p>
      <w:pPr>
        <w:pStyle w:val="TextBody"/>
        <w:rPr/>
      </w:pPr>
      <w:r>
        <w:rPr/>
        <w:t>        </w:t>
      </w:r>
      <w:r>
        <w:rPr>
          <w:rFonts w:ascii="times" w:hAnsi="times"/>
          <w:i/>
          <w:sz w:val="20"/>
        </w:rPr>
        <w:t>Environmental.</w:t>
      </w:r>
      <w:r>
        <w:rPr>
          <w:rFonts w:ascii="times" w:hAnsi="times"/>
        </w:rPr>
        <w:t>    </w:t>
      </w:r>
      <w:r>
        <w:rPr>
          <w:rFonts w:ascii="times" w:hAnsi="times"/>
          <w:sz w:val="20"/>
        </w:rPr>
        <w:t xml:space="preserve">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help prevent releases, damages and liabilities incurred due to any such releases from our assets may substantially affect our business. As we expand our pipeline assets through acquisitions, we typically improve on (decrease) the rate of releases from such assets as we implement our procedures, remove selected assets from service and spend capital to upgrade the assets.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including a Section 308 request received in late October 2007 with respect to a 400-barrel release of crude oil, a portion of which reached a tributary of the Colorado River in a remote area of West Texas. See "Pipeline Releases" above. </w:t>
      </w:r>
    </w:p>
    <w:p>
      <w:pPr>
        <w:pStyle w:val="TextBody"/>
        <w:rPr/>
      </w:pPr>
      <w:r>
        <w:rPr/>
        <w:t>        </w:t>
      </w:r>
      <w:r>
        <w:rPr>
          <w:rFonts w:ascii="times" w:hAnsi="times"/>
          <w:sz w:val="20"/>
        </w:rPr>
        <w:t xml:space="preserve">At December 31, 2008, our reserve for environmental liabilities totaled approximately $42 million, of which approximately $8 million is classified as short-term and $34 million is classified as long-term. At December 31, 2008, we have recorded receivables totaling approximately $4 million for amounts that are probable of recovery under insurance and from third parties under indemnification agreements. </w:t>
      </w:r>
    </w:p>
    <w:p>
      <w:pPr>
        <w:pStyle w:val="TextBody"/>
        <w:rPr/>
      </w:pPr>
      <w:r>
        <w:rPr/>
        <w:t>        </w:t>
      </w:r>
      <w:r>
        <w:rPr>
          <w:rFonts w:ascii="times" w:hAnsi="times"/>
          <w:sz w:val="20"/>
        </w:rPr>
        <w:t xml:space="preserve">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in excess of this reserve may be higher and may potentially have a material adverse effect on our financial condition, results of operations, or cash flows. </w:t>
      </w:r>
    </w:p>
    <w:p>
      <w:pPr>
        <w:pStyle w:val="TextBody"/>
        <w:rPr/>
      </w:pPr>
      <w:r>
        <w:rPr/>
        <w:t>        </w:t>
      </w:r>
      <w:r>
        <w:rPr>
          <w:rFonts w:ascii="times" w:hAnsi="times"/>
          <w:i/>
          <w:sz w:val="20"/>
        </w:rPr>
        <w:t>Other.</w:t>
      </w:r>
      <w:r>
        <w:rPr>
          <w:rFonts w:ascii="times" w:hAnsi="times"/>
        </w:rPr>
        <w:t>    </w:t>
      </w:r>
      <w:r>
        <w:rPr>
          <w:rFonts w:ascii="times" w:hAnsi="times"/>
          <w:sz w:val="20"/>
        </w:rPr>
        <w:t xml:space="preserve">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w:t>
      </w:r>
    </w:p>
    <w:p>
      <w:pPr>
        <w:pStyle w:val="TextBody"/>
        <w:jc w:val="center"/>
        <w:rPr>
          <w:rFonts w:ascii="times" w:hAnsi="times"/>
          <w:sz w:val="20"/>
        </w:rPr>
      </w:pPr>
      <w:r>
        <w:rPr>
          <w:rFonts w:ascii="times" w:hAnsi="times"/>
          <w:sz w:val="20"/>
        </w:rPr>
        <w:t>F-54</w:t>
      </w:r>
    </w:p>
    <w:p>
      <w:pPr>
        <w:pStyle w:val="HorizontalLine"/>
        <w:pBdr>
          <w:bottom w:val="single" w:sz="20" w:space="0" w:color="808080"/>
        </w:pBdr>
        <w:rPr/>
      </w:pPr>
      <w:r>
        <w:rPr/>
      </w:r>
      <w:r>
        <w:br w:type="page"/>
      </w:r>
    </w:p>
    <w:p>
      <w:pPr>
        <w:pStyle w:val="TextBody"/>
        <w:rPr/>
      </w:pPr>
      <w:hyperlink w:anchor="bg12101a_main_toc">
        <w:bookmarkStart w:id="288" w:name="page_fw12101_1_55"/>
        <w:bookmarkEnd w:id="28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11Commitments and Contingencies (Continued) </w:t>
      </w:r>
    </w:p>
    <w:p>
      <w:pPr>
        <w:pStyle w:val="TextBody"/>
        <w:rPr/>
      </w:pPr>
      <w:r>
        <w:rPr/>
      </w:r>
    </w:p>
    <w:p>
      <w:pPr>
        <w:pStyle w:val="TextBody"/>
        <w:rPr>
          <w:rFonts w:ascii="times" w:hAnsi="times"/>
          <w:sz w:val="20"/>
        </w:rPr>
      </w:pPr>
      <w:r>
        <w:rPr>
          <w:rFonts w:ascii="times" w:hAnsi="times"/>
          <w:sz w:val="20"/>
        </w:rPr>
        <w:t xml:space="preserve">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environmental insurance markets, this trend is expected to continue as we continue to grow and expand. As a result, we anticipate that we will elect to self-insure more of our environmental activities or incorporate higher retention in our insurance arrangements. </w:t>
      </w:r>
    </w:p>
    <w:p>
      <w:pPr>
        <w:pStyle w:val="TextBody"/>
        <w:rPr/>
      </w:pPr>
      <w:r>
        <w:rPr/>
        <w:t>        </w:t>
      </w:r>
      <w:r>
        <w:rPr>
          <w:rFonts w:ascii="times" w:hAnsi="times"/>
          <w:sz w:val="20"/>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 </w:t>
      </w:r>
    </w:p>
    <w:p>
      <w:pPr>
        <w:pStyle w:val="TextBody"/>
        <w:rPr>
          <w:rFonts w:ascii="times" w:hAnsi="times"/>
          <w:b/>
          <w:sz w:val="20"/>
        </w:rPr>
      </w:pPr>
      <w:r>
        <w:rPr>
          <w:rFonts w:ascii="times" w:hAnsi="times"/>
          <w:b/>
          <w:sz w:val="20"/>
        </w:rPr>
        <w:t xml:space="preserve">Note 12Environmental Remediation </w:t>
      </w:r>
    </w:p>
    <w:p>
      <w:pPr>
        <w:pStyle w:val="TextBody"/>
        <w:rPr/>
      </w:pPr>
      <w:r>
        <w:rPr/>
        <w:t>        </w:t>
      </w:r>
      <w:r>
        <w:rPr>
          <w:rFonts w:ascii="times" w:hAnsi="times"/>
          <w:sz w:val="20"/>
        </w:rPr>
        <w:t xml:space="preserve">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w:t>
      </w:r>
    </w:p>
    <w:p>
      <w:pPr>
        <w:pStyle w:val="TextBody"/>
        <w:rPr/>
      </w:pPr>
      <w:r>
        <w:rPr/>
        <w:t>        </w:t>
      </w:r>
      <w:r>
        <w:rPr>
          <w:rFonts w:ascii="times" w:hAnsi="times"/>
          <w:sz w:val="20"/>
        </w:rPr>
        <w:t xml:space="preserve">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 </w:t>
      </w:r>
    </w:p>
    <w:p>
      <w:pPr>
        <w:pStyle w:val="TextBody"/>
        <w:rPr/>
      </w:pPr>
      <w:r>
        <w:rPr/>
        <w:t>        </w:t>
      </w:r>
      <w:r>
        <w:rPr>
          <w:rFonts w:ascii="times" w:hAnsi="times"/>
          <w:sz w:val="20"/>
        </w:rPr>
        <w:t xml:space="preserve">In conjunction with our acquisitions, we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Texas New Mexico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Shell Oil Products ("SOP"). As of December 31, 2008, we had incurred approximately $9 million of remediation costs associated with these sites, while SOP's share is approximately $5 million. In another example, as a result of our merger with Pacific, we assumed liability for a number of ongoing remediation sites associated with releases from pipeline or storage operations. We have evaluated each of the sites </w:t>
      </w:r>
    </w:p>
    <w:p>
      <w:pPr>
        <w:pStyle w:val="TextBody"/>
        <w:jc w:val="center"/>
        <w:rPr>
          <w:rFonts w:ascii="times" w:hAnsi="times"/>
          <w:sz w:val="20"/>
        </w:rPr>
      </w:pPr>
      <w:r>
        <w:rPr>
          <w:rFonts w:ascii="times" w:hAnsi="times"/>
          <w:sz w:val="20"/>
        </w:rPr>
        <w:t>F-55</w:t>
      </w:r>
    </w:p>
    <w:p>
      <w:pPr>
        <w:pStyle w:val="HorizontalLine"/>
        <w:pBdr>
          <w:bottom w:val="single" w:sz="20" w:space="0" w:color="808080"/>
        </w:pBdr>
        <w:rPr/>
      </w:pPr>
      <w:r>
        <w:rPr/>
      </w:r>
      <w:r>
        <w:br w:type="page"/>
      </w:r>
    </w:p>
    <w:p>
      <w:pPr>
        <w:pStyle w:val="TextBody"/>
        <w:rPr/>
      </w:pPr>
      <w:hyperlink w:anchor="bg12101a_main_toc">
        <w:bookmarkStart w:id="289" w:name="page_fw12101_1_56"/>
        <w:bookmarkEnd w:id="289"/>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12Environmental Remediation (Continued) </w:t>
      </w:r>
    </w:p>
    <w:p>
      <w:pPr>
        <w:pStyle w:val="TextBody"/>
        <w:rPr/>
      </w:pPr>
      <w:r>
        <w:rPr/>
      </w:r>
    </w:p>
    <w:p>
      <w:pPr>
        <w:pStyle w:val="TextBody"/>
        <w:rPr>
          <w:rFonts w:ascii="times" w:hAnsi="times"/>
          <w:sz w:val="20"/>
        </w:rPr>
      </w:pPr>
      <w:r>
        <w:rPr>
          <w:rFonts w:ascii="times" w:hAnsi="times"/>
          <w:sz w:val="20"/>
        </w:rPr>
        <w:t xml:space="preserve">requiring remediation and developed reserve estimates for the Pacific sites, which total approximately $18 million at December 31, 2008. </w:t>
      </w:r>
    </w:p>
    <w:p>
      <w:pPr>
        <w:pStyle w:val="TextBody"/>
        <w:rPr/>
      </w:pPr>
      <w:r>
        <w:rPr/>
        <w:t>        </w:t>
      </w:r>
      <w:r>
        <w:rPr>
          <w:rFonts w:ascii="times" w:hAnsi="times"/>
          <w:sz w:val="20"/>
        </w:rPr>
        <w:t xml:space="preserve">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w:t>
      </w:r>
    </w:p>
    <w:p>
      <w:pPr>
        <w:pStyle w:val="TextBody"/>
        <w:rPr/>
      </w:pPr>
      <w:r>
        <w:rPr/>
        <w:t>        </w:t>
      </w:r>
      <w:r>
        <w:rPr>
          <w:rFonts w:ascii="times" w:hAnsi="times"/>
          <w:sz w:val="20"/>
        </w:rPr>
        <w:t xml:space="preserve">Other assets we have acquired or will acquire in the future may have environmental remediation liabilities for which we are not indemnified. </w:t>
      </w:r>
    </w:p>
    <w:p>
      <w:pPr>
        <w:pStyle w:val="TextBody"/>
        <w:rPr/>
      </w:pPr>
      <w:r>
        <w:rPr/>
        <w:t>        </w:t>
      </w:r>
      <w:r>
        <w:rPr>
          <w:rFonts w:ascii="times" w:hAnsi="times"/>
          <w:sz w:val="20"/>
        </w:rPr>
        <w:t xml:space="preserve">We have in the past experienced and in the future likely will experience releases of crude oil into the environment from our pipeline and storage operations. We also may discover environmental impacts from past releases that were previously unidentified. See Note 11 for further environmental discussion. </w:t>
      </w:r>
    </w:p>
    <w:p>
      <w:pPr>
        <w:pStyle w:val="TextBody"/>
        <w:rPr>
          <w:rFonts w:ascii="times" w:hAnsi="times"/>
          <w:b/>
          <w:sz w:val="20"/>
        </w:rPr>
      </w:pPr>
      <w:r>
        <w:rPr>
          <w:rFonts w:ascii="times" w:hAnsi="times"/>
          <w:b/>
          <w:sz w:val="20"/>
        </w:rPr>
        <w:t xml:space="preserve">Note 13Supplemental Condensed Consolidating Financial Information </w:t>
      </w:r>
    </w:p>
    <w:p>
      <w:pPr>
        <w:pStyle w:val="TextBody"/>
        <w:rPr/>
      </w:pPr>
      <w:r>
        <w:rPr/>
        <w:t>        </w:t>
      </w:r>
      <w:r>
        <w:rPr>
          <w:rFonts w:ascii="times" w:hAnsi="times"/>
          <w:sz w:val="20"/>
        </w:rPr>
        <w:t xml:space="preserve">Some but not all of our 100% owned subsidiaries have issued full, unconditional, and joint and several guarantees of our Senior Notes. Given that certain, but not all, subsidiaries are guarantors of our Senior Notes, we are required to present the following supplemental condensed consolidating financial information. For purposes of the following footnote: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are referred to as "Parent;"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"Guarantor Subsidiaries" are all subsidiaries other than the Non-Guarantor subsidiaries defined below;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"Non-Guarantor Subsidiaries" as of December 31, 2008 include: Pacific Pipeline System, LLC, Pacific Terminals, LLC, Pacific Energy Management LLC, Pacific Energy GP LP, PEG Canada GP LLC and SLC Pipeline LLC. The changes in non-guarantor subsidiaries during the years ended December 31, 2008, 2007 and 2006 were immaterial. </w:t>
      </w:r>
    </w:p>
    <w:p>
      <w:pPr>
        <w:pStyle w:val="TextBody"/>
        <w:rPr/>
      </w:pPr>
      <w:r>
        <w:rPr/>
        <w:t>        </w:t>
      </w:r>
      <w:r>
        <w:rPr>
          <w:rFonts w:ascii="times" w:hAnsi="times"/>
          <w:sz w:val="20"/>
        </w:rPr>
        <w:t xml:space="preserve">The following supplemental condensed consolidating financial information reflects the Parent's separate accounts, the combined accounts of the Guarantor Subsidiaries, the combined accounts of the Parent's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w:t>
      </w:r>
    </w:p>
    <w:p>
      <w:pPr>
        <w:pStyle w:val="TextBody"/>
        <w:jc w:val="center"/>
        <w:rPr>
          <w:rFonts w:ascii="times" w:hAnsi="times"/>
          <w:sz w:val="20"/>
        </w:rPr>
      </w:pPr>
      <w:r>
        <w:rPr>
          <w:rFonts w:ascii="times" w:hAnsi="times"/>
          <w:sz w:val="20"/>
        </w:rPr>
        <w:t>F-56</w:t>
      </w:r>
    </w:p>
    <w:p>
      <w:pPr>
        <w:pStyle w:val="HorizontalLine"/>
        <w:pBdr>
          <w:bottom w:val="single" w:sz="20" w:space="0" w:color="808080"/>
        </w:pBdr>
        <w:rPr/>
      </w:pPr>
      <w:r>
        <w:rPr/>
      </w:r>
      <w:r>
        <w:br w:type="page"/>
      </w:r>
    </w:p>
    <w:p>
      <w:pPr>
        <w:pStyle w:val="TextBody"/>
        <w:rPr/>
      </w:pPr>
      <w:hyperlink w:anchor="bg12101a_main_toc">
        <w:bookmarkStart w:id="290" w:name="page_fw12101_1_57"/>
        <w:bookmarkEnd w:id="290"/>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13Supplemental Condensed Consolidating Financial Information (Continued) </w:t>
      </w:r>
    </w:p>
    <w:p>
      <w:pPr>
        <w:pStyle w:val="TextBody"/>
        <w:rPr>
          <w:rFonts w:ascii="times" w:hAnsi="times"/>
          <w:sz w:val="20"/>
        </w:rPr>
      </w:pPr>
      <w:r>
        <w:rPr>
          <w:rFonts w:ascii="times" w:hAnsi="times"/>
          <w:sz w:val="20"/>
        </w:rPr>
        <w:t xml:space="preserve">Subsidiaries' investments in their subsidiaries are accounted for under the equity method of accounting (all amounts in millions): </w:t>
      </w:r>
    </w:p>
    <w:p>
      <w:pPr>
        <w:pStyle w:val="TextBody"/>
        <w:rPr>
          <w:rFonts w:ascii="times" w:hAnsi="times"/>
          <w:b/>
          <w:sz w:val="20"/>
        </w:rPr>
      </w:pPr>
      <w:r>
        <w:rPr>
          <w:rFonts w:ascii="times" w:hAnsi="times"/>
          <w:b/>
          <w:sz w:val="20"/>
        </w:rPr>
        <w:t xml:space="preserve">Condensed Consolidating Balance Sheet </w:t>
      </w:r>
    </w:p>
    <w:tbl>
      <w:tblPr>
        <w:tblW w:w="8159" w:type="dxa"/>
        <w:jc w:val="center"/>
        <w:tblInd w:w="0" w:type="dxa"/>
        <w:tblCellMar>
          <w:top w:w="0" w:type="dxa"/>
          <w:left w:w="0" w:type="dxa"/>
          <w:bottom w:w="0" w:type="dxa"/>
          <w:right w:w="0" w:type="dxa"/>
        </w:tblCellMar>
      </w:tblPr>
      <w:tblGrid>
        <w:gridCol w:w="120"/>
        <w:gridCol w:w="3135"/>
        <w:gridCol w:w="180"/>
        <w:gridCol w:w="95"/>
        <w:gridCol w:w="350"/>
        <w:gridCol w:w="195"/>
        <w:gridCol w:w="170"/>
        <w:gridCol w:w="629"/>
        <w:gridCol w:w="195"/>
        <w:gridCol w:w="202"/>
        <w:gridCol w:w="765"/>
        <w:gridCol w:w="195"/>
        <w:gridCol w:w="160"/>
        <w:gridCol w:w="669"/>
        <w:gridCol w:w="195"/>
        <w:gridCol w:w="153"/>
        <w:gridCol w:w="691"/>
        <w:gridCol w:w="60"/>
      </w:tblGrid>
      <w:tr>
        <w:trPr/>
        <w:tc>
          <w:tcPr>
            <w:tcW w:w="120" w:type="dxa"/>
            <w:tcBorders/>
            <w:shd w:fill="auto" w:val="clear"/>
            <w:vAlign w:val="center"/>
          </w:tcPr>
          <w:p>
            <w:pPr>
              <w:pStyle w:val="TableContents"/>
              <w:spacing w:before="0" w:after="283"/>
              <w:rPr>
                <w:sz w:val="4"/>
                <w:szCs w:val="4"/>
              </w:rPr>
            </w:pPr>
            <w:r>
              <w:rPr>
                <w:sz w:val="4"/>
                <w:szCs w:val="4"/>
              </w:rPr>
            </w:r>
          </w:p>
        </w:tc>
        <w:tc>
          <w:tcPr>
            <w:tcW w:w="31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25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664"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 of December 31, 2008 </w:t>
            </w:r>
          </w:p>
        </w:tc>
        <w:tc>
          <w:tcPr>
            <w:tcW w:w="60" w:type="dxa"/>
            <w:tcBorders/>
            <w:shd w:fill="auto" w:val="clear"/>
            <w:vAlign w:val="bottom"/>
          </w:tcPr>
          <w:p>
            <w:pPr>
              <w:pStyle w:val="TableHeading"/>
              <w:suppressLineNumbers/>
              <w:spacing w:before="0" w:after="283"/>
              <w:jc w:val="center"/>
              <w:rPr/>
            </w:pPr>
            <w:r>
              <w:rPr/>
              <w:t> </w:t>
            </w:r>
          </w:p>
        </w:tc>
      </w:tr>
      <w:tr>
        <w:trPr/>
        <w:tc>
          <w:tcPr>
            <w:tcW w:w="325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19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96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195" w:type="dxa"/>
            <w:tcBorders/>
            <w:shd w:fill="auto" w:val="clear"/>
            <w:vAlign w:val="bottom"/>
          </w:tcPr>
          <w:p>
            <w:pPr>
              <w:pStyle w:val="TableHeading"/>
              <w:suppressLineNumbers/>
              <w:spacing w:before="0" w:after="283"/>
              <w:jc w:val="center"/>
              <w:rPr/>
            </w:pPr>
            <w:r>
              <w:rPr/>
              <w:t> </w:t>
            </w:r>
          </w:p>
        </w:tc>
        <w:tc>
          <w:tcPr>
            <w:tcW w:w="8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0" w:type="dxa"/>
            <w:tcBorders/>
            <w:shd w:fill="auto" w:val="clear"/>
            <w:vAlign w:val="bottom"/>
          </w:tcPr>
          <w:p>
            <w:pPr>
              <w:pStyle w:val="TableHeading"/>
              <w:suppressLineNumbers/>
              <w:spacing w:before="0" w:after="283"/>
              <w:jc w:val="center"/>
              <w:rPr/>
            </w:pPr>
            <w:r>
              <w:rPr/>
              <w:t> </w:t>
            </w:r>
          </w:p>
        </w:tc>
      </w:tr>
      <w:tr>
        <w:trPr/>
        <w:tc>
          <w:tcPr>
            <w:tcW w:w="3255" w:type="dxa"/>
            <w:gridSpan w:val="2"/>
            <w:tcBorders/>
            <w:shd w:fill="CCEEFF" w:val="clear"/>
          </w:tcPr>
          <w:p>
            <w:pPr>
              <w:pStyle w:val="TableContents"/>
              <w:spacing w:before="0" w:after="283"/>
              <w:ind w:left="160" w:right="0" w:hanging="160"/>
              <w:rPr>
                <w:rFonts w:ascii="times" w:hAnsi="times"/>
                <w:b/>
                <w:sz w:val="14"/>
              </w:rPr>
            </w:pPr>
            <w:r>
              <w:rPr>
                <w:rFonts w:ascii="times" w:hAnsi="times"/>
                <w:b/>
                <w:sz w:val="14"/>
              </w:rPr>
              <w:t>ASSETS</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53" w:type="dxa"/>
            <w:tcBorders/>
            <w:shd w:fill="CCEEFF" w:val="clear"/>
          </w:tcPr>
          <w:p>
            <w:pPr>
              <w:pStyle w:val="TableContents"/>
              <w:spacing w:before="0" w:after="283"/>
              <w:rPr/>
            </w:pPr>
            <w:r>
              <w:rPr/>
              <w:t> </w:t>
            </w:r>
          </w:p>
        </w:tc>
        <w:tc>
          <w:tcPr>
            <w:tcW w:w="691"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Total current assets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350" w:type="dxa"/>
            <w:tcBorders/>
            <w:shd w:fill="FFFFFF" w:val="clear"/>
          </w:tcPr>
          <w:p>
            <w:pPr>
              <w:pStyle w:val="TableContents"/>
              <w:spacing w:before="0" w:after="283"/>
              <w:jc w:val="right"/>
              <w:rPr>
                <w:rFonts w:ascii="times" w:hAnsi="times"/>
                <w:sz w:val="14"/>
              </w:rPr>
            </w:pPr>
            <w:r>
              <w:rPr>
                <w:rFonts w:ascii="times" w:hAnsi="times"/>
                <w:sz w:val="14"/>
              </w:rPr>
              <w:t>2,698</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t>2,789</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t>110</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jc w:val="right"/>
              <w:rPr>
                <w:rFonts w:ascii="times" w:hAnsi="times"/>
                <w:sz w:val="14"/>
              </w:rPr>
            </w:pPr>
            <w:r>
              <w:rPr>
                <w:rFonts w:ascii="times" w:hAnsi="times"/>
                <w:sz w:val="14"/>
              </w:rPr>
              <w:t>$</w:t>
            </w:r>
          </w:p>
        </w:tc>
        <w:tc>
          <w:tcPr>
            <w:tcW w:w="669" w:type="dxa"/>
            <w:tcBorders/>
            <w:shd w:fill="FFFFFF" w:val="clear"/>
          </w:tcPr>
          <w:p>
            <w:pPr>
              <w:pStyle w:val="TableContents"/>
              <w:spacing w:before="0" w:after="283"/>
              <w:jc w:val="right"/>
              <w:rPr>
                <w:rFonts w:ascii="times" w:hAnsi="times"/>
                <w:sz w:val="14"/>
              </w:rPr>
            </w:pPr>
            <w:r>
              <w:rPr>
                <w:rFonts w:ascii="times" w:hAnsi="times"/>
                <w:sz w:val="14"/>
              </w:rPr>
              <w:t>(3,001</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53" w:type="dxa"/>
            <w:tcBorders/>
            <w:shd w:fill="FFFFFF" w:val="clear"/>
          </w:tcPr>
          <w:p>
            <w:pPr>
              <w:pStyle w:val="TableContents"/>
              <w:spacing w:before="0" w:after="283"/>
              <w:jc w:val="right"/>
              <w:rPr>
                <w:rFonts w:ascii="times" w:hAnsi="times"/>
                <w:sz w:val="14"/>
              </w:rPr>
            </w:pPr>
            <w:r>
              <w:rPr>
                <w:rFonts w:ascii="times" w:hAnsi="times"/>
                <w:sz w:val="14"/>
              </w:rPr>
              <w:t>$</w:t>
            </w:r>
          </w:p>
        </w:tc>
        <w:tc>
          <w:tcPr>
            <w:tcW w:w="691" w:type="dxa"/>
            <w:tcBorders/>
            <w:shd w:fill="FFFFFF" w:val="clear"/>
          </w:tcPr>
          <w:p>
            <w:pPr>
              <w:pStyle w:val="TableContents"/>
              <w:spacing w:before="0" w:after="283"/>
              <w:jc w:val="right"/>
              <w:rPr>
                <w:rFonts w:ascii="times" w:hAnsi="times"/>
                <w:sz w:val="14"/>
              </w:rPr>
            </w:pPr>
            <w:r>
              <w:rPr>
                <w:rFonts w:ascii="times" w:hAnsi="times"/>
                <w:sz w:val="14"/>
              </w:rPr>
              <w:t>2,596</w:t>
            </w:r>
          </w:p>
        </w:tc>
        <w:tc>
          <w:tcPr>
            <w:tcW w:w="60" w:type="dxa"/>
            <w:tcBorders/>
            <w:shd w:fill="FFFFFF" w:val="clear"/>
          </w:tcPr>
          <w:p>
            <w:pPr>
              <w:pStyle w:val="TableContents"/>
              <w:spacing w:before="0" w:after="283"/>
              <w:rPr/>
            </w:pPr>
            <w:r>
              <w:rPr/>
              <w:t> </w:t>
            </w:r>
          </w:p>
        </w:tc>
      </w:tr>
      <w:tr>
        <w:trPr/>
        <w:tc>
          <w:tcPr>
            <w:tcW w:w="325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Property plant and equipment, net</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4,410</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649</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53" w:type="dxa"/>
            <w:tcBorders/>
            <w:shd w:fill="CCEEFF" w:val="clear"/>
          </w:tcPr>
          <w:p>
            <w:pPr>
              <w:pStyle w:val="TableContents"/>
              <w:spacing w:before="0" w:after="283"/>
              <w:rPr/>
            </w:pPr>
            <w:r>
              <w:rPr/>
              <w:t> </w:t>
            </w:r>
          </w:p>
        </w:tc>
        <w:tc>
          <w:tcPr>
            <w:tcW w:w="691" w:type="dxa"/>
            <w:tcBorders/>
            <w:shd w:fill="CCEEFF" w:val="clear"/>
          </w:tcPr>
          <w:p>
            <w:pPr>
              <w:pStyle w:val="TableContents"/>
              <w:spacing w:before="0" w:after="283"/>
              <w:jc w:val="right"/>
              <w:rPr>
                <w:rFonts w:ascii="times" w:hAnsi="times"/>
                <w:sz w:val="14"/>
              </w:rPr>
            </w:pPr>
            <w:r>
              <w:rPr>
                <w:rFonts w:ascii="times" w:hAnsi="times"/>
                <w:sz w:val="14"/>
              </w:rPr>
              <w:t>5,059</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Investment in unconsolidated entities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4,388</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895</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rPr/>
            </w:pPr>
            <w:r>
              <w:rPr/>
              <w:t> </w:t>
            </w:r>
          </w:p>
        </w:tc>
        <w:tc>
          <w:tcPr>
            <w:tcW w:w="669" w:type="dxa"/>
            <w:tcBorders/>
            <w:shd w:fill="FFFFFF" w:val="clear"/>
          </w:tcPr>
          <w:p>
            <w:pPr>
              <w:pStyle w:val="TableContents"/>
              <w:spacing w:before="0" w:after="283"/>
              <w:jc w:val="right"/>
              <w:rPr>
                <w:rFonts w:ascii="times" w:hAnsi="times"/>
                <w:sz w:val="14"/>
              </w:rPr>
            </w:pPr>
            <w:r>
              <w:rPr>
                <w:rFonts w:ascii="times" w:hAnsi="times"/>
                <w:sz w:val="14"/>
              </w:rPr>
              <w:t>(5,026</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53" w:type="dxa"/>
            <w:tcBorders/>
            <w:shd w:fill="FFFFFF" w:val="clear"/>
          </w:tcPr>
          <w:p>
            <w:pPr>
              <w:pStyle w:val="TableContents"/>
              <w:spacing w:before="0" w:after="283"/>
              <w:rPr/>
            </w:pPr>
            <w:r>
              <w:rPr/>
              <w:t> </w:t>
            </w:r>
          </w:p>
        </w:tc>
        <w:tc>
          <w:tcPr>
            <w:tcW w:w="691" w:type="dxa"/>
            <w:tcBorders/>
            <w:shd w:fill="FFFFFF" w:val="clear"/>
          </w:tcPr>
          <w:p>
            <w:pPr>
              <w:pStyle w:val="TableContents"/>
              <w:spacing w:before="0" w:after="283"/>
              <w:jc w:val="right"/>
              <w:rPr>
                <w:rFonts w:ascii="times" w:hAnsi="times"/>
                <w:sz w:val="14"/>
              </w:rPr>
            </w:pPr>
            <w:r>
              <w:rPr>
                <w:rFonts w:ascii="times" w:hAnsi="times"/>
                <w:sz w:val="14"/>
              </w:rPr>
              <w:t>257</w:t>
            </w:r>
          </w:p>
        </w:tc>
        <w:tc>
          <w:tcPr>
            <w:tcW w:w="60" w:type="dxa"/>
            <w:tcBorders/>
            <w:shd w:fill="FFFFFF" w:val="clear"/>
          </w:tcPr>
          <w:p>
            <w:pPr>
              <w:pStyle w:val="TableContents"/>
              <w:spacing w:before="0" w:after="283"/>
              <w:rPr/>
            </w:pPr>
            <w:r>
              <w:rPr/>
              <w:t> </w:t>
            </w:r>
          </w:p>
        </w:tc>
      </w:tr>
      <w:tr>
        <w:trPr/>
        <w:tc>
          <w:tcPr>
            <w:tcW w:w="325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Other assets</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27</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1,777</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316</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53" w:type="dxa"/>
            <w:tcBorders/>
            <w:shd w:fill="CCEEFF" w:val="clear"/>
          </w:tcPr>
          <w:p>
            <w:pPr>
              <w:pStyle w:val="TableContents"/>
              <w:spacing w:before="0" w:after="283"/>
              <w:rPr/>
            </w:pPr>
            <w:r>
              <w:rPr/>
              <w:t> </w:t>
            </w:r>
          </w:p>
        </w:tc>
        <w:tc>
          <w:tcPr>
            <w:tcW w:w="691" w:type="dxa"/>
            <w:tcBorders/>
            <w:shd w:fill="CCEEFF" w:val="clear"/>
          </w:tcPr>
          <w:p>
            <w:pPr>
              <w:pStyle w:val="TableContents"/>
              <w:spacing w:before="0" w:after="283"/>
              <w:jc w:val="right"/>
              <w:rPr>
                <w:rFonts w:ascii="times" w:hAnsi="times"/>
                <w:sz w:val="14"/>
              </w:rPr>
            </w:pPr>
            <w:r>
              <w:rPr>
                <w:rFonts w:ascii="times" w:hAnsi="times"/>
                <w:sz w:val="14"/>
              </w:rPr>
              <w:t>2,120</w:t>
            </w:r>
          </w:p>
        </w:tc>
        <w:tc>
          <w:tcPr>
            <w:tcW w:w="60" w:type="dxa"/>
            <w:tcBorders/>
            <w:shd w:fill="CCEE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20" w:type="dxa"/>
            <w:tcBorders/>
            <w:shd w:fill="FFFFFF" w:val="clear"/>
          </w:tcPr>
          <w:p>
            <w:pPr>
              <w:pStyle w:val="TableContents"/>
              <w:spacing w:before="0" w:after="283"/>
              <w:rPr/>
            </w:pPr>
            <w:r>
              <w:rPr/>
              <w:t> </w:t>
            </w:r>
          </w:p>
        </w:tc>
        <w:tc>
          <w:tcPr>
            <w:tcW w:w="3135" w:type="dxa"/>
            <w:tcBorders/>
            <w:shd w:fill="FFFFFF" w:val="clear"/>
          </w:tcPr>
          <w:p>
            <w:pPr>
              <w:pStyle w:val="TableContents"/>
              <w:spacing w:before="0" w:after="283"/>
              <w:ind w:left="160" w:right="0" w:hanging="160"/>
              <w:rPr>
                <w:rFonts w:ascii="times" w:hAnsi="times"/>
                <w:sz w:val="14"/>
              </w:rPr>
            </w:pPr>
            <w:r>
              <w:rPr>
                <w:rFonts w:ascii="times" w:hAnsi="times"/>
                <w:sz w:val="14"/>
              </w:rPr>
              <w:t>Total assets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350" w:type="dxa"/>
            <w:tcBorders/>
            <w:shd w:fill="FFFFFF" w:val="clear"/>
          </w:tcPr>
          <w:p>
            <w:pPr>
              <w:pStyle w:val="TableContents"/>
              <w:spacing w:before="0" w:after="283"/>
              <w:jc w:val="right"/>
              <w:rPr>
                <w:rFonts w:ascii="times" w:hAnsi="times"/>
                <w:sz w:val="14"/>
              </w:rPr>
            </w:pPr>
            <w:r>
              <w:rPr>
                <w:rFonts w:ascii="times" w:hAnsi="times"/>
                <w:sz w:val="14"/>
              </w:rPr>
              <w:t>7,113</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t>9,871</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t>1,075</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jc w:val="right"/>
              <w:rPr>
                <w:rFonts w:ascii="times" w:hAnsi="times"/>
                <w:sz w:val="14"/>
              </w:rPr>
            </w:pPr>
            <w:r>
              <w:rPr>
                <w:rFonts w:ascii="times" w:hAnsi="times"/>
                <w:sz w:val="14"/>
              </w:rPr>
              <w:t>$</w:t>
            </w:r>
          </w:p>
        </w:tc>
        <w:tc>
          <w:tcPr>
            <w:tcW w:w="669" w:type="dxa"/>
            <w:tcBorders/>
            <w:shd w:fill="FFFFFF" w:val="clear"/>
          </w:tcPr>
          <w:p>
            <w:pPr>
              <w:pStyle w:val="TableContents"/>
              <w:spacing w:before="0" w:after="283"/>
              <w:jc w:val="right"/>
              <w:rPr>
                <w:rFonts w:ascii="times" w:hAnsi="times"/>
                <w:sz w:val="14"/>
              </w:rPr>
            </w:pPr>
            <w:r>
              <w:rPr>
                <w:rFonts w:ascii="times" w:hAnsi="times"/>
                <w:sz w:val="14"/>
              </w:rPr>
              <w:t>(8,027</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53" w:type="dxa"/>
            <w:tcBorders/>
            <w:shd w:fill="FFFFFF" w:val="clear"/>
          </w:tcPr>
          <w:p>
            <w:pPr>
              <w:pStyle w:val="TableContents"/>
              <w:spacing w:before="0" w:after="283"/>
              <w:jc w:val="right"/>
              <w:rPr>
                <w:rFonts w:ascii="times" w:hAnsi="times"/>
                <w:sz w:val="14"/>
              </w:rPr>
            </w:pPr>
            <w:r>
              <w:rPr>
                <w:rFonts w:ascii="times" w:hAnsi="times"/>
                <w:sz w:val="14"/>
              </w:rPr>
              <w:t>$</w:t>
            </w:r>
          </w:p>
        </w:tc>
        <w:tc>
          <w:tcPr>
            <w:tcW w:w="691" w:type="dxa"/>
            <w:tcBorders/>
            <w:shd w:fill="FFFFFF" w:val="clear"/>
          </w:tcPr>
          <w:p>
            <w:pPr>
              <w:pStyle w:val="TableContents"/>
              <w:spacing w:before="0" w:after="283"/>
              <w:jc w:val="right"/>
              <w:rPr>
                <w:rFonts w:ascii="times" w:hAnsi="times"/>
                <w:sz w:val="14"/>
              </w:rPr>
            </w:pPr>
            <w:r>
              <w:rPr>
                <w:rFonts w:ascii="times" w:hAnsi="times"/>
                <w:sz w:val="14"/>
              </w:rPr>
              <w:t>10,032</w:t>
            </w:r>
          </w:p>
        </w:tc>
        <w:tc>
          <w:tcPr>
            <w:tcW w:w="60" w:type="dxa"/>
            <w:tcBorders/>
            <w:shd w:fill="FFFF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255" w:type="dxa"/>
            <w:gridSpan w:val="2"/>
            <w:tcBorders/>
            <w:shd w:fill="CCEEFF" w:val="clear"/>
          </w:tcPr>
          <w:p>
            <w:pPr>
              <w:pStyle w:val="TableContents"/>
              <w:spacing w:before="200" w:after="283"/>
              <w:ind w:left="160" w:right="0" w:hanging="160"/>
              <w:rPr>
                <w:rFonts w:ascii="times" w:hAnsi="times"/>
                <w:b/>
                <w:sz w:val="14"/>
              </w:rPr>
            </w:pPr>
            <w:r>
              <w:rPr>
                <w:rFonts w:ascii="times" w:hAnsi="times"/>
                <w:b/>
                <w:sz w:val="14"/>
              </w:rPr>
              <w:t>LIABILITIES AND PARTNERS' CAPITAL</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53" w:type="dxa"/>
            <w:tcBorders/>
            <w:shd w:fill="CCEEFF" w:val="clear"/>
          </w:tcPr>
          <w:p>
            <w:pPr>
              <w:pStyle w:val="TableContents"/>
              <w:spacing w:before="0" w:after="283"/>
              <w:rPr/>
            </w:pPr>
            <w:r>
              <w:rPr/>
              <w:t> </w:t>
            </w:r>
          </w:p>
        </w:tc>
        <w:tc>
          <w:tcPr>
            <w:tcW w:w="691"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200" w:after="283"/>
              <w:ind w:left="160" w:right="0" w:hanging="160"/>
              <w:rPr>
                <w:rFonts w:ascii="times" w:hAnsi="times"/>
                <w:sz w:val="14"/>
              </w:rPr>
            </w:pPr>
            <w:r>
              <w:rPr>
                <w:rFonts w:ascii="times" w:hAnsi="times"/>
                <w:sz w:val="14"/>
              </w:rPr>
              <w:t>Total current liabilities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350" w:type="dxa"/>
            <w:tcBorders/>
            <w:shd w:fill="FFFFFF" w:val="clear"/>
          </w:tcPr>
          <w:p>
            <w:pPr>
              <w:pStyle w:val="TableContents"/>
              <w:spacing w:before="0" w:after="283"/>
              <w:jc w:val="right"/>
              <w:rPr>
                <w:rFonts w:ascii="times" w:hAnsi="times"/>
                <w:sz w:val="14"/>
              </w:rPr>
            </w:pPr>
            <w:r>
              <w:rPr>
                <w:rFonts w:ascii="times" w:hAnsi="times"/>
                <w:sz w:val="14"/>
              </w:rPr>
              <w:br/>
              <w:t>304</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5,411</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246</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69" w:type="dxa"/>
            <w:tcBorders/>
            <w:shd w:fill="FFFFFF" w:val="clear"/>
          </w:tcPr>
          <w:p>
            <w:pPr>
              <w:pStyle w:val="TableContents"/>
              <w:spacing w:before="0" w:after="283"/>
              <w:jc w:val="right"/>
              <w:rPr>
                <w:rFonts w:ascii="times" w:hAnsi="times"/>
                <w:sz w:val="14"/>
              </w:rPr>
            </w:pPr>
            <w:r>
              <w:rPr>
                <w:rFonts w:ascii="times" w:hAnsi="times"/>
                <w:sz w:val="14"/>
              </w:rPr>
              <w:br/>
              <w:t>(3,001</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53"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91" w:type="dxa"/>
            <w:tcBorders/>
            <w:shd w:fill="FFFFFF" w:val="clear"/>
          </w:tcPr>
          <w:p>
            <w:pPr>
              <w:pStyle w:val="TableContents"/>
              <w:spacing w:before="0" w:after="283"/>
              <w:jc w:val="right"/>
              <w:rPr>
                <w:rFonts w:ascii="times" w:hAnsi="times"/>
                <w:sz w:val="14"/>
              </w:rPr>
            </w:pPr>
            <w:r>
              <w:rPr>
                <w:rFonts w:ascii="times" w:hAnsi="times"/>
                <w:sz w:val="14"/>
              </w:rPr>
              <w:br/>
              <w:t>2,960</w:t>
            </w:r>
          </w:p>
        </w:tc>
        <w:tc>
          <w:tcPr>
            <w:tcW w:w="60" w:type="dxa"/>
            <w:tcBorders/>
            <w:shd w:fill="FFFFFF" w:val="clear"/>
          </w:tcPr>
          <w:p>
            <w:pPr>
              <w:pStyle w:val="TableContents"/>
              <w:spacing w:before="0" w:after="283"/>
              <w:rPr/>
            </w:pPr>
            <w:r>
              <w:rPr/>
              <w:t> </w:t>
            </w:r>
          </w:p>
        </w:tc>
      </w:tr>
      <w:tr>
        <w:trPr/>
        <w:tc>
          <w:tcPr>
            <w:tcW w:w="325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Long-term debt</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3,257</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2</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53" w:type="dxa"/>
            <w:tcBorders/>
            <w:shd w:fill="CCEEFF" w:val="clear"/>
          </w:tcPr>
          <w:p>
            <w:pPr>
              <w:pStyle w:val="TableContents"/>
              <w:spacing w:before="0" w:after="283"/>
              <w:rPr/>
            </w:pPr>
            <w:r>
              <w:rPr/>
              <w:t> </w:t>
            </w:r>
          </w:p>
        </w:tc>
        <w:tc>
          <w:tcPr>
            <w:tcW w:w="691" w:type="dxa"/>
            <w:tcBorders/>
            <w:shd w:fill="CCEEFF" w:val="clear"/>
          </w:tcPr>
          <w:p>
            <w:pPr>
              <w:pStyle w:val="TableContents"/>
              <w:spacing w:before="0" w:after="283"/>
              <w:jc w:val="right"/>
              <w:rPr>
                <w:rFonts w:ascii="times" w:hAnsi="times"/>
                <w:sz w:val="14"/>
              </w:rPr>
            </w:pPr>
            <w:r>
              <w:rPr>
                <w:rFonts w:ascii="times" w:hAnsi="times"/>
                <w:sz w:val="14"/>
              </w:rPr>
              <w:t>3,259</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Other long-term liabilities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260</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1</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rPr/>
            </w:pPr>
            <w:r>
              <w:rPr/>
              <w:t> </w:t>
            </w:r>
          </w:p>
        </w:tc>
        <w:tc>
          <w:tcPr>
            <w:tcW w:w="669"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53" w:type="dxa"/>
            <w:tcBorders/>
            <w:shd w:fill="FFFFFF" w:val="clear"/>
          </w:tcPr>
          <w:p>
            <w:pPr>
              <w:pStyle w:val="TableContents"/>
              <w:spacing w:before="0" w:after="283"/>
              <w:rPr/>
            </w:pPr>
            <w:r>
              <w:rPr/>
              <w:t> </w:t>
            </w:r>
          </w:p>
        </w:tc>
        <w:tc>
          <w:tcPr>
            <w:tcW w:w="691" w:type="dxa"/>
            <w:tcBorders/>
            <w:shd w:fill="FFFFFF" w:val="clear"/>
          </w:tcPr>
          <w:p>
            <w:pPr>
              <w:pStyle w:val="TableContents"/>
              <w:spacing w:before="0" w:after="283"/>
              <w:jc w:val="right"/>
              <w:rPr>
                <w:rFonts w:ascii="times" w:hAnsi="times"/>
                <w:sz w:val="14"/>
              </w:rPr>
            </w:pPr>
            <w:r>
              <w:rPr>
                <w:rFonts w:ascii="times" w:hAnsi="times"/>
                <w:sz w:val="14"/>
              </w:rPr>
              <w:t>261</w:t>
            </w:r>
          </w:p>
        </w:tc>
        <w:tc>
          <w:tcPr>
            <w:tcW w:w="60" w:type="dxa"/>
            <w:tcBorders/>
            <w:shd w:fill="FFFF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20" w:type="dxa"/>
            <w:tcBorders/>
            <w:shd w:fill="CCEEFF" w:val="clear"/>
          </w:tcPr>
          <w:p>
            <w:pPr>
              <w:pStyle w:val="TableContents"/>
              <w:spacing w:before="0" w:after="283"/>
              <w:rPr/>
            </w:pPr>
            <w:r>
              <w:rPr/>
              <w:t> </w:t>
            </w:r>
          </w:p>
        </w:tc>
        <w:tc>
          <w:tcPr>
            <w:tcW w:w="3135" w:type="dxa"/>
            <w:tcBorders/>
            <w:shd w:fill="CCEEFF" w:val="clear"/>
          </w:tcPr>
          <w:p>
            <w:pPr>
              <w:pStyle w:val="TableContents"/>
              <w:spacing w:before="0" w:after="283"/>
              <w:ind w:left="160" w:right="0" w:hanging="160"/>
              <w:rPr>
                <w:rFonts w:ascii="times" w:hAnsi="times"/>
                <w:sz w:val="14"/>
              </w:rPr>
            </w:pPr>
            <w:r>
              <w:rPr>
                <w:rFonts w:ascii="times" w:hAnsi="times"/>
                <w:sz w:val="14"/>
              </w:rPr>
              <w:t>Total liabilities</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3,561</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5,673</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247</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(3,001</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153" w:type="dxa"/>
            <w:tcBorders/>
            <w:shd w:fill="CCEEFF" w:val="clear"/>
          </w:tcPr>
          <w:p>
            <w:pPr>
              <w:pStyle w:val="TableContents"/>
              <w:spacing w:before="0" w:after="283"/>
              <w:rPr/>
            </w:pPr>
            <w:r>
              <w:rPr/>
              <w:t> </w:t>
            </w:r>
          </w:p>
        </w:tc>
        <w:tc>
          <w:tcPr>
            <w:tcW w:w="691" w:type="dxa"/>
            <w:tcBorders/>
            <w:shd w:fill="CCEEFF" w:val="clear"/>
          </w:tcPr>
          <w:p>
            <w:pPr>
              <w:pStyle w:val="TableContents"/>
              <w:spacing w:before="0" w:after="283"/>
              <w:jc w:val="right"/>
              <w:rPr>
                <w:rFonts w:ascii="times" w:hAnsi="times"/>
                <w:sz w:val="14"/>
              </w:rPr>
            </w:pPr>
            <w:r>
              <w:rPr>
                <w:rFonts w:ascii="times" w:hAnsi="times"/>
                <w:sz w:val="14"/>
              </w:rPr>
              <w:t>6,480</w:t>
            </w:r>
          </w:p>
        </w:tc>
        <w:tc>
          <w:tcPr>
            <w:tcW w:w="60" w:type="dxa"/>
            <w:tcBorders/>
            <w:shd w:fill="CCEE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255" w:type="dxa"/>
            <w:gridSpan w:val="2"/>
            <w:tcBorders/>
            <w:shd w:fill="FFFFFF" w:val="clear"/>
          </w:tcPr>
          <w:p>
            <w:pPr>
              <w:pStyle w:val="TableContents"/>
              <w:spacing w:before="200" w:after="283"/>
              <w:ind w:left="160" w:right="0" w:hanging="160"/>
              <w:rPr>
                <w:rFonts w:ascii="times" w:hAnsi="times"/>
                <w:sz w:val="14"/>
              </w:rPr>
            </w:pPr>
            <w:r>
              <w:rPr>
                <w:rFonts w:ascii="times" w:hAnsi="times"/>
                <w:sz w:val="14"/>
              </w:rPr>
              <w:t>Partners' Capital</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br/>
              <w:t>3,552</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4,198</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828</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rPr/>
            </w:pPr>
            <w:r>
              <w:rPr/>
              <w:t> </w:t>
            </w:r>
          </w:p>
        </w:tc>
        <w:tc>
          <w:tcPr>
            <w:tcW w:w="669" w:type="dxa"/>
            <w:tcBorders/>
            <w:shd w:fill="FFFFFF" w:val="clear"/>
          </w:tcPr>
          <w:p>
            <w:pPr>
              <w:pStyle w:val="TableContents"/>
              <w:spacing w:before="0" w:after="283"/>
              <w:jc w:val="right"/>
              <w:rPr>
                <w:rFonts w:ascii="times" w:hAnsi="times"/>
                <w:sz w:val="14"/>
              </w:rPr>
            </w:pPr>
            <w:r>
              <w:rPr>
                <w:rFonts w:ascii="times" w:hAnsi="times"/>
                <w:sz w:val="14"/>
              </w:rPr>
              <w:br/>
              <w:t>(5,026</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53" w:type="dxa"/>
            <w:tcBorders/>
            <w:shd w:fill="FFFFFF" w:val="clear"/>
          </w:tcPr>
          <w:p>
            <w:pPr>
              <w:pStyle w:val="TableContents"/>
              <w:spacing w:before="0" w:after="283"/>
              <w:rPr/>
            </w:pPr>
            <w:r>
              <w:rPr/>
              <w:t> </w:t>
            </w:r>
          </w:p>
        </w:tc>
        <w:tc>
          <w:tcPr>
            <w:tcW w:w="691" w:type="dxa"/>
            <w:tcBorders/>
            <w:shd w:fill="FFFFFF" w:val="clear"/>
          </w:tcPr>
          <w:p>
            <w:pPr>
              <w:pStyle w:val="TableContents"/>
              <w:spacing w:before="0" w:after="283"/>
              <w:jc w:val="right"/>
              <w:rPr>
                <w:rFonts w:ascii="times" w:hAnsi="times"/>
                <w:sz w:val="14"/>
              </w:rPr>
            </w:pPr>
            <w:r>
              <w:rPr>
                <w:rFonts w:ascii="times" w:hAnsi="times"/>
                <w:sz w:val="14"/>
              </w:rPr>
              <w:br/>
              <w:t>3,552</w:t>
            </w:r>
          </w:p>
        </w:tc>
        <w:tc>
          <w:tcPr>
            <w:tcW w:w="60" w:type="dxa"/>
            <w:tcBorders/>
            <w:shd w:fill="FFFF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255" w:type="dxa"/>
            <w:gridSpan w:val="2"/>
            <w:tcBorders/>
            <w:shd w:fill="CCEEFF" w:val="clear"/>
          </w:tcPr>
          <w:p>
            <w:pPr>
              <w:pStyle w:val="TableContents"/>
              <w:spacing w:before="200" w:after="283"/>
              <w:ind w:left="160" w:right="0" w:hanging="160"/>
              <w:rPr>
                <w:rFonts w:ascii="times" w:hAnsi="times"/>
                <w:sz w:val="14"/>
              </w:rPr>
            </w:pPr>
            <w:r>
              <w:rPr>
                <w:rFonts w:ascii="times" w:hAnsi="times"/>
                <w:sz w:val="14"/>
              </w:rPr>
              <w:t>Total liabilities and partners' capital</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350" w:type="dxa"/>
            <w:tcBorders/>
            <w:shd w:fill="CCEEFF" w:val="clear"/>
          </w:tcPr>
          <w:p>
            <w:pPr>
              <w:pStyle w:val="TableContents"/>
              <w:spacing w:before="0" w:after="283"/>
              <w:jc w:val="right"/>
              <w:rPr>
                <w:rFonts w:ascii="times" w:hAnsi="times"/>
                <w:sz w:val="14"/>
              </w:rPr>
            </w:pPr>
            <w:r>
              <w:rPr>
                <w:rFonts w:ascii="times" w:hAnsi="times"/>
                <w:sz w:val="14"/>
              </w:rPr>
              <w:br/>
              <w:t>7,113</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29" w:type="dxa"/>
            <w:tcBorders/>
            <w:shd w:fill="CCEEFF" w:val="clear"/>
          </w:tcPr>
          <w:p>
            <w:pPr>
              <w:pStyle w:val="TableContents"/>
              <w:spacing w:before="0" w:after="283"/>
              <w:jc w:val="right"/>
              <w:rPr>
                <w:rFonts w:ascii="times" w:hAnsi="times"/>
                <w:sz w:val="14"/>
              </w:rPr>
            </w:pPr>
            <w:r>
              <w:rPr>
                <w:rFonts w:ascii="times" w:hAnsi="times"/>
                <w:sz w:val="14"/>
              </w:rPr>
              <w:br/>
              <w:t>9,871</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765" w:type="dxa"/>
            <w:tcBorders/>
            <w:shd w:fill="CCEEFF" w:val="clear"/>
          </w:tcPr>
          <w:p>
            <w:pPr>
              <w:pStyle w:val="TableContents"/>
              <w:spacing w:before="0" w:after="283"/>
              <w:jc w:val="right"/>
              <w:rPr>
                <w:rFonts w:ascii="times" w:hAnsi="times"/>
                <w:sz w:val="14"/>
              </w:rPr>
            </w:pPr>
            <w:r>
              <w:rPr>
                <w:rFonts w:ascii="times" w:hAnsi="times"/>
                <w:sz w:val="14"/>
              </w:rPr>
              <w:br/>
              <w:t>1,075</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69" w:type="dxa"/>
            <w:tcBorders/>
            <w:shd w:fill="CCEEFF" w:val="clear"/>
          </w:tcPr>
          <w:p>
            <w:pPr>
              <w:pStyle w:val="TableContents"/>
              <w:spacing w:before="0" w:after="283"/>
              <w:jc w:val="right"/>
              <w:rPr>
                <w:rFonts w:ascii="times" w:hAnsi="times"/>
                <w:sz w:val="14"/>
              </w:rPr>
            </w:pPr>
            <w:r>
              <w:rPr>
                <w:rFonts w:ascii="times" w:hAnsi="times"/>
                <w:sz w:val="14"/>
              </w:rPr>
              <w:br/>
              <w:t>(8,027</w:t>
            </w:r>
          </w:p>
        </w:tc>
        <w:tc>
          <w:tcPr>
            <w:tcW w:w="195" w:type="dxa"/>
            <w:tcBorders/>
            <w:shd w:fill="CCEEFF" w:val="clear"/>
          </w:tcPr>
          <w:p>
            <w:pPr>
              <w:pStyle w:val="TableContents"/>
              <w:spacing w:before="0" w:after="283"/>
              <w:rPr>
                <w:rFonts w:ascii="times" w:hAnsi="times"/>
                <w:sz w:val="14"/>
              </w:rPr>
            </w:pPr>
            <w:r>
              <w:rPr>
                <w:rFonts w:ascii="times" w:hAnsi="times"/>
                <w:sz w:val="14"/>
              </w:rPr>
              <w:br/>
              <w:t>)</w:t>
            </w:r>
          </w:p>
        </w:tc>
        <w:tc>
          <w:tcPr>
            <w:tcW w:w="153"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91" w:type="dxa"/>
            <w:tcBorders/>
            <w:shd w:fill="CCEEFF" w:val="clear"/>
          </w:tcPr>
          <w:p>
            <w:pPr>
              <w:pStyle w:val="TableContents"/>
              <w:spacing w:before="0" w:after="283"/>
              <w:jc w:val="right"/>
              <w:rPr>
                <w:rFonts w:ascii="times" w:hAnsi="times"/>
                <w:sz w:val="14"/>
              </w:rPr>
            </w:pPr>
            <w:r>
              <w:rPr>
                <w:rFonts w:ascii="times" w:hAnsi="times"/>
                <w:sz w:val="14"/>
              </w:rPr>
              <w:br/>
              <w:t>10,032</w:t>
            </w:r>
          </w:p>
        </w:tc>
        <w:tc>
          <w:tcPr>
            <w:tcW w:w="60" w:type="dxa"/>
            <w:tcBorders/>
            <w:shd w:fill="CCEE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rPr/>
      </w:pPr>
      <w:r>
        <w:rPr/>
        <w:t> </w:t>
      </w:r>
    </w:p>
    <w:tbl>
      <w:tblPr>
        <w:tblW w:w="8159" w:type="dxa"/>
        <w:jc w:val="center"/>
        <w:tblInd w:w="0" w:type="dxa"/>
        <w:tblCellMar>
          <w:top w:w="0" w:type="dxa"/>
          <w:left w:w="0" w:type="dxa"/>
          <w:bottom w:w="0" w:type="dxa"/>
          <w:right w:w="0" w:type="dxa"/>
        </w:tblCellMar>
      </w:tblPr>
      <w:tblGrid>
        <w:gridCol w:w="120"/>
        <w:gridCol w:w="3135"/>
        <w:gridCol w:w="180"/>
        <w:gridCol w:w="95"/>
        <w:gridCol w:w="350"/>
        <w:gridCol w:w="195"/>
        <w:gridCol w:w="170"/>
        <w:gridCol w:w="629"/>
        <w:gridCol w:w="195"/>
        <w:gridCol w:w="202"/>
        <w:gridCol w:w="765"/>
        <w:gridCol w:w="195"/>
        <w:gridCol w:w="160"/>
        <w:gridCol w:w="669"/>
        <w:gridCol w:w="195"/>
        <w:gridCol w:w="178"/>
        <w:gridCol w:w="666"/>
        <w:gridCol w:w="60"/>
      </w:tblGrid>
      <w:tr>
        <w:trPr/>
        <w:tc>
          <w:tcPr>
            <w:tcW w:w="120" w:type="dxa"/>
            <w:tcBorders/>
            <w:shd w:fill="auto" w:val="clear"/>
            <w:vAlign w:val="center"/>
          </w:tcPr>
          <w:p>
            <w:pPr>
              <w:pStyle w:val="TableContents"/>
              <w:spacing w:before="0" w:after="283"/>
              <w:rPr>
                <w:sz w:val="4"/>
                <w:szCs w:val="4"/>
              </w:rPr>
            </w:pPr>
            <w:r>
              <w:rPr>
                <w:sz w:val="4"/>
                <w:szCs w:val="4"/>
              </w:rPr>
            </w:r>
          </w:p>
        </w:tc>
        <w:tc>
          <w:tcPr>
            <w:tcW w:w="31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25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664"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 of December 31, 2007 </w:t>
            </w:r>
          </w:p>
        </w:tc>
        <w:tc>
          <w:tcPr>
            <w:tcW w:w="60" w:type="dxa"/>
            <w:tcBorders/>
            <w:shd w:fill="auto" w:val="clear"/>
            <w:vAlign w:val="bottom"/>
          </w:tcPr>
          <w:p>
            <w:pPr>
              <w:pStyle w:val="TableHeading"/>
              <w:suppressLineNumbers/>
              <w:spacing w:before="0" w:after="283"/>
              <w:jc w:val="center"/>
              <w:rPr/>
            </w:pPr>
            <w:r>
              <w:rPr/>
              <w:t> </w:t>
            </w:r>
          </w:p>
        </w:tc>
      </w:tr>
      <w:tr>
        <w:trPr/>
        <w:tc>
          <w:tcPr>
            <w:tcW w:w="3255" w:type="dxa"/>
            <w:gridSpan w:val="2"/>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19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96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195" w:type="dxa"/>
            <w:tcBorders/>
            <w:shd w:fill="auto" w:val="clear"/>
            <w:vAlign w:val="bottom"/>
          </w:tcPr>
          <w:p>
            <w:pPr>
              <w:pStyle w:val="TableHeading"/>
              <w:suppressLineNumbers/>
              <w:spacing w:before="0" w:after="283"/>
              <w:jc w:val="center"/>
              <w:rPr/>
            </w:pPr>
            <w:r>
              <w:rPr/>
              <w:t> </w:t>
            </w:r>
          </w:p>
        </w:tc>
        <w:tc>
          <w:tcPr>
            <w:tcW w:w="8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0" w:type="dxa"/>
            <w:tcBorders/>
            <w:shd w:fill="auto" w:val="clear"/>
            <w:vAlign w:val="bottom"/>
          </w:tcPr>
          <w:p>
            <w:pPr>
              <w:pStyle w:val="TableHeading"/>
              <w:suppressLineNumbers/>
              <w:spacing w:before="0" w:after="283"/>
              <w:jc w:val="center"/>
              <w:rPr/>
            </w:pPr>
            <w:r>
              <w:rPr/>
              <w:t> </w:t>
            </w:r>
          </w:p>
        </w:tc>
      </w:tr>
      <w:tr>
        <w:trPr/>
        <w:tc>
          <w:tcPr>
            <w:tcW w:w="3255" w:type="dxa"/>
            <w:gridSpan w:val="2"/>
            <w:tcBorders/>
            <w:shd w:fill="CCEEFF" w:val="clear"/>
          </w:tcPr>
          <w:p>
            <w:pPr>
              <w:pStyle w:val="TableContents"/>
              <w:spacing w:before="0" w:after="283"/>
              <w:ind w:left="160" w:right="0" w:hanging="160"/>
              <w:rPr>
                <w:rFonts w:ascii="times" w:hAnsi="times"/>
                <w:b/>
                <w:sz w:val="14"/>
              </w:rPr>
            </w:pPr>
            <w:r>
              <w:rPr>
                <w:rFonts w:ascii="times" w:hAnsi="times"/>
                <w:b/>
                <w:sz w:val="14"/>
              </w:rPr>
              <w:t>ASSETS</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Total current assets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350" w:type="dxa"/>
            <w:tcBorders/>
            <w:shd w:fill="FFFFFF" w:val="clear"/>
          </w:tcPr>
          <w:p>
            <w:pPr>
              <w:pStyle w:val="TableContents"/>
              <w:spacing w:before="0" w:after="283"/>
              <w:jc w:val="right"/>
              <w:rPr>
                <w:rFonts w:ascii="times" w:hAnsi="times"/>
                <w:sz w:val="14"/>
              </w:rPr>
            </w:pPr>
            <w:r>
              <w:rPr>
                <w:rFonts w:ascii="times" w:hAnsi="times"/>
                <w:sz w:val="14"/>
              </w:rPr>
              <w:t>2,277</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t>3,858</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t>91</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jc w:val="right"/>
              <w:rPr>
                <w:rFonts w:ascii="times" w:hAnsi="times"/>
                <w:sz w:val="14"/>
              </w:rPr>
            </w:pPr>
            <w:r>
              <w:rPr>
                <w:rFonts w:ascii="times" w:hAnsi="times"/>
                <w:sz w:val="14"/>
              </w:rPr>
              <w:t>$</w:t>
            </w:r>
          </w:p>
        </w:tc>
        <w:tc>
          <w:tcPr>
            <w:tcW w:w="669" w:type="dxa"/>
            <w:tcBorders/>
            <w:shd w:fill="FFFFFF" w:val="clear"/>
          </w:tcPr>
          <w:p>
            <w:pPr>
              <w:pStyle w:val="TableContents"/>
              <w:spacing w:before="0" w:after="283"/>
              <w:jc w:val="right"/>
              <w:rPr>
                <w:rFonts w:ascii="times" w:hAnsi="times"/>
                <w:sz w:val="14"/>
              </w:rPr>
            </w:pPr>
            <w:r>
              <w:rPr>
                <w:rFonts w:ascii="times" w:hAnsi="times"/>
                <w:sz w:val="14"/>
              </w:rPr>
              <w:t>(2,553</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78" w:type="dxa"/>
            <w:tcBorders/>
            <w:shd w:fill="FFFFFF" w:val="clear"/>
          </w:tcPr>
          <w:p>
            <w:pPr>
              <w:pStyle w:val="TableContents"/>
              <w:spacing w:before="0" w:after="283"/>
              <w:jc w:val="right"/>
              <w:rPr>
                <w:rFonts w:ascii="times" w:hAnsi="times"/>
                <w:sz w:val="14"/>
              </w:rPr>
            </w:pPr>
            <w:r>
              <w:rPr>
                <w:rFonts w:ascii="times" w:hAnsi="times"/>
                <w:sz w:val="14"/>
              </w:rPr>
              <w:t>$</w:t>
            </w:r>
          </w:p>
        </w:tc>
        <w:tc>
          <w:tcPr>
            <w:tcW w:w="666" w:type="dxa"/>
            <w:tcBorders/>
            <w:shd w:fill="FFFFFF" w:val="clear"/>
          </w:tcPr>
          <w:p>
            <w:pPr>
              <w:pStyle w:val="TableContents"/>
              <w:spacing w:before="0" w:after="283"/>
              <w:jc w:val="right"/>
              <w:rPr>
                <w:rFonts w:ascii="times" w:hAnsi="times"/>
                <w:sz w:val="14"/>
              </w:rPr>
            </w:pPr>
            <w:r>
              <w:rPr>
                <w:rFonts w:ascii="times" w:hAnsi="times"/>
                <w:sz w:val="14"/>
              </w:rPr>
              <w:t>3,673</w:t>
            </w:r>
          </w:p>
        </w:tc>
        <w:tc>
          <w:tcPr>
            <w:tcW w:w="60" w:type="dxa"/>
            <w:tcBorders/>
            <w:shd w:fill="FFFFFF" w:val="clear"/>
          </w:tcPr>
          <w:p>
            <w:pPr>
              <w:pStyle w:val="TableContents"/>
              <w:spacing w:before="0" w:after="283"/>
              <w:rPr/>
            </w:pPr>
            <w:r>
              <w:rPr/>
              <w:t> </w:t>
            </w:r>
          </w:p>
        </w:tc>
      </w:tr>
      <w:tr>
        <w:trPr/>
        <w:tc>
          <w:tcPr>
            <w:tcW w:w="325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Property plant and equipment, net</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3,791</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628</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4,419</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Investment in unconsolidated entities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3,881</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863</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rPr/>
            </w:pPr>
            <w:r>
              <w:rPr/>
              <w:t> </w:t>
            </w:r>
          </w:p>
        </w:tc>
        <w:tc>
          <w:tcPr>
            <w:tcW w:w="669" w:type="dxa"/>
            <w:tcBorders/>
            <w:shd w:fill="FFFFFF" w:val="clear"/>
          </w:tcPr>
          <w:p>
            <w:pPr>
              <w:pStyle w:val="TableContents"/>
              <w:spacing w:before="0" w:after="283"/>
              <w:jc w:val="right"/>
              <w:rPr>
                <w:rFonts w:ascii="times" w:hAnsi="times"/>
                <w:sz w:val="14"/>
              </w:rPr>
            </w:pPr>
            <w:r>
              <w:rPr>
                <w:rFonts w:ascii="times" w:hAnsi="times"/>
                <w:sz w:val="14"/>
              </w:rPr>
              <w:t>(4,529</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215</w:t>
            </w:r>
          </w:p>
        </w:tc>
        <w:tc>
          <w:tcPr>
            <w:tcW w:w="60" w:type="dxa"/>
            <w:tcBorders/>
            <w:shd w:fill="FFFFFF" w:val="clear"/>
          </w:tcPr>
          <w:p>
            <w:pPr>
              <w:pStyle w:val="TableContents"/>
              <w:spacing w:before="0" w:after="283"/>
              <w:rPr/>
            </w:pPr>
            <w:r>
              <w:rPr/>
              <w:t> </w:t>
            </w:r>
          </w:p>
        </w:tc>
      </w:tr>
      <w:tr>
        <w:trPr/>
        <w:tc>
          <w:tcPr>
            <w:tcW w:w="325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Other assets</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22</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1,259</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318</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1,599</w:t>
            </w:r>
          </w:p>
        </w:tc>
        <w:tc>
          <w:tcPr>
            <w:tcW w:w="60" w:type="dxa"/>
            <w:tcBorders/>
            <w:shd w:fill="CCEE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20" w:type="dxa"/>
            <w:tcBorders/>
            <w:shd w:fill="FFFFFF" w:val="clear"/>
          </w:tcPr>
          <w:p>
            <w:pPr>
              <w:pStyle w:val="TableContents"/>
              <w:spacing w:before="0" w:after="283"/>
              <w:rPr/>
            </w:pPr>
            <w:r>
              <w:rPr/>
              <w:t> </w:t>
            </w:r>
          </w:p>
        </w:tc>
        <w:tc>
          <w:tcPr>
            <w:tcW w:w="3135" w:type="dxa"/>
            <w:tcBorders/>
            <w:shd w:fill="FFFFFF" w:val="clear"/>
          </w:tcPr>
          <w:p>
            <w:pPr>
              <w:pStyle w:val="TableContents"/>
              <w:spacing w:before="0" w:after="283"/>
              <w:ind w:left="160" w:right="0" w:hanging="160"/>
              <w:rPr>
                <w:rFonts w:ascii="times" w:hAnsi="times"/>
                <w:sz w:val="14"/>
              </w:rPr>
            </w:pPr>
            <w:r>
              <w:rPr>
                <w:rFonts w:ascii="times" w:hAnsi="times"/>
                <w:sz w:val="14"/>
              </w:rPr>
              <w:t>Total assets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350" w:type="dxa"/>
            <w:tcBorders/>
            <w:shd w:fill="FFFFFF" w:val="clear"/>
          </w:tcPr>
          <w:p>
            <w:pPr>
              <w:pStyle w:val="TableContents"/>
              <w:spacing w:before="0" w:after="283"/>
              <w:jc w:val="right"/>
              <w:rPr>
                <w:rFonts w:ascii="times" w:hAnsi="times"/>
                <w:sz w:val="14"/>
              </w:rPr>
            </w:pPr>
            <w:r>
              <w:rPr>
                <w:rFonts w:ascii="times" w:hAnsi="times"/>
                <w:sz w:val="14"/>
              </w:rPr>
              <w:t>6,180</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t>9,771</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t>1,037</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jc w:val="right"/>
              <w:rPr>
                <w:rFonts w:ascii="times" w:hAnsi="times"/>
                <w:sz w:val="14"/>
              </w:rPr>
            </w:pPr>
            <w:r>
              <w:rPr>
                <w:rFonts w:ascii="times" w:hAnsi="times"/>
                <w:sz w:val="14"/>
              </w:rPr>
              <w:t>$</w:t>
            </w:r>
          </w:p>
        </w:tc>
        <w:tc>
          <w:tcPr>
            <w:tcW w:w="669" w:type="dxa"/>
            <w:tcBorders/>
            <w:shd w:fill="FFFFFF" w:val="clear"/>
          </w:tcPr>
          <w:p>
            <w:pPr>
              <w:pStyle w:val="TableContents"/>
              <w:spacing w:before="0" w:after="283"/>
              <w:jc w:val="right"/>
              <w:rPr>
                <w:rFonts w:ascii="times" w:hAnsi="times"/>
                <w:sz w:val="14"/>
              </w:rPr>
            </w:pPr>
            <w:r>
              <w:rPr>
                <w:rFonts w:ascii="times" w:hAnsi="times"/>
                <w:sz w:val="14"/>
              </w:rPr>
              <w:t>(7,082</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78" w:type="dxa"/>
            <w:tcBorders/>
            <w:shd w:fill="FFFFFF" w:val="clear"/>
          </w:tcPr>
          <w:p>
            <w:pPr>
              <w:pStyle w:val="TableContents"/>
              <w:spacing w:before="0" w:after="283"/>
              <w:jc w:val="right"/>
              <w:rPr>
                <w:rFonts w:ascii="times" w:hAnsi="times"/>
                <w:sz w:val="14"/>
              </w:rPr>
            </w:pPr>
            <w:r>
              <w:rPr>
                <w:rFonts w:ascii="times" w:hAnsi="times"/>
                <w:sz w:val="14"/>
              </w:rPr>
              <w:t>$</w:t>
            </w:r>
          </w:p>
        </w:tc>
        <w:tc>
          <w:tcPr>
            <w:tcW w:w="666" w:type="dxa"/>
            <w:tcBorders/>
            <w:shd w:fill="FFFFFF" w:val="clear"/>
          </w:tcPr>
          <w:p>
            <w:pPr>
              <w:pStyle w:val="TableContents"/>
              <w:spacing w:before="0" w:after="283"/>
              <w:jc w:val="right"/>
              <w:rPr>
                <w:rFonts w:ascii="times" w:hAnsi="times"/>
                <w:sz w:val="14"/>
              </w:rPr>
            </w:pPr>
            <w:r>
              <w:rPr>
                <w:rFonts w:ascii="times" w:hAnsi="times"/>
                <w:sz w:val="14"/>
              </w:rPr>
              <w:t>9,906</w:t>
            </w:r>
          </w:p>
        </w:tc>
        <w:tc>
          <w:tcPr>
            <w:tcW w:w="60" w:type="dxa"/>
            <w:tcBorders/>
            <w:shd w:fill="FFFF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255" w:type="dxa"/>
            <w:gridSpan w:val="2"/>
            <w:tcBorders/>
            <w:shd w:fill="CCEEFF" w:val="clear"/>
          </w:tcPr>
          <w:p>
            <w:pPr>
              <w:pStyle w:val="TableContents"/>
              <w:spacing w:before="200" w:after="283"/>
              <w:ind w:left="160" w:right="0" w:hanging="160"/>
              <w:rPr>
                <w:rFonts w:ascii="times" w:hAnsi="times"/>
                <w:b/>
                <w:sz w:val="14"/>
              </w:rPr>
            </w:pPr>
            <w:r>
              <w:rPr>
                <w:rFonts w:ascii="times" w:hAnsi="times"/>
                <w:b/>
                <w:sz w:val="14"/>
              </w:rPr>
              <w:t>LIABILITIES AND PARTNERS' CAPITAL</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rPr/>
            </w:pPr>
            <w:r>
              <w:rPr/>
              <w:t> </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200" w:after="283"/>
              <w:ind w:left="160" w:right="0" w:hanging="160"/>
              <w:rPr>
                <w:rFonts w:ascii="times" w:hAnsi="times"/>
                <w:sz w:val="14"/>
              </w:rPr>
            </w:pPr>
            <w:r>
              <w:rPr>
                <w:rFonts w:ascii="times" w:hAnsi="times"/>
                <w:sz w:val="14"/>
              </w:rPr>
              <w:t>Total current liabilities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350" w:type="dxa"/>
            <w:tcBorders/>
            <w:shd w:fill="FFFFFF" w:val="clear"/>
          </w:tcPr>
          <w:p>
            <w:pPr>
              <w:pStyle w:val="TableContents"/>
              <w:spacing w:before="0" w:after="283"/>
              <w:jc w:val="right"/>
              <w:rPr>
                <w:rFonts w:ascii="times" w:hAnsi="times"/>
                <w:sz w:val="14"/>
              </w:rPr>
            </w:pPr>
            <w:r>
              <w:rPr>
                <w:rFonts w:ascii="times" w:hAnsi="times"/>
                <w:sz w:val="14"/>
              </w:rPr>
              <w:br/>
              <w:t>134</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5,911</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237</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69" w:type="dxa"/>
            <w:tcBorders/>
            <w:shd w:fill="FFFFFF" w:val="clear"/>
          </w:tcPr>
          <w:p>
            <w:pPr>
              <w:pStyle w:val="TableContents"/>
              <w:spacing w:before="0" w:after="283"/>
              <w:jc w:val="right"/>
              <w:rPr>
                <w:rFonts w:ascii="times" w:hAnsi="times"/>
                <w:sz w:val="14"/>
              </w:rPr>
            </w:pPr>
            <w:r>
              <w:rPr>
                <w:rFonts w:ascii="times" w:hAnsi="times"/>
                <w:sz w:val="14"/>
              </w:rPr>
              <w:br/>
              <w:t>(2,553</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78"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66" w:type="dxa"/>
            <w:tcBorders/>
            <w:shd w:fill="FFFFFF" w:val="clear"/>
          </w:tcPr>
          <w:p>
            <w:pPr>
              <w:pStyle w:val="TableContents"/>
              <w:spacing w:before="0" w:after="283"/>
              <w:jc w:val="right"/>
              <w:rPr>
                <w:rFonts w:ascii="times" w:hAnsi="times"/>
                <w:sz w:val="14"/>
              </w:rPr>
            </w:pPr>
            <w:r>
              <w:rPr>
                <w:rFonts w:ascii="times" w:hAnsi="times"/>
                <w:sz w:val="14"/>
              </w:rPr>
              <w:br/>
              <w:t>3,729</w:t>
            </w:r>
          </w:p>
        </w:tc>
        <w:tc>
          <w:tcPr>
            <w:tcW w:w="60" w:type="dxa"/>
            <w:tcBorders/>
            <w:shd w:fill="FFFFFF" w:val="clear"/>
          </w:tcPr>
          <w:p>
            <w:pPr>
              <w:pStyle w:val="TableContents"/>
              <w:spacing w:before="0" w:after="283"/>
              <w:rPr/>
            </w:pPr>
            <w:r>
              <w:rPr/>
              <w:t> </w:t>
            </w:r>
          </w:p>
        </w:tc>
      </w:tr>
      <w:tr>
        <w:trPr/>
        <w:tc>
          <w:tcPr>
            <w:tcW w:w="3255" w:type="dxa"/>
            <w:gridSpan w:val="2"/>
            <w:tcBorders/>
            <w:shd w:fill="CCEEFF" w:val="clear"/>
          </w:tcPr>
          <w:p>
            <w:pPr>
              <w:pStyle w:val="TableContents"/>
              <w:spacing w:before="0" w:after="283"/>
              <w:ind w:left="160" w:right="0" w:hanging="160"/>
              <w:rPr>
                <w:rFonts w:ascii="times" w:hAnsi="times"/>
                <w:sz w:val="14"/>
              </w:rPr>
            </w:pPr>
            <w:r>
              <w:rPr>
                <w:rFonts w:ascii="times" w:hAnsi="times"/>
                <w:sz w:val="14"/>
              </w:rPr>
              <w:t>Long-term debt</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2,622</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2</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2,624</w:t>
            </w:r>
          </w:p>
        </w:tc>
        <w:tc>
          <w:tcPr>
            <w:tcW w:w="60" w:type="dxa"/>
            <w:tcBorders/>
            <w:shd w:fill="CCEEFF" w:val="clear"/>
          </w:tcPr>
          <w:p>
            <w:pPr>
              <w:pStyle w:val="TableContents"/>
              <w:spacing w:before="0" w:after="283"/>
              <w:rPr/>
            </w:pPr>
            <w:r>
              <w:rPr/>
              <w:t> </w:t>
            </w:r>
          </w:p>
        </w:tc>
      </w:tr>
      <w:tr>
        <w:trPr/>
        <w:tc>
          <w:tcPr>
            <w:tcW w:w="3255" w:type="dxa"/>
            <w:gridSpan w:val="2"/>
            <w:tcBorders/>
            <w:shd w:fill="FFFFFF" w:val="clear"/>
          </w:tcPr>
          <w:p>
            <w:pPr>
              <w:pStyle w:val="TableContents"/>
              <w:spacing w:before="0" w:after="283"/>
              <w:ind w:left="160" w:right="0" w:hanging="160"/>
              <w:rPr>
                <w:rFonts w:ascii="times" w:hAnsi="times"/>
                <w:sz w:val="14"/>
              </w:rPr>
            </w:pPr>
            <w:r>
              <w:rPr>
                <w:rFonts w:ascii="times" w:hAnsi="times"/>
                <w:sz w:val="14"/>
              </w:rPr>
              <w:t>Other long-term liabilities</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128</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1</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rPr/>
            </w:pPr>
            <w:r>
              <w:rPr/>
              <w:t> </w:t>
            </w:r>
          </w:p>
        </w:tc>
        <w:tc>
          <w:tcPr>
            <w:tcW w:w="669"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129</w:t>
            </w:r>
          </w:p>
        </w:tc>
        <w:tc>
          <w:tcPr>
            <w:tcW w:w="60" w:type="dxa"/>
            <w:tcBorders/>
            <w:shd w:fill="FFFF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120" w:type="dxa"/>
            <w:tcBorders/>
            <w:shd w:fill="CCEEFF" w:val="clear"/>
          </w:tcPr>
          <w:p>
            <w:pPr>
              <w:pStyle w:val="TableContents"/>
              <w:spacing w:before="0" w:after="283"/>
              <w:rPr/>
            </w:pPr>
            <w:r>
              <w:rPr/>
              <w:t> </w:t>
            </w:r>
          </w:p>
        </w:tc>
        <w:tc>
          <w:tcPr>
            <w:tcW w:w="3135" w:type="dxa"/>
            <w:tcBorders/>
            <w:shd w:fill="CCEEFF" w:val="clear"/>
          </w:tcPr>
          <w:p>
            <w:pPr>
              <w:pStyle w:val="TableContents"/>
              <w:spacing w:before="0" w:after="283"/>
              <w:ind w:left="160" w:right="0" w:hanging="160"/>
              <w:rPr>
                <w:rFonts w:ascii="times" w:hAnsi="times"/>
                <w:sz w:val="14"/>
              </w:rPr>
            </w:pPr>
            <w:r>
              <w:rPr>
                <w:rFonts w:ascii="times" w:hAnsi="times"/>
                <w:sz w:val="14"/>
              </w:rPr>
              <w:t>Total liabilities</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350" w:type="dxa"/>
            <w:tcBorders/>
            <w:shd w:fill="CCEEFF" w:val="clear"/>
          </w:tcPr>
          <w:p>
            <w:pPr>
              <w:pStyle w:val="TableContents"/>
              <w:spacing w:before="0" w:after="283"/>
              <w:jc w:val="right"/>
              <w:rPr>
                <w:rFonts w:ascii="times" w:hAnsi="times"/>
                <w:sz w:val="14"/>
              </w:rPr>
            </w:pPr>
            <w:r>
              <w:rPr>
                <w:rFonts w:ascii="times" w:hAnsi="times"/>
                <w:sz w:val="14"/>
              </w:rPr>
              <w:t>2,756</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6,041</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238</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rFonts w:ascii="times" w:hAnsi="times"/>
                <w:sz w:val="14"/>
              </w:rPr>
            </w:pPr>
            <w:r>
              <w:rPr>
                <w:rFonts w:ascii="times" w:hAnsi="times"/>
                <w:sz w:val="14"/>
              </w:rPr>
              <w:t>(2,553</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6,482</w:t>
            </w:r>
          </w:p>
        </w:tc>
        <w:tc>
          <w:tcPr>
            <w:tcW w:w="60" w:type="dxa"/>
            <w:tcBorders/>
            <w:shd w:fill="CCEE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255" w:type="dxa"/>
            <w:gridSpan w:val="2"/>
            <w:tcBorders/>
            <w:shd w:fill="FFFFFF" w:val="clear"/>
          </w:tcPr>
          <w:p>
            <w:pPr>
              <w:pStyle w:val="TableContents"/>
              <w:spacing w:before="200" w:after="283"/>
              <w:ind w:left="160" w:right="0" w:hanging="160"/>
              <w:rPr>
                <w:rFonts w:ascii="times" w:hAnsi="times"/>
                <w:sz w:val="14"/>
              </w:rPr>
            </w:pPr>
            <w:r>
              <w:rPr>
                <w:rFonts w:ascii="times" w:hAnsi="times"/>
                <w:sz w:val="14"/>
              </w:rPr>
              <w:t>Partners' Capital</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350" w:type="dxa"/>
            <w:tcBorders/>
            <w:shd w:fill="FFFFFF" w:val="clear"/>
          </w:tcPr>
          <w:p>
            <w:pPr>
              <w:pStyle w:val="TableContents"/>
              <w:spacing w:before="0" w:after="283"/>
              <w:jc w:val="right"/>
              <w:rPr>
                <w:rFonts w:ascii="times" w:hAnsi="times"/>
                <w:sz w:val="14"/>
              </w:rPr>
            </w:pPr>
            <w:r>
              <w:rPr>
                <w:rFonts w:ascii="times" w:hAnsi="times"/>
                <w:sz w:val="14"/>
              </w:rPr>
              <w:br/>
              <w:t>3,424</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3,730</w:t>
            </w:r>
          </w:p>
        </w:tc>
        <w:tc>
          <w:tcPr>
            <w:tcW w:w="195"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799</w:t>
            </w:r>
          </w:p>
        </w:tc>
        <w:tc>
          <w:tcPr>
            <w:tcW w:w="195" w:type="dxa"/>
            <w:tcBorders/>
            <w:shd w:fill="FFFFFF" w:val="clear"/>
          </w:tcPr>
          <w:p>
            <w:pPr>
              <w:pStyle w:val="TableContents"/>
              <w:spacing w:before="0" w:after="283"/>
              <w:rPr/>
            </w:pPr>
            <w:r>
              <w:rPr/>
              <w:t> </w:t>
            </w:r>
          </w:p>
        </w:tc>
        <w:tc>
          <w:tcPr>
            <w:tcW w:w="160" w:type="dxa"/>
            <w:tcBorders/>
            <w:shd w:fill="FFFFFF" w:val="clear"/>
          </w:tcPr>
          <w:p>
            <w:pPr>
              <w:pStyle w:val="TableContents"/>
              <w:spacing w:before="0" w:after="283"/>
              <w:rPr/>
            </w:pPr>
            <w:r>
              <w:rPr/>
              <w:t> </w:t>
            </w:r>
          </w:p>
        </w:tc>
        <w:tc>
          <w:tcPr>
            <w:tcW w:w="669" w:type="dxa"/>
            <w:tcBorders/>
            <w:shd w:fill="FFFFFF" w:val="clear"/>
          </w:tcPr>
          <w:p>
            <w:pPr>
              <w:pStyle w:val="TableContents"/>
              <w:spacing w:before="0" w:after="283"/>
              <w:jc w:val="right"/>
              <w:rPr>
                <w:rFonts w:ascii="times" w:hAnsi="times"/>
                <w:sz w:val="14"/>
              </w:rPr>
            </w:pPr>
            <w:r>
              <w:rPr>
                <w:rFonts w:ascii="times" w:hAnsi="times"/>
                <w:sz w:val="14"/>
              </w:rPr>
              <w:br/>
              <w:t>(4,529</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br/>
              <w:t>3,424</w:t>
            </w:r>
          </w:p>
        </w:tc>
        <w:tc>
          <w:tcPr>
            <w:tcW w:w="60" w:type="dxa"/>
            <w:tcBorders/>
            <w:shd w:fill="FFFF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3255" w:type="dxa"/>
            <w:gridSpan w:val="2"/>
            <w:tcBorders/>
            <w:shd w:fill="CCEEFF" w:val="clear"/>
          </w:tcPr>
          <w:p>
            <w:pPr>
              <w:pStyle w:val="TableContents"/>
              <w:spacing w:before="200" w:after="283"/>
              <w:ind w:left="160" w:right="0" w:hanging="160"/>
              <w:rPr>
                <w:rFonts w:ascii="times" w:hAnsi="times"/>
                <w:sz w:val="14"/>
              </w:rPr>
            </w:pPr>
            <w:r>
              <w:rPr>
                <w:rFonts w:ascii="times" w:hAnsi="times"/>
                <w:sz w:val="14"/>
              </w:rPr>
              <w:t>Total liabilities and partners' capital</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350" w:type="dxa"/>
            <w:tcBorders/>
            <w:shd w:fill="CCEEFF" w:val="clear"/>
          </w:tcPr>
          <w:p>
            <w:pPr>
              <w:pStyle w:val="TableContents"/>
              <w:spacing w:before="0" w:after="283"/>
              <w:jc w:val="right"/>
              <w:rPr>
                <w:rFonts w:ascii="times" w:hAnsi="times"/>
                <w:sz w:val="14"/>
              </w:rPr>
            </w:pPr>
            <w:r>
              <w:rPr>
                <w:rFonts w:ascii="times" w:hAnsi="times"/>
                <w:sz w:val="14"/>
              </w:rPr>
              <w:br/>
              <w:t>6,180</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29" w:type="dxa"/>
            <w:tcBorders/>
            <w:shd w:fill="CCEEFF" w:val="clear"/>
          </w:tcPr>
          <w:p>
            <w:pPr>
              <w:pStyle w:val="TableContents"/>
              <w:spacing w:before="0" w:after="283"/>
              <w:jc w:val="right"/>
              <w:rPr>
                <w:rFonts w:ascii="times" w:hAnsi="times"/>
                <w:sz w:val="14"/>
              </w:rPr>
            </w:pPr>
            <w:r>
              <w:rPr>
                <w:rFonts w:ascii="times" w:hAnsi="times"/>
                <w:sz w:val="14"/>
              </w:rPr>
              <w:br/>
              <w:t>9,771</w:t>
            </w:r>
          </w:p>
        </w:tc>
        <w:tc>
          <w:tcPr>
            <w:tcW w:w="195"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765" w:type="dxa"/>
            <w:tcBorders/>
            <w:shd w:fill="CCEEFF" w:val="clear"/>
          </w:tcPr>
          <w:p>
            <w:pPr>
              <w:pStyle w:val="TableContents"/>
              <w:spacing w:before="0" w:after="283"/>
              <w:jc w:val="right"/>
              <w:rPr>
                <w:rFonts w:ascii="times" w:hAnsi="times"/>
                <w:sz w:val="14"/>
              </w:rPr>
            </w:pPr>
            <w:r>
              <w:rPr>
                <w:rFonts w:ascii="times" w:hAnsi="times"/>
                <w:sz w:val="14"/>
              </w:rPr>
              <w:br/>
              <w:t>1,037</w:t>
            </w:r>
          </w:p>
        </w:tc>
        <w:tc>
          <w:tcPr>
            <w:tcW w:w="195"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69" w:type="dxa"/>
            <w:tcBorders/>
            <w:shd w:fill="CCEEFF" w:val="clear"/>
          </w:tcPr>
          <w:p>
            <w:pPr>
              <w:pStyle w:val="TableContents"/>
              <w:spacing w:before="0" w:after="283"/>
              <w:jc w:val="right"/>
              <w:rPr>
                <w:rFonts w:ascii="times" w:hAnsi="times"/>
                <w:sz w:val="14"/>
              </w:rPr>
            </w:pPr>
            <w:r>
              <w:rPr>
                <w:rFonts w:ascii="times" w:hAnsi="times"/>
                <w:sz w:val="14"/>
              </w:rPr>
              <w:br/>
              <w:t>(7,082</w:t>
            </w:r>
          </w:p>
        </w:tc>
        <w:tc>
          <w:tcPr>
            <w:tcW w:w="195" w:type="dxa"/>
            <w:tcBorders/>
            <w:shd w:fill="CCEEFF" w:val="clear"/>
          </w:tcPr>
          <w:p>
            <w:pPr>
              <w:pStyle w:val="TableContents"/>
              <w:spacing w:before="0" w:after="283"/>
              <w:rPr>
                <w:rFonts w:ascii="times" w:hAnsi="times"/>
                <w:sz w:val="14"/>
              </w:rPr>
            </w:pPr>
            <w:r>
              <w:rPr>
                <w:rFonts w:ascii="times" w:hAnsi="times"/>
                <w:sz w:val="14"/>
              </w:rPr>
              <w:br/>
              <w:t>)</w:t>
            </w:r>
          </w:p>
        </w:tc>
        <w:tc>
          <w:tcPr>
            <w:tcW w:w="178"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666" w:type="dxa"/>
            <w:tcBorders/>
            <w:shd w:fill="CCEEFF" w:val="clear"/>
          </w:tcPr>
          <w:p>
            <w:pPr>
              <w:pStyle w:val="TableContents"/>
              <w:spacing w:before="0" w:after="283"/>
              <w:jc w:val="right"/>
              <w:rPr>
                <w:rFonts w:ascii="times" w:hAnsi="times"/>
                <w:sz w:val="14"/>
              </w:rPr>
            </w:pPr>
            <w:r>
              <w:rPr>
                <w:rFonts w:ascii="times" w:hAnsi="times"/>
                <w:sz w:val="14"/>
              </w:rPr>
              <w:br/>
              <w:t>9,906</w:t>
            </w:r>
          </w:p>
        </w:tc>
        <w:tc>
          <w:tcPr>
            <w:tcW w:w="60" w:type="dxa"/>
            <w:tcBorders/>
            <w:shd w:fill="CCEEFF" w:val="clear"/>
          </w:tcPr>
          <w:p>
            <w:pPr>
              <w:pStyle w:val="TableContents"/>
              <w:spacing w:before="0" w:after="283"/>
              <w:rPr/>
            </w:pPr>
            <w:r>
              <w:rPr/>
              <w:t> </w:t>
            </w:r>
          </w:p>
        </w:tc>
      </w:tr>
      <w:tr>
        <w:trPr/>
        <w:tc>
          <w:tcPr>
            <w:tcW w:w="3255" w:type="dxa"/>
            <w:gridSpan w:val="2"/>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4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967"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F-57</w:t>
      </w:r>
    </w:p>
    <w:p>
      <w:pPr>
        <w:pStyle w:val="HorizontalLine"/>
        <w:pBdr>
          <w:bottom w:val="single" w:sz="20" w:space="0" w:color="808080"/>
        </w:pBdr>
        <w:rPr/>
      </w:pPr>
      <w:r>
        <w:rPr/>
      </w:r>
      <w:r>
        <w:br w:type="page"/>
      </w:r>
    </w:p>
    <w:p>
      <w:pPr>
        <w:pStyle w:val="TextBody"/>
        <w:rPr/>
      </w:pPr>
      <w:hyperlink w:anchor="bg12101a_main_toc">
        <w:bookmarkStart w:id="291" w:name="page_fw12101_1_58"/>
        <w:bookmarkEnd w:id="291"/>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13Supplemental Condensed Consolidating Financial Information (Continued) </w:t>
      </w:r>
    </w:p>
    <w:p>
      <w:pPr>
        <w:pStyle w:val="TextBody"/>
        <w:rPr>
          <w:rFonts w:ascii="times" w:hAnsi="times"/>
          <w:b/>
          <w:sz w:val="20"/>
        </w:rPr>
      </w:pPr>
      <w:r>
        <w:rPr>
          <w:rFonts w:ascii="times" w:hAnsi="times"/>
          <w:b/>
          <w:sz w:val="20"/>
        </w:rPr>
        <w:t xml:space="preserve">Condensed Consolidating Statements of Operations </w:t>
      </w:r>
    </w:p>
    <w:tbl>
      <w:tblPr>
        <w:tblW w:w="8221" w:type="dxa"/>
        <w:jc w:val="center"/>
        <w:tblInd w:w="0" w:type="dxa"/>
        <w:tblCellMar>
          <w:top w:w="0" w:type="dxa"/>
          <w:left w:w="0" w:type="dxa"/>
          <w:bottom w:w="0" w:type="dxa"/>
          <w:right w:w="0" w:type="dxa"/>
        </w:tblCellMar>
      </w:tblPr>
      <w:tblGrid>
        <w:gridCol w:w="3255"/>
        <w:gridCol w:w="180"/>
        <w:gridCol w:w="108"/>
        <w:gridCol w:w="331"/>
        <w:gridCol w:w="195"/>
        <w:gridCol w:w="170"/>
        <w:gridCol w:w="629"/>
        <w:gridCol w:w="195"/>
        <w:gridCol w:w="265"/>
        <w:gridCol w:w="765"/>
        <w:gridCol w:w="195"/>
        <w:gridCol w:w="197"/>
        <w:gridCol w:w="632"/>
        <w:gridCol w:w="195"/>
        <w:gridCol w:w="178"/>
        <w:gridCol w:w="666"/>
        <w:gridCol w:w="65"/>
      </w:tblGrid>
      <w:tr>
        <w:trPr/>
        <w:tc>
          <w:tcPr>
            <w:tcW w:w="325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2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721"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2008 </w:t>
            </w:r>
          </w:p>
        </w:tc>
        <w:tc>
          <w:tcPr>
            <w:tcW w:w="65" w:type="dxa"/>
            <w:tcBorders/>
            <w:shd w:fill="auto" w:val="clear"/>
            <w:vAlign w:val="bottom"/>
          </w:tcPr>
          <w:p>
            <w:pPr>
              <w:pStyle w:val="TableHeading"/>
              <w:suppressLineNumbers/>
              <w:spacing w:before="0" w:after="283"/>
              <w:jc w:val="center"/>
              <w:rPr/>
            </w:pPr>
            <w:r>
              <w:rPr/>
              <w:t> </w:t>
            </w:r>
          </w:p>
        </w:tc>
      </w:tr>
      <w:tr>
        <w:trPr/>
        <w:tc>
          <w:tcPr>
            <w:tcW w:w="32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19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10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195" w:type="dxa"/>
            <w:tcBorders/>
            <w:shd w:fill="auto" w:val="clear"/>
            <w:vAlign w:val="bottom"/>
          </w:tcPr>
          <w:p>
            <w:pPr>
              <w:pStyle w:val="TableHeading"/>
              <w:suppressLineNumbers/>
              <w:spacing w:before="0" w:after="283"/>
              <w:jc w:val="center"/>
              <w:rPr/>
            </w:pPr>
            <w:r>
              <w:rPr/>
              <w:t> </w:t>
            </w:r>
          </w:p>
        </w:tc>
        <w:tc>
          <w:tcPr>
            <w:tcW w:w="8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5" w:type="dxa"/>
            <w:tcBorders/>
            <w:shd w:fill="auto" w:val="clear"/>
            <w:vAlign w:val="bottom"/>
          </w:tcPr>
          <w:p>
            <w:pPr>
              <w:pStyle w:val="TableHeading"/>
              <w:suppressLineNumbers/>
              <w:spacing w:before="0" w:after="283"/>
              <w:jc w:val="center"/>
              <w:rPr/>
            </w:pPr>
            <w:r>
              <w:rPr/>
              <w:t> </w:t>
            </w:r>
          </w:p>
        </w:tc>
      </w:tr>
      <w:tr>
        <w:trPr/>
        <w:tc>
          <w:tcPr>
            <w:tcW w:w="3255" w:type="dxa"/>
            <w:tcBorders/>
            <w:shd w:fill="CCEEFF" w:val="clear"/>
          </w:tcPr>
          <w:p>
            <w:pPr>
              <w:pStyle w:val="TableContents"/>
              <w:spacing w:before="0" w:after="283"/>
              <w:ind w:left="160" w:right="0" w:hanging="160"/>
              <w:rPr>
                <w:rFonts w:ascii="times" w:hAnsi="times"/>
              </w:rPr>
            </w:pPr>
            <w:r>
              <w:rPr>
                <w:rFonts w:ascii="times" w:hAnsi="times"/>
                <w:sz w:val="14"/>
              </w:rPr>
              <w:t>Net operating revenues</w:t>
            </w:r>
            <w:r>
              <w:rPr>
                <w:rFonts w:ascii="times" w:hAnsi="times"/>
                <w:b/>
                <w:position w:val="5"/>
                <w:sz w:val="11"/>
                <w:sz w:val="14"/>
              </w:rPr>
              <w:t>(1)</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jc w:val="right"/>
              <w:rPr>
                <w:rFonts w:ascii="times" w:hAnsi="times"/>
                <w:sz w:val="14"/>
              </w:rPr>
            </w:pPr>
            <w:r>
              <w:rPr>
                <w:rFonts w:ascii="times" w:hAnsi="times"/>
                <w:sz w:val="14"/>
              </w:rPr>
              <w:t>$</w:t>
            </w:r>
          </w:p>
        </w:tc>
        <w:tc>
          <w:tcPr>
            <w:tcW w:w="331"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jc w:val="right"/>
              <w:rPr>
                <w:rFonts w:ascii="times" w:hAnsi="times"/>
                <w:sz w:val="14"/>
              </w:rPr>
            </w:pPr>
            <w:r>
              <w:rPr>
                <w:rFonts w:ascii="times" w:hAnsi="times"/>
                <w:sz w:val="14"/>
              </w:rPr>
              <w:t>$</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1,469</w:t>
            </w:r>
          </w:p>
        </w:tc>
        <w:tc>
          <w:tcPr>
            <w:tcW w:w="195" w:type="dxa"/>
            <w:tcBorders/>
            <w:shd w:fill="CCEEFF" w:val="clear"/>
          </w:tcPr>
          <w:p>
            <w:pPr>
              <w:pStyle w:val="TableContents"/>
              <w:spacing w:before="0" w:after="283"/>
              <w:rPr/>
            </w:pPr>
            <w:r>
              <w:rPr/>
              <w:t> </w:t>
            </w:r>
          </w:p>
        </w:tc>
        <w:tc>
          <w:tcPr>
            <w:tcW w:w="265" w:type="dxa"/>
            <w:tcBorders/>
            <w:shd w:fill="CCEEFF" w:val="clear"/>
          </w:tcPr>
          <w:p>
            <w:pPr>
              <w:pStyle w:val="TableContents"/>
              <w:spacing w:before="0" w:after="283"/>
              <w:jc w:val="right"/>
              <w:rPr>
                <w:rFonts w:ascii="times" w:hAnsi="times"/>
                <w:sz w:val="14"/>
              </w:rPr>
            </w:pPr>
            <w:r>
              <w:rPr>
                <w:rFonts w:ascii="times" w:hAnsi="times"/>
                <w:sz w:val="14"/>
              </w:rPr>
              <w:t>$</w:t>
            </w:r>
          </w:p>
        </w:tc>
        <w:tc>
          <w:tcPr>
            <w:tcW w:w="765" w:type="dxa"/>
            <w:tcBorders/>
            <w:shd w:fill="CCEEFF" w:val="clear"/>
          </w:tcPr>
          <w:p>
            <w:pPr>
              <w:pStyle w:val="TableContents"/>
              <w:spacing w:before="0" w:after="283"/>
              <w:jc w:val="right"/>
              <w:rPr>
                <w:rFonts w:ascii="times" w:hAnsi="times"/>
                <w:sz w:val="14"/>
              </w:rPr>
            </w:pPr>
            <w:r>
              <w:rPr>
                <w:rFonts w:ascii="times" w:hAnsi="times"/>
                <w:sz w:val="14"/>
              </w:rPr>
              <w:t>113</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jc w:val="right"/>
              <w:rPr>
                <w:rFonts w:ascii="times" w:hAnsi="times"/>
                <w:sz w:val="14"/>
              </w:rPr>
            </w:pPr>
            <w:r>
              <w:rPr>
                <w:rFonts w:ascii="times" w:hAnsi="times"/>
                <w:sz w:val="14"/>
              </w:rPr>
              <w:t>$</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jc w:val="right"/>
              <w:rPr>
                <w:rFonts w:ascii="times" w:hAnsi="times"/>
                <w:sz w:val="14"/>
              </w:rPr>
            </w:pPr>
            <w:r>
              <w:rPr>
                <w:rFonts w:ascii="times" w:hAnsi="times"/>
                <w:sz w:val="14"/>
              </w:rPr>
              <w:t>$</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1,582</w:t>
            </w:r>
          </w:p>
        </w:tc>
        <w:tc>
          <w:tcPr>
            <w:tcW w:w="65" w:type="dxa"/>
            <w:tcBorders/>
            <w:shd w:fill="CCEEFF" w:val="clear"/>
          </w:tcPr>
          <w:p>
            <w:pPr>
              <w:pStyle w:val="TableContents"/>
              <w:spacing w:before="0" w:after="283"/>
              <w:rPr/>
            </w:pPr>
            <w:r>
              <w:rPr/>
              <w:t> </w:t>
            </w:r>
          </w:p>
        </w:tc>
      </w:tr>
      <w:tr>
        <w:trPr/>
        <w:tc>
          <w:tcPr>
            <w:tcW w:w="3255" w:type="dxa"/>
            <w:tcBorders/>
            <w:shd w:fill="FFFFFF" w:val="clear"/>
          </w:tcPr>
          <w:p>
            <w:pPr>
              <w:pStyle w:val="TableContents"/>
              <w:spacing w:before="0" w:after="283"/>
              <w:ind w:left="160" w:right="0" w:hanging="160"/>
              <w:rPr>
                <w:rFonts w:ascii="times" w:hAnsi="times"/>
                <w:sz w:val="14"/>
              </w:rPr>
            </w:pPr>
            <w:r>
              <w:rPr>
                <w:rFonts w:ascii="times" w:hAnsi="times"/>
                <w:sz w:val="14"/>
              </w:rPr>
              <w:t>Field operating costs</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(575</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(42</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(617</w:t>
            </w:r>
          </w:p>
        </w:tc>
        <w:tc>
          <w:tcPr>
            <w:tcW w:w="65" w:type="dxa"/>
            <w:tcBorders/>
            <w:shd w:fill="FFFFFF" w:val="clear"/>
          </w:tcPr>
          <w:p>
            <w:pPr>
              <w:pStyle w:val="TableContents"/>
              <w:spacing w:before="0" w:after="283"/>
              <w:rPr>
                <w:rFonts w:ascii="times" w:hAnsi="times"/>
                <w:sz w:val="14"/>
              </w:rPr>
            </w:pPr>
            <w:r>
              <w:rPr>
                <w:rFonts w:ascii="times" w:hAnsi="times"/>
                <w:sz w:val="14"/>
              </w:rPr>
              <w:t>)</w:t>
            </w:r>
          </w:p>
        </w:tc>
      </w:tr>
      <w:tr>
        <w:trPr/>
        <w:tc>
          <w:tcPr>
            <w:tcW w:w="3255" w:type="dxa"/>
            <w:tcBorders/>
            <w:shd w:fill="CCEEFF" w:val="clear"/>
          </w:tcPr>
          <w:p>
            <w:pPr>
              <w:pStyle w:val="TableContents"/>
              <w:spacing w:before="0" w:after="283"/>
              <w:ind w:left="160" w:right="0" w:hanging="160"/>
              <w:rPr>
                <w:rFonts w:ascii="times" w:hAnsi="times"/>
                <w:sz w:val="14"/>
              </w:rPr>
            </w:pPr>
            <w:r>
              <w:rPr>
                <w:rFonts w:ascii="times" w:hAnsi="times"/>
                <w:sz w:val="14"/>
              </w:rPr>
              <w:t>General and administrative expenses</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(149</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(11</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(160</w:t>
            </w:r>
          </w:p>
        </w:tc>
        <w:tc>
          <w:tcPr>
            <w:tcW w:w="65" w:type="dxa"/>
            <w:tcBorders/>
            <w:shd w:fill="CCEEFF" w:val="clear"/>
          </w:tcPr>
          <w:p>
            <w:pPr>
              <w:pStyle w:val="TableContents"/>
              <w:spacing w:before="0" w:after="283"/>
              <w:rPr>
                <w:rFonts w:ascii="times" w:hAnsi="times"/>
                <w:sz w:val="14"/>
              </w:rPr>
            </w:pPr>
            <w:r>
              <w:rPr>
                <w:rFonts w:ascii="times" w:hAnsi="times"/>
                <w:sz w:val="14"/>
              </w:rPr>
              <w:t>)</w:t>
            </w:r>
          </w:p>
        </w:tc>
      </w:tr>
      <w:tr>
        <w:trPr/>
        <w:tc>
          <w:tcPr>
            <w:tcW w:w="3255" w:type="dxa"/>
            <w:tcBorders/>
            <w:shd w:fill="FFFFFF" w:val="clear"/>
          </w:tcPr>
          <w:p>
            <w:pPr>
              <w:pStyle w:val="TableContents"/>
              <w:spacing w:before="0" w:after="283"/>
              <w:ind w:left="160" w:right="0" w:hanging="160"/>
              <w:rPr>
                <w:rFonts w:ascii="times" w:hAnsi="times"/>
                <w:sz w:val="14"/>
              </w:rPr>
            </w:pPr>
            <w:r>
              <w:rPr>
                <w:rFonts w:ascii="times" w:hAnsi="times"/>
                <w:sz w:val="14"/>
              </w:rPr>
              <w:t>Depreciation and amortization</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t>(3</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(187</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(21</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(211</w:t>
            </w:r>
          </w:p>
        </w:tc>
        <w:tc>
          <w:tcPr>
            <w:tcW w:w="65" w:type="dxa"/>
            <w:tcBorders/>
            <w:shd w:fill="FFFFFF" w:val="clear"/>
          </w:tcPr>
          <w:p>
            <w:pPr>
              <w:pStyle w:val="TableContents"/>
              <w:spacing w:before="0" w:after="283"/>
              <w:rPr>
                <w:rFonts w:ascii="times" w:hAnsi="times"/>
                <w:sz w:val="14"/>
              </w:rPr>
            </w:pPr>
            <w:r>
              <w:rPr>
                <w:rFonts w:ascii="times" w:hAnsi="times"/>
                <w:sz w:val="14"/>
              </w:rPr>
              <w:t>)</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255" w:type="dxa"/>
            <w:tcBorders/>
            <w:shd w:fill="CCEEFF" w:val="clear"/>
          </w:tcPr>
          <w:p>
            <w:pPr>
              <w:pStyle w:val="TableContents"/>
              <w:spacing w:before="200" w:after="283"/>
              <w:ind w:left="160" w:right="0" w:hanging="160"/>
              <w:rPr>
                <w:rFonts w:ascii="times" w:hAnsi="times"/>
                <w:sz w:val="14"/>
              </w:rPr>
            </w:pPr>
            <w:r>
              <w:rPr>
                <w:rFonts w:ascii="times" w:hAnsi="times"/>
                <w:sz w:val="14"/>
              </w:rPr>
              <w:t>Operating income (loss)</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br/>
              <w:t>(3</w:t>
            </w:r>
          </w:p>
        </w:tc>
        <w:tc>
          <w:tcPr>
            <w:tcW w:w="195" w:type="dxa"/>
            <w:tcBorders/>
            <w:shd w:fill="CCEEFF" w:val="clear"/>
          </w:tcPr>
          <w:p>
            <w:pPr>
              <w:pStyle w:val="TableContents"/>
              <w:spacing w:before="0" w:after="283"/>
              <w:rPr>
                <w:rFonts w:ascii="times" w:hAnsi="times"/>
                <w:sz w:val="14"/>
              </w:rPr>
            </w:pPr>
            <w:r>
              <w:rPr>
                <w:rFonts w:ascii="times" w:hAnsi="times"/>
                <w:sz w:val="14"/>
              </w:rPr>
              <w:br/>
              <w:t>)</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br/>
              <w:t>558</w:t>
            </w:r>
          </w:p>
        </w:tc>
        <w:tc>
          <w:tcPr>
            <w:tcW w:w="195" w:type="dxa"/>
            <w:tcBorders/>
            <w:shd w:fill="CCEEFF" w:val="clear"/>
          </w:tcPr>
          <w:p>
            <w:pPr>
              <w:pStyle w:val="TableContents"/>
              <w:spacing w:before="0" w:after="283"/>
              <w:rPr/>
            </w:pPr>
            <w:r>
              <w:rPr/>
              <w:t> </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br/>
              <w:t>39</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br/>
              <w:t>594</w:t>
            </w:r>
          </w:p>
        </w:tc>
        <w:tc>
          <w:tcPr>
            <w:tcW w:w="65" w:type="dxa"/>
            <w:tcBorders/>
            <w:shd w:fill="CCEEFF" w:val="clear"/>
          </w:tcPr>
          <w:p>
            <w:pPr>
              <w:pStyle w:val="TableContents"/>
              <w:spacing w:before="0" w:after="283"/>
              <w:rPr/>
            </w:pPr>
            <w:r>
              <w:rPr/>
              <w:t> </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255" w:type="dxa"/>
            <w:tcBorders/>
            <w:shd w:fill="FFFFFF" w:val="clear"/>
          </w:tcPr>
          <w:p>
            <w:pPr>
              <w:pStyle w:val="TableContents"/>
              <w:spacing w:before="200" w:after="283"/>
              <w:ind w:left="160" w:right="0" w:hanging="160"/>
              <w:rPr>
                <w:rFonts w:ascii="times" w:hAnsi="times"/>
                <w:sz w:val="14"/>
              </w:rPr>
            </w:pPr>
            <w:r>
              <w:rPr>
                <w:rFonts w:ascii="times" w:hAnsi="times"/>
                <w:sz w:val="14"/>
              </w:rPr>
              <w:t>Equity earnings in unconsolidated entities</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br/>
              <w:t>629</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45</w:t>
            </w:r>
          </w:p>
        </w:tc>
        <w:tc>
          <w:tcPr>
            <w:tcW w:w="195"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195" w:type="dxa"/>
            <w:tcBorders/>
            <w:shd w:fill="FFFFFF" w:val="clear"/>
          </w:tcPr>
          <w:p>
            <w:pPr>
              <w:pStyle w:val="TableContents"/>
              <w:spacing w:before="0" w:after="283"/>
              <w:rPr/>
            </w:pPr>
            <w:r>
              <w:rPr/>
              <w:t> </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br/>
              <w:t>(660</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br/>
              <w:t>14</w:t>
            </w:r>
          </w:p>
        </w:tc>
        <w:tc>
          <w:tcPr>
            <w:tcW w:w="65" w:type="dxa"/>
            <w:tcBorders/>
            <w:shd w:fill="FFFFFF" w:val="clear"/>
          </w:tcPr>
          <w:p>
            <w:pPr>
              <w:pStyle w:val="TableContents"/>
              <w:spacing w:before="0" w:after="283"/>
              <w:rPr/>
            </w:pPr>
            <w:r>
              <w:rPr/>
              <w:t> </w:t>
            </w:r>
          </w:p>
        </w:tc>
      </w:tr>
      <w:tr>
        <w:trPr/>
        <w:tc>
          <w:tcPr>
            <w:tcW w:w="3255" w:type="dxa"/>
            <w:tcBorders/>
            <w:shd w:fill="CCEEFF" w:val="clear"/>
          </w:tcPr>
          <w:p>
            <w:pPr>
              <w:pStyle w:val="TableContents"/>
              <w:spacing w:before="0" w:after="283"/>
              <w:ind w:left="160" w:right="0" w:hanging="160"/>
              <w:rPr>
                <w:rFonts w:ascii="times" w:hAnsi="times"/>
                <w:sz w:val="14"/>
              </w:rPr>
            </w:pPr>
            <w:r>
              <w:rPr>
                <w:rFonts w:ascii="times" w:hAnsi="times"/>
                <w:sz w:val="14"/>
              </w:rPr>
              <w:t>Interest expense</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t>(195</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(196</w:t>
            </w:r>
          </w:p>
        </w:tc>
        <w:tc>
          <w:tcPr>
            <w:tcW w:w="65" w:type="dxa"/>
            <w:tcBorders/>
            <w:shd w:fill="CCEEFF" w:val="clear"/>
          </w:tcPr>
          <w:p>
            <w:pPr>
              <w:pStyle w:val="TableContents"/>
              <w:spacing w:before="0" w:after="283"/>
              <w:rPr>
                <w:rFonts w:ascii="times" w:hAnsi="times"/>
                <w:sz w:val="14"/>
              </w:rPr>
            </w:pPr>
            <w:r>
              <w:rPr>
                <w:rFonts w:ascii="times" w:hAnsi="times"/>
                <w:sz w:val="14"/>
              </w:rPr>
              <w:t>)</w:t>
            </w:r>
          </w:p>
        </w:tc>
      </w:tr>
      <w:tr>
        <w:trPr/>
        <w:tc>
          <w:tcPr>
            <w:tcW w:w="3255" w:type="dxa"/>
            <w:tcBorders/>
            <w:shd w:fill="FFFFFF" w:val="clear"/>
          </w:tcPr>
          <w:p>
            <w:pPr>
              <w:pStyle w:val="TableContents"/>
              <w:spacing w:before="0" w:after="283"/>
              <w:ind w:left="160" w:right="0" w:hanging="160"/>
              <w:rPr>
                <w:rFonts w:ascii="times" w:hAnsi="times"/>
                <w:sz w:val="14"/>
              </w:rPr>
            </w:pPr>
            <w:r>
              <w:rPr>
                <w:rFonts w:ascii="times" w:hAnsi="times"/>
                <w:sz w:val="14"/>
              </w:rPr>
              <w:t>Interest and other income (expense), net</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t>6</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26</w:t>
            </w:r>
          </w:p>
        </w:tc>
        <w:tc>
          <w:tcPr>
            <w:tcW w:w="195"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1</w:t>
            </w:r>
          </w:p>
        </w:tc>
        <w:tc>
          <w:tcPr>
            <w:tcW w:w="195" w:type="dxa"/>
            <w:tcBorders/>
            <w:shd w:fill="FFFFFF" w:val="clear"/>
          </w:tcPr>
          <w:p>
            <w:pPr>
              <w:pStyle w:val="TableContents"/>
              <w:spacing w:before="0" w:after="283"/>
              <w:rPr/>
            </w:pPr>
            <w:r>
              <w:rPr/>
              <w:t> </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33</w:t>
            </w:r>
          </w:p>
        </w:tc>
        <w:tc>
          <w:tcPr>
            <w:tcW w:w="65" w:type="dxa"/>
            <w:tcBorders/>
            <w:shd w:fill="FFFFFF" w:val="clear"/>
          </w:tcPr>
          <w:p>
            <w:pPr>
              <w:pStyle w:val="TableContents"/>
              <w:spacing w:before="0" w:after="283"/>
              <w:rPr/>
            </w:pPr>
            <w:r>
              <w:rPr/>
              <w:t> </w:t>
            </w:r>
          </w:p>
        </w:tc>
      </w:tr>
      <w:tr>
        <w:trPr/>
        <w:tc>
          <w:tcPr>
            <w:tcW w:w="3255" w:type="dxa"/>
            <w:tcBorders/>
            <w:shd w:fill="CCEEFF" w:val="clear"/>
          </w:tcPr>
          <w:p>
            <w:pPr>
              <w:pStyle w:val="TableContents"/>
              <w:spacing w:before="0" w:after="283"/>
              <w:ind w:left="160" w:right="0" w:hanging="160"/>
              <w:rPr>
                <w:rFonts w:ascii="times" w:hAnsi="times"/>
                <w:sz w:val="14"/>
              </w:rPr>
            </w:pPr>
            <w:r>
              <w:rPr>
                <w:rFonts w:ascii="times" w:hAnsi="times"/>
                <w:sz w:val="14"/>
              </w:rPr>
              <w:t>Income tax expense</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(8</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(8</w:t>
            </w:r>
          </w:p>
        </w:tc>
        <w:tc>
          <w:tcPr>
            <w:tcW w:w="65" w:type="dxa"/>
            <w:tcBorders/>
            <w:shd w:fill="CCEEFF" w:val="clear"/>
          </w:tcPr>
          <w:p>
            <w:pPr>
              <w:pStyle w:val="TableContents"/>
              <w:spacing w:before="0" w:after="283"/>
              <w:rPr>
                <w:rFonts w:ascii="times" w:hAnsi="times"/>
                <w:sz w:val="14"/>
              </w:rPr>
            </w:pPr>
            <w:r>
              <w:rPr>
                <w:rFonts w:ascii="times" w:hAnsi="times"/>
                <w:sz w:val="14"/>
              </w:rPr>
              <w:t>)</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255" w:type="dxa"/>
            <w:tcBorders/>
            <w:shd w:fill="FFFFFF" w:val="clear"/>
          </w:tcPr>
          <w:p>
            <w:pPr>
              <w:pStyle w:val="TableContents"/>
              <w:spacing w:before="200" w:after="283"/>
              <w:ind w:left="160" w:right="0" w:hanging="160"/>
              <w:rPr>
                <w:rFonts w:ascii="times" w:hAnsi="times"/>
                <w:sz w:val="14"/>
              </w:rPr>
            </w:pPr>
            <w:r>
              <w:rPr>
                <w:rFonts w:ascii="times" w:hAnsi="times"/>
                <w:sz w:val="14"/>
              </w:rPr>
              <w:t>Net income (loss)</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331" w:type="dxa"/>
            <w:tcBorders/>
            <w:shd w:fill="FFFFFF" w:val="clear"/>
          </w:tcPr>
          <w:p>
            <w:pPr>
              <w:pStyle w:val="TableContents"/>
              <w:spacing w:before="0" w:after="283"/>
              <w:jc w:val="right"/>
              <w:rPr>
                <w:rFonts w:ascii="times" w:hAnsi="times"/>
                <w:sz w:val="14"/>
              </w:rPr>
            </w:pPr>
            <w:r>
              <w:rPr>
                <w:rFonts w:ascii="times" w:hAnsi="times"/>
                <w:sz w:val="14"/>
              </w:rPr>
              <w:br/>
              <w:t>437</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620</w:t>
            </w:r>
          </w:p>
        </w:tc>
        <w:tc>
          <w:tcPr>
            <w:tcW w:w="195"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40</w:t>
            </w:r>
          </w:p>
        </w:tc>
        <w:tc>
          <w:tcPr>
            <w:tcW w:w="195" w:type="dxa"/>
            <w:tcBorders/>
            <w:shd w:fill="FFFFFF" w:val="clear"/>
          </w:tcPr>
          <w:p>
            <w:pPr>
              <w:pStyle w:val="TableContents"/>
              <w:spacing w:before="0" w:after="283"/>
              <w:rPr/>
            </w:pPr>
            <w:r>
              <w:rPr/>
              <w:t> </w:t>
            </w:r>
          </w:p>
        </w:tc>
        <w:tc>
          <w:tcPr>
            <w:tcW w:w="197"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32" w:type="dxa"/>
            <w:tcBorders/>
            <w:shd w:fill="FFFFFF" w:val="clear"/>
          </w:tcPr>
          <w:p>
            <w:pPr>
              <w:pStyle w:val="TableContents"/>
              <w:spacing w:before="0" w:after="283"/>
              <w:jc w:val="right"/>
              <w:rPr>
                <w:rFonts w:ascii="times" w:hAnsi="times"/>
                <w:sz w:val="14"/>
              </w:rPr>
            </w:pPr>
            <w:r>
              <w:rPr>
                <w:rFonts w:ascii="times" w:hAnsi="times"/>
                <w:sz w:val="14"/>
              </w:rPr>
              <w:br/>
              <w:t>(660</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78"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66" w:type="dxa"/>
            <w:tcBorders/>
            <w:shd w:fill="FFFFFF" w:val="clear"/>
          </w:tcPr>
          <w:p>
            <w:pPr>
              <w:pStyle w:val="TableContents"/>
              <w:spacing w:before="0" w:after="283"/>
              <w:jc w:val="right"/>
              <w:rPr>
                <w:rFonts w:ascii="times" w:hAnsi="times"/>
                <w:sz w:val="14"/>
              </w:rPr>
            </w:pPr>
            <w:r>
              <w:rPr>
                <w:rFonts w:ascii="times" w:hAnsi="times"/>
                <w:sz w:val="14"/>
              </w:rPr>
              <w:br/>
              <w:t>437</w:t>
            </w:r>
          </w:p>
        </w:tc>
        <w:tc>
          <w:tcPr>
            <w:tcW w:w="65" w:type="dxa"/>
            <w:tcBorders/>
            <w:shd w:fill="FFFFFF" w:val="clear"/>
          </w:tcPr>
          <w:p>
            <w:pPr>
              <w:pStyle w:val="TableContents"/>
              <w:spacing w:before="0" w:after="283"/>
              <w:rPr/>
            </w:pPr>
            <w:r>
              <w:rPr/>
              <w:t> </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TextBody"/>
        <w:rPr/>
      </w:pPr>
      <w:r>
        <w:rPr/>
        <w:t> </w:t>
      </w:r>
    </w:p>
    <w:tbl>
      <w:tblPr>
        <w:tblW w:w="8221" w:type="dxa"/>
        <w:jc w:val="center"/>
        <w:tblInd w:w="0" w:type="dxa"/>
        <w:tblCellMar>
          <w:top w:w="0" w:type="dxa"/>
          <w:left w:w="0" w:type="dxa"/>
          <w:bottom w:w="0" w:type="dxa"/>
          <w:right w:w="0" w:type="dxa"/>
        </w:tblCellMar>
      </w:tblPr>
      <w:tblGrid>
        <w:gridCol w:w="3255"/>
        <w:gridCol w:w="180"/>
        <w:gridCol w:w="108"/>
        <w:gridCol w:w="331"/>
        <w:gridCol w:w="195"/>
        <w:gridCol w:w="170"/>
        <w:gridCol w:w="629"/>
        <w:gridCol w:w="195"/>
        <w:gridCol w:w="265"/>
        <w:gridCol w:w="765"/>
        <w:gridCol w:w="195"/>
        <w:gridCol w:w="197"/>
        <w:gridCol w:w="632"/>
        <w:gridCol w:w="195"/>
        <w:gridCol w:w="178"/>
        <w:gridCol w:w="666"/>
        <w:gridCol w:w="65"/>
      </w:tblGrid>
      <w:tr>
        <w:trPr/>
        <w:tc>
          <w:tcPr>
            <w:tcW w:w="325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2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721"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2007 </w:t>
            </w:r>
          </w:p>
        </w:tc>
        <w:tc>
          <w:tcPr>
            <w:tcW w:w="65" w:type="dxa"/>
            <w:tcBorders/>
            <w:shd w:fill="auto" w:val="clear"/>
            <w:vAlign w:val="bottom"/>
          </w:tcPr>
          <w:p>
            <w:pPr>
              <w:pStyle w:val="TableHeading"/>
              <w:suppressLineNumbers/>
              <w:spacing w:before="0" w:after="283"/>
              <w:jc w:val="center"/>
              <w:rPr/>
            </w:pPr>
            <w:r>
              <w:rPr/>
              <w:t> </w:t>
            </w:r>
          </w:p>
        </w:tc>
      </w:tr>
      <w:tr>
        <w:trPr/>
        <w:tc>
          <w:tcPr>
            <w:tcW w:w="325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19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10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19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195" w:type="dxa"/>
            <w:tcBorders/>
            <w:shd w:fill="auto" w:val="clear"/>
            <w:vAlign w:val="bottom"/>
          </w:tcPr>
          <w:p>
            <w:pPr>
              <w:pStyle w:val="TableHeading"/>
              <w:suppressLineNumbers/>
              <w:spacing w:before="0" w:after="283"/>
              <w:jc w:val="center"/>
              <w:rPr/>
            </w:pPr>
            <w:r>
              <w:rPr/>
              <w:t> </w:t>
            </w:r>
          </w:p>
        </w:tc>
        <w:tc>
          <w:tcPr>
            <w:tcW w:w="8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5" w:type="dxa"/>
            <w:tcBorders/>
            <w:shd w:fill="auto" w:val="clear"/>
            <w:vAlign w:val="bottom"/>
          </w:tcPr>
          <w:p>
            <w:pPr>
              <w:pStyle w:val="TableHeading"/>
              <w:suppressLineNumbers/>
              <w:spacing w:before="0" w:after="283"/>
              <w:jc w:val="center"/>
              <w:rPr/>
            </w:pPr>
            <w:r>
              <w:rPr/>
              <w:t> </w:t>
            </w:r>
          </w:p>
        </w:tc>
      </w:tr>
      <w:tr>
        <w:trPr/>
        <w:tc>
          <w:tcPr>
            <w:tcW w:w="3255" w:type="dxa"/>
            <w:tcBorders/>
            <w:shd w:fill="CCEEFF" w:val="clear"/>
          </w:tcPr>
          <w:p>
            <w:pPr>
              <w:pStyle w:val="TableContents"/>
              <w:spacing w:before="0" w:after="283"/>
              <w:ind w:left="160" w:right="0" w:hanging="160"/>
              <w:rPr>
                <w:rFonts w:ascii="times" w:hAnsi="times"/>
                <w:sz w:val="14"/>
              </w:rPr>
            </w:pPr>
            <w:r>
              <w:rPr>
                <w:rFonts w:ascii="times" w:hAnsi="times"/>
                <w:sz w:val="14"/>
              </w:rPr>
              <w:t>Net operating revenues</w:t>
            </w:r>
            <w:r>
              <w:rPr>
                <w:rFonts w:ascii="times" w:hAnsi="times"/>
                <w:position w:val="5"/>
                <w:sz w:val="11"/>
                <w:sz w:val="14"/>
              </w:rPr>
              <w:t>(1)</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jc w:val="right"/>
              <w:rPr>
                <w:rFonts w:ascii="times" w:hAnsi="times"/>
                <w:sz w:val="14"/>
              </w:rPr>
            </w:pPr>
            <w:r>
              <w:rPr>
                <w:rFonts w:ascii="times" w:hAnsi="times"/>
                <w:sz w:val="14"/>
              </w:rPr>
              <w:t>$</w:t>
            </w:r>
          </w:p>
        </w:tc>
        <w:tc>
          <w:tcPr>
            <w:tcW w:w="331"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jc w:val="right"/>
              <w:rPr>
                <w:rFonts w:ascii="times" w:hAnsi="times"/>
                <w:sz w:val="14"/>
              </w:rPr>
            </w:pPr>
            <w:r>
              <w:rPr>
                <w:rFonts w:ascii="times" w:hAnsi="times"/>
                <w:sz w:val="14"/>
              </w:rPr>
              <w:t>$</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1,271</w:t>
            </w:r>
          </w:p>
        </w:tc>
        <w:tc>
          <w:tcPr>
            <w:tcW w:w="195" w:type="dxa"/>
            <w:tcBorders/>
            <w:shd w:fill="CCEEFF" w:val="clear"/>
          </w:tcPr>
          <w:p>
            <w:pPr>
              <w:pStyle w:val="TableContents"/>
              <w:spacing w:before="0" w:after="283"/>
              <w:rPr/>
            </w:pPr>
            <w:r>
              <w:rPr/>
              <w:t> </w:t>
            </w:r>
          </w:p>
        </w:tc>
        <w:tc>
          <w:tcPr>
            <w:tcW w:w="265" w:type="dxa"/>
            <w:tcBorders/>
            <w:shd w:fill="CCEEFF" w:val="clear"/>
          </w:tcPr>
          <w:p>
            <w:pPr>
              <w:pStyle w:val="TableContents"/>
              <w:spacing w:before="0" w:after="283"/>
              <w:jc w:val="right"/>
              <w:rPr>
                <w:rFonts w:ascii="times" w:hAnsi="times"/>
                <w:sz w:val="14"/>
              </w:rPr>
            </w:pPr>
            <w:r>
              <w:rPr>
                <w:rFonts w:ascii="times" w:hAnsi="times"/>
                <w:sz w:val="14"/>
              </w:rPr>
              <w:t>$</w:t>
            </w:r>
          </w:p>
        </w:tc>
        <w:tc>
          <w:tcPr>
            <w:tcW w:w="765" w:type="dxa"/>
            <w:tcBorders/>
            <w:shd w:fill="CCEEFF" w:val="clear"/>
          </w:tcPr>
          <w:p>
            <w:pPr>
              <w:pStyle w:val="TableContents"/>
              <w:spacing w:before="0" w:after="283"/>
              <w:jc w:val="right"/>
              <w:rPr>
                <w:rFonts w:ascii="times" w:hAnsi="times"/>
                <w:sz w:val="14"/>
              </w:rPr>
            </w:pPr>
            <w:r>
              <w:rPr>
                <w:rFonts w:ascii="times" w:hAnsi="times"/>
                <w:sz w:val="14"/>
              </w:rPr>
              <w:t>122</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jc w:val="right"/>
              <w:rPr>
                <w:rFonts w:ascii="times" w:hAnsi="times"/>
                <w:sz w:val="14"/>
              </w:rPr>
            </w:pPr>
            <w:r>
              <w:rPr>
                <w:rFonts w:ascii="times" w:hAnsi="times"/>
                <w:sz w:val="14"/>
              </w:rPr>
              <w:t>$</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jc w:val="right"/>
              <w:rPr>
                <w:rFonts w:ascii="times" w:hAnsi="times"/>
                <w:sz w:val="14"/>
              </w:rPr>
            </w:pPr>
            <w:r>
              <w:rPr>
                <w:rFonts w:ascii="times" w:hAnsi="times"/>
                <w:sz w:val="14"/>
              </w:rPr>
              <w:t>$</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1,393</w:t>
            </w:r>
          </w:p>
        </w:tc>
        <w:tc>
          <w:tcPr>
            <w:tcW w:w="65" w:type="dxa"/>
            <w:tcBorders/>
            <w:shd w:fill="CCEEFF" w:val="clear"/>
          </w:tcPr>
          <w:p>
            <w:pPr>
              <w:pStyle w:val="TableContents"/>
              <w:spacing w:before="0" w:after="283"/>
              <w:rPr/>
            </w:pPr>
            <w:r>
              <w:rPr/>
              <w:t> </w:t>
            </w:r>
          </w:p>
        </w:tc>
      </w:tr>
      <w:tr>
        <w:trPr/>
        <w:tc>
          <w:tcPr>
            <w:tcW w:w="3255" w:type="dxa"/>
            <w:tcBorders/>
            <w:shd w:fill="FFFFFF" w:val="clear"/>
          </w:tcPr>
          <w:p>
            <w:pPr>
              <w:pStyle w:val="TableContents"/>
              <w:spacing w:before="0" w:after="283"/>
              <w:ind w:left="160" w:right="0" w:hanging="160"/>
              <w:rPr>
                <w:rFonts w:ascii="times" w:hAnsi="times"/>
                <w:sz w:val="14"/>
              </w:rPr>
            </w:pPr>
            <w:r>
              <w:rPr>
                <w:rFonts w:ascii="times" w:hAnsi="times"/>
                <w:sz w:val="14"/>
              </w:rPr>
              <w:t>Field operating costs</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(493</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(38</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(531</w:t>
            </w:r>
          </w:p>
        </w:tc>
        <w:tc>
          <w:tcPr>
            <w:tcW w:w="65" w:type="dxa"/>
            <w:tcBorders/>
            <w:shd w:fill="FFFFFF" w:val="clear"/>
          </w:tcPr>
          <w:p>
            <w:pPr>
              <w:pStyle w:val="TableContents"/>
              <w:spacing w:before="0" w:after="283"/>
              <w:rPr>
                <w:rFonts w:ascii="times" w:hAnsi="times"/>
                <w:sz w:val="14"/>
              </w:rPr>
            </w:pPr>
            <w:r>
              <w:rPr>
                <w:rFonts w:ascii="times" w:hAnsi="times"/>
                <w:sz w:val="14"/>
              </w:rPr>
              <w:t>)</w:t>
            </w:r>
          </w:p>
        </w:tc>
      </w:tr>
      <w:tr>
        <w:trPr/>
        <w:tc>
          <w:tcPr>
            <w:tcW w:w="3255" w:type="dxa"/>
            <w:tcBorders/>
            <w:shd w:fill="CCEEFF" w:val="clear"/>
          </w:tcPr>
          <w:p>
            <w:pPr>
              <w:pStyle w:val="TableContents"/>
              <w:spacing w:before="0" w:after="283"/>
              <w:ind w:left="160" w:right="0" w:hanging="160"/>
              <w:rPr>
                <w:rFonts w:ascii="times" w:hAnsi="times"/>
                <w:sz w:val="14"/>
              </w:rPr>
            </w:pPr>
            <w:r>
              <w:rPr>
                <w:rFonts w:ascii="times" w:hAnsi="times"/>
                <w:sz w:val="14"/>
              </w:rPr>
              <w:t>General and administrative expenses</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(161</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(3</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(164</w:t>
            </w:r>
          </w:p>
        </w:tc>
        <w:tc>
          <w:tcPr>
            <w:tcW w:w="65" w:type="dxa"/>
            <w:tcBorders/>
            <w:shd w:fill="CCEEFF" w:val="clear"/>
          </w:tcPr>
          <w:p>
            <w:pPr>
              <w:pStyle w:val="TableContents"/>
              <w:spacing w:before="0" w:after="283"/>
              <w:rPr>
                <w:rFonts w:ascii="times" w:hAnsi="times"/>
                <w:sz w:val="14"/>
              </w:rPr>
            </w:pPr>
            <w:r>
              <w:rPr>
                <w:rFonts w:ascii="times" w:hAnsi="times"/>
                <w:sz w:val="14"/>
              </w:rPr>
              <w:t>)</w:t>
            </w:r>
          </w:p>
        </w:tc>
      </w:tr>
      <w:tr>
        <w:trPr/>
        <w:tc>
          <w:tcPr>
            <w:tcW w:w="3255" w:type="dxa"/>
            <w:tcBorders/>
            <w:shd w:fill="FFFFFF" w:val="clear"/>
          </w:tcPr>
          <w:p>
            <w:pPr>
              <w:pStyle w:val="TableContents"/>
              <w:spacing w:before="0" w:after="283"/>
              <w:ind w:left="160" w:right="0" w:hanging="160"/>
              <w:rPr>
                <w:rFonts w:ascii="times" w:hAnsi="times"/>
                <w:sz w:val="14"/>
              </w:rPr>
            </w:pPr>
            <w:r>
              <w:rPr>
                <w:rFonts w:ascii="times" w:hAnsi="times"/>
                <w:sz w:val="14"/>
              </w:rPr>
              <w:t>Depreciation and amortization</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t>(3</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(157</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(20</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(180</w:t>
            </w:r>
          </w:p>
        </w:tc>
        <w:tc>
          <w:tcPr>
            <w:tcW w:w="65" w:type="dxa"/>
            <w:tcBorders/>
            <w:shd w:fill="FFFFFF" w:val="clear"/>
          </w:tcPr>
          <w:p>
            <w:pPr>
              <w:pStyle w:val="TableContents"/>
              <w:spacing w:before="0" w:after="283"/>
              <w:rPr>
                <w:rFonts w:ascii="times" w:hAnsi="times"/>
                <w:sz w:val="14"/>
              </w:rPr>
            </w:pPr>
            <w:r>
              <w:rPr>
                <w:rFonts w:ascii="times" w:hAnsi="times"/>
                <w:sz w:val="14"/>
              </w:rPr>
              <w:t>)</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255" w:type="dxa"/>
            <w:tcBorders/>
            <w:shd w:fill="CCEEFF" w:val="clear"/>
          </w:tcPr>
          <w:p>
            <w:pPr>
              <w:pStyle w:val="TableContents"/>
              <w:spacing w:before="200" w:after="283"/>
              <w:ind w:left="160" w:right="0" w:hanging="160"/>
              <w:rPr>
                <w:rFonts w:ascii="times" w:hAnsi="times"/>
                <w:sz w:val="14"/>
              </w:rPr>
            </w:pPr>
            <w:r>
              <w:rPr>
                <w:rFonts w:ascii="times" w:hAnsi="times"/>
                <w:sz w:val="14"/>
              </w:rPr>
              <w:t>Operating income (loss)</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br/>
              <w:t>(3</w:t>
            </w:r>
          </w:p>
        </w:tc>
        <w:tc>
          <w:tcPr>
            <w:tcW w:w="195" w:type="dxa"/>
            <w:tcBorders/>
            <w:shd w:fill="CCEEFF" w:val="clear"/>
          </w:tcPr>
          <w:p>
            <w:pPr>
              <w:pStyle w:val="TableContents"/>
              <w:spacing w:before="0" w:after="283"/>
              <w:rPr>
                <w:rFonts w:ascii="times" w:hAnsi="times"/>
                <w:sz w:val="14"/>
              </w:rPr>
            </w:pPr>
            <w:r>
              <w:rPr>
                <w:rFonts w:ascii="times" w:hAnsi="times"/>
                <w:sz w:val="14"/>
              </w:rPr>
              <w:br/>
              <w:t>)</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br/>
              <w:t>460</w:t>
            </w:r>
          </w:p>
        </w:tc>
        <w:tc>
          <w:tcPr>
            <w:tcW w:w="195" w:type="dxa"/>
            <w:tcBorders/>
            <w:shd w:fill="CCEEFF" w:val="clear"/>
          </w:tcPr>
          <w:p>
            <w:pPr>
              <w:pStyle w:val="TableContents"/>
              <w:spacing w:before="0" w:after="283"/>
              <w:rPr/>
            </w:pPr>
            <w:r>
              <w:rPr/>
              <w:t> </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br/>
              <w:t>61</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b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br/>
              <w:t>518</w:t>
            </w:r>
          </w:p>
        </w:tc>
        <w:tc>
          <w:tcPr>
            <w:tcW w:w="65" w:type="dxa"/>
            <w:tcBorders/>
            <w:shd w:fill="CCEEFF" w:val="clear"/>
          </w:tcPr>
          <w:p>
            <w:pPr>
              <w:pStyle w:val="TableContents"/>
              <w:spacing w:before="0" w:after="283"/>
              <w:rPr/>
            </w:pPr>
            <w:r>
              <w:rPr/>
              <w:t> </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255" w:type="dxa"/>
            <w:tcBorders/>
            <w:shd w:fill="FFFFFF" w:val="clear"/>
          </w:tcPr>
          <w:p>
            <w:pPr>
              <w:pStyle w:val="TableContents"/>
              <w:spacing w:before="200" w:after="283"/>
              <w:ind w:left="160" w:right="0" w:hanging="160"/>
              <w:rPr>
                <w:rFonts w:ascii="times" w:hAnsi="times"/>
                <w:sz w:val="14"/>
              </w:rPr>
            </w:pPr>
            <w:r>
              <w:rPr>
                <w:rFonts w:ascii="times" w:hAnsi="times"/>
                <w:sz w:val="14"/>
              </w:rPr>
              <w:t>Equity earnings in unconsolidated entities</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br/>
              <w:t>524</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66</w:t>
            </w:r>
          </w:p>
        </w:tc>
        <w:tc>
          <w:tcPr>
            <w:tcW w:w="195"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195" w:type="dxa"/>
            <w:tcBorders/>
            <w:shd w:fill="FFFFFF" w:val="clear"/>
          </w:tcPr>
          <w:p>
            <w:pPr>
              <w:pStyle w:val="TableContents"/>
              <w:spacing w:before="0" w:after="283"/>
              <w:rPr/>
            </w:pPr>
            <w:r>
              <w:rPr/>
              <w:t> </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br/>
              <w:t>(575</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br/>
              <w:t>15</w:t>
            </w:r>
          </w:p>
        </w:tc>
        <w:tc>
          <w:tcPr>
            <w:tcW w:w="65" w:type="dxa"/>
            <w:tcBorders/>
            <w:shd w:fill="FFFFFF" w:val="clear"/>
          </w:tcPr>
          <w:p>
            <w:pPr>
              <w:pStyle w:val="TableContents"/>
              <w:spacing w:before="0" w:after="283"/>
              <w:rPr/>
            </w:pPr>
            <w:r>
              <w:rPr/>
              <w:t> </w:t>
            </w:r>
          </w:p>
        </w:tc>
      </w:tr>
      <w:tr>
        <w:trPr/>
        <w:tc>
          <w:tcPr>
            <w:tcW w:w="3255" w:type="dxa"/>
            <w:tcBorders/>
            <w:shd w:fill="CCEEFF" w:val="clear"/>
          </w:tcPr>
          <w:p>
            <w:pPr>
              <w:pStyle w:val="TableContents"/>
              <w:spacing w:before="0" w:after="283"/>
              <w:ind w:left="160" w:right="0" w:hanging="160"/>
              <w:rPr>
                <w:rFonts w:ascii="times" w:hAnsi="times"/>
                <w:sz w:val="14"/>
              </w:rPr>
            </w:pPr>
            <w:r>
              <w:rPr>
                <w:rFonts w:ascii="times" w:hAnsi="times"/>
                <w:sz w:val="14"/>
              </w:rPr>
              <w:t>Interest expense</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t>(161</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(162</w:t>
            </w:r>
          </w:p>
        </w:tc>
        <w:tc>
          <w:tcPr>
            <w:tcW w:w="65" w:type="dxa"/>
            <w:tcBorders/>
            <w:shd w:fill="CCEEFF" w:val="clear"/>
          </w:tcPr>
          <w:p>
            <w:pPr>
              <w:pStyle w:val="TableContents"/>
              <w:spacing w:before="0" w:after="283"/>
              <w:rPr>
                <w:rFonts w:ascii="times" w:hAnsi="times"/>
                <w:sz w:val="14"/>
              </w:rPr>
            </w:pPr>
            <w:r>
              <w:rPr>
                <w:rFonts w:ascii="times" w:hAnsi="times"/>
                <w:sz w:val="14"/>
              </w:rPr>
              <w:t>)</w:t>
            </w:r>
          </w:p>
        </w:tc>
      </w:tr>
      <w:tr>
        <w:trPr/>
        <w:tc>
          <w:tcPr>
            <w:tcW w:w="3255" w:type="dxa"/>
            <w:tcBorders/>
            <w:shd w:fill="FFFFFF" w:val="clear"/>
          </w:tcPr>
          <w:p>
            <w:pPr>
              <w:pStyle w:val="TableContents"/>
              <w:spacing w:before="0" w:after="283"/>
              <w:ind w:left="160" w:right="0" w:hanging="160"/>
              <w:rPr>
                <w:rFonts w:ascii="times" w:hAnsi="times"/>
                <w:sz w:val="14"/>
              </w:rPr>
            </w:pPr>
            <w:r>
              <w:rPr>
                <w:rFonts w:ascii="times" w:hAnsi="times"/>
                <w:sz w:val="14"/>
              </w:rPr>
              <w:t>Interest and other income (expense), net</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rPr/>
            </w:pPr>
            <w:r>
              <w:rPr/>
              <w:t> </w:t>
            </w:r>
          </w:p>
        </w:tc>
        <w:tc>
          <w:tcPr>
            <w:tcW w:w="331" w:type="dxa"/>
            <w:tcBorders/>
            <w:shd w:fill="FFFFFF" w:val="clear"/>
          </w:tcPr>
          <w:p>
            <w:pPr>
              <w:pStyle w:val="TableContents"/>
              <w:spacing w:before="0" w:after="283"/>
              <w:jc w:val="right"/>
              <w:rPr>
                <w:rFonts w:ascii="times" w:hAnsi="times"/>
                <w:sz w:val="14"/>
              </w:rPr>
            </w:pPr>
            <w:r>
              <w:rPr>
                <w:rFonts w:ascii="times" w:hAnsi="times"/>
                <w:sz w:val="14"/>
              </w:rPr>
              <w:t>5</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rFonts w:ascii="times" w:hAnsi="times"/>
                <w:sz w:val="14"/>
              </w:rPr>
            </w:pPr>
            <w:r>
              <w:rPr>
                <w:rFonts w:ascii="times" w:hAnsi="times"/>
                <w:sz w:val="14"/>
              </w:rPr>
              <w:t>5</w:t>
            </w:r>
          </w:p>
        </w:tc>
        <w:tc>
          <w:tcPr>
            <w:tcW w:w="195"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w:t>
            </w:r>
          </w:p>
        </w:tc>
        <w:tc>
          <w:tcPr>
            <w:tcW w:w="765"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97" w:type="dxa"/>
            <w:tcBorders/>
            <w:shd w:fill="FFFFFF" w:val="clear"/>
          </w:tcPr>
          <w:p>
            <w:pPr>
              <w:pStyle w:val="TableContents"/>
              <w:spacing w:before="0" w:after="283"/>
              <w:rPr/>
            </w:pPr>
            <w:r>
              <w:rPr/>
              <w:t> </w:t>
            </w:r>
          </w:p>
        </w:tc>
        <w:tc>
          <w:tcPr>
            <w:tcW w:w="632" w:type="dxa"/>
            <w:tcBorders/>
            <w:shd w:fill="FFFFFF" w:val="clear"/>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66" w:type="dxa"/>
            <w:tcBorders/>
            <w:shd w:fill="FFFFFF" w:val="clear"/>
          </w:tcPr>
          <w:p>
            <w:pPr>
              <w:pStyle w:val="TableContents"/>
              <w:spacing w:before="0" w:after="283"/>
              <w:jc w:val="right"/>
              <w:rPr>
                <w:rFonts w:ascii="times" w:hAnsi="times"/>
                <w:sz w:val="14"/>
              </w:rPr>
            </w:pPr>
            <w:r>
              <w:rPr>
                <w:rFonts w:ascii="times" w:hAnsi="times"/>
                <w:sz w:val="14"/>
              </w:rPr>
              <w:t>10</w:t>
            </w:r>
          </w:p>
        </w:tc>
        <w:tc>
          <w:tcPr>
            <w:tcW w:w="65" w:type="dxa"/>
            <w:tcBorders/>
            <w:shd w:fill="FFFFFF" w:val="clear"/>
          </w:tcPr>
          <w:p>
            <w:pPr>
              <w:pStyle w:val="TableContents"/>
              <w:spacing w:before="0" w:after="283"/>
              <w:rPr/>
            </w:pPr>
            <w:r>
              <w:rPr/>
              <w:t> </w:t>
            </w:r>
          </w:p>
        </w:tc>
      </w:tr>
      <w:tr>
        <w:trPr/>
        <w:tc>
          <w:tcPr>
            <w:tcW w:w="3255" w:type="dxa"/>
            <w:tcBorders/>
            <w:shd w:fill="CCEEFF" w:val="clear"/>
          </w:tcPr>
          <w:p>
            <w:pPr>
              <w:pStyle w:val="TableContents"/>
              <w:spacing w:before="0" w:after="283"/>
              <w:ind w:left="160" w:right="0" w:hanging="160"/>
              <w:rPr>
                <w:rFonts w:ascii="times" w:hAnsi="times"/>
                <w:sz w:val="14"/>
              </w:rPr>
            </w:pPr>
            <w:r>
              <w:rPr>
                <w:rFonts w:ascii="times" w:hAnsi="times"/>
                <w:sz w:val="14"/>
              </w:rPr>
              <w:t>Income tax expense</w:t>
            </w:r>
          </w:p>
        </w:tc>
        <w:tc>
          <w:tcPr>
            <w:tcW w:w="180" w:type="dxa"/>
            <w:tcBorders/>
            <w:shd w:fill="CCEEFF" w:val="clear"/>
          </w:tcPr>
          <w:p>
            <w:pPr>
              <w:pStyle w:val="TableContents"/>
              <w:spacing w:before="0" w:after="283"/>
              <w:rPr/>
            </w:pPr>
            <w:r>
              <w:rPr/>
              <w:t> </w:t>
            </w:r>
          </w:p>
        </w:tc>
        <w:tc>
          <w:tcPr>
            <w:tcW w:w="108" w:type="dxa"/>
            <w:tcBorders/>
            <w:shd w:fill="CCEEFF" w:val="clear"/>
          </w:tcPr>
          <w:p>
            <w:pPr>
              <w:pStyle w:val="TableContents"/>
              <w:spacing w:before="0" w:after="283"/>
              <w:rPr/>
            </w:pPr>
            <w:r>
              <w:rPr/>
              <w:t> </w:t>
            </w:r>
          </w:p>
        </w:tc>
        <w:tc>
          <w:tcPr>
            <w:tcW w:w="331"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0"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rFonts w:ascii="times" w:hAnsi="times"/>
                <w:sz w:val="14"/>
              </w:rPr>
            </w:pPr>
            <w:r>
              <w:rPr>
                <w:rFonts w:ascii="times" w:hAnsi="times"/>
                <w:sz w:val="14"/>
              </w:rPr>
              <w:t>(16</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265" w:type="dxa"/>
            <w:tcBorders/>
            <w:shd w:fill="CCEEFF" w:val="clear"/>
          </w:tcPr>
          <w:p>
            <w:pPr>
              <w:pStyle w:val="TableContents"/>
              <w:spacing w:before="0" w:after="283"/>
              <w:rPr/>
            </w:pPr>
            <w:r>
              <w:rPr/>
              <w:t> </w:t>
            </w:r>
          </w:p>
        </w:tc>
        <w:tc>
          <w:tcPr>
            <w:tcW w:w="765"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97" w:type="dxa"/>
            <w:tcBorders/>
            <w:shd w:fill="CCEEFF" w:val="clear"/>
          </w:tcPr>
          <w:p>
            <w:pPr>
              <w:pStyle w:val="TableContents"/>
              <w:spacing w:before="0" w:after="283"/>
              <w:rPr/>
            </w:pPr>
            <w:r>
              <w:rPr/>
              <w:t> </w:t>
            </w:r>
          </w:p>
        </w:tc>
        <w:tc>
          <w:tcPr>
            <w:tcW w:w="632"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66" w:type="dxa"/>
            <w:tcBorders/>
            <w:shd w:fill="CCEEFF" w:val="clear"/>
          </w:tcPr>
          <w:p>
            <w:pPr>
              <w:pStyle w:val="TableContents"/>
              <w:spacing w:before="0" w:after="283"/>
              <w:jc w:val="right"/>
              <w:rPr>
                <w:rFonts w:ascii="times" w:hAnsi="times"/>
                <w:sz w:val="14"/>
              </w:rPr>
            </w:pPr>
            <w:r>
              <w:rPr>
                <w:rFonts w:ascii="times" w:hAnsi="times"/>
                <w:sz w:val="14"/>
              </w:rPr>
              <w:t>(16</w:t>
            </w:r>
          </w:p>
        </w:tc>
        <w:tc>
          <w:tcPr>
            <w:tcW w:w="65" w:type="dxa"/>
            <w:tcBorders/>
            <w:shd w:fill="CCEEFF" w:val="clear"/>
          </w:tcPr>
          <w:p>
            <w:pPr>
              <w:pStyle w:val="TableContents"/>
              <w:spacing w:before="0" w:after="283"/>
              <w:rPr>
                <w:rFonts w:ascii="times" w:hAnsi="times"/>
                <w:sz w:val="14"/>
              </w:rPr>
            </w:pPr>
            <w:r>
              <w:rPr>
                <w:rFonts w:ascii="times" w:hAnsi="times"/>
                <w:sz w:val="14"/>
              </w:rPr>
              <w:t>)</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255" w:type="dxa"/>
            <w:tcBorders/>
            <w:shd w:fill="FFFFFF" w:val="clear"/>
          </w:tcPr>
          <w:p>
            <w:pPr>
              <w:pStyle w:val="TableContents"/>
              <w:spacing w:before="200" w:after="283"/>
              <w:ind w:left="160" w:right="0" w:hanging="160"/>
              <w:rPr>
                <w:rFonts w:ascii="times" w:hAnsi="times"/>
                <w:sz w:val="14"/>
              </w:rPr>
            </w:pPr>
            <w:r>
              <w:rPr>
                <w:rFonts w:ascii="times" w:hAnsi="times"/>
                <w:sz w:val="14"/>
              </w:rPr>
              <w:t>Net income (loss)</w:t>
            </w:r>
          </w:p>
        </w:tc>
        <w:tc>
          <w:tcPr>
            <w:tcW w:w="180" w:type="dxa"/>
            <w:tcBorders/>
            <w:shd w:fill="FFFFFF" w:val="clear"/>
          </w:tcPr>
          <w:p>
            <w:pPr>
              <w:pStyle w:val="TableContents"/>
              <w:spacing w:before="0" w:after="283"/>
              <w:rPr/>
            </w:pPr>
            <w:r>
              <w:rPr/>
              <w:t> </w:t>
            </w:r>
          </w:p>
        </w:tc>
        <w:tc>
          <w:tcPr>
            <w:tcW w:w="108"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331" w:type="dxa"/>
            <w:tcBorders/>
            <w:shd w:fill="FFFFFF" w:val="clear"/>
          </w:tcPr>
          <w:p>
            <w:pPr>
              <w:pStyle w:val="TableContents"/>
              <w:spacing w:before="0" w:after="283"/>
              <w:jc w:val="right"/>
              <w:rPr>
                <w:rFonts w:ascii="times" w:hAnsi="times"/>
                <w:sz w:val="14"/>
              </w:rPr>
            </w:pPr>
            <w:r>
              <w:rPr>
                <w:rFonts w:ascii="times" w:hAnsi="times"/>
                <w:sz w:val="14"/>
              </w:rPr>
              <w:br/>
              <w:t>365</w:t>
            </w:r>
          </w:p>
        </w:tc>
        <w:tc>
          <w:tcPr>
            <w:tcW w:w="195" w:type="dxa"/>
            <w:tcBorders/>
            <w:shd w:fill="FFFFFF" w:val="clear"/>
          </w:tcPr>
          <w:p>
            <w:pPr>
              <w:pStyle w:val="TableContents"/>
              <w:spacing w:before="0" w:after="283"/>
              <w:rPr/>
            </w:pPr>
            <w:r>
              <w:rPr/>
              <w:t> </w:t>
            </w:r>
          </w:p>
        </w:tc>
        <w:tc>
          <w:tcPr>
            <w:tcW w:w="170"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29" w:type="dxa"/>
            <w:tcBorders/>
            <w:shd w:fill="FFFFFF" w:val="clear"/>
          </w:tcPr>
          <w:p>
            <w:pPr>
              <w:pStyle w:val="TableContents"/>
              <w:spacing w:before="0" w:after="283"/>
              <w:jc w:val="right"/>
              <w:rPr>
                <w:rFonts w:ascii="times" w:hAnsi="times"/>
                <w:sz w:val="14"/>
              </w:rPr>
            </w:pPr>
            <w:r>
              <w:rPr>
                <w:rFonts w:ascii="times" w:hAnsi="times"/>
                <w:sz w:val="14"/>
              </w:rPr>
              <w:br/>
              <w:t>514</w:t>
            </w:r>
          </w:p>
        </w:tc>
        <w:tc>
          <w:tcPr>
            <w:tcW w:w="195"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765" w:type="dxa"/>
            <w:tcBorders/>
            <w:shd w:fill="FFFFFF" w:val="clear"/>
          </w:tcPr>
          <w:p>
            <w:pPr>
              <w:pStyle w:val="TableContents"/>
              <w:spacing w:before="0" w:after="283"/>
              <w:jc w:val="right"/>
              <w:rPr>
                <w:rFonts w:ascii="times" w:hAnsi="times"/>
                <w:sz w:val="14"/>
              </w:rPr>
            </w:pPr>
            <w:r>
              <w:rPr>
                <w:rFonts w:ascii="times" w:hAnsi="times"/>
                <w:sz w:val="14"/>
              </w:rPr>
              <w:br/>
              <w:t>61</w:t>
            </w:r>
          </w:p>
        </w:tc>
        <w:tc>
          <w:tcPr>
            <w:tcW w:w="195" w:type="dxa"/>
            <w:tcBorders/>
            <w:shd w:fill="FFFFFF" w:val="clear"/>
          </w:tcPr>
          <w:p>
            <w:pPr>
              <w:pStyle w:val="TableContents"/>
              <w:spacing w:before="0" w:after="283"/>
              <w:rPr/>
            </w:pPr>
            <w:r>
              <w:rPr/>
              <w:t> </w:t>
            </w:r>
          </w:p>
        </w:tc>
        <w:tc>
          <w:tcPr>
            <w:tcW w:w="197"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32" w:type="dxa"/>
            <w:tcBorders/>
            <w:shd w:fill="FFFFFF" w:val="clear"/>
          </w:tcPr>
          <w:p>
            <w:pPr>
              <w:pStyle w:val="TableContents"/>
              <w:spacing w:before="0" w:after="283"/>
              <w:jc w:val="right"/>
              <w:rPr>
                <w:rFonts w:ascii="times" w:hAnsi="times"/>
                <w:sz w:val="14"/>
              </w:rPr>
            </w:pPr>
            <w:r>
              <w:rPr>
                <w:rFonts w:ascii="times" w:hAnsi="times"/>
                <w:sz w:val="14"/>
              </w:rPr>
              <w:br/>
              <w:t>(575</w:t>
            </w:r>
          </w:p>
        </w:tc>
        <w:tc>
          <w:tcPr>
            <w:tcW w:w="195" w:type="dxa"/>
            <w:tcBorders/>
            <w:shd w:fill="FFFFFF" w:val="clear"/>
          </w:tcPr>
          <w:p>
            <w:pPr>
              <w:pStyle w:val="TableContents"/>
              <w:spacing w:before="0" w:after="283"/>
              <w:rPr>
                <w:rFonts w:ascii="times" w:hAnsi="times"/>
                <w:sz w:val="14"/>
              </w:rPr>
            </w:pPr>
            <w:r>
              <w:rPr>
                <w:rFonts w:ascii="times" w:hAnsi="times"/>
                <w:sz w:val="14"/>
              </w:rPr>
              <w:br/>
              <w:t>)</w:t>
            </w:r>
          </w:p>
        </w:tc>
        <w:tc>
          <w:tcPr>
            <w:tcW w:w="178" w:type="dxa"/>
            <w:tcBorders/>
            <w:shd w:fill="FFFFFF" w:val="clear"/>
          </w:tcPr>
          <w:p>
            <w:pPr>
              <w:pStyle w:val="TableContents"/>
              <w:spacing w:before="0" w:after="283"/>
              <w:jc w:val="right"/>
              <w:rPr>
                <w:rFonts w:ascii="times" w:hAnsi="times"/>
                <w:sz w:val="14"/>
              </w:rPr>
            </w:pPr>
            <w:r>
              <w:rPr>
                <w:rFonts w:ascii="times" w:hAnsi="times"/>
                <w:sz w:val="14"/>
              </w:rPr>
              <w:br/>
              <w:t>$</w:t>
            </w:r>
          </w:p>
        </w:tc>
        <w:tc>
          <w:tcPr>
            <w:tcW w:w="666" w:type="dxa"/>
            <w:tcBorders/>
            <w:shd w:fill="FFFFFF" w:val="clear"/>
          </w:tcPr>
          <w:p>
            <w:pPr>
              <w:pStyle w:val="TableContents"/>
              <w:spacing w:before="0" w:after="283"/>
              <w:jc w:val="right"/>
              <w:rPr>
                <w:rFonts w:ascii="times" w:hAnsi="times"/>
                <w:sz w:val="14"/>
              </w:rPr>
            </w:pPr>
            <w:r>
              <w:rPr>
                <w:rFonts w:ascii="times" w:hAnsi="times"/>
                <w:sz w:val="14"/>
              </w:rPr>
              <w:br/>
              <w:t>365</w:t>
            </w:r>
          </w:p>
        </w:tc>
        <w:tc>
          <w:tcPr>
            <w:tcW w:w="65" w:type="dxa"/>
            <w:tcBorders/>
            <w:shd w:fill="FFFFFF" w:val="clear"/>
          </w:tcPr>
          <w:p>
            <w:pPr>
              <w:pStyle w:val="TableContents"/>
              <w:spacing w:before="0" w:after="283"/>
              <w:rPr/>
            </w:pPr>
            <w:r>
              <w:rPr/>
              <w:t> </w:t>
            </w:r>
          </w:p>
        </w:tc>
      </w:tr>
      <w:tr>
        <w:trPr/>
        <w:tc>
          <w:tcPr>
            <w:tcW w:w="3255"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43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103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F-58</w:t>
      </w:r>
    </w:p>
    <w:p>
      <w:pPr>
        <w:pStyle w:val="HorizontalLine"/>
        <w:pBdr>
          <w:bottom w:val="single" w:sz="20" w:space="0" w:color="808080"/>
        </w:pBdr>
        <w:rPr/>
      </w:pPr>
      <w:r>
        <w:rPr/>
      </w:r>
      <w:r>
        <w:br w:type="page"/>
      </w:r>
    </w:p>
    <w:p>
      <w:pPr>
        <w:pStyle w:val="TextBody"/>
        <w:rPr/>
      </w:pPr>
      <w:hyperlink w:anchor="bg12101a_main_toc">
        <w:bookmarkStart w:id="292" w:name="page_fw12101_1_59"/>
        <w:bookmarkEnd w:id="292"/>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13Supplemental Condensed Consolidating Financial Information (Continued) </w:t>
      </w:r>
    </w:p>
    <w:p>
      <w:pPr>
        <w:pStyle w:val="TextBody"/>
        <w:rPr>
          <w:rFonts w:ascii="times" w:hAnsi="times"/>
        </w:rPr>
      </w:pPr>
      <w:r>
        <w:rPr>
          <w:rFonts w:ascii="times" w:hAnsi="times"/>
          <w:sz w:val="14"/>
        </w:rPr>
        <w:br/>
      </w:r>
      <w:r>
        <w:rPr>
          <w:rFonts w:ascii="times" w:hAnsi="times"/>
          <w:b/>
          <w:sz w:val="20"/>
        </w:rPr>
        <w:t xml:space="preserve">Condensed Consolidating Statements of Operations </w:t>
      </w:r>
    </w:p>
    <w:tbl>
      <w:tblPr>
        <w:tblW w:w="7808" w:type="dxa"/>
        <w:jc w:val="center"/>
        <w:tblInd w:w="0" w:type="dxa"/>
        <w:tblCellMar>
          <w:top w:w="0" w:type="dxa"/>
          <w:left w:w="0" w:type="dxa"/>
          <w:bottom w:w="0" w:type="dxa"/>
          <w:right w:w="0" w:type="dxa"/>
        </w:tblCellMar>
      </w:tblPr>
      <w:tblGrid>
        <w:gridCol w:w="3405"/>
        <w:gridCol w:w="60"/>
        <w:gridCol w:w="121"/>
        <w:gridCol w:w="318"/>
        <w:gridCol w:w="65"/>
        <w:gridCol w:w="192"/>
        <w:gridCol w:w="607"/>
        <w:gridCol w:w="65"/>
        <w:gridCol w:w="340"/>
        <w:gridCol w:w="765"/>
        <w:gridCol w:w="65"/>
        <w:gridCol w:w="197"/>
        <w:gridCol w:w="632"/>
        <w:gridCol w:w="65"/>
        <w:gridCol w:w="201"/>
        <w:gridCol w:w="645"/>
        <w:gridCol w:w="65"/>
      </w:tblGrid>
      <w:tr>
        <w:trPr/>
        <w:tc>
          <w:tcPr>
            <w:tcW w:w="3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405" w:type="dxa"/>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278"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2006 </w:t>
            </w:r>
          </w:p>
        </w:tc>
        <w:tc>
          <w:tcPr>
            <w:tcW w:w="65" w:type="dxa"/>
            <w:tcBorders/>
            <w:shd w:fill="auto" w:val="clear"/>
            <w:vAlign w:val="bottom"/>
          </w:tcPr>
          <w:p>
            <w:pPr>
              <w:pStyle w:val="TableHeading"/>
              <w:suppressLineNumbers/>
              <w:spacing w:before="0" w:after="283"/>
              <w:jc w:val="center"/>
              <w:rPr/>
            </w:pPr>
            <w:r>
              <w:rPr/>
              <w:t> </w:t>
            </w:r>
          </w:p>
        </w:tc>
      </w:tr>
      <w:tr>
        <w:trPr/>
        <w:tc>
          <w:tcPr>
            <w:tcW w:w="3405" w:type="dxa"/>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6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110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65" w:type="dxa"/>
            <w:tcBorders/>
            <w:shd w:fill="auto" w:val="clear"/>
            <w:vAlign w:val="bottom"/>
          </w:tcPr>
          <w:p>
            <w:pPr>
              <w:pStyle w:val="TableHeading"/>
              <w:suppressLineNumbers/>
              <w:spacing w:before="0" w:after="283"/>
              <w:jc w:val="center"/>
              <w:rPr/>
            </w:pPr>
            <w:r>
              <w:rPr/>
              <w:t> </w:t>
            </w:r>
          </w:p>
        </w:tc>
        <w:tc>
          <w:tcPr>
            <w:tcW w:w="8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5" w:type="dxa"/>
            <w:tcBorders/>
            <w:shd w:fill="auto" w:val="clear"/>
            <w:vAlign w:val="bottom"/>
          </w:tcPr>
          <w:p>
            <w:pPr>
              <w:pStyle w:val="TableHeading"/>
              <w:suppressLineNumbers/>
              <w:spacing w:before="0" w:after="283"/>
              <w:jc w:val="center"/>
              <w:rPr/>
            </w:pPr>
            <w:r>
              <w:rPr/>
              <w:t> </w:t>
            </w:r>
          </w:p>
        </w:tc>
      </w:tr>
      <w:tr>
        <w:trPr/>
        <w:tc>
          <w:tcPr>
            <w:tcW w:w="34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operating revenues</w:t>
            </w:r>
            <w:r>
              <w:rPr>
                <w:rFonts w:ascii="times" w:hAnsi="times"/>
                <w:position w:val="5"/>
                <w:sz w:val="11"/>
                <w:sz w:val="14"/>
              </w:rPr>
              <w:t>(1)</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955</w:t>
            </w:r>
          </w:p>
        </w:tc>
        <w:tc>
          <w:tcPr>
            <w:tcW w:w="6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971</w:t>
            </w:r>
          </w:p>
        </w:tc>
        <w:tc>
          <w:tcPr>
            <w:tcW w:w="65" w:type="dxa"/>
            <w:tcBorders/>
            <w:shd w:fill="CCEEFF" w:val="clear"/>
            <w:vAlign w:val="bottom"/>
          </w:tcPr>
          <w:p>
            <w:pPr>
              <w:pStyle w:val="TableContents"/>
              <w:spacing w:before="0" w:after="283"/>
              <w:rPr/>
            </w:pPr>
            <w:r>
              <w:rPr/>
              <w:t> </w:t>
            </w:r>
          </w:p>
        </w:tc>
      </w:tr>
      <w:tr>
        <w:trPr/>
        <w:tc>
          <w:tcPr>
            <w:tcW w:w="34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Field operating costs</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(376</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40"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(382</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4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General and administrative expenses</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(133</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340"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(134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4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Depreciation and amortization</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(94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40"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(100</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340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405" w:type="dxa"/>
            <w:tcBorders/>
            <w:shd w:fill="CCEEFF" w:val="clear"/>
            <w:vAlign w:val="bottom"/>
          </w:tcPr>
          <w:p>
            <w:pPr>
              <w:pStyle w:val="TableContents"/>
              <w:spacing w:before="200" w:after="283"/>
              <w:ind w:left="160" w:right="0" w:hanging="160"/>
              <w:rPr>
                <w:rFonts w:ascii="times" w:hAnsi="times"/>
                <w:sz w:val="14"/>
              </w:rPr>
            </w:pPr>
            <w:r>
              <w:rPr>
                <w:rFonts w:ascii="times" w:hAnsi="times"/>
                <w:sz w:val="14"/>
              </w:rPr>
              <w:t>Operating income (loss)</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br/>
              <w:t>(3</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b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br/>
              <w:t>352</w:t>
            </w:r>
          </w:p>
        </w:tc>
        <w:tc>
          <w:tcPr>
            <w:tcW w:w="6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6</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br/>
              <w:t>355</w:t>
            </w:r>
          </w:p>
        </w:tc>
        <w:tc>
          <w:tcPr>
            <w:tcW w:w="65" w:type="dxa"/>
            <w:tcBorders/>
            <w:shd w:fill="CCEEFF" w:val="clear"/>
            <w:vAlign w:val="bottom"/>
          </w:tcPr>
          <w:p>
            <w:pPr>
              <w:pStyle w:val="TableContents"/>
              <w:spacing w:before="0" w:after="283"/>
              <w:rPr/>
            </w:pPr>
            <w:r>
              <w:rPr/>
              <w:t> </w:t>
            </w:r>
          </w:p>
        </w:tc>
      </w:tr>
      <w:tr>
        <w:trPr/>
        <w:tc>
          <w:tcPr>
            <w:tcW w:w="340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405" w:type="dxa"/>
            <w:tcBorders/>
            <w:shd w:fill="FFFFFF" w:val="clear"/>
            <w:vAlign w:val="bottom"/>
          </w:tcPr>
          <w:p>
            <w:pPr>
              <w:pStyle w:val="TableContents"/>
              <w:spacing w:before="200" w:after="283"/>
              <w:ind w:left="160" w:right="0" w:hanging="160"/>
              <w:rPr>
                <w:rFonts w:ascii="times" w:hAnsi="times"/>
                <w:sz w:val="14"/>
              </w:rPr>
            </w:pPr>
            <w:r>
              <w:rPr>
                <w:rFonts w:ascii="times" w:hAnsi="times"/>
                <w:sz w:val="14"/>
              </w:rPr>
              <w:t>Equity earnings in unconsolidated entities</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rFonts w:ascii="times" w:hAnsi="times"/>
                <w:sz w:val="14"/>
              </w:rPr>
            </w:pPr>
            <w:r>
              <w:rPr>
                <w:rFonts w:ascii="times" w:hAnsi="times"/>
                <w:sz w:val="14"/>
              </w:rPr>
              <w:br/>
              <w:t>363</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br/>
              <w:t>14</w:t>
            </w:r>
          </w:p>
        </w:tc>
        <w:tc>
          <w:tcPr>
            <w:tcW w:w="65"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br/>
              <w:t>(369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br/>
              <w:t>)</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br/>
              <w:t>8</w:t>
            </w:r>
          </w:p>
        </w:tc>
        <w:tc>
          <w:tcPr>
            <w:tcW w:w="65" w:type="dxa"/>
            <w:tcBorders/>
            <w:shd w:fill="FFFFFF" w:val="clear"/>
            <w:vAlign w:val="bottom"/>
          </w:tcPr>
          <w:p>
            <w:pPr>
              <w:pStyle w:val="TableContents"/>
              <w:spacing w:before="0" w:after="283"/>
              <w:rPr/>
            </w:pPr>
            <w:r>
              <w:rPr/>
              <w:t> </w:t>
            </w:r>
          </w:p>
        </w:tc>
      </w:tr>
      <w:tr>
        <w:trPr/>
        <w:tc>
          <w:tcPr>
            <w:tcW w:w="34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Interest expense</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(77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340"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(86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3405"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Interest and other income (expense), net</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pPr>
            <w:r>
              <w:rPr/>
              <w:t> </w:t>
            </w:r>
          </w:p>
        </w:tc>
      </w:tr>
      <w:tr>
        <w:trPr/>
        <w:tc>
          <w:tcPr>
            <w:tcW w:w="3405"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Income tax expense</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r>
      <w:tr>
        <w:trPr/>
        <w:tc>
          <w:tcPr>
            <w:tcW w:w="340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405" w:type="dxa"/>
            <w:tcBorders/>
            <w:shd w:fill="FFFFFF" w:val="clear"/>
            <w:vAlign w:val="bottom"/>
          </w:tcPr>
          <w:p>
            <w:pPr>
              <w:pStyle w:val="TableContents"/>
              <w:spacing w:before="200" w:after="283"/>
              <w:ind w:left="160" w:right="0" w:hanging="160"/>
              <w:rPr>
                <w:rFonts w:ascii="times" w:hAnsi="times"/>
                <w:sz w:val="14"/>
              </w:rPr>
            </w:pPr>
            <w:r>
              <w:rPr>
                <w:rFonts w:ascii="times" w:hAnsi="times"/>
                <w:sz w:val="14"/>
              </w:rPr>
              <w:t>Income before cumulative effect of change in accounting principle</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rFonts w:ascii="times" w:hAnsi="times"/>
                <w:sz w:val="14"/>
              </w:rPr>
            </w:pPr>
            <w:r>
              <w:rPr>
                <w:rFonts w:ascii="times" w:hAnsi="times"/>
                <w:sz w:val="14"/>
              </w:rPr>
              <w:br/>
              <w:t>285</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br/>
              <w:t>357</w:t>
            </w:r>
          </w:p>
        </w:tc>
        <w:tc>
          <w:tcPr>
            <w:tcW w:w="65"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br/>
              <w:t>6</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br/>
              <w:t>(369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br/>
              <w:t>)</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br/>
              <w:t>279</w:t>
            </w:r>
          </w:p>
        </w:tc>
        <w:tc>
          <w:tcPr>
            <w:tcW w:w="65" w:type="dxa"/>
            <w:tcBorders/>
            <w:shd w:fill="FFFFFF" w:val="clear"/>
            <w:vAlign w:val="bottom"/>
          </w:tcPr>
          <w:p>
            <w:pPr>
              <w:pStyle w:val="TableContents"/>
              <w:spacing w:before="0" w:after="283"/>
              <w:rPr/>
            </w:pPr>
            <w:r>
              <w:rPr/>
              <w:t> </w:t>
            </w:r>
          </w:p>
        </w:tc>
      </w:tr>
      <w:tr>
        <w:trPr/>
        <w:tc>
          <w:tcPr>
            <w:tcW w:w="3405" w:type="dxa"/>
            <w:tcBorders/>
            <w:shd w:fill="CCEEFF" w:val="clear"/>
            <w:vAlign w:val="bottom"/>
          </w:tcPr>
          <w:p>
            <w:pPr>
              <w:pStyle w:val="TableContents"/>
              <w:spacing w:before="200" w:after="283"/>
              <w:ind w:left="160" w:right="0" w:hanging="160"/>
              <w:rPr>
                <w:rFonts w:ascii="times" w:hAnsi="times"/>
                <w:sz w:val="14"/>
              </w:rPr>
            </w:pPr>
            <w:r>
              <w:rPr>
                <w:rFonts w:ascii="times" w:hAnsi="times"/>
                <w:sz w:val="14"/>
              </w:rPr>
              <w:t>Cumulative effect of change in accounting principle</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br/>
              <w:t>6</w:t>
            </w:r>
          </w:p>
        </w:tc>
        <w:tc>
          <w:tcPr>
            <w:tcW w:w="6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br/>
              <w:t>6</w:t>
            </w:r>
          </w:p>
        </w:tc>
        <w:tc>
          <w:tcPr>
            <w:tcW w:w="65" w:type="dxa"/>
            <w:tcBorders/>
            <w:shd w:fill="CCEEFF" w:val="clear"/>
            <w:vAlign w:val="bottom"/>
          </w:tcPr>
          <w:p>
            <w:pPr>
              <w:pStyle w:val="TableContents"/>
              <w:spacing w:before="0" w:after="283"/>
              <w:rPr/>
            </w:pPr>
            <w:r>
              <w:rPr/>
              <w:t> </w:t>
            </w:r>
          </w:p>
        </w:tc>
      </w:tr>
      <w:tr>
        <w:trPr/>
        <w:tc>
          <w:tcPr>
            <w:tcW w:w="340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0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3405" w:type="dxa"/>
            <w:tcBorders/>
            <w:shd w:fill="FFFFFF" w:val="clear"/>
            <w:vAlign w:val="bottom"/>
          </w:tcPr>
          <w:p>
            <w:pPr>
              <w:pStyle w:val="TableContents"/>
              <w:spacing w:before="200" w:after="283"/>
              <w:ind w:left="160" w:right="0" w:hanging="160"/>
              <w:rPr>
                <w:rFonts w:ascii="times" w:hAnsi="times"/>
                <w:sz w:val="14"/>
              </w:rPr>
            </w:pPr>
            <w:r>
              <w:rPr>
                <w:rFonts w:ascii="times" w:hAnsi="times"/>
                <w:sz w:val="14"/>
              </w:rPr>
              <w:t>Net income (loss)</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318" w:type="dxa"/>
            <w:tcBorders/>
            <w:shd w:fill="FFFFFF" w:val="clear"/>
            <w:vAlign w:val="bottom"/>
          </w:tcPr>
          <w:p>
            <w:pPr>
              <w:pStyle w:val="TableContents"/>
              <w:spacing w:before="0" w:after="283"/>
              <w:jc w:val="right"/>
              <w:rPr>
                <w:rFonts w:ascii="times" w:hAnsi="times"/>
                <w:sz w:val="14"/>
              </w:rPr>
            </w:pPr>
            <w:r>
              <w:rPr>
                <w:rFonts w:ascii="times" w:hAnsi="times"/>
                <w:sz w:val="14"/>
              </w:rPr>
              <w:br/>
              <w:t>285</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br/>
              <w:t>363</w:t>
            </w:r>
          </w:p>
        </w:tc>
        <w:tc>
          <w:tcPr>
            <w:tcW w:w="65"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br/>
              <w:t>6</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br/>
              <w:t>(369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br/>
              <w:t>)</w:t>
            </w:r>
          </w:p>
        </w:tc>
        <w:tc>
          <w:tcPr>
            <w:tcW w:w="201"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br/>
              <w:t>285</w:t>
            </w:r>
          </w:p>
        </w:tc>
        <w:tc>
          <w:tcPr>
            <w:tcW w:w="65" w:type="dxa"/>
            <w:tcBorders/>
            <w:shd w:fill="FFFFFF" w:val="clear"/>
            <w:vAlign w:val="bottom"/>
          </w:tcPr>
          <w:p>
            <w:pPr>
              <w:pStyle w:val="TableContents"/>
              <w:spacing w:before="0" w:after="283"/>
              <w:rPr/>
            </w:pPr>
            <w:r>
              <w:rPr/>
              <w:t> </w:t>
            </w:r>
          </w:p>
        </w:tc>
      </w:tr>
      <w:tr>
        <w:trPr/>
        <w:tc>
          <w:tcPr>
            <w:tcW w:w="340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0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5"/>
          <w:sz w:val="11"/>
          <w:sz w:val="14"/>
        </w:rPr>
      </w:pPr>
      <w:r>
        <w:rPr>
          <w:rFonts w:ascii="times" w:hAnsi="times"/>
          <w:position w:val="5"/>
          <w:sz w:val="11"/>
          <w:sz w:val="14"/>
        </w:rPr>
        <w:t>(1)</w:t>
      </w:r>
    </w:p>
    <w:p>
      <w:pPr>
        <w:pStyle w:val="ListContents"/>
        <w:spacing w:before="0" w:after="283"/>
        <w:rPr>
          <w:rFonts w:ascii="times" w:hAnsi="times"/>
          <w:sz w:val="14"/>
        </w:rPr>
      </w:pPr>
      <w:r>
        <w:rPr>
          <w:rFonts w:ascii="times" w:hAnsi="times"/>
          <w:sz w:val="14"/>
        </w:rPr>
        <w:t xml:space="preserve">Net operating revenues are calculated as "Total revenues" less "Crude oil, refined products and LPG purchases and related costs." </w:t>
      </w:r>
    </w:p>
    <w:p>
      <w:pPr>
        <w:pStyle w:val="TextBody"/>
        <w:jc w:val="center"/>
        <w:rPr>
          <w:rFonts w:ascii="times" w:hAnsi="times"/>
          <w:sz w:val="20"/>
        </w:rPr>
      </w:pPr>
      <w:r>
        <w:rPr>
          <w:rFonts w:ascii="times" w:hAnsi="times"/>
          <w:sz w:val="20"/>
        </w:rPr>
        <w:t>F-59</w:t>
      </w:r>
    </w:p>
    <w:p>
      <w:pPr>
        <w:pStyle w:val="HorizontalLine"/>
        <w:pBdr>
          <w:bottom w:val="single" w:sz="20" w:space="0" w:color="808080"/>
        </w:pBdr>
        <w:rPr/>
      </w:pPr>
      <w:r>
        <w:rPr/>
      </w:r>
      <w:r>
        <w:br w:type="page"/>
      </w:r>
    </w:p>
    <w:p>
      <w:pPr>
        <w:pStyle w:val="TextBody"/>
        <w:rPr/>
      </w:pPr>
      <w:hyperlink w:anchor="bg12101a_main_toc">
        <w:bookmarkStart w:id="293" w:name="page_fy12101_1_60"/>
        <w:bookmarkEnd w:id="29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13Supplemental Condensed Consolidating Financial Information (Continued) </w:t>
      </w:r>
    </w:p>
    <w:p>
      <w:pPr>
        <w:pStyle w:val="TextBody"/>
        <w:rPr>
          <w:rFonts w:ascii="times" w:hAnsi="times"/>
          <w:b/>
          <w:sz w:val="20"/>
        </w:rPr>
      </w:pPr>
      <w:r>
        <w:rPr>
          <w:rFonts w:ascii="times" w:hAnsi="times"/>
          <w:b/>
          <w:sz w:val="20"/>
        </w:rPr>
        <w:t xml:space="preserve">Condensed Consolidating Statements of Cash Flows </w:t>
      </w:r>
    </w:p>
    <w:tbl>
      <w:tblPr>
        <w:tblW w:w="8646" w:type="dxa"/>
        <w:jc w:val="center"/>
        <w:tblInd w:w="0" w:type="dxa"/>
        <w:tblCellMar>
          <w:top w:w="0" w:type="dxa"/>
          <w:left w:w="0" w:type="dxa"/>
          <w:bottom w:w="0" w:type="dxa"/>
          <w:right w:w="0" w:type="dxa"/>
        </w:tblCellMar>
      </w:tblPr>
      <w:tblGrid>
        <w:gridCol w:w="148"/>
        <w:gridCol w:w="150"/>
        <w:gridCol w:w="3996"/>
        <w:gridCol w:w="60"/>
        <w:gridCol w:w="108"/>
        <w:gridCol w:w="331"/>
        <w:gridCol w:w="65"/>
        <w:gridCol w:w="154"/>
        <w:gridCol w:w="645"/>
        <w:gridCol w:w="65"/>
        <w:gridCol w:w="291"/>
        <w:gridCol w:w="765"/>
        <w:gridCol w:w="65"/>
        <w:gridCol w:w="197"/>
        <w:gridCol w:w="632"/>
        <w:gridCol w:w="65"/>
        <w:gridCol w:w="163"/>
        <w:gridCol w:w="681"/>
        <w:gridCol w:w="65"/>
      </w:tblGrid>
      <w:tr>
        <w:trPr/>
        <w:tc>
          <w:tcPr>
            <w:tcW w:w="14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294" w:type="dxa"/>
            <w:gridSpan w:val="3"/>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227"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2008 </w:t>
            </w:r>
          </w:p>
        </w:tc>
        <w:tc>
          <w:tcPr>
            <w:tcW w:w="65" w:type="dxa"/>
            <w:tcBorders/>
            <w:shd w:fill="auto" w:val="clear"/>
            <w:vAlign w:val="bottom"/>
          </w:tcPr>
          <w:p>
            <w:pPr>
              <w:pStyle w:val="TableHeading"/>
              <w:suppressLineNumbers/>
              <w:spacing w:before="0" w:after="283"/>
              <w:jc w:val="center"/>
              <w:rPr/>
            </w:pPr>
            <w:r>
              <w:rPr/>
              <w:t> </w:t>
            </w:r>
          </w:p>
        </w:tc>
      </w:tr>
      <w:tr>
        <w:trPr/>
        <w:tc>
          <w:tcPr>
            <w:tcW w:w="4294" w:type="dxa"/>
            <w:gridSpan w:val="3"/>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6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10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65" w:type="dxa"/>
            <w:tcBorders/>
            <w:shd w:fill="auto" w:val="clear"/>
            <w:vAlign w:val="bottom"/>
          </w:tcPr>
          <w:p>
            <w:pPr>
              <w:pStyle w:val="TableHeading"/>
              <w:suppressLineNumbers/>
              <w:spacing w:before="0" w:after="283"/>
              <w:jc w:val="center"/>
              <w:rPr/>
            </w:pPr>
            <w:r>
              <w:rPr/>
              <w:t> </w:t>
            </w:r>
          </w:p>
        </w:tc>
        <w:tc>
          <w:tcPr>
            <w:tcW w:w="8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5" w:type="dxa"/>
            <w:tcBorders/>
            <w:shd w:fill="auto" w:val="clear"/>
            <w:vAlign w:val="bottom"/>
          </w:tcPr>
          <w:p>
            <w:pPr>
              <w:pStyle w:val="TableHeading"/>
              <w:suppressLineNumbers/>
              <w:spacing w:before="0" w:after="283"/>
              <w:jc w:val="center"/>
              <w:rPr/>
            </w:pPr>
            <w:r>
              <w:rPr/>
              <w:t> </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FLOWS FROM OPERATING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income</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437</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620</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40</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(660</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6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437</w:t>
            </w:r>
          </w:p>
        </w:tc>
        <w:tc>
          <w:tcPr>
            <w:tcW w:w="65" w:type="dxa"/>
            <w:tcBorders/>
            <w:shd w:fill="FFFFFF" w:val="clear"/>
            <w:vAlign w:val="bottom"/>
          </w:tcPr>
          <w:p>
            <w:pPr>
              <w:pStyle w:val="TableContents"/>
              <w:spacing w:before="0" w:after="283"/>
              <w:rPr/>
            </w:pPr>
            <w:r>
              <w:rPr/>
              <w:t> </w:t>
            </w:r>
          </w:p>
        </w:tc>
      </w:tr>
      <w:tr>
        <w:trPr/>
        <w:tc>
          <w:tcPr>
            <w:tcW w:w="4294" w:type="dxa"/>
            <w:gridSpan w:val="3"/>
            <w:tcBorders/>
            <w:shd w:fill="CCEEFF" w:val="clear"/>
            <w:vAlign w:val="bottom"/>
          </w:tcPr>
          <w:p>
            <w:pPr>
              <w:pStyle w:val="TableContents"/>
              <w:spacing w:before="200" w:after="283"/>
              <w:ind w:left="160" w:right="0" w:hanging="160"/>
              <w:rPr>
                <w:rFonts w:ascii="times" w:hAnsi="times"/>
                <w:sz w:val="14"/>
              </w:rPr>
            </w:pPr>
            <w:r>
              <w:rPr>
                <w:rFonts w:ascii="times" w:hAnsi="times"/>
                <w:sz w:val="14"/>
              </w:rPr>
              <w:t>Adjustments to reconcile to cash flows from operating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148" w:type="dxa"/>
            <w:tcBorders/>
            <w:shd w:fill="FFFFFF" w:val="clear"/>
            <w:vAlign w:val="bottom"/>
          </w:tcPr>
          <w:p>
            <w:pPr>
              <w:pStyle w:val="TableContents"/>
              <w:spacing w:before="0" w:after="283"/>
              <w:rPr/>
            </w:pPr>
            <w:r>
              <w:rPr/>
              <w:t> </w:t>
            </w:r>
          </w:p>
        </w:tc>
        <w:tc>
          <w:tcPr>
            <w:tcW w:w="4146"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Depreciation and amortization</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187</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21</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211</w:t>
            </w:r>
          </w:p>
        </w:tc>
        <w:tc>
          <w:tcPr>
            <w:tcW w:w="65" w:type="dxa"/>
            <w:tcBorders/>
            <w:shd w:fill="FFFFFF" w:val="clear"/>
            <w:vAlign w:val="bottom"/>
          </w:tcPr>
          <w:p>
            <w:pPr>
              <w:pStyle w:val="TableContents"/>
              <w:spacing w:before="0" w:after="283"/>
              <w:rPr/>
            </w:pPr>
            <w:r>
              <w:rPr/>
              <w:t> </w:t>
            </w:r>
          </w:p>
        </w:tc>
      </w:tr>
      <w:tr>
        <w:trPr/>
        <w:tc>
          <w:tcPr>
            <w:tcW w:w="148" w:type="dxa"/>
            <w:tcBorders/>
            <w:shd w:fill="CCEEFF" w:val="clear"/>
            <w:vAlign w:val="bottom"/>
          </w:tcPr>
          <w:p>
            <w:pPr>
              <w:pStyle w:val="TableContents"/>
              <w:spacing w:before="0" w:after="283"/>
              <w:rPr/>
            </w:pPr>
            <w:r>
              <w:rPr/>
              <w:t> </w:t>
            </w:r>
          </w:p>
        </w:tc>
        <w:tc>
          <w:tcPr>
            <w:tcW w:w="4146"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Inventory valuation adjustment</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168</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168</w:t>
            </w:r>
          </w:p>
        </w:tc>
        <w:tc>
          <w:tcPr>
            <w:tcW w:w="65" w:type="dxa"/>
            <w:tcBorders/>
            <w:shd w:fill="CCEEFF" w:val="clear"/>
            <w:vAlign w:val="bottom"/>
          </w:tcPr>
          <w:p>
            <w:pPr>
              <w:pStyle w:val="TableContents"/>
              <w:spacing w:before="0" w:after="283"/>
              <w:rPr/>
            </w:pPr>
            <w:r>
              <w:rPr/>
              <w:t> </w:t>
            </w:r>
          </w:p>
        </w:tc>
      </w:tr>
      <w:tr>
        <w:trPr/>
        <w:tc>
          <w:tcPr>
            <w:tcW w:w="148" w:type="dxa"/>
            <w:tcBorders/>
            <w:shd w:fill="FFFFFF" w:val="clear"/>
            <w:vAlign w:val="bottom"/>
          </w:tcPr>
          <w:p>
            <w:pPr>
              <w:pStyle w:val="TableContents"/>
              <w:spacing w:before="0" w:after="283"/>
              <w:rPr/>
            </w:pPr>
            <w:r>
              <w:rPr/>
              <w:t> </w:t>
            </w:r>
          </w:p>
        </w:tc>
        <w:tc>
          <w:tcPr>
            <w:tcW w:w="4146"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(Gains)/losses from derivative activities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(141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(141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148" w:type="dxa"/>
            <w:tcBorders/>
            <w:shd w:fill="CCEEFF" w:val="clear"/>
            <w:vAlign w:val="bottom"/>
          </w:tcPr>
          <w:p>
            <w:pPr>
              <w:pStyle w:val="TableContents"/>
              <w:spacing w:before="0" w:after="283"/>
              <w:rPr/>
            </w:pPr>
            <w:r>
              <w:rPr/>
              <w:t> </w:t>
            </w:r>
          </w:p>
        </w:tc>
        <w:tc>
          <w:tcPr>
            <w:tcW w:w="4146"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compensation expense</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65" w:type="dxa"/>
            <w:tcBorders/>
            <w:shd w:fill="CCEEFF" w:val="clear"/>
            <w:vAlign w:val="bottom"/>
          </w:tcPr>
          <w:p>
            <w:pPr>
              <w:pStyle w:val="TableContents"/>
              <w:spacing w:before="0" w:after="283"/>
              <w:rPr/>
            </w:pPr>
            <w:r>
              <w:rPr/>
              <w:t> </w:t>
            </w:r>
          </w:p>
        </w:tc>
      </w:tr>
      <w:tr>
        <w:trPr/>
        <w:tc>
          <w:tcPr>
            <w:tcW w:w="148" w:type="dxa"/>
            <w:tcBorders/>
            <w:shd w:fill="FFFFFF" w:val="clear"/>
            <w:vAlign w:val="bottom"/>
          </w:tcPr>
          <w:p>
            <w:pPr>
              <w:pStyle w:val="TableContents"/>
              <w:spacing w:before="0" w:after="283"/>
              <w:rPr/>
            </w:pPr>
            <w:r>
              <w:rPr/>
              <w:t> </w:t>
            </w:r>
          </w:p>
        </w:tc>
        <w:tc>
          <w:tcPr>
            <w:tcW w:w="4146"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Gain on foreign currency revaluation</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22</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22</w:t>
            </w:r>
          </w:p>
        </w:tc>
        <w:tc>
          <w:tcPr>
            <w:tcW w:w="65" w:type="dxa"/>
            <w:tcBorders/>
            <w:shd w:fill="FFFFFF" w:val="clear"/>
            <w:vAlign w:val="bottom"/>
          </w:tcPr>
          <w:p>
            <w:pPr>
              <w:pStyle w:val="TableContents"/>
              <w:spacing w:before="0" w:after="283"/>
              <w:rPr/>
            </w:pPr>
            <w:r>
              <w:rPr/>
              <w:t> </w:t>
            </w:r>
          </w:p>
        </w:tc>
      </w:tr>
      <w:tr>
        <w:trPr/>
        <w:tc>
          <w:tcPr>
            <w:tcW w:w="148" w:type="dxa"/>
            <w:tcBorders/>
            <w:shd w:fill="CCEEFF" w:val="clear"/>
            <w:vAlign w:val="bottom"/>
          </w:tcPr>
          <w:p>
            <w:pPr>
              <w:pStyle w:val="TableContents"/>
              <w:spacing w:before="0" w:after="283"/>
              <w:rPr/>
            </w:pPr>
            <w:r>
              <w:rPr/>
              <w:t> </w:t>
            </w:r>
          </w:p>
        </w:tc>
        <w:tc>
          <w:tcPr>
            <w:tcW w:w="4146"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earnings in unconsolidated entities, net of distributions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(622</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(42</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660</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148" w:type="dxa"/>
            <w:tcBorders/>
            <w:shd w:fill="FFFFFF" w:val="clear"/>
            <w:vAlign w:val="bottom"/>
          </w:tcPr>
          <w:p>
            <w:pPr>
              <w:pStyle w:val="TableContents"/>
              <w:spacing w:before="0" w:after="283"/>
              <w:rPr/>
            </w:pPr>
            <w:r>
              <w:rPr/>
              <w:t> </w:t>
            </w:r>
          </w:p>
        </w:tc>
        <w:tc>
          <w:tcPr>
            <w:tcW w:w="4146"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Deferred income tax benefit</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148" w:type="dxa"/>
            <w:tcBorders/>
            <w:shd w:fill="CCEEFF" w:val="clear"/>
            <w:vAlign w:val="bottom"/>
          </w:tcPr>
          <w:p>
            <w:pPr>
              <w:pStyle w:val="TableContents"/>
              <w:spacing w:before="0" w:after="283"/>
              <w:rPr/>
            </w:pPr>
            <w:r>
              <w:rPr/>
              <w:t> </w:t>
            </w:r>
          </w:p>
        </w:tc>
        <w:tc>
          <w:tcPr>
            <w:tcW w:w="4146"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Other</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17</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Changes in assets and liabilities, net of acquisitions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(375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530</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(16</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139</w:t>
            </w:r>
          </w:p>
        </w:tc>
        <w:tc>
          <w:tcPr>
            <w:tcW w:w="65" w:type="dxa"/>
            <w:tcBorders/>
            <w:shd w:fill="FFFFFF" w:val="clear"/>
            <w:vAlign w:val="bottom"/>
          </w:tcPr>
          <w:p>
            <w:pPr>
              <w:pStyle w:val="TableContents"/>
              <w:spacing w:before="0" w:after="283"/>
              <w:rPr/>
            </w:pPr>
            <w:r>
              <w:rPr/>
              <w:t> </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4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996" w:type="dxa"/>
            <w:tcBorders/>
            <w:shd w:fill="CCEEFF" w:val="clear"/>
            <w:vAlign w:val="bottom"/>
          </w:tcPr>
          <w:p>
            <w:pPr>
              <w:pStyle w:val="TableContents"/>
              <w:spacing w:before="200" w:after="283"/>
              <w:ind w:left="160" w:right="0" w:hanging="160"/>
              <w:rPr>
                <w:rFonts w:ascii="times" w:hAnsi="times"/>
                <w:sz w:val="14"/>
              </w:rPr>
            </w:pPr>
            <w:r>
              <w:rPr>
                <w:rFonts w:ascii="times" w:hAnsi="times"/>
                <w:sz w:val="14"/>
              </w:rPr>
              <w:t>Net cash provided by (used in) operating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br/>
              <w:t>(540</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br/>
              <w:t>)</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br/>
              <w:t>1,352</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45</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br/>
              <w:t>857</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4" w:type="dxa"/>
            <w:gridSpan w:val="3"/>
            <w:tcBorders/>
            <w:shd w:fill="FFFFFF" w:val="clear"/>
            <w:vAlign w:val="bottom"/>
          </w:tcPr>
          <w:p>
            <w:pPr>
              <w:pStyle w:val="TableContents"/>
              <w:spacing w:before="200" w:after="283"/>
              <w:ind w:left="160" w:right="0" w:hanging="160"/>
              <w:rPr>
                <w:rFonts w:ascii="times" w:hAnsi="times"/>
                <w:sz w:val="14"/>
              </w:rPr>
            </w:pPr>
            <w:r>
              <w:rPr>
                <w:rFonts w:ascii="times" w:hAnsi="times"/>
                <w:sz w:val="14"/>
              </w:rPr>
              <w:t>CASH FLOWS FROM INVESTING ACTIVITIES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paid in connection with acquisitions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(709</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(709</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Additions to property and equipment</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(544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(45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(589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Investment in unconsolidated entities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(37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(37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paid for linefill in assets owned</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(55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(55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Proceeds from sales of assets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51</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51</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4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399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used in investing activities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(37</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(1,257</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(45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(1,339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4" w:type="dxa"/>
            <w:gridSpan w:val="3"/>
            <w:tcBorders/>
            <w:shd w:fill="CCEEFF" w:val="clear"/>
            <w:vAlign w:val="bottom"/>
          </w:tcPr>
          <w:p>
            <w:pPr>
              <w:pStyle w:val="TableContents"/>
              <w:spacing w:before="200" w:after="283"/>
              <w:ind w:left="160" w:right="0" w:hanging="160"/>
              <w:rPr>
                <w:rFonts w:ascii="times" w:hAnsi="times"/>
                <w:sz w:val="14"/>
              </w:rPr>
            </w:pPr>
            <w:r>
              <w:rPr>
                <w:rFonts w:ascii="times" w:hAnsi="times"/>
                <w:sz w:val="14"/>
              </w:rPr>
              <w:t>CASH FLOWS FROM FINANCING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borrowings on revolving credit facility</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204</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82</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286</w:t>
            </w:r>
          </w:p>
        </w:tc>
        <w:tc>
          <w:tcPr>
            <w:tcW w:w="65" w:type="dxa"/>
            <w:tcBorders/>
            <w:shd w:fill="FFFFFF" w:val="clear"/>
            <w:vAlign w:val="bottom"/>
          </w:tcPr>
          <w:p>
            <w:pPr>
              <w:pStyle w:val="TableContents"/>
              <w:spacing w:before="0" w:after="283"/>
              <w:rPr/>
            </w:pPr>
            <w:r>
              <w:rPr/>
              <w:t> </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repayments on short-term letter of credit and hedged inventory facility</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(196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(196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Proceeds from the issuance of senior notes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597</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597</w:t>
            </w:r>
          </w:p>
        </w:tc>
        <w:tc>
          <w:tcPr>
            <w:tcW w:w="65" w:type="dxa"/>
            <w:tcBorders/>
            <w:shd w:fill="FFFFFF" w:val="clear"/>
            <w:vAlign w:val="bottom"/>
          </w:tcPr>
          <w:p>
            <w:pPr>
              <w:pStyle w:val="TableContents"/>
              <w:spacing w:before="0" w:after="283"/>
              <w:rPr/>
            </w:pPr>
            <w:r>
              <w:rPr/>
              <w:t> </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proceeds from the issuance of common units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315</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315</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FFFFFF" w:val="clear"/>
            <w:vAlign w:val="bottom"/>
          </w:tcPr>
          <w:p>
            <w:pPr>
              <w:pStyle w:val="TableContents"/>
              <w:spacing w:before="200" w:after="283"/>
              <w:ind w:left="160" w:right="0" w:hanging="160"/>
              <w:rPr>
                <w:rFonts w:ascii="times" w:hAnsi="times"/>
                <w:sz w:val="14"/>
              </w:rPr>
            </w:pPr>
            <w:r>
              <w:rPr>
                <w:rFonts w:ascii="times" w:hAnsi="times"/>
                <w:sz w:val="14"/>
              </w:rPr>
              <w:t>Distributions paid to common unitholders and general partner</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br/>
              <w:t>(532</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br/>
              <w:t>)</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br/>
              <w:t>(532</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br/>
              <w:t>)</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Other financing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48"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3996"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provided by (used in) financing activities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578</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(114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464</w:t>
            </w:r>
          </w:p>
        </w:tc>
        <w:tc>
          <w:tcPr>
            <w:tcW w:w="65" w:type="dxa"/>
            <w:tcBorders/>
            <w:shd w:fill="FFFFFF" w:val="clear"/>
            <w:vAlign w:val="bottom"/>
          </w:tcPr>
          <w:p>
            <w:pPr>
              <w:pStyle w:val="TableContents"/>
              <w:spacing w:before="0" w:after="283"/>
              <w:rPr/>
            </w:pPr>
            <w:r>
              <w:rPr/>
              <w:t> </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4" w:type="dxa"/>
            <w:gridSpan w:val="3"/>
            <w:tcBorders/>
            <w:shd w:fill="CCEEFF" w:val="clear"/>
            <w:vAlign w:val="bottom"/>
          </w:tcPr>
          <w:p>
            <w:pPr>
              <w:pStyle w:val="TableContents"/>
              <w:spacing w:before="200" w:after="283"/>
              <w:ind w:left="160" w:right="0" w:hanging="160"/>
              <w:rPr>
                <w:rFonts w:ascii="times" w:hAnsi="times"/>
                <w:sz w:val="14"/>
              </w:rPr>
            </w:pPr>
            <w:r>
              <w:rPr>
                <w:rFonts w:ascii="times" w:hAnsi="times"/>
                <w:sz w:val="14"/>
              </w:rPr>
              <w:t>Effect of translation adjustment on cash</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br/>
              <w:t>5</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br/>
              <w:t>5</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increase (decrease) in cash and cash equivalents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4"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and cash equivalents, beginning of period</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65" w:type="dxa"/>
            <w:tcBorders/>
            <w:shd w:fill="CCEEFF" w:val="clear"/>
            <w:vAlign w:val="bottom"/>
          </w:tcPr>
          <w:p>
            <w:pPr>
              <w:pStyle w:val="TableContents"/>
              <w:spacing w:before="0" w:after="283"/>
              <w:rPr/>
            </w:pPr>
            <w:r>
              <w:rPr/>
              <w:t> </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4"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Cash and cash equivalents, end of period</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65" w:type="dxa"/>
            <w:tcBorders/>
            <w:shd w:fill="FFFFFF" w:val="clear"/>
            <w:vAlign w:val="bottom"/>
          </w:tcPr>
          <w:p>
            <w:pPr>
              <w:pStyle w:val="TableContents"/>
              <w:spacing w:before="0" w:after="283"/>
              <w:rPr/>
            </w:pPr>
            <w:r>
              <w:rPr/>
              <w:t> </w:t>
            </w:r>
          </w:p>
        </w:tc>
      </w:tr>
      <w:tr>
        <w:trPr/>
        <w:tc>
          <w:tcPr>
            <w:tcW w:w="4294"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F-60</w:t>
      </w:r>
    </w:p>
    <w:p>
      <w:pPr>
        <w:pStyle w:val="HorizontalLine"/>
        <w:pBdr>
          <w:bottom w:val="single" w:sz="20" w:space="0" w:color="808080"/>
        </w:pBdr>
        <w:rPr/>
      </w:pPr>
      <w:r>
        <w:rPr/>
      </w:r>
      <w:r>
        <w:br w:type="page"/>
      </w:r>
    </w:p>
    <w:p>
      <w:pPr>
        <w:pStyle w:val="TextBody"/>
        <w:rPr/>
      </w:pPr>
      <w:hyperlink w:anchor="bg12101a_main_toc">
        <w:bookmarkStart w:id="294" w:name="page_fy12101_1_61"/>
        <w:bookmarkEnd w:id="294"/>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13Supplemental Condensed Consolidating Financial Information (Continued) </w:t>
      </w:r>
    </w:p>
    <w:p>
      <w:pPr>
        <w:pStyle w:val="TextBody"/>
        <w:rPr>
          <w:rFonts w:ascii="times" w:hAnsi="times"/>
          <w:b/>
          <w:sz w:val="20"/>
        </w:rPr>
      </w:pPr>
      <w:r>
        <w:rPr>
          <w:rFonts w:ascii="times" w:hAnsi="times"/>
          <w:b/>
          <w:sz w:val="20"/>
        </w:rPr>
        <w:t xml:space="preserve">Condensed Consolidating Statements of Cash Flows </w:t>
      </w:r>
    </w:p>
    <w:tbl>
      <w:tblPr>
        <w:tblW w:w="8647" w:type="dxa"/>
        <w:jc w:val="center"/>
        <w:tblInd w:w="0" w:type="dxa"/>
        <w:tblCellMar>
          <w:top w:w="0" w:type="dxa"/>
          <w:left w:w="0" w:type="dxa"/>
          <w:bottom w:w="0" w:type="dxa"/>
          <w:right w:w="0" w:type="dxa"/>
        </w:tblCellMar>
      </w:tblPr>
      <w:tblGrid>
        <w:gridCol w:w="150"/>
        <w:gridCol w:w="150"/>
        <w:gridCol w:w="3993"/>
        <w:gridCol w:w="60"/>
        <w:gridCol w:w="108"/>
        <w:gridCol w:w="331"/>
        <w:gridCol w:w="65"/>
        <w:gridCol w:w="192"/>
        <w:gridCol w:w="607"/>
        <w:gridCol w:w="65"/>
        <w:gridCol w:w="291"/>
        <w:gridCol w:w="765"/>
        <w:gridCol w:w="65"/>
        <w:gridCol w:w="197"/>
        <w:gridCol w:w="632"/>
        <w:gridCol w:w="65"/>
        <w:gridCol w:w="201"/>
        <w:gridCol w:w="645"/>
        <w:gridCol w:w="65"/>
      </w:tblGrid>
      <w:tr>
        <w:trPr/>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9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293" w:type="dxa"/>
            <w:gridSpan w:val="3"/>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229"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2007 </w:t>
            </w:r>
          </w:p>
        </w:tc>
        <w:tc>
          <w:tcPr>
            <w:tcW w:w="65" w:type="dxa"/>
            <w:tcBorders/>
            <w:shd w:fill="auto" w:val="clear"/>
            <w:vAlign w:val="bottom"/>
          </w:tcPr>
          <w:p>
            <w:pPr>
              <w:pStyle w:val="TableHeading"/>
              <w:suppressLineNumbers/>
              <w:spacing w:before="0" w:after="283"/>
              <w:jc w:val="center"/>
              <w:rPr/>
            </w:pPr>
            <w:r>
              <w:rPr/>
              <w:t> </w:t>
            </w:r>
          </w:p>
        </w:tc>
      </w:tr>
      <w:tr>
        <w:trPr/>
        <w:tc>
          <w:tcPr>
            <w:tcW w:w="4293" w:type="dxa"/>
            <w:gridSpan w:val="3"/>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6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105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65" w:type="dxa"/>
            <w:tcBorders/>
            <w:shd w:fill="auto" w:val="clear"/>
            <w:vAlign w:val="bottom"/>
          </w:tcPr>
          <w:p>
            <w:pPr>
              <w:pStyle w:val="TableHeading"/>
              <w:suppressLineNumbers/>
              <w:spacing w:before="0" w:after="283"/>
              <w:jc w:val="center"/>
              <w:rPr/>
            </w:pPr>
            <w:r>
              <w:rPr/>
              <w:t> </w:t>
            </w:r>
          </w:p>
        </w:tc>
        <w:tc>
          <w:tcPr>
            <w:tcW w:w="8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5" w:type="dxa"/>
            <w:tcBorders/>
            <w:shd w:fill="auto" w:val="clear"/>
            <w:vAlign w:val="bottom"/>
          </w:tcPr>
          <w:p>
            <w:pPr>
              <w:pStyle w:val="TableHeading"/>
              <w:suppressLineNumbers/>
              <w:spacing w:before="0" w:after="283"/>
              <w:jc w:val="center"/>
              <w:rPr/>
            </w:pPr>
            <w:r>
              <w:rPr/>
              <w:t> </w:t>
            </w:r>
          </w:p>
        </w:tc>
      </w:tr>
      <w:tr>
        <w:trPr/>
        <w:tc>
          <w:tcPr>
            <w:tcW w:w="429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FLOWS FROM OPERATING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income</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365</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514</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61</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(575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0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365</w:t>
            </w:r>
          </w:p>
        </w:tc>
        <w:tc>
          <w:tcPr>
            <w:tcW w:w="65" w:type="dxa"/>
            <w:tcBorders/>
            <w:shd w:fill="FFFFFF" w:val="clear"/>
            <w:vAlign w:val="bottom"/>
          </w:tcPr>
          <w:p>
            <w:pPr>
              <w:pStyle w:val="TableContents"/>
              <w:spacing w:before="0" w:after="283"/>
              <w:rPr/>
            </w:pPr>
            <w:r>
              <w:rPr/>
              <w:t> </w:t>
            </w:r>
          </w:p>
        </w:tc>
      </w:tr>
      <w:tr>
        <w:trPr/>
        <w:tc>
          <w:tcPr>
            <w:tcW w:w="4293" w:type="dxa"/>
            <w:gridSpan w:val="3"/>
            <w:tcBorders/>
            <w:shd w:fill="CCEEFF" w:val="clear"/>
            <w:vAlign w:val="bottom"/>
          </w:tcPr>
          <w:p>
            <w:pPr>
              <w:pStyle w:val="TableContents"/>
              <w:spacing w:before="180" w:after="283"/>
              <w:ind w:left="160" w:right="0" w:hanging="160"/>
              <w:rPr>
                <w:rFonts w:ascii="times" w:hAnsi="times"/>
                <w:sz w:val="14"/>
              </w:rPr>
            </w:pPr>
            <w:r>
              <w:rPr>
                <w:rFonts w:ascii="times" w:hAnsi="times"/>
                <w:sz w:val="14"/>
              </w:rPr>
              <w:t>Adjustments to reconcile to cash flows from operating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150" w:type="dxa"/>
            <w:tcBorders/>
            <w:shd w:fill="FFFFFF" w:val="clear"/>
            <w:vAlign w:val="bottom"/>
          </w:tcPr>
          <w:p>
            <w:pPr>
              <w:pStyle w:val="TableContents"/>
              <w:spacing w:before="0" w:after="283"/>
              <w:rPr/>
            </w:pPr>
            <w:r>
              <w:rPr/>
              <w:t> </w:t>
            </w:r>
          </w:p>
        </w:tc>
        <w:tc>
          <w:tcPr>
            <w:tcW w:w="4143"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Depreciation and amortization</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157</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20</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180</w:t>
            </w:r>
          </w:p>
        </w:tc>
        <w:tc>
          <w:tcPr>
            <w:tcW w:w="65" w:type="dxa"/>
            <w:tcBorders/>
            <w:shd w:fill="FFFFFF" w:val="clear"/>
            <w:vAlign w:val="bottom"/>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4143"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(Gains)/losses on derivative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22</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65" w:type="dxa"/>
            <w:tcBorders/>
            <w:shd w:fill="CCEEFF" w:val="clear"/>
            <w:vAlign w:val="bottom"/>
          </w:tcPr>
          <w:p>
            <w:pPr>
              <w:pStyle w:val="TableContents"/>
              <w:spacing w:before="0" w:after="283"/>
              <w:rPr/>
            </w:pPr>
            <w:r>
              <w:rPr/>
              <w:t> </w:t>
            </w:r>
          </w:p>
        </w:tc>
      </w:tr>
      <w:tr>
        <w:trPr/>
        <w:tc>
          <w:tcPr>
            <w:tcW w:w="150" w:type="dxa"/>
            <w:tcBorders/>
            <w:shd w:fill="FFFFFF" w:val="clear"/>
            <w:vAlign w:val="bottom"/>
          </w:tcPr>
          <w:p>
            <w:pPr>
              <w:pStyle w:val="TableContents"/>
              <w:spacing w:before="0" w:after="283"/>
              <w:rPr/>
            </w:pPr>
            <w:r>
              <w:rPr/>
              <w:t> </w:t>
            </w:r>
          </w:p>
        </w:tc>
        <w:tc>
          <w:tcPr>
            <w:tcW w:w="4143"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 compensation expense</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49</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49</w:t>
            </w:r>
          </w:p>
        </w:tc>
        <w:tc>
          <w:tcPr>
            <w:tcW w:w="65" w:type="dxa"/>
            <w:tcBorders/>
            <w:shd w:fill="FFFFFF" w:val="clear"/>
            <w:vAlign w:val="bottom"/>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4143"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earnings in unconsolidated entities, net of</w:t>
              <w:br/>
              <w:t>distributions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(524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(65</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575</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150" w:type="dxa"/>
            <w:tcBorders/>
            <w:shd w:fill="FFFFFF" w:val="clear"/>
            <w:vAlign w:val="bottom"/>
          </w:tcPr>
          <w:p>
            <w:pPr>
              <w:pStyle w:val="TableContents"/>
              <w:spacing w:before="0" w:after="283"/>
              <w:rPr/>
            </w:pPr>
            <w:r>
              <w:rPr/>
              <w:t> </w:t>
            </w:r>
          </w:p>
        </w:tc>
        <w:tc>
          <w:tcPr>
            <w:tcW w:w="4143"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Deferred income tax expense</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13</w:t>
            </w:r>
          </w:p>
        </w:tc>
        <w:tc>
          <w:tcPr>
            <w:tcW w:w="65" w:type="dxa"/>
            <w:tcBorders/>
            <w:shd w:fill="FFFFFF" w:val="clear"/>
            <w:vAlign w:val="bottom"/>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4143"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Other</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Changes in assets and liabilities, net of acquisitions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230</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20</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(57</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193</w:t>
            </w:r>
          </w:p>
        </w:tc>
        <w:tc>
          <w:tcPr>
            <w:tcW w:w="65" w:type="dxa"/>
            <w:tcBorders/>
            <w:shd w:fill="FFFFFF" w:val="clear"/>
            <w:vAlign w:val="bottom"/>
          </w:tcPr>
          <w:p>
            <w:pPr>
              <w:pStyle w:val="TableContents"/>
              <w:spacing w:before="0" w:after="283"/>
              <w:rPr/>
            </w:pPr>
            <w:r>
              <w:rPr/>
              <w:t> </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993" w:type="dxa"/>
            <w:tcBorders/>
            <w:shd w:fill="CCEEFF" w:val="clear"/>
            <w:vAlign w:val="bottom"/>
          </w:tcPr>
          <w:p>
            <w:pPr>
              <w:pStyle w:val="TableContents"/>
              <w:spacing w:before="180" w:after="283"/>
              <w:ind w:left="160" w:right="0" w:hanging="160"/>
              <w:rPr>
                <w:rFonts w:ascii="times" w:hAnsi="times"/>
                <w:sz w:val="14"/>
              </w:rPr>
            </w:pPr>
            <w:r>
              <w:rPr>
                <w:rFonts w:ascii="times" w:hAnsi="times"/>
                <w:sz w:val="14"/>
              </w:rPr>
              <w:t>Net cash provided by operating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br/>
              <w:t>76</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br/>
              <w:t>696</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24</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br/>
              <w:t>796</w:t>
            </w:r>
          </w:p>
        </w:tc>
        <w:tc>
          <w:tcPr>
            <w:tcW w:w="65" w:type="dxa"/>
            <w:tcBorders/>
            <w:shd w:fill="CCEEFF" w:val="clear"/>
            <w:vAlign w:val="bottom"/>
          </w:tcPr>
          <w:p>
            <w:pPr>
              <w:pStyle w:val="TableContents"/>
              <w:spacing w:before="0" w:after="283"/>
              <w:rPr/>
            </w:pPr>
            <w:r>
              <w:rPr/>
              <w:t> </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3" w:type="dxa"/>
            <w:gridSpan w:val="3"/>
            <w:tcBorders/>
            <w:shd w:fill="FFFFFF" w:val="clear"/>
            <w:vAlign w:val="bottom"/>
          </w:tcPr>
          <w:p>
            <w:pPr>
              <w:pStyle w:val="TableContents"/>
              <w:spacing w:before="180" w:after="283"/>
              <w:ind w:left="160" w:right="0" w:hanging="160"/>
              <w:rPr>
                <w:rFonts w:ascii="times" w:hAnsi="times"/>
                <w:sz w:val="14"/>
              </w:rPr>
            </w:pPr>
            <w:r>
              <w:rPr>
                <w:rFonts w:ascii="times" w:hAnsi="times"/>
                <w:sz w:val="14"/>
              </w:rPr>
              <w:t>CASH FLOWS FROM INVESTING ACTIVITIES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r>
      <w:tr>
        <w:trPr/>
        <w:tc>
          <w:tcPr>
            <w:tcW w:w="429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paid in connection with acquisitions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(127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(127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Additions to property and equipment</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(524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(24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(548</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Investment in unconsolidated entities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(9</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paid for linefill in assets owned</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(19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Proceeds from sales of assets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40</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40</w:t>
            </w:r>
          </w:p>
        </w:tc>
        <w:tc>
          <w:tcPr>
            <w:tcW w:w="65" w:type="dxa"/>
            <w:tcBorders/>
            <w:shd w:fill="CCEEFF" w:val="clear"/>
            <w:vAlign w:val="bottom"/>
          </w:tcPr>
          <w:p>
            <w:pPr>
              <w:pStyle w:val="TableContents"/>
              <w:spacing w:before="0" w:after="283"/>
              <w:rPr/>
            </w:pPr>
            <w:r>
              <w:rPr/>
              <w:t> </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5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rPr/>
            </w:pPr>
            <w:r>
              <w:rPr/>
              <w:t> </w:t>
            </w:r>
          </w:p>
        </w:tc>
        <w:tc>
          <w:tcPr>
            <w:tcW w:w="399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used in investing activities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(630</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(24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(663</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3" w:type="dxa"/>
            <w:gridSpan w:val="3"/>
            <w:tcBorders/>
            <w:shd w:fill="CCEEFF" w:val="clear"/>
            <w:vAlign w:val="bottom"/>
          </w:tcPr>
          <w:p>
            <w:pPr>
              <w:pStyle w:val="TableContents"/>
              <w:spacing w:before="180" w:after="283"/>
              <w:ind w:left="160" w:right="0" w:hanging="160"/>
              <w:rPr>
                <w:rFonts w:ascii="times" w:hAnsi="times"/>
                <w:sz w:val="14"/>
              </w:rPr>
            </w:pPr>
            <w:r>
              <w:rPr>
                <w:rFonts w:ascii="times" w:hAnsi="times"/>
                <w:sz w:val="14"/>
              </w:rPr>
              <w:t>CASH FLOWS FROM FINANCING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borrowings on revolving credit facility</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305</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305</w:t>
            </w:r>
          </w:p>
        </w:tc>
        <w:tc>
          <w:tcPr>
            <w:tcW w:w="65" w:type="dxa"/>
            <w:tcBorders/>
            <w:shd w:fill="FFFFFF" w:val="clear"/>
            <w:vAlign w:val="bottom"/>
          </w:tcPr>
          <w:p>
            <w:pPr>
              <w:pStyle w:val="TableContents"/>
              <w:spacing w:before="0" w:after="283"/>
              <w:rPr/>
            </w:pPr>
            <w:r>
              <w:rPr/>
              <w:t> </w:t>
            </w:r>
          </w:p>
        </w:tc>
      </w:tr>
      <w:tr>
        <w:trPr/>
        <w:tc>
          <w:tcPr>
            <w:tcW w:w="429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repayments on short-term letter of credit and hedged inventory facility</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(359</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(359</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proceeds from the issuance of common units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383</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383</w:t>
            </w:r>
          </w:p>
        </w:tc>
        <w:tc>
          <w:tcPr>
            <w:tcW w:w="65" w:type="dxa"/>
            <w:tcBorders/>
            <w:shd w:fill="FFFFFF" w:val="clear"/>
            <w:vAlign w:val="bottom"/>
          </w:tcPr>
          <w:p>
            <w:pPr>
              <w:pStyle w:val="TableContents"/>
              <w:spacing w:before="0" w:after="283"/>
              <w:rPr/>
            </w:pPr>
            <w:r>
              <w:rPr/>
              <w:t> </w:t>
            </w:r>
          </w:p>
        </w:tc>
      </w:tr>
      <w:tr>
        <w:trPr/>
        <w:tc>
          <w:tcPr>
            <w:tcW w:w="4293" w:type="dxa"/>
            <w:gridSpan w:val="3"/>
            <w:tcBorders/>
            <w:shd w:fill="CCEEFF" w:val="clear"/>
            <w:vAlign w:val="bottom"/>
          </w:tcPr>
          <w:p>
            <w:pPr>
              <w:pStyle w:val="TableContents"/>
              <w:spacing w:before="180" w:after="283"/>
              <w:ind w:left="160" w:right="0" w:hanging="160"/>
              <w:rPr>
                <w:rFonts w:ascii="times" w:hAnsi="times"/>
                <w:sz w:val="14"/>
              </w:rPr>
            </w:pPr>
            <w:r>
              <w:rPr>
                <w:rFonts w:ascii="times" w:hAnsi="times"/>
                <w:sz w:val="14"/>
              </w:rPr>
              <w:t>Distributions paid to common unitholders and general partner</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br/>
              <w:t>(451</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b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br/>
              <w:t>(451</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br/>
              <w:t>)</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Other financing activities</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5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99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cash used in financing activities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(68</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(56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(124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3" w:type="dxa"/>
            <w:gridSpan w:val="3"/>
            <w:tcBorders/>
            <w:shd w:fill="FFFFFF" w:val="clear"/>
            <w:vAlign w:val="bottom"/>
          </w:tcPr>
          <w:p>
            <w:pPr>
              <w:pStyle w:val="TableContents"/>
              <w:spacing w:before="180" w:after="283"/>
              <w:ind w:left="160" w:right="0" w:hanging="160"/>
              <w:rPr>
                <w:rFonts w:ascii="times" w:hAnsi="times"/>
                <w:sz w:val="14"/>
              </w:rPr>
            </w:pPr>
            <w:r>
              <w:rPr>
                <w:rFonts w:ascii="times" w:hAnsi="times"/>
                <w:sz w:val="14"/>
              </w:rPr>
              <w:t>Effect of translation adjustment on cash</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br/>
              <w:t>4</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br/>
              <w:t>4</w:t>
            </w:r>
          </w:p>
        </w:tc>
        <w:tc>
          <w:tcPr>
            <w:tcW w:w="65" w:type="dxa"/>
            <w:tcBorders/>
            <w:shd w:fill="FFFFFF" w:val="clear"/>
            <w:vAlign w:val="bottom"/>
          </w:tcPr>
          <w:p>
            <w:pPr>
              <w:pStyle w:val="TableContents"/>
              <w:spacing w:before="0" w:after="283"/>
              <w:rPr/>
            </w:pPr>
            <w:r>
              <w:rPr/>
              <w:t> </w:t>
            </w:r>
          </w:p>
        </w:tc>
      </w:tr>
      <w:tr>
        <w:trPr/>
        <w:tc>
          <w:tcPr>
            <w:tcW w:w="429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increase (decrease) in cash and cash equivalents</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65" w:type="dxa"/>
            <w:tcBorders/>
            <w:shd w:fill="CCEEFF" w:val="clear"/>
            <w:vAlign w:val="bottom"/>
          </w:tcPr>
          <w:p>
            <w:pPr>
              <w:pStyle w:val="TableContents"/>
              <w:spacing w:before="0" w:after="283"/>
              <w:rPr/>
            </w:pPr>
            <w:r>
              <w:rPr/>
              <w:t> </w:t>
            </w:r>
          </w:p>
        </w:tc>
      </w:tr>
      <w:tr>
        <w:trPr/>
        <w:tc>
          <w:tcPr>
            <w:tcW w:w="429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Cash and cash equivalents, beginning of period</w:t>
            </w:r>
          </w:p>
        </w:tc>
        <w:tc>
          <w:tcPr>
            <w:tcW w:w="60"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rPr/>
            </w:pPr>
            <w:r>
              <w:rPr/>
              <w:t> </w:t>
            </w:r>
          </w:p>
        </w:tc>
        <w:tc>
          <w:tcPr>
            <w:tcW w:w="331"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65"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45"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65" w:type="dxa"/>
            <w:tcBorders/>
            <w:shd w:fill="FFFFFF" w:val="clear"/>
            <w:vAlign w:val="bottom"/>
          </w:tcPr>
          <w:p>
            <w:pPr>
              <w:pStyle w:val="TableContents"/>
              <w:spacing w:before="0" w:after="283"/>
              <w:rPr/>
            </w:pPr>
            <w:r>
              <w:rPr/>
              <w:t> </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29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and cash equivalents, end of period</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31" w:type="dxa"/>
            <w:tcBorders/>
            <w:shd w:fill="CCEE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6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45"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65" w:type="dxa"/>
            <w:tcBorders/>
            <w:shd w:fill="CCEEFF" w:val="clear"/>
            <w:vAlign w:val="bottom"/>
          </w:tcPr>
          <w:p>
            <w:pPr>
              <w:pStyle w:val="TableContents"/>
              <w:spacing w:before="0" w:after="283"/>
              <w:rPr/>
            </w:pPr>
            <w:r>
              <w:rPr/>
              <w:t> </w:t>
            </w:r>
          </w:p>
        </w:tc>
      </w:tr>
      <w:tr>
        <w:trPr/>
        <w:tc>
          <w:tcPr>
            <w:tcW w:w="429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3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05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6"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F-61</w:t>
      </w:r>
    </w:p>
    <w:p>
      <w:pPr>
        <w:pStyle w:val="HorizontalLine"/>
        <w:pBdr>
          <w:bottom w:val="single" w:sz="20" w:space="0" w:color="808080"/>
        </w:pBdr>
        <w:rPr/>
      </w:pPr>
      <w:r>
        <w:rPr/>
      </w:r>
      <w:r>
        <w:br w:type="page"/>
      </w:r>
    </w:p>
    <w:p>
      <w:pPr>
        <w:pStyle w:val="TextBody"/>
        <w:rPr/>
      </w:pPr>
      <w:hyperlink w:anchor="bg12101a_main_toc">
        <w:bookmarkStart w:id="295" w:name="page_fy12101_1_62"/>
        <w:bookmarkEnd w:id="295"/>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13Supplemental Condensed Consolidating Financial Information (Continued) </w:t>
      </w:r>
    </w:p>
    <w:p>
      <w:pPr>
        <w:pStyle w:val="TextBody"/>
        <w:rPr>
          <w:rFonts w:ascii="times" w:hAnsi="times"/>
          <w:b/>
          <w:sz w:val="20"/>
        </w:rPr>
      </w:pPr>
      <w:r>
        <w:rPr>
          <w:rFonts w:ascii="times" w:hAnsi="times"/>
          <w:b/>
          <w:sz w:val="20"/>
        </w:rPr>
        <w:t xml:space="preserve">Condensed Consolidating Statements of Cash Flows </w:t>
      </w:r>
    </w:p>
    <w:tbl>
      <w:tblPr>
        <w:tblW w:w="9404" w:type="dxa"/>
        <w:jc w:val="center"/>
        <w:tblInd w:w="0" w:type="dxa"/>
        <w:tblCellMar>
          <w:top w:w="0" w:type="dxa"/>
          <w:left w:w="0" w:type="dxa"/>
          <w:bottom w:w="0" w:type="dxa"/>
          <w:right w:w="0" w:type="dxa"/>
        </w:tblCellMar>
      </w:tblPr>
      <w:tblGrid>
        <w:gridCol w:w="173"/>
        <w:gridCol w:w="173"/>
        <w:gridCol w:w="4607"/>
        <w:gridCol w:w="60"/>
        <w:gridCol w:w="95"/>
        <w:gridCol w:w="350"/>
        <w:gridCol w:w="65"/>
        <w:gridCol w:w="192"/>
        <w:gridCol w:w="607"/>
        <w:gridCol w:w="65"/>
        <w:gridCol w:w="384"/>
        <w:gridCol w:w="765"/>
        <w:gridCol w:w="65"/>
        <w:gridCol w:w="197"/>
        <w:gridCol w:w="632"/>
        <w:gridCol w:w="65"/>
        <w:gridCol w:w="163"/>
        <w:gridCol w:w="681"/>
        <w:gridCol w:w="65"/>
      </w:tblGrid>
      <w:tr>
        <w:trPr/>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6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953" w:type="dxa"/>
            <w:gridSpan w:val="3"/>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326"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2006 </w:t>
            </w:r>
          </w:p>
        </w:tc>
        <w:tc>
          <w:tcPr>
            <w:tcW w:w="65" w:type="dxa"/>
            <w:tcBorders/>
            <w:shd w:fill="auto" w:val="clear"/>
            <w:vAlign w:val="bottom"/>
          </w:tcPr>
          <w:p>
            <w:pPr>
              <w:pStyle w:val="TableHeading"/>
              <w:suppressLineNumbers/>
              <w:spacing w:before="0" w:after="283"/>
              <w:jc w:val="center"/>
              <w:rPr/>
            </w:pPr>
            <w:r>
              <w:rPr/>
              <w:t> </w:t>
            </w:r>
          </w:p>
        </w:tc>
      </w:tr>
      <w:tr>
        <w:trPr/>
        <w:tc>
          <w:tcPr>
            <w:tcW w:w="4953" w:type="dxa"/>
            <w:gridSpan w:val="3"/>
            <w:tcBorders/>
            <w:shd w:fill="auto" w:val="clear"/>
            <w:vAlign w:val="bottom"/>
          </w:tcPr>
          <w:p>
            <w:pPr>
              <w:pStyle w:val="TableHeading"/>
              <w:spacing w:before="0" w:after="283"/>
              <w:jc w:val="left"/>
              <w:rPr/>
            </w:pPr>
            <w:r>
              <w:rPr/>
              <w:t> </w:t>
            </w:r>
          </w:p>
        </w:tc>
        <w:tc>
          <w:tcPr>
            <w:tcW w:w="60" w:type="dxa"/>
            <w:tcBorders/>
            <w:shd w:fill="auto" w:val="clear"/>
            <w:vAlign w:val="bottom"/>
          </w:tcPr>
          <w:p>
            <w:pPr>
              <w:pStyle w:val="TableHeading"/>
              <w:suppressLineNumbers/>
              <w:spacing w:before="0" w:after="283"/>
              <w:jc w:val="center"/>
              <w:rPr/>
            </w:pPr>
            <w:r>
              <w:rPr/>
              <w:t> </w:t>
            </w:r>
          </w:p>
        </w:tc>
        <w:tc>
          <w:tcPr>
            <w:tcW w:w="4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Parent </w:t>
            </w:r>
          </w:p>
        </w:tc>
        <w:tc>
          <w:tcPr>
            <w:tcW w:w="65" w:type="dxa"/>
            <w:tcBorders/>
            <w:shd w:fill="auto" w:val="clear"/>
            <w:vAlign w:val="bottom"/>
          </w:tcPr>
          <w:p>
            <w:pPr>
              <w:pStyle w:val="TableHeading"/>
              <w:suppressLineNumbers/>
              <w:spacing w:before="0" w:after="283"/>
              <w:jc w:val="center"/>
              <w:rPr/>
            </w:pPr>
            <w:r>
              <w:rPr/>
              <w:t> </w:t>
            </w:r>
          </w:p>
        </w:tc>
        <w:tc>
          <w:tcPr>
            <w:tcW w:w="7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11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Combined</w:t>
              <w:br/>
              <w:t>Non-Guarantor</w:t>
              <w:br/>
              <w:t xml:space="preserve">Subsidiaries </w:t>
            </w:r>
          </w:p>
        </w:tc>
        <w:tc>
          <w:tcPr>
            <w:tcW w:w="65" w:type="dxa"/>
            <w:tcBorders/>
            <w:shd w:fill="auto" w:val="clear"/>
            <w:vAlign w:val="bottom"/>
          </w:tcPr>
          <w:p>
            <w:pPr>
              <w:pStyle w:val="TableHeading"/>
              <w:suppressLineNumbers/>
              <w:spacing w:before="0" w:after="283"/>
              <w:jc w:val="center"/>
              <w:rPr/>
            </w:pPr>
            <w:r>
              <w:rPr/>
              <w:t> </w:t>
            </w:r>
          </w:p>
        </w:tc>
        <w:tc>
          <w:tcPr>
            <w:tcW w:w="8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Eliminations </w:t>
            </w:r>
          </w:p>
        </w:tc>
        <w:tc>
          <w:tcPr>
            <w:tcW w:w="65" w:type="dxa"/>
            <w:tcBorders/>
            <w:shd w:fill="auto" w:val="clear"/>
            <w:vAlign w:val="bottom"/>
          </w:tcPr>
          <w:p>
            <w:pPr>
              <w:pStyle w:val="TableHeading"/>
              <w:suppressLineNumbers/>
              <w:spacing w:before="0" w:after="283"/>
              <w:jc w:val="center"/>
              <w:rPr/>
            </w:pPr>
            <w:r>
              <w:rPr/>
              <w:t> </w:t>
            </w:r>
          </w:p>
        </w:tc>
        <w:tc>
          <w:tcPr>
            <w:tcW w:w="8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w:t>
            </w:r>
          </w:p>
        </w:tc>
        <w:tc>
          <w:tcPr>
            <w:tcW w:w="65" w:type="dxa"/>
            <w:tcBorders/>
            <w:shd w:fill="auto" w:val="clear"/>
            <w:vAlign w:val="bottom"/>
          </w:tcPr>
          <w:p>
            <w:pPr>
              <w:pStyle w:val="TableHeading"/>
              <w:suppressLineNumbers/>
              <w:spacing w:before="0" w:after="283"/>
              <w:jc w:val="center"/>
              <w:rPr/>
            </w:pPr>
            <w:r>
              <w:rPr/>
              <w:t> </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FLOWS FROM OPERATING ACTIVITIES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income</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285</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363</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(369</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6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285</w:t>
            </w:r>
          </w:p>
        </w:tc>
        <w:tc>
          <w:tcPr>
            <w:tcW w:w="65" w:type="dxa"/>
            <w:tcBorders/>
            <w:shd w:fill="FFFFFF" w:val="clear"/>
            <w:vAlign w:val="bottom"/>
          </w:tcPr>
          <w:p>
            <w:pPr>
              <w:pStyle w:val="TableContents"/>
              <w:spacing w:before="0" w:after="283"/>
              <w:rPr/>
            </w:pPr>
            <w:r>
              <w:rPr/>
              <w:t> </w:t>
            </w:r>
          </w:p>
        </w:tc>
      </w:tr>
      <w:tr>
        <w:trPr/>
        <w:tc>
          <w:tcPr>
            <w:tcW w:w="4953" w:type="dxa"/>
            <w:gridSpan w:val="3"/>
            <w:tcBorders/>
            <w:shd w:fill="CCEEFF" w:val="clear"/>
            <w:vAlign w:val="bottom"/>
          </w:tcPr>
          <w:p>
            <w:pPr>
              <w:pStyle w:val="TableContents"/>
              <w:spacing w:before="180" w:after="283"/>
              <w:ind w:left="160" w:right="0" w:hanging="160"/>
              <w:rPr>
                <w:rFonts w:ascii="times" w:hAnsi="times"/>
                <w:sz w:val="14"/>
              </w:rPr>
            </w:pPr>
            <w:r>
              <w:rPr>
                <w:rFonts w:ascii="times" w:hAnsi="times"/>
                <w:sz w:val="14"/>
              </w:rPr>
              <w:t>Adjustments to reconcile to cash flows from operating activities: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173" w:type="dxa"/>
            <w:tcBorders/>
            <w:shd w:fill="FFFFFF" w:val="clear"/>
            <w:vAlign w:val="bottom"/>
          </w:tcPr>
          <w:p>
            <w:pPr>
              <w:pStyle w:val="TableContents"/>
              <w:spacing w:before="0" w:after="283"/>
              <w:rPr/>
            </w:pPr>
            <w:r>
              <w:rPr/>
              <w:t> </w:t>
            </w:r>
          </w:p>
        </w:tc>
        <w:tc>
          <w:tcPr>
            <w:tcW w:w="4780"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Depreciation and amortization</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94</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3</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100</w:t>
            </w:r>
          </w:p>
        </w:tc>
        <w:tc>
          <w:tcPr>
            <w:tcW w:w="65" w:type="dxa"/>
            <w:tcBorders/>
            <w:shd w:fill="FFFFFF" w:val="clear"/>
            <w:vAlign w:val="bottom"/>
          </w:tcPr>
          <w:p>
            <w:pPr>
              <w:pStyle w:val="TableContents"/>
              <w:spacing w:before="0" w:after="283"/>
              <w:rPr/>
            </w:pPr>
            <w:r>
              <w:rPr/>
              <w:t> </w:t>
            </w:r>
          </w:p>
        </w:tc>
      </w:tr>
      <w:tr>
        <w:trPr/>
        <w:tc>
          <w:tcPr>
            <w:tcW w:w="173" w:type="dxa"/>
            <w:tcBorders/>
            <w:shd w:fill="CCEEFF" w:val="clear"/>
            <w:vAlign w:val="bottom"/>
          </w:tcPr>
          <w:p>
            <w:pPr>
              <w:pStyle w:val="TableContents"/>
              <w:spacing w:before="0" w:after="283"/>
              <w:rPr/>
            </w:pPr>
            <w:r>
              <w:rPr/>
              <w:t> </w:t>
            </w:r>
          </w:p>
        </w:tc>
        <w:tc>
          <w:tcPr>
            <w:tcW w:w="4780"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Cumulative effect of change in accounting principle</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173" w:type="dxa"/>
            <w:tcBorders/>
            <w:shd w:fill="FFFFFF" w:val="clear"/>
            <w:vAlign w:val="bottom"/>
          </w:tcPr>
          <w:p>
            <w:pPr>
              <w:pStyle w:val="TableContents"/>
              <w:spacing w:before="0" w:after="283"/>
              <w:rPr/>
            </w:pPr>
            <w:r>
              <w:rPr/>
              <w:t> </w:t>
            </w:r>
          </w:p>
        </w:tc>
        <w:tc>
          <w:tcPr>
            <w:tcW w:w="4780"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(Gains)/losses on derivative activities</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pPr>
            <w:r>
              <w:rPr/>
              <w:t> </w:t>
            </w:r>
          </w:p>
        </w:tc>
      </w:tr>
      <w:tr>
        <w:trPr/>
        <w:tc>
          <w:tcPr>
            <w:tcW w:w="173" w:type="dxa"/>
            <w:tcBorders/>
            <w:shd w:fill="CCEEFF" w:val="clear"/>
            <w:vAlign w:val="bottom"/>
          </w:tcPr>
          <w:p>
            <w:pPr>
              <w:pStyle w:val="TableContents"/>
              <w:spacing w:before="0" w:after="283"/>
              <w:rPr/>
            </w:pPr>
            <w:r>
              <w:rPr/>
              <w:t> </w:t>
            </w:r>
          </w:p>
        </w:tc>
        <w:tc>
          <w:tcPr>
            <w:tcW w:w="4780"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Inventory valuation adjustment</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6</w:t>
            </w:r>
          </w:p>
        </w:tc>
        <w:tc>
          <w:tcPr>
            <w:tcW w:w="65" w:type="dxa"/>
            <w:tcBorders/>
            <w:shd w:fill="CCEEFF" w:val="clear"/>
            <w:vAlign w:val="bottom"/>
          </w:tcPr>
          <w:p>
            <w:pPr>
              <w:pStyle w:val="TableContents"/>
              <w:spacing w:before="0" w:after="283"/>
              <w:rPr/>
            </w:pPr>
            <w:r>
              <w:rPr/>
              <w:t> </w:t>
            </w:r>
          </w:p>
        </w:tc>
      </w:tr>
      <w:tr>
        <w:trPr/>
        <w:tc>
          <w:tcPr>
            <w:tcW w:w="173" w:type="dxa"/>
            <w:tcBorders/>
            <w:shd w:fill="FFFFFF" w:val="clear"/>
            <w:vAlign w:val="bottom"/>
          </w:tcPr>
          <w:p>
            <w:pPr>
              <w:pStyle w:val="TableContents"/>
              <w:spacing w:before="0" w:after="283"/>
              <w:rPr/>
            </w:pPr>
            <w:r>
              <w:rPr/>
              <w:t> </w:t>
            </w:r>
          </w:p>
        </w:tc>
        <w:tc>
          <w:tcPr>
            <w:tcW w:w="4780"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 compensation expense</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43</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43</w:t>
            </w:r>
          </w:p>
        </w:tc>
        <w:tc>
          <w:tcPr>
            <w:tcW w:w="65" w:type="dxa"/>
            <w:tcBorders/>
            <w:shd w:fill="FFFFFF" w:val="clear"/>
            <w:vAlign w:val="bottom"/>
          </w:tcPr>
          <w:p>
            <w:pPr>
              <w:pStyle w:val="TableContents"/>
              <w:spacing w:before="0" w:after="283"/>
              <w:rPr/>
            </w:pPr>
            <w:r>
              <w:rPr/>
              <w:t> </w:t>
            </w:r>
          </w:p>
        </w:tc>
      </w:tr>
      <w:tr>
        <w:trPr/>
        <w:tc>
          <w:tcPr>
            <w:tcW w:w="173" w:type="dxa"/>
            <w:tcBorders/>
            <w:shd w:fill="CCEEFF" w:val="clear"/>
            <w:vAlign w:val="bottom"/>
          </w:tcPr>
          <w:p>
            <w:pPr>
              <w:pStyle w:val="TableContents"/>
              <w:spacing w:before="0" w:after="283"/>
              <w:rPr/>
            </w:pPr>
            <w:r>
              <w:rPr/>
              <w:t> </w:t>
            </w:r>
          </w:p>
        </w:tc>
        <w:tc>
          <w:tcPr>
            <w:tcW w:w="4780"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earnings in unconsolidated entities, net of</w:t>
              <w:br/>
              <w:t>distributions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(362</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369</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173" w:type="dxa"/>
            <w:tcBorders/>
            <w:shd w:fill="FFFFFF" w:val="clear"/>
            <w:vAlign w:val="bottom"/>
          </w:tcPr>
          <w:p>
            <w:pPr>
              <w:pStyle w:val="TableContents"/>
              <w:spacing w:before="0" w:after="283"/>
              <w:rPr/>
            </w:pPr>
            <w:r>
              <w:rPr/>
              <w:t> </w:t>
            </w:r>
          </w:p>
        </w:tc>
        <w:tc>
          <w:tcPr>
            <w:tcW w:w="4780"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Loss on foreign currency revaluation</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pPr>
            <w:r>
              <w:rPr/>
              <w:t> </w:t>
            </w:r>
          </w:p>
        </w:tc>
      </w:tr>
      <w:tr>
        <w:trPr/>
        <w:tc>
          <w:tcPr>
            <w:tcW w:w="173" w:type="dxa"/>
            <w:tcBorders/>
            <w:shd w:fill="CCEEFF" w:val="clear"/>
            <w:vAlign w:val="bottom"/>
          </w:tcPr>
          <w:p>
            <w:pPr>
              <w:pStyle w:val="TableContents"/>
              <w:spacing w:before="0" w:after="283"/>
              <w:rPr/>
            </w:pPr>
            <w:r>
              <w:rPr/>
              <w:t> </w:t>
            </w:r>
          </w:p>
        </w:tc>
        <w:tc>
          <w:tcPr>
            <w:tcW w:w="4780"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Other</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Changes in assets and liabilities, net of acquisitions</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(493</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(158</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(46</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(705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73"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607" w:type="dxa"/>
            <w:tcBorders/>
            <w:shd w:fill="CCEEFF" w:val="clear"/>
            <w:vAlign w:val="bottom"/>
          </w:tcPr>
          <w:p>
            <w:pPr>
              <w:pStyle w:val="TableContents"/>
              <w:spacing w:before="180" w:after="283"/>
              <w:ind w:left="160" w:right="0" w:hanging="160"/>
              <w:rPr>
                <w:rFonts w:ascii="times" w:hAnsi="times"/>
                <w:sz w:val="14"/>
              </w:rPr>
            </w:pPr>
            <w:r>
              <w:rPr>
                <w:rFonts w:ascii="times" w:hAnsi="times"/>
                <w:sz w:val="14"/>
              </w:rPr>
              <w:t>Net cash provided by (used in) operating activities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br/>
              <w:t>(567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b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br/>
              <w:t>336</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1</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(46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br/>
              <w:t>)</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br/>
              <w:t>(276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br/>
              <w:t>)</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953" w:type="dxa"/>
            <w:gridSpan w:val="3"/>
            <w:tcBorders/>
            <w:shd w:fill="FFFFFF" w:val="clear"/>
            <w:vAlign w:val="bottom"/>
          </w:tcPr>
          <w:p>
            <w:pPr>
              <w:pStyle w:val="TableContents"/>
              <w:spacing w:before="180" w:after="283"/>
              <w:ind w:left="160" w:right="0" w:hanging="160"/>
              <w:rPr>
                <w:rFonts w:ascii="times" w:hAnsi="times"/>
                <w:sz w:val="14"/>
              </w:rPr>
            </w:pPr>
            <w:r>
              <w:rPr>
                <w:rFonts w:ascii="times" w:hAnsi="times"/>
                <w:sz w:val="14"/>
              </w:rPr>
              <w:t>CASH FLOWS FROM INVESTING ACTIVITIES</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paid in connection with acquisitions, net of $20 cash assumed from acquisitions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(704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(560</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(1,264</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Additions to property and equipment</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(340</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(341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Investment in unconsolidated entities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(46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paid for linefill in assets owned</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Proceeds from sales of assets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73"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4607"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used in investing activities</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(750</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(946</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46</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(1,651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953" w:type="dxa"/>
            <w:gridSpan w:val="3"/>
            <w:tcBorders/>
            <w:shd w:fill="CCEEFF" w:val="clear"/>
            <w:vAlign w:val="bottom"/>
          </w:tcPr>
          <w:p>
            <w:pPr>
              <w:pStyle w:val="TableContents"/>
              <w:spacing w:before="180" w:after="283"/>
              <w:ind w:left="160" w:right="0" w:hanging="160"/>
              <w:rPr>
                <w:rFonts w:ascii="times" w:hAnsi="times"/>
                <w:sz w:val="14"/>
              </w:rPr>
            </w:pPr>
            <w:r>
              <w:rPr>
                <w:rFonts w:ascii="times" w:hAnsi="times"/>
                <w:sz w:val="14"/>
              </w:rPr>
              <w:t>CASH FLOWS FROM FINANCING ACTIVITIES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repayments on revolving credit facility</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(291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(5</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(296</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borrowings on short-term letter of credit and hedged inventory facility</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616</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616</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Proceeds from the issuance of senior notes</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1,243</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1,243</w:t>
            </w:r>
          </w:p>
        </w:tc>
        <w:tc>
          <w:tcPr>
            <w:tcW w:w="65" w:type="dxa"/>
            <w:tcBorders/>
            <w:shd w:fill="FFFFFF" w:val="clear"/>
            <w:vAlign w:val="bottom"/>
          </w:tcPr>
          <w:p>
            <w:pPr>
              <w:pStyle w:val="TableContents"/>
              <w:spacing w:before="0" w:after="283"/>
              <w:rPr/>
            </w:pPr>
            <w:r>
              <w:rPr/>
              <w:t> </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proceeds from the issuance of common units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643</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643</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FFFFFF" w:val="clear"/>
            <w:vAlign w:val="bottom"/>
          </w:tcPr>
          <w:p>
            <w:pPr>
              <w:pStyle w:val="TableContents"/>
              <w:spacing w:before="180" w:after="283"/>
              <w:ind w:left="160" w:right="0" w:hanging="160"/>
              <w:rPr>
                <w:rFonts w:ascii="times" w:hAnsi="times"/>
                <w:sz w:val="14"/>
              </w:rPr>
            </w:pPr>
            <w:r>
              <w:rPr>
                <w:rFonts w:ascii="times" w:hAnsi="times"/>
                <w:sz w:val="14"/>
              </w:rPr>
              <w:t>Distributions paid to common unitholders and general partner</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br/>
              <w:t>(263</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br/>
              <w:t>)</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br/>
              <w:t>(263</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br/>
              <w:t>)</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Other financing activities</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(13</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73"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4607"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cash provided by financing activities</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1,319</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608</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1,927</w:t>
            </w:r>
          </w:p>
        </w:tc>
        <w:tc>
          <w:tcPr>
            <w:tcW w:w="65" w:type="dxa"/>
            <w:tcBorders/>
            <w:shd w:fill="FFFFFF" w:val="clear"/>
            <w:vAlign w:val="bottom"/>
          </w:tcPr>
          <w:p>
            <w:pPr>
              <w:pStyle w:val="TableContents"/>
              <w:spacing w:before="0" w:after="283"/>
              <w:rPr/>
            </w:pPr>
            <w:r>
              <w:rPr/>
              <w:t> </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953" w:type="dxa"/>
            <w:gridSpan w:val="3"/>
            <w:tcBorders/>
            <w:shd w:fill="CCEEFF" w:val="clear"/>
            <w:vAlign w:val="bottom"/>
          </w:tcPr>
          <w:p>
            <w:pPr>
              <w:pStyle w:val="TableContents"/>
              <w:spacing w:before="180" w:after="283"/>
              <w:ind w:left="160" w:right="0" w:hanging="160"/>
              <w:rPr>
                <w:rFonts w:ascii="times" w:hAnsi="times"/>
                <w:sz w:val="14"/>
              </w:rPr>
            </w:pPr>
            <w:r>
              <w:rPr>
                <w:rFonts w:ascii="times" w:hAnsi="times"/>
                <w:sz w:val="14"/>
              </w:rPr>
              <w:t>Effect of translation adjustment on cash</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br/>
              <w:t>1</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b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br/>
              <w:t>1</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increase (decrease) in cash and cash equivalents</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384" w:type="dxa"/>
            <w:tcBorders/>
            <w:shd w:fill="FFFFFF" w:val="clear"/>
            <w:vAlign w:val="bottom"/>
          </w:tcPr>
          <w:p>
            <w:pPr>
              <w:pStyle w:val="TableContents"/>
              <w:spacing w:before="0" w:after="283"/>
              <w:rPr/>
            </w:pPr>
            <w:r>
              <w:rPr/>
              <w:t> </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65" w:type="dxa"/>
            <w:tcBorders/>
            <w:shd w:fill="FFFFFF" w:val="clear"/>
            <w:vAlign w:val="bottom"/>
          </w:tcPr>
          <w:p>
            <w:pPr>
              <w:pStyle w:val="TableContents"/>
              <w:spacing w:before="0" w:after="283"/>
              <w:rPr/>
            </w:pPr>
            <w:r>
              <w:rPr/>
              <w:t> </w:t>
            </w:r>
          </w:p>
        </w:tc>
      </w:tr>
      <w:tr>
        <w:trPr/>
        <w:tc>
          <w:tcPr>
            <w:tcW w:w="4953"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Cash and cash equivalents, beginning of period</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6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65" w:type="dxa"/>
            <w:tcBorders/>
            <w:shd w:fill="CCEEFF" w:val="clear"/>
            <w:vAlign w:val="bottom"/>
          </w:tcPr>
          <w:p>
            <w:pPr>
              <w:pStyle w:val="TableContents"/>
              <w:spacing w:before="0" w:after="283"/>
              <w:rPr/>
            </w:pPr>
            <w:r>
              <w:rPr/>
              <w:t> </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953"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Cash and cash equivalents, end of period</w:t>
            </w:r>
          </w:p>
        </w:tc>
        <w:tc>
          <w:tcPr>
            <w:tcW w:w="6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50"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07"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65" w:type="dxa"/>
            <w:tcBorders/>
            <w:shd w:fill="FFFFFF" w:val="clear"/>
            <w:vAlign w:val="bottom"/>
          </w:tcPr>
          <w:p>
            <w:pPr>
              <w:pStyle w:val="TableContents"/>
              <w:spacing w:before="0" w:after="283"/>
              <w:rPr/>
            </w:pPr>
            <w:r>
              <w:rPr/>
              <w:t> </w:t>
            </w:r>
          </w:p>
        </w:tc>
        <w:tc>
          <w:tcPr>
            <w:tcW w:w="384"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3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681" w:type="dxa"/>
            <w:tcBorders/>
            <w:shd w:fill="FFFFFF" w:val="clear"/>
            <w:vAlign w:val="bottom"/>
          </w:tcPr>
          <w:p>
            <w:pPr>
              <w:pStyle w:val="TableContents"/>
              <w:spacing w:before="0" w:after="283"/>
              <w:jc w:val="right"/>
              <w:rPr>
                <w:rFonts w:ascii="times" w:hAnsi="times"/>
                <w:sz w:val="14"/>
              </w:rPr>
            </w:pPr>
            <w:r>
              <w:rPr>
                <w:rFonts w:ascii="times" w:hAnsi="times"/>
                <w:sz w:val="14"/>
              </w:rPr>
              <w:t>11</w:t>
            </w:r>
          </w:p>
        </w:tc>
        <w:tc>
          <w:tcPr>
            <w:tcW w:w="65" w:type="dxa"/>
            <w:tcBorders/>
            <w:shd w:fill="FFFFFF" w:val="clear"/>
            <w:vAlign w:val="bottom"/>
          </w:tcPr>
          <w:p>
            <w:pPr>
              <w:pStyle w:val="TableContents"/>
              <w:spacing w:before="0" w:after="283"/>
              <w:rPr/>
            </w:pPr>
            <w:r>
              <w:rPr/>
              <w:t> </w:t>
            </w:r>
          </w:p>
        </w:tc>
      </w:tr>
      <w:tr>
        <w:trPr/>
        <w:tc>
          <w:tcPr>
            <w:tcW w:w="4953"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4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79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114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2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c>
          <w:tcPr>
            <w:tcW w:w="84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F-62</w:t>
      </w:r>
    </w:p>
    <w:p>
      <w:pPr>
        <w:pStyle w:val="HorizontalLine"/>
        <w:pBdr>
          <w:bottom w:val="single" w:sz="20" w:space="0" w:color="808080"/>
        </w:pBdr>
        <w:rPr/>
      </w:pPr>
      <w:r>
        <w:rPr/>
      </w:r>
      <w:r>
        <w:br w:type="page"/>
      </w:r>
    </w:p>
    <w:p>
      <w:pPr>
        <w:pStyle w:val="TextBody"/>
        <w:rPr/>
      </w:pPr>
      <w:hyperlink w:anchor="bg12101a_main_toc">
        <w:bookmarkStart w:id="296" w:name="page_ga12101_1_63"/>
        <w:bookmarkEnd w:id="29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14Quarterly Financial Data (Unaudited): </w:t>
      </w:r>
    </w:p>
    <w:tbl>
      <w:tblPr>
        <w:tblW w:w="8240" w:type="dxa"/>
        <w:jc w:val="center"/>
        <w:tblInd w:w="0" w:type="dxa"/>
        <w:tblCellMar>
          <w:top w:w="0" w:type="dxa"/>
          <w:left w:w="0" w:type="dxa"/>
          <w:bottom w:w="0" w:type="dxa"/>
          <w:right w:w="0" w:type="dxa"/>
        </w:tblCellMar>
      </w:tblPr>
      <w:tblGrid>
        <w:gridCol w:w="3525"/>
        <w:gridCol w:w="180"/>
        <w:gridCol w:w="125"/>
        <w:gridCol w:w="590"/>
        <w:gridCol w:w="225"/>
        <w:gridCol w:w="125"/>
        <w:gridCol w:w="590"/>
        <w:gridCol w:w="225"/>
        <w:gridCol w:w="125"/>
        <w:gridCol w:w="590"/>
        <w:gridCol w:w="225"/>
        <w:gridCol w:w="125"/>
        <w:gridCol w:w="590"/>
        <w:gridCol w:w="225"/>
        <w:gridCol w:w="125"/>
        <w:gridCol w:w="590"/>
        <w:gridCol w:w="60"/>
      </w:tblGrid>
      <w:tr>
        <w:trPr/>
        <w:tc>
          <w:tcPr>
            <w:tcW w:w="352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52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First</w:t>
              <w:br/>
              <w:t xml:space="preserve">Quarter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Second</w:t>
              <w:br/>
              <w:t xml:space="preserve">Quarter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Third</w:t>
              <w:br/>
              <w:t xml:space="preserve">Quarter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Fourth</w:t>
              <w:br/>
              <w:t xml:space="preserve">Quarter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Total</w:t>
            </w:r>
            <w:r>
              <w:rPr>
                <w:rFonts w:ascii="times" w:hAnsi="times"/>
                <w:b/>
                <w:position w:val="5"/>
                <w:sz w:val="11"/>
                <w:sz w:val="14"/>
              </w:rPr>
              <w:t>(1)</w:t>
            </w:r>
            <w:r>
              <w:rPr>
                <w:rFonts w:ascii="times" w:hAnsi="times"/>
                <w:b/>
                <w:sz w:val="14"/>
              </w:rPr>
              <w:t xml:space="preserve"> </w:t>
            </w:r>
          </w:p>
        </w:tc>
        <w:tc>
          <w:tcPr>
            <w:tcW w:w="60" w:type="dxa"/>
            <w:tcBorders/>
            <w:shd w:fill="auto" w:val="clear"/>
            <w:vAlign w:val="bottom"/>
          </w:tcPr>
          <w:p>
            <w:pPr>
              <w:pStyle w:val="TableHeading"/>
              <w:suppressLineNumbers/>
              <w:spacing w:before="0" w:after="283"/>
              <w:jc w:val="center"/>
              <w:rPr/>
            </w:pPr>
            <w:r>
              <w:rPr/>
              <w:t> </w:t>
            </w:r>
          </w:p>
        </w:tc>
      </w:tr>
      <w:tr>
        <w:trPr/>
        <w:tc>
          <w:tcPr>
            <w:tcW w:w="3525"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4475"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unit data)</w:t>
            </w:r>
          </w:p>
        </w:tc>
        <w:tc>
          <w:tcPr>
            <w:tcW w:w="60" w:type="dxa"/>
            <w:tcBorders/>
            <w:shd w:fill="auto" w:val="clear"/>
            <w:vAlign w:val="bottom"/>
          </w:tcPr>
          <w:p>
            <w:pPr>
              <w:pStyle w:val="TableHeading"/>
              <w:suppressLineNumbers/>
              <w:spacing w:before="0" w:after="283"/>
              <w:jc w:val="center"/>
              <w:rPr/>
            </w:pPr>
            <w:r>
              <w:rPr/>
              <w:t> </w:t>
            </w:r>
          </w:p>
        </w:tc>
      </w:tr>
      <w:tr>
        <w:trPr/>
        <w:tc>
          <w:tcPr>
            <w:tcW w:w="3525" w:type="dxa"/>
            <w:tcBorders/>
            <w:shd w:fill="CCEEFF" w:val="clear"/>
          </w:tcPr>
          <w:p>
            <w:pPr>
              <w:pStyle w:val="TableContents"/>
              <w:spacing w:before="0" w:after="283"/>
              <w:ind w:left="200" w:right="0" w:hanging="200"/>
              <w:rPr>
                <w:rFonts w:ascii="times" w:hAnsi="times"/>
                <w:b/>
                <w:i/>
                <w:sz w:val="20"/>
              </w:rPr>
            </w:pPr>
            <w:r>
              <w:rPr>
                <w:rFonts w:ascii="times" w:hAnsi="times"/>
                <w:b/>
                <w:i/>
                <w:sz w:val="20"/>
              </w:rPr>
              <w:t>2008</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Revenues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7,195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9,060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8,862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4,943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30,061</w:t>
            </w:r>
          </w:p>
        </w:tc>
        <w:tc>
          <w:tcPr>
            <w:tcW w:w="60" w:type="dxa"/>
            <w:tcBorders/>
            <w:shd w:fill="FFFFFF" w:val="clear"/>
          </w:tcPr>
          <w:p>
            <w:pPr>
              <w:pStyle w:val="TableContents"/>
              <w:spacing w:before="0" w:after="283"/>
              <w:rPr/>
            </w:pPr>
            <w:r>
              <w:rPr/>
              <w:t> </w:t>
            </w:r>
          </w:p>
        </w:tc>
      </w:tr>
      <w:tr>
        <w:trPr/>
        <w:tc>
          <w:tcPr>
            <w:tcW w:w="3525" w:type="dxa"/>
            <w:tcBorders/>
            <w:shd w:fill="CCEEFF" w:val="clear"/>
          </w:tcPr>
          <w:p>
            <w:pPr>
              <w:pStyle w:val="TableContents"/>
              <w:spacing w:before="0" w:after="283"/>
              <w:ind w:left="200" w:right="0" w:hanging="200"/>
              <w:rPr>
                <w:rFonts w:ascii="times" w:hAnsi="times"/>
                <w:sz w:val="20"/>
              </w:rPr>
            </w:pPr>
            <w:r>
              <w:rPr>
                <w:rFonts w:ascii="times" w:hAnsi="times"/>
                <w:sz w:val="20"/>
              </w:rPr>
              <w:t>Gross margin</w:t>
            </w:r>
            <w:r>
              <w:rPr>
                <w:rFonts w:ascii="times" w:hAnsi="times"/>
                <w:position w:val="7"/>
                <w:sz w:val="16"/>
                <w:sz w:val="20"/>
              </w:rPr>
              <w:t>(2)</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167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132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282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173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754</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Operating income</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127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81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243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142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594</w:t>
            </w:r>
          </w:p>
        </w:tc>
        <w:tc>
          <w:tcPr>
            <w:tcW w:w="60" w:type="dxa"/>
            <w:tcBorders/>
            <w:shd w:fill="FFFFFF" w:val="clear"/>
          </w:tcPr>
          <w:p>
            <w:pPr>
              <w:pStyle w:val="TableContents"/>
              <w:spacing w:before="0" w:after="283"/>
              <w:rPr/>
            </w:pPr>
            <w:r>
              <w:rPr/>
              <w:t> </w:t>
            </w:r>
          </w:p>
        </w:tc>
      </w:tr>
      <w:tr>
        <w:trPr/>
        <w:tc>
          <w:tcPr>
            <w:tcW w:w="3525" w:type="dxa"/>
            <w:tcBorders/>
            <w:shd w:fill="CCEEFF" w:val="clear"/>
          </w:tcPr>
          <w:p>
            <w:pPr>
              <w:pStyle w:val="TableContents"/>
              <w:spacing w:before="0" w:after="283"/>
              <w:ind w:left="200" w:right="0" w:hanging="200"/>
              <w:rPr>
                <w:rFonts w:ascii="times" w:hAnsi="times"/>
                <w:sz w:val="20"/>
              </w:rPr>
            </w:pPr>
            <w:r>
              <w:rPr>
                <w:rFonts w:ascii="times" w:hAnsi="times"/>
                <w:sz w:val="20"/>
              </w:rPr>
              <w:t>Net income</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92</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41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206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98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437</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0.58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0.13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1.15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0.56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2.70</w:t>
            </w:r>
          </w:p>
        </w:tc>
        <w:tc>
          <w:tcPr>
            <w:tcW w:w="60" w:type="dxa"/>
            <w:tcBorders/>
            <w:shd w:fill="FFFFFF" w:val="clear"/>
          </w:tcPr>
          <w:p>
            <w:pPr>
              <w:pStyle w:val="TableContents"/>
              <w:spacing w:before="0" w:after="283"/>
              <w:rPr/>
            </w:pPr>
            <w:r>
              <w:rPr/>
              <w:t> </w:t>
            </w:r>
          </w:p>
        </w:tc>
      </w:tr>
      <w:tr>
        <w:trPr/>
        <w:tc>
          <w:tcPr>
            <w:tcW w:w="3525" w:type="dxa"/>
            <w:tcBorders/>
            <w:shd w:fill="CCEEFF" w:val="clear"/>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0.57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0.13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1.14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0.56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2.67</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Cash distributions per common unit</w:t>
            </w:r>
            <w:r>
              <w:rPr>
                <w:rFonts w:ascii="times" w:hAnsi="times"/>
                <w:position w:val="7"/>
                <w:sz w:val="16"/>
                <w:sz w:val="20"/>
              </w:rPr>
              <w:t>(3)</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0.8500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0.8650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0.8875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0.8925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3.50</w:t>
            </w:r>
          </w:p>
        </w:tc>
        <w:tc>
          <w:tcPr>
            <w:tcW w:w="60" w:type="dxa"/>
            <w:tcBorders/>
            <w:shd w:fill="FFFFFF" w:val="clear"/>
          </w:tcPr>
          <w:p>
            <w:pPr>
              <w:pStyle w:val="TableContents"/>
              <w:spacing w:before="0" w:after="283"/>
              <w:rPr/>
            </w:pPr>
            <w:r>
              <w:rPr/>
              <w:t> </w:t>
            </w:r>
          </w:p>
        </w:tc>
      </w:tr>
      <w:tr>
        <w:trPr/>
        <w:tc>
          <w:tcPr>
            <w:tcW w:w="3525" w:type="dxa"/>
            <w:tcBorders/>
            <w:shd w:fill="CCEEFF" w:val="clear"/>
          </w:tcPr>
          <w:p>
            <w:pPr>
              <w:pStyle w:val="TableContents"/>
              <w:spacing w:before="240" w:after="283"/>
              <w:ind w:left="200" w:right="0" w:hanging="200"/>
              <w:rPr>
                <w:rFonts w:ascii="times" w:hAnsi="times"/>
                <w:b/>
                <w:i/>
                <w:sz w:val="20"/>
              </w:rPr>
            </w:pPr>
            <w:r>
              <w:rPr>
                <w:rFonts w:ascii="times" w:hAnsi="times"/>
                <w:b/>
                <w:i/>
                <w:sz w:val="20"/>
              </w:rPr>
              <w:t>2007</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rPr/>
            </w:pPr>
            <w:r>
              <w:rPr/>
              <w:t> </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Revenues</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4,230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3,918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5,799</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6,447</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20,394</w:t>
            </w:r>
          </w:p>
        </w:tc>
        <w:tc>
          <w:tcPr>
            <w:tcW w:w="60" w:type="dxa"/>
            <w:tcBorders/>
            <w:shd w:fill="FFFFFF" w:val="clear"/>
          </w:tcPr>
          <w:p>
            <w:pPr>
              <w:pStyle w:val="TableContents"/>
              <w:spacing w:before="0" w:after="283"/>
              <w:rPr/>
            </w:pPr>
            <w:r>
              <w:rPr/>
              <w:t> </w:t>
            </w:r>
          </w:p>
        </w:tc>
      </w:tr>
      <w:tr>
        <w:trPr/>
        <w:tc>
          <w:tcPr>
            <w:tcW w:w="3525" w:type="dxa"/>
            <w:tcBorders/>
            <w:shd w:fill="CCEEFF" w:val="clear"/>
          </w:tcPr>
          <w:p>
            <w:pPr>
              <w:pStyle w:val="TableContents"/>
              <w:spacing w:before="0" w:after="283"/>
              <w:ind w:left="200" w:right="0" w:hanging="200"/>
              <w:rPr>
                <w:rFonts w:ascii="times" w:hAnsi="times"/>
                <w:sz w:val="20"/>
              </w:rPr>
            </w:pPr>
            <w:r>
              <w:rPr>
                <w:rFonts w:ascii="times" w:hAnsi="times"/>
                <w:sz w:val="20"/>
              </w:rPr>
              <w:t>Gross margin</w:t>
            </w:r>
            <w:r>
              <w:rPr>
                <w:rFonts w:ascii="times" w:hAnsi="times"/>
                <w:position w:val="7"/>
                <w:sz w:val="16"/>
                <w:sz w:val="20"/>
              </w:rPr>
              <w:t>(2)</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164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200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168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150</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682</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Operating income</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118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153</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134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114</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518</w:t>
            </w:r>
          </w:p>
        </w:tc>
        <w:tc>
          <w:tcPr>
            <w:tcW w:w="60" w:type="dxa"/>
            <w:tcBorders/>
            <w:shd w:fill="FFFFFF" w:val="clear"/>
          </w:tcPr>
          <w:p>
            <w:pPr>
              <w:pStyle w:val="TableContents"/>
              <w:spacing w:before="0" w:after="283"/>
              <w:rPr/>
            </w:pPr>
            <w:r>
              <w:rPr/>
              <w:t> </w:t>
            </w:r>
          </w:p>
        </w:tc>
      </w:tr>
      <w:tr>
        <w:trPr/>
        <w:tc>
          <w:tcPr>
            <w:tcW w:w="3525" w:type="dxa"/>
            <w:tcBorders/>
            <w:shd w:fill="CCEEFF" w:val="clear"/>
          </w:tcPr>
          <w:p>
            <w:pPr>
              <w:pStyle w:val="TableContents"/>
              <w:spacing w:before="0" w:after="283"/>
              <w:ind w:left="200" w:right="0" w:hanging="200"/>
              <w:rPr>
                <w:rFonts w:ascii="times" w:hAnsi="times"/>
                <w:sz w:val="20"/>
              </w:rPr>
            </w:pPr>
            <w:r>
              <w:rPr>
                <w:rFonts w:ascii="times" w:hAnsi="times"/>
                <w:sz w:val="20"/>
              </w:rPr>
              <w:t>Net income</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85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105</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98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77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0" w:type="dxa"/>
            <w:tcBorders/>
            <w:shd w:fill="CCEEFF" w:val="clear"/>
          </w:tcPr>
          <w:p>
            <w:pPr>
              <w:pStyle w:val="TableContents"/>
              <w:spacing w:before="0" w:after="283"/>
              <w:jc w:val="right"/>
              <w:rPr>
                <w:rFonts w:ascii="times" w:hAnsi="times"/>
                <w:sz w:val="20"/>
              </w:rPr>
            </w:pPr>
            <w:r>
              <w:rPr>
                <w:rFonts w:ascii="times" w:hAnsi="times"/>
                <w:sz w:val="20"/>
              </w:rPr>
              <w:t>365</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0.62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0.78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0.66</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0.48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2.54</w:t>
            </w:r>
          </w:p>
        </w:tc>
        <w:tc>
          <w:tcPr>
            <w:tcW w:w="60" w:type="dxa"/>
            <w:tcBorders/>
            <w:shd w:fill="FFFFFF" w:val="clear"/>
          </w:tcPr>
          <w:p>
            <w:pPr>
              <w:pStyle w:val="TableContents"/>
              <w:spacing w:before="0" w:after="283"/>
              <w:rPr/>
            </w:pPr>
            <w:r>
              <w:rPr/>
              <w:t> </w:t>
            </w:r>
          </w:p>
        </w:tc>
      </w:tr>
      <w:tr>
        <w:trPr/>
        <w:tc>
          <w:tcPr>
            <w:tcW w:w="3525" w:type="dxa"/>
            <w:tcBorders/>
            <w:shd w:fill="CCEEFF" w:val="clear"/>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0.61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0.78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0.66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0.47</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2.52</w:t>
            </w:r>
          </w:p>
        </w:tc>
        <w:tc>
          <w:tcPr>
            <w:tcW w:w="60" w:type="dxa"/>
            <w:tcBorders/>
            <w:shd w:fill="CCEEFF" w:val="clear"/>
          </w:tcPr>
          <w:p>
            <w:pPr>
              <w:pStyle w:val="TableContents"/>
              <w:spacing w:before="0" w:after="283"/>
              <w:rPr/>
            </w:pPr>
            <w:r>
              <w:rPr/>
              <w:t> </w:t>
            </w:r>
          </w:p>
        </w:tc>
      </w:tr>
      <w:tr>
        <w:trPr/>
        <w:tc>
          <w:tcPr>
            <w:tcW w:w="3525" w:type="dxa"/>
            <w:tcBorders/>
            <w:shd w:fill="FFFFFF" w:val="clear"/>
          </w:tcPr>
          <w:p>
            <w:pPr>
              <w:pStyle w:val="TableContents"/>
              <w:spacing w:before="0" w:after="283"/>
              <w:ind w:left="200" w:right="0" w:hanging="200"/>
              <w:rPr>
                <w:rFonts w:ascii="times" w:hAnsi="times"/>
                <w:sz w:val="20"/>
              </w:rPr>
            </w:pPr>
            <w:r>
              <w:rPr>
                <w:rFonts w:ascii="times" w:hAnsi="times"/>
                <w:sz w:val="20"/>
              </w:rPr>
              <w:t>Cash distributions per common unit</w:t>
            </w:r>
            <w:r>
              <w:rPr>
                <w:rFonts w:ascii="times" w:hAnsi="times"/>
                <w:position w:val="7"/>
                <w:sz w:val="16"/>
                <w:sz w:val="20"/>
              </w:rPr>
              <w:t>(3)</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0.8000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0.8125</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0.8300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0.8400</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jc w:val="right"/>
              <w:rPr>
                <w:rFonts w:ascii="times" w:hAnsi="times"/>
                <w:sz w:val="20"/>
              </w:rPr>
            </w:pPr>
            <w:r>
              <w:rPr>
                <w:rFonts w:ascii="times" w:hAnsi="times"/>
                <w:sz w:val="20"/>
              </w:rPr>
              <w:t>$</w:t>
            </w:r>
          </w:p>
        </w:tc>
        <w:tc>
          <w:tcPr>
            <w:tcW w:w="590" w:type="dxa"/>
            <w:tcBorders/>
            <w:shd w:fill="FFFFFF" w:val="clear"/>
          </w:tcPr>
          <w:p>
            <w:pPr>
              <w:pStyle w:val="TableContents"/>
              <w:spacing w:before="0" w:after="283"/>
              <w:jc w:val="right"/>
              <w:rPr>
                <w:rFonts w:ascii="times" w:hAnsi="times"/>
                <w:sz w:val="20"/>
              </w:rPr>
            </w:pPr>
            <w:r>
              <w:rPr>
                <w:rFonts w:ascii="times" w:hAnsi="times"/>
                <w:sz w:val="20"/>
              </w:rPr>
              <w:t>3.28</w:t>
            </w:r>
          </w:p>
        </w:tc>
        <w:tc>
          <w:tcPr>
            <w:tcW w:w="60" w:type="dxa"/>
            <w:tcBorders/>
            <w:shd w:fill="FFFFFF"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The sum of the four quarters may not equal the total year due to rounding.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Gross margin is calculated as Total revenues less (i) Crude oil, refined products and LPG purchases and related costs, (ii) Field operating costs and (iii) Depreciation and amortization. </w:t>
      </w:r>
    </w:p>
    <w:p>
      <w:pPr>
        <w:pStyle w:val="ListHeading"/>
        <w:spacing w:before="0" w:after="0"/>
        <w:rPr>
          <w:rFonts w:ascii="times" w:hAnsi="times"/>
          <w:position w:val="7"/>
          <w:sz w:val="16"/>
          <w:sz w:val="20"/>
        </w:rPr>
      </w:pPr>
      <w:r>
        <w:rPr>
          <w:rFonts w:ascii="times" w:hAnsi="times"/>
          <w:position w:val="7"/>
          <w:sz w:val="16"/>
          <w:sz w:val="20"/>
        </w:rPr>
        <w:t>(3)</w:t>
      </w:r>
    </w:p>
    <w:p>
      <w:pPr>
        <w:pStyle w:val="ListContents"/>
        <w:spacing w:before="0" w:after="283"/>
        <w:rPr>
          <w:rFonts w:ascii="times" w:hAnsi="times"/>
          <w:sz w:val="20"/>
        </w:rPr>
      </w:pPr>
      <w:r>
        <w:rPr>
          <w:rFonts w:ascii="times" w:hAnsi="times"/>
          <w:sz w:val="20"/>
        </w:rPr>
        <w:t xml:space="preserve">Represents cash distributions declared and paid in the applicable period. </w:t>
      </w:r>
    </w:p>
    <w:p>
      <w:pPr>
        <w:pStyle w:val="TextBody"/>
        <w:rPr>
          <w:rFonts w:ascii="times" w:hAnsi="times"/>
          <w:b/>
          <w:sz w:val="20"/>
        </w:rPr>
      </w:pPr>
      <w:r>
        <w:rPr>
          <w:rFonts w:ascii="times" w:hAnsi="times"/>
          <w:b/>
          <w:sz w:val="20"/>
        </w:rPr>
        <w:t xml:space="preserve">Note 15Operating Segments </w:t>
      </w:r>
    </w:p>
    <w:p>
      <w:pPr>
        <w:pStyle w:val="TextBody"/>
        <w:rPr/>
      </w:pPr>
      <w:r>
        <w:rPr/>
        <w:t>        </w:t>
      </w:r>
      <w:r>
        <w:rPr>
          <w:rFonts w:ascii="times" w:hAnsi="times"/>
          <w:sz w:val="20"/>
        </w:rPr>
        <w:t xml:space="preserve">We manage our operations through three operating segments: (i) Transportation, (ii) Facilities, and (iii) Marketing. Our Chief Operating Decision Maker (our Chief Executive Officer) evaluates segment performance based on a variety of measures including segment profit, segment volumes, segment profit per barrel and maintenance capital investment. We define segment profit as revenues and equity earnings in unconsolidated entities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We compensate for this limitation by recognizing that depreciation and amortization are largely offset by repair and maintenance investments, which acts to partially offset the wear and tear and age-related decline in the value of our principal fixed assets. These maintenance investments are a component of field operating costs included in segment profit or in maintenance capital, depending on the nature of the cost. Maintenance capital, which is deducted in determining "available cash," consists of capital expenditures for the replacement of partially or fully depreciated </w:t>
      </w:r>
    </w:p>
    <w:p>
      <w:pPr>
        <w:pStyle w:val="TextBody"/>
        <w:jc w:val="center"/>
        <w:rPr>
          <w:rFonts w:ascii="times" w:hAnsi="times"/>
          <w:sz w:val="20"/>
        </w:rPr>
      </w:pPr>
      <w:r>
        <w:rPr>
          <w:rFonts w:ascii="times" w:hAnsi="times"/>
          <w:sz w:val="20"/>
        </w:rPr>
        <w:t>F-63</w:t>
      </w:r>
    </w:p>
    <w:p>
      <w:pPr>
        <w:pStyle w:val="HorizontalLine"/>
        <w:pBdr>
          <w:bottom w:val="single" w:sz="20" w:space="0" w:color="808080"/>
        </w:pBdr>
        <w:rPr/>
      </w:pPr>
      <w:r>
        <w:rPr/>
      </w:r>
      <w:r>
        <w:br w:type="page"/>
      </w:r>
    </w:p>
    <w:p>
      <w:pPr>
        <w:pStyle w:val="TextBody"/>
        <w:rPr/>
      </w:pPr>
      <w:hyperlink w:anchor="bg12101a_main_toc">
        <w:bookmarkStart w:id="297" w:name="page_ga12101_1_64"/>
        <w:bookmarkEnd w:id="297"/>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15Operating Segments (Continued) </w:t>
      </w:r>
    </w:p>
    <w:p>
      <w:pPr>
        <w:pStyle w:val="TextBody"/>
        <w:rPr/>
      </w:pPr>
      <w:r>
        <w:rPr/>
      </w:r>
    </w:p>
    <w:p>
      <w:pPr>
        <w:pStyle w:val="TextBody"/>
        <w:rPr>
          <w:rFonts w:ascii="times" w:hAnsi="times"/>
          <w:sz w:val="20"/>
        </w:rPr>
      </w:pPr>
      <w:r>
        <w:rPr>
          <w:rFonts w:ascii="times" w:hAnsi="times"/>
          <w:sz w:val="20"/>
        </w:rPr>
        <w:t xml:space="preserve">assets in order to maintain the service capability, level of production, and/or functionality of our existing assets. Capital expenditures made to expand the existing earnings capacity of our assets are considered expansion capital expenditures, not maintenance capital. Repair and maintenance expenditures incurred in order to maintain the day to day operation of our existing assets are charged to expense as incurred. The following table reflects certain financial data for each segment for the periods indicated (in millions). </w:t>
      </w:r>
    </w:p>
    <w:tbl>
      <w:tblPr>
        <w:tblW w:w="8701" w:type="dxa"/>
        <w:jc w:val="center"/>
        <w:tblInd w:w="0" w:type="dxa"/>
        <w:tblCellMar>
          <w:top w:w="0" w:type="dxa"/>
          <w:left w:w="0" w:type="dxa"/>
          <w:bottom w:w="0" w:type="dxa"/>
          <w:right w:w="0" w:type="dxa"/>
        </w:tblCellMar>
      </w:tblPr>
      <w:tblGrid>
        <w:gridCol w:w="138"/>
        <w:gridCol w:w="138"/>
        <w:gridCol w:w="4813"/>
        <w:gridCol w:w="180"/>
        <w:gridCol w:w="208"/>
        <w:gridCol w:w="771"/>
        <w:gridCol w:w="195"/>
        <w:gridCol w:w="128"/>
        <w:gridCol w:w="476"/>
        <w:gridCol w:w="195"/>
        <w:gridCol w:w="123"/>
        <w:gridCol w:w="556"/>
        <w:gridCol w:w="195"/>
        <w:gridCol w:w="95"/>
        <w:gridCol w:w="425"/>
        <w:gridCol w:w="65"/>
      </w:tblGrid>
      <w:tr>
        <w:trPr/>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481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089" w:type="dxa"/>
            <w:gridSpan w:val="3"/>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9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Transportation </w:t>
            </w:r>
          </w:p>
        </w:tc>
        <w:tc>
          <w:tcPr>
            <w:tcW w:w="195" w:type="dxa"/>
            <w:tcBorders/>
            <w:shd w:fill="auto" w:val="clear"/>
            <w:vAlign w:val="bottom"/>
          </w:tcPr>
          <w:p>
            <w:pPr>
              <w:pStyle w:val="TableHeading"/>
              <w:suppressLineNumbers/>
              <w:spacing w:before="0" w:after="283"/>
              <w:jc w:val="center"/>
              <w:rPr/>
            </w:pPr>
            <w:r>
              <w:rPr/>
              <w:t> </w:t>
            </w:r>
          </w:p>
        </w:tc>
        <w:tc>
          <w:tcPr>
            <w:tcW w:w="6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Facilities </w:t>
            </w:r>
          </w:p>
        </w:tc>
        <w:tc>
          <w:tcPr>
            <w:tcW w:w="195" w:type="dxa"/>
            <w:tcBorders/>
            <w:shd w:fill="auto" w:val="clear"/>
            <w:vAlign w:val="bottom"/>
          </w:tcPr>
          <w:p>
            <w:pPr>
              <w:pStyle w:val="TableHeading"/>
              <w:suppressLineNumbers/>
              <w:spacing w:before="0" w:after="283"/>
              <w:jc w:val="center"/>
              <w:rPr/>
            </w:pPr>
            <w:r>
              <w:rPr/>
              <w:t> </w:t>
            </w:r>
          </w:p>
        </w:tc>
        <w:tc>
          <w:tcPr>
            <w:tcW w:w="67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Marketing </w:t>
            </w:r>
          </w:p>
        </w:tc>
        <w:tc>
          <w:tcPr>
            <w:tcW w:w="195" w:type="dxa"/>
            <w:tcBorders/>
            <w:shd w:fill="auto" w:val="clear"/>
            <w:vAlign w:val="bottom"/>
          </w:tcPr>
          <w:p>
            <w:pPr>
              <w:pStyle w:val="TableHeading"/>
              <w:suppressLineNumbers/>
              <w:spacing w:before="0" w:after="283"/>
              <w:jc w:val="center"/>
              <w:rPr/>
            </w:pPr>
            <w:r>
              <w:rPr/>
              <w:t> </w:t>
            </w:r>
          </w:p>
        </w:tc>
        <w:tc>
          <w:tcPr>
            <w:tcW w:w="5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Total </w:t>
            </w:r>
          </w:p>
        </w:tc>
        <w:tc>
          <w:tcPr>
            <w:tcW w:w="65" w:type="dxa"/>
            <w:tcBorders/>
            <w:shd w:fill="auto" w:val="clear"/>
            <w:vAlign w:val="bottom"/>
          </w:tcPr>
          <w:p>
            <w:pPr>
              <w:pStyle w:val="TableHeading"/>
              <w:suppressLineNumbers/>
              <w:spacing w:before="0" w:after="283"/>
              <w:jc w:val="center"/>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b/>
                <w:sz w:val="14"/>
              </w:rPr>
            </w:pPr>
            <w:r>
              <w:rPr>
                <w:rFonts w:ascii="times" w:hAnsi="times"/>
                <w:b/>
                <w:sz w:val="14"/>
              </w:rPr>
              <w:t>Twelve Months Ended December 31, 2008</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Revenues: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476"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r>
      <w:tr>
        <w:trPr/>
        <w:tc>
          <w:tcPr>
            <w:tcW w:w="138" w:type="dxa"/>
            <w:tcBorders/>
            <w:shd w:fill="CCEEFF" w:val="clear"/>
            <w:vAlign w:val="bottom"/>
          </w:tcPr>
          <w:p>
            <w:pPr>
              <w:pStyle w:val="TableContents"/>
              <w:spacing w:before="0" w:after="283"/>
              <w:rPr/>
            </w:pPr>
            <w:r>
              <w:rPr/>
              <w:t> </w:t>
            </w:r>
          </w:p>
        </w:tc>
        <w:tc>
          <w:tcPr>
            <w:tcW w:w="4951"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External Customers</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556</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157</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29,348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30,061</w:t>
            </w:r>
          </w:p>
        </w:tc>
        <w:tc>
          <w:tcPr>
            <w:tcW w:w="65" w:type="dxa"/>
            <w:tcBorders/>
            <w:shd w:fill="CCEEFF" w:val="clear"/>
            <w:vAlign w:val="bottom"/>
          </w:tcPr>
          <w:p>
            <w:pPr>
              <w:pStyle w:val="TableContents"/>
              <w:spacing w:before="0" w:after="283"/>
              <w:rPr/>
            </w:pPr>
            <w:r>
              <w:rPr/>
              <w:t> </w:t>
            </w:r>
          </w:p>
        </w:tc>
      </w:tr>
      <w:tr>
        <w:trPr/>
        <w:tc>
          <w:tcPr>
            <w:tcW w:w="138" w:type="dxa"/>
            <w:tcBorders/>
            <w:shd w:fill="FFFFFF" w:val="clear"/>
            <w:vAlign w:val="bottom"/>
          </w:tcPr>
          <w:p>
            <w:pPr>
              <w:pStyle w:val="TableContents"/>
              <w:spacing w:before="0" w:after="283"/>
              <w:rPr/>
            </w:pPr>
            <w:r>
              <w:rPr/>
              <w:t> </w:t>
            </w:r>
          </w:p>
        </w:tc>
        <w:tc>
          <w:tcPr>
            <w:tcW w:w="4951"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Intersegment</w:t>
            </w:r>
            <w:r>
              <w:rPr>
                <w:rFonts w:ascii="times" w:hAnsi="times"/>
                <w:position w:val="5"/>
                <w:sz w:val="11"/>
                <w:sz w:val="14"/>
              </w:rPr>
              <w:t>(1)</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371</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113</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486</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3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481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Total revenues of reportable segments</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927</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270</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29,350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30,547</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 in earnings of unconsolidated entities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9</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14</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Segment profit</w:t>
            </w:r>
            <w:r>
              <w:rPr>
                <w:rFonts w:ascii="times" w:hAnsi="times"/>
                <w:position w:val="5"/>
                <w:sz w:val="11"/>
                <w:sz w:val="14"/>
              </w:rPr>
              <w:t>(2)(3)(4)</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445</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153</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221</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819</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Capital expenditures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935</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265</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26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1,226</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Total assets</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3,930</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2,048</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4,054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10,032</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gains/(losses) related to inventory valuation adjustments and derivative activities</w:t>
            </w:r>
            <w:r>
              <w:rPr>
                <w:rFonts w:ascii="times" w:hAnsi="times"/>
                <w:position w:val="5"/>
                <w:sz w:val="11"/>
                <w:sz w:val="14"/>
              </w:rPr>
              <w:t>(2)</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54</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23</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81</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b/>
                <w:sz w:val="14"/>
              </w:rPr>
            </w:pPr>
            <w:r>
              <w:rPr>
                <w:rFonts w:ascii="times" w:hAnsi="times"/>
                <w:b/>
                <w:sz w:val="14"/>
              </w:rPr>
              <w:t>Twelve Months Ended December 31, 2007</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476"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Revenues:</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138" w:type="dxa"/>
            <w:tcBorders/>
            <w:shd w:fill="FFFFFF" w:val="clear"/>
            <w:vAlign w:val="bottom"/>
          </w:tcPr>
          <w:p>
            <w:pPr>
              <w:pStyle w:val="TableContents"/>
              <w:spacing w:before="0" w:after="283"/>
              <w:rPr/>
            </w:pPr>
            <w:r>
              <w:rPr/>
              <w:t> </w:t>
            </w:r>
          </w:p>
        </w:tc>
        <w:tc>
          <w:tcPr>
            <w:tcW w:w="4951"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External Customers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439</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121</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19,834</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20,394</w:t>
            </w:r>
          </w:p>
        </w:tc>
        <w:tc>
          <w:tcPr>
            <w:tcW w:w="65" w:type="dxa"/>
            <w:tcBorders/>
            <w:shd w:fill="FFFFFF" w:val="clear"/>
            <w:vAlign w:val="bottom"/>
          </w:tcPr>
          <w:p>
            <w:pPr>
              <w:pStyle w:val="TableContents"/>
              <w:spacing w:before="0" w:after="283"/>
              <w:rPr/>
            </w:pPr>
            <w:r>
              <w:rPr/>
              <w:t> </w:t>
            </w:r>
          </w:p>
        </w:tc>
      </w:tr>
      <w:tr>
        <w:trPr/>
        <w:tc>
          <w:tcPr>
            <w:tcW w:w="138" w:type="dxa"/>
            <w:tcBorders/>
            <w:shd w:fill="CCEEFF" w:val="clear"/>
            <w:vAlign w:val="bottom"/>
          </w:tcPr>
          <w:p>
            <w:pPr>
              <w:pStyle w:val="TableContents"/>
              <w:spacing w:before="0" w:after="283"/>
              <w:rPr/>
            </w:pPr>
            <w:r>
              <w:rPr/>
              <w:t> </w:t>
            </w:r>
          </w:p>
        </w:tc>
        <w:tc>
          <w:tcPr>
            <w:tcW w:w="4951"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Intersegment</w:t>
            </w:r>
            <w:r>
              <w:rPr>
                <w:rFonts w:ascii="times" w:hAnsi="times"/>
                <w:position w:val="5"/>
                <w:sz w:val="11"/>
                <w:sz w:val="14"/>
              </w:rPr>
              <w:t>(1)</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332</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89</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24</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445</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38"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rPr/>
            </w:pPr>
            <w:r>
              <w:rPr/>
              <w:t> </w:t>
            </w:r>
          </w:p>
        </w:tc>
        <w:tc>
          <w:tcPr>
            <w:tcW w:w="4813" w:type="dxa"/>
            <w:tcBorders/>
            <w:shd w:fill="FFFFFF" w:val="clear"/>
            <w:vAlign w:val="bottom"/>
          </w:tcPr>
          <w:p>
            <w:pPr>
              <w:pStyle w:val="TableContents"/>
              <w:spacing w:before="0" w:after="283"/>
              <w:ind w:left="160" w:right="0" w:hanging="160"/>
              <w:rPr>
                <w:rFonts w:ascii="times" w:hAnsi="times"/>
                <w:sz w:val="14"/>
              </w:rPr>
            </w:pPr>
            <w:r>
              <w:rPr>
                <w:rFonts w:ascii="times" w:hAnsi="times"/>
                <w:sz w:val="14"/>
              </w:rPr>
              <w:t>Total revenues of reportable segments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771</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210</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19,858</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20,839</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Equity in earnings of unconsolidated entities</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15</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Segment profit</w:t>
            </w:r>
            <w:r>
              <w:rPr>
                <w:rFonts w:ascii="times" w:hAnsi="times"/>
                <w:position w:val="5"/>
                <w:sz w:val="11"/>
                <w:sz w:val="14"/>
              </w:rPr>
              <w:t>(2)(3)(4)</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334</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110</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269</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713</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Capital expenditures</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255</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348</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47</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650</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Total assets</w:t>
            </w:r>
            <w:r>
              <w:rPr>
                <w:rFonts w:ascii="times" w:hAnsi="times"/>
                <w:position w:val="5"/>
                <w:sz w:val="11"/>
                <w:sz w:val="14"/>
              </w:rPr>
              <w:t>(5)</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3,127</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1,754</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5,025</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9,906</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Net gains/(losses) related to inventory valuation adjustments and derivative activities</w:t>
            </w:r>
            <w:r>
              <w:rPr>
                <w:rFonts w:ascii="times" w:hAnsi="times"/>
                <w:position w:val="5"/>
                <w:sz w:val="11"/>
                <w:sz w:val="14"/>
              </w:rPr>
              <w:t>(2)</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(27</w:t>
            </w:r>
          </w:p>
        </w:tc>
        <w:tc>
          <w:tcPr>
            <w:tcW w:w="195"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(27</w:t>
            </w:r>
          </w:p>
        </w:tc>
        <w:tc>
          <w:tcPr>
            <w:tcW w:w="65"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34</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10</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50</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b/>
                <w:sz w:val="14"/>
              </w:rPr>
            </w:pPr>
            <w:r>
              <w:rPr>
                <w:rFonts w:ascii="times" w:hAnsi="times"/>
                <w:b/>
                <w:sz w:val="14"/>
              </w:rPr>
              <w:t>Twelve Months Ended December 31, 2006</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Revenues: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476"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r>
      <w:tr>
        <w:trPr/>
        <w:tc>
          <w:tcPr>
            <w:tcW w:w="138" w:type="dxa"/>
            <w:tcBorders/>
            <w:shd w:fill="CCEEFF" w:val="clear"/>
            <w:vAlign w:val="bottom"/>
          </w:tcPr>
          <w:p>
            <w:pPr>
              <w:pStyle w:val="TableContents"/>
              <w:spacing w:before="0" w:after="283"/>
              <w:rPr/>
            </w:pPr>
            <w:r>
              <w:rPr/>
              <w:t> </w:t>
            </w:r>
          </w:p>
        </w:tc>
        <w:tc>
          <w:tcPr>
            <w:tcW w:w="4951" w:type="dxa"/>
            <w:gridSpan w:val="2"/>
            <w:tcBorders/>
            <w:shd w:fill="CCEEFF" w:val="clear"/>
            <w:vAlign w:val="bottom"/>
          </w:tcPr>
          <w:p>
            <w:pPr>
              <w:pStyle w:val="TableContents"/>
              <w:spacing w:before="0" w:after="283"/>
              <w:ind w:left="160" w:right="0" w:hanging="160"/>
              <w:rPr>
                <w:rFonts w:ascii="times" w:hAnsi="times"/>
                <w:sz w:val="14"/>
              </w:rPr>
            </w:pPr>
            <w:r>
              <w:rPr>
                <w:rFonts w:ascii="times" w:hAnsi="times"/>
                <w:sz w:val="14"/>
              </w:rPr>
              <w:t>External Customers (includes buy/sell revenues of $0, $0, and $4,762, respectively)</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344</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41</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22,060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22,445</w:t>
            </w:r>
          </w:p>
        </w:tc>
        <w:tc>
          <w:tcPr>
            <w:tcW w:w="65" w:type="dxa"/>
            <w:tcBorders/>
            <w:shd w:fill="CCEEFF" w:val="clear"/>
            <w:vAlign w:val="bottom"/>
          </w:tcPr>
          <w:p>
            <w:pPr>
              <w:pStyle w:val="TableContents"/>
              <w:spacing w:before="0" w:after="283"/>
              <w:rPr/>
            </w:pPr>
            <w:r>
              <w:rPr/>
              <w:t> </w:t>
            </w:r>
          </w:p>
        </w:tc>
      </w:tr>
      <w:tr>
        <w:trPr/>
        <w:tc>
          <w:tcPr>
            <w:tcW w:w="138" w:type="dxa"/>
            <w:tcBorders/>
            <w:shd w:fill="FFFFFF" w:val="clear"/>
            <w:vAlign w:val="bottom"/>
          </w:tcPr>
          <w:p>
            <w:pPr>
              <w:pStyle w:val="TableContents"/>
              <w:spacing w:before="0" w:after="283"/>
              <w:rPr/>
            </w:pPr>
            <w:r>
              <w:rPr/>
              <w:t> </w:t>
            </w:r>
          </w:p>
        </w:tc>
        <w:tc>
          <w:tcPr>
            <w:tcW w:w="4951" w:type="dxa"/>
            <w:gridSpan w:val="2"/>
            <w:tcBorders/>
            <w:shd w:fill="FFFFFF" w:val="clear"/>
            <w:vAlign w:val="bottom"/>
          </w:tcPr>
          <w:p>
            <w:pPr>
              <w:pStyle w:val="TableContents"/>
              <w:spacing w:before="0" w:after="283"/>
              <w:ind w:left="160" w:right="0" w:hanging="160"/>
              <w:rPr>
                <w:rFonts w:ascii="times" w:hAnsi="times"/>
                <w:sz w:val="14"/>
              </w:rPr>
            </w:pPr>
            <w:r>
              <w:rPr>
                <w:rFonts w:ascii="times" w:hAnsi="times"/>
                <w:sz w:val="14"/>
              </w:rPr>
              <w:t>Intersegment</w:t>
            </w:r>
            <w:r>
              <w:rPr>
                <w:rFonts w:ascii="times" w:hAnsi="times"/>
                <w:position w:val="5"/>
                <w:sz w:val="11"/>
                <w:sz w:val="14"/>
              </w:rPr>
              <w:t>(1)</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190</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rPr/>
            </w:pPr>
            <w:r>
              <w:rPr/>
              <w:t> </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47</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1</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238</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13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4813" w:type="dxa"/>
            <w:tcBorders/>
            <w:shd w:fill="CCEEFF" w:val="clear"/>
            <w:vAlign w:val="bottom"/>
          </w:tcPr>
          <w:p>
            <w:pPr>
              <w:pStyle w:val="TableContents"/>
              <w:spacing w:before="0" w:after="283"/>
              <w:ind w:left="160" w:right="0" w:hanging="160"/>
              <w:rPr>
                <w:rFonts w:ascii="times" w:hAnsi="times"/>
                <w:sz w:val="14"/>
              </w:rPr>
            </w:pPr>
            <w:r>
              <w:rPr>
                <w:rFonts w:ascii="times" w:hAnsi="times"/>
                <w:sz w:val="14"/>
              </w:rPr>
              <w:t>Total revenues of reportable segments</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534</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88</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22,061</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22,683</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Equity in earnings of unconsolidated entities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2</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6</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8</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Segment profit</w:t>
            </w:r>
            <w:r>
              <w:rPr>
                <w:rFonts w:ascii="times" w:hAnsi="times"/>
                <w:position w:val="5"/>
                <w:sz w:val="11"/>
                <w:sz w:val="14"/>
              </w:rPr>
              <w:t>(2)(3)(4)</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200</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35</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228</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463</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Capital expenditures</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1,957</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1,323</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73</w:t>
            </w:r>
          </w:p>
        </w:tc>
        <w:tc>
          <w:tcPr>
            <w:tcW w:w="195"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3,353</w:t>
            </w:r>
          </w:p>
        </w:tc>
        <w:tc>
          <w:tcPr>
            <w:tcW w:w="65" w:type="dxa"/>
            <w:tcBorders/>
            <w:shd w:fill="FFFF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Total assets</w:t>
            </w:r>
            <w:r>
              <w:rPr>
                <w:rFonts w:ascii="times" w:hAnsi="times"/>
                <w:position w:val="5"/>
                <w:sz w:val="11"/>
                <w:sz w:val="14"/>
              </w:rPr>
              <w:t>(5)</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1,917</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1,348</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5,450</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8,715</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FFFFFF" w:val="clear"/>
            <w:vAlign w:val="bottom"/>
          </w:tcPr>
          <w:p>
            <w:pPr>
              <w:pStyle w:val="TableContents"/>
              <w:spacing w:before="0" w:after="283"/>
              <w:ind w:left="160" w:right="0" w:hanging="160"/>
              <w:rPr>
                <w:rFonts w:ascii="times" w:hAnsi="times"/>
                <w:sz w:val="14"/>
              </w:rPr>
            </w:pPr>
            <w:r>
              <w:rPr>
                <w:rFonts w:ascii="times" w:hAnsi="times"/>
                <w:sz w:val="14"/>
              </w:rPr>
              <w:t>Net gains/(losses) related to inventory valuation adjustments and derivative activities</w:t>
            </w:r>
            <w:r>
              <w:rPr>
                <w:rFonts w:ascii="times" w:hAnsi="times"/>
                <w:position w:val="5"/>
                <w:sz w:val="11"/>
                <w:sz w:val="14"/>
              </w:rPr>
              <w:t>(2)</w:t>
            </w:r>
          </w:p>
        </w:tc>
        <w:tc>
          <w:tcPr>
            <w:tcW w:w="18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195"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195"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FFFFFF" w:val="clear"/>
            <w:vAlign w:val="bottom"/>
          </w:tcPr>
          <w:p>
            <w:pPr>
              <w:pStyle w:val="TableContents"/>
              <w:spacing w:before="0" w:after="283"/>
              <w:jc w:val="right"/>
              <w:rPr>
                <w:rFonts w:ascii="times" w:hAnsi="times"/>
                <w:sz w:val="14"/>
              </w:rPr>
            </w:pPr>
            <w:r>
              <w:rPr>
                <w:rFonts w:ascii="times" w:hAnsi="times"/>
                <w:sz w:val="14"/>
              </w:rPr>
              <w:t>(4</w:t>
            </w:r>
          </w:p>
        </w:tc>
        <w:tc>
          <w:tcPr>
            <w:tcW w:w="65" w:type="dxa"/>
            <w:tcBorders/>
            <w:shd w:fill="FFFFFF" w:val="clear"/>
            <w:vAlign w:val="bottom"/>
          </w:tcPr>
          <w:p>
            <w:pPr>
              <w:pStyle w:val="TableContents"/>
              <w:spacing w:before="0" w:after="283"/>
              <w:rPr>
                <w:rFonts w:ascii="times" w:hAnsi="times"/>
                <w:sz w:val="14"/>
              </w:rPr>
            </w:pPr>
            <w:r>
              <w:rPr>
                <w:rFonts w:ascii="times" w:hAnsi="times"/>
                <w:sz w:val="14"/>
              </w:rPr>
              <w:t>)</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5089" w:type="dxa"/>
            <w:gridSpan w:val="3"/>
            <w:tcBorders/>
            <w:shd w:fill="CCEEFF" w:val="clear"/>
            <w:vAlign w:val="bottom"/>
          </w:tcPr>
          <w:p>
            <w:pPr>
              <w:pStyle w:val="TableContents"/>
              <w:spacing w:before="0" w:after="283"/>
              <w:ind w:left="160" w:right="0" w:hanging="160"/>
              <w:rPr>
                <w:rFonts w:ascii="times" w:hAnsi="times"/>
                <w:sz w:val="14"/>
              </w:rPr>
            </w:pPr>
            <w:r>
              <w:rPr>
                <w:rFonts w:ascii="times" w:hAnsi="times"/>
                <w:sz w:val="14"/>
              </w:rPr>
              <w:t>Maintenance capital</w:t>
            </w:r>
          </w:p>
        </w:tc>
        <w:tc>
          <w:tcPr>
            <w:tcW w:w="18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71"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19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76" w:type="dxa"/>
            <w:tcBorders/>
            <w:shd w:fill="CCEEFF" w:val="clear"/>
            <w:vAlign w:val="bottom"/>
          </w:tcPr>
          <w:p>
            <w:pPr>
              <w:pStyle w:val="TableContents"/>
              <w:spacing w:before="0" w:after="283"/>
              <w:jc w:val="right"/>
              <w:rPr>
                <w:rFonts w:ascii="times" w:hAnsi="times"/>
                <w:sz w:val="14"/>
              </w:rPr>
            </w:pPr>
            <w:r>
              <w:rPr>
                <w:rFonts w:ascii="times" w:hAnsi="times"/>
                <w:sz w:val="14"/>
              </w:rPr>
              <w:t>5</w:t>
            </w:r>
          </w:p>
        </w:tc>
        <w:tc>
          <w:tcPr>
            <w:tcW w:w="19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556" w:type="dxa"/>
            <w:tcBorders/>
            <w:shd w:fill="CCEEFF" w:val="clear"/>
            <w:vAlign w:val="bottom"/>
          </w:tcPr>
          <w:p>
            <w:pPr>
              <w:pStyle w:val="TableContents"/>
              <w:spacing w:before="0" w:after="283"/>
              <w:jc w:val="right"/>
              <w:rPr>
                <w:rFonts w:ascii="times" w:hAnsi="times"/>
                <w:sz w:val="14"/>
              </w:rPr>
            </w:pPr>
            <w:r>
              <w:rPr>
                <w:rFonts w:ascii="times" w:hAnsi="times"/>
                <w:sz w:val="14"/>
              </w:rPr>
              <w:t>3</w:t>
            </w:r>
          </w:p>
        </w:tc>
        <w:tc>
          <w:tcPr>
            <w:tcW w:w="19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425" w:type="dxa"/>
            <w:tcBorders/>
            <w:shd w:fill="CCEEFF" w:val="clear"/>
            <w:vAlign w:val="bottom"/>
          </w:tcPr>
          <w:p>
            <w:pPr>
              <w:pStyle w:val="TableContents"/>
              <w:spacing w:before="0" w:after="283"/>
              <w:jc w:val="right"/>
              <w:rPr>
                <w:rFonts w:ascii="times" w:hAnsi="times"/>
                <w:sz w:val="14"/>
              </w:rPr>
            </w:pPr>
            <w:r>
              <w:rPr>
                <w:rFonts w:ascii="times" w:hAnsi="times"/>
                <w:sz w:val="14"/>
              </w:rPr>
              <w:t>28</w:t>
            </w:r>
          </w:p>
        </w:tc>
        <w:tc>
          <w:tcPr>
            <w:tcW w:w="65" w:type="dxa"/>
            <w:tcBorders/>
            <w:shd w:fill="CCEEFF" w:val="clear"/>
            <w:vAlign w:val="bottom"/>
          </w:tcPr>
          <w:p>
            <w:pPr>
              <w:pStyle w:val="TableContents"/>
              <w:spacing w:before="0" w:after="283"/>
              <w:rPr/>
            </w:pPr>
            <w:r>
              <w:rPr/>
              <w:t> </w:t>
            </w:r>
          </w:p>
        </w:tc>
      </w:tr>
      <w:tr>
        <w:trPr/>
        <w:tc>
          <w:tcPr>
            <w:tcW w:w="5089" w:type="dxa"/>
            <w:gridSpan w:val="3"/>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9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04"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679"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52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5"/>
          <w:sz w:val="11"/>
          <w:sz w:val="14"/>
        </w:rPr>
      </w:pPr>
      <w:r>
        <w:rPr>
          <w:rFonts w:ascii="times" w:hAnsi="times"/>
          <w:position w:val="5"/>
          <w:sz w:val="11"/>
          <w:sz w:val="14"/>
        </w:rPr>
        <w:t>(1)</w:t>
      </w:r>
    </w:p>
    <w:p>
      <w:pPr>
        <w:pStyle w:val="ListContents"/>
        <w:spacing w:before="0" w:after="283"/>
        <w:rPr>
          <w:rFonts w:ascii="times" w:hAnsi="times"/>
          <w:sz w:val="14"/>
        </w:rPr>
      </w:pPr>
      <w:r>
        <w:rPr>
          <w:rFonts w:ascii="times" w:hAnsi="times"/>
          <w:sz w:val="14"/>
        </w:rPr>
        <w:t xml:space="preserve">Intersegment sales are conducted at posted tariff rates, rates similar to those charged to third parties or rates that we believe approximate market rates. </w:t>
      </w:r>
    </w:p>
    <w:p>
      <w:pPr>
        <w:pStyle w:val="TextBody"/>
        <w:jc w:val="center"/>
        <w:rPr>
          <w:rFonts w:ascii="times" w:hAnsi="times"/>
          <w:sz w:val="20"/>
        </w:rPr>
      </w:pPr>
      <w:r>
        <w:rPr>
          <w:rFonts w:ascii="times" w:hAnsi="times"/>
          <w:sz w:val="20"/>
        </w:rPr>
        <w:t>F-64</w:t>
      </w:r>
    </w:p>
    <w:p>
      <w:pPr>
        <w:pStyle w:val="HorizontalLine"/>
        <w:pBdr>
          <w:bottom w:val="single" w:sz="20" w:space="0" w:color="808080"/>
        </w:pBdr>
        <w:rPr/>
      </w:pPr>
      <w:r>
        <w:rPr/>
      </w:r>
      <w:r>
        <w:br w:type="page"/>
      </w:r>
    </w:p>
    <w:p>
      <w:pPr>
        <w:pStyle w:val="TextBody"/>
        <w:rPr/>
      </w:pPr>
      <w:hyperlink w:anchor="bg12101a_main_toc">
        <w:bookmarkStart w:id="298" w:name="page_ga12101_1_65"/>
        <w:bookmarkEnd w:id="298"/>
        <w:r>
          <w:rPr>
            <w:rStyle w:val="InternetLink"/>
            <w:rFonts w:ascii="times" w:hAnsi="times"/>
            <w:sz w:val="20"/>
          </w:rPr>
          <w:t>Table of Contents</w:t>
        </w:r>
      </w:hyperlink>
    </w:p>
    <w:p>
      <w:pPr>
        <w:pStyle w:val="TextBody"/>
        <w:jc w:val="center"/>
        <w:rPr>
          <w:rFonts w:ascii="times" w:hAnsi="times"/>
          <w:b/>
          <w:sz w:val="20"/>
        </w:rPr>
      </w:pPr>
      <w:r>
        <w:rPr>
          <w:rFonts w:ascii="times" w:hAnsi="times"/>
          <w:b/>
          <w:sz w:val="20"/>
        </w:rPr>
        <w:br/>
        <w:t xml:space="preserve">PLAINS ALL AMERICAN PIPELINE, L.P. AND SUBSIDIARIES </w:t>
      </w:r>
    </w:p>
    <w:p>
      <w:pPr>
        <w:pStyle w:val="TextBody"/>
        <w:jc w:val="center"/>
        <w:rPr>
          <w:rFonts w:ascii="times" w:hAnsi="times"/>
          <w:b/>
          <w:sz w:val="20"/>
        </w:rPr>
      </w:pPr>
      <w:r>
        <w:rPr>
          <w:rFonts w:ascii="times" w:hAnsi="times"/>
          <w:b/>
          <w:sz w:val="20"/>
        </w:rPr>
        <w:t xml:space="preserve">NOTES TO THE CONSOLIDATED FINANCIAL STATEMENTS (Continued) </w:t>
      </w:r>
    </w:p>
    <w:p>
      <w:pPr>
        <w:pStyle w:val="TextBody"/>
        <w:rPr>
          <w:rFonts w:ascii="times" w:hAnsi="times"/>
          <w:b/>
          <w:sz w:val="20"/>
        </w:rPr>
      </w:pPr>
      <w:r>
        <w:rPr>
          <w:rFonts w:ascii="times" w:hAnsi="times"/>
          <w:b/>
          <w:sz w:val="20"/>
        </w:rPr>
        <w:t xml:space="preserve">Note 15Operating Segments (Continued) </w:t>
      </w:r>
    </w:p>
    <w:p>
      <w:pPr>
        <w:pStyle w:val="ListHeading"/>
        <w:spacing w:before="0" w:after="0"/>
        <w:rPr>
          <w:rFonts w:ascii="times" w:hAnsi="times"/>
          <w:position w:val="5"/>
          <w:sz w:val="11"/>
          <w:sz w:val="14"/>
        </w:rPr>
      </w:pPr>
      <w:r>
        <w:rPr>
          <w:rFonts w:ascii="times" w:hAnsi="times"/>
          <w:position w:val="5"/>
          <w:sz w:val="11"/>
          <w:sz w:val="14"/>
        </w:rPr>
        <w:t>(2)</w:t>
      </w:r>
    </w:p>
    <w:p>
      <w:pPr>
        <w:pStyle w:val="ListContents"/>
        <w:spacing w:before="0" w:after="283"/>
        <w:rPr>
          <w:rFonts w:ascii="times" w:hAnsi="times"/>
          <w:sz w:val="14"/>
        </w:rPr>
      </w:pPr>
      <w:r>
        <w:rPr>
          <w:rFonts w:ascii="times" w:hAnsi="times"/>
          <w:sz w:val="14"/>
        </w:rPr>
        <w:t xml:space="preserve">Gains/losses from derivative activities are included in marketing revenues and impact segment profit. The gain within the marketing segment for the year ended December 31, 2008 excludes a gain of $3 million related to foreign currency and interest rate derivatives, which is included in interest income and other income (expense), net, but does not impact segment profit. The loss for the year ended December 31, 2007 includes a $2 million gain related to interest rate derivatives, which is included in interest income and other income (expense), net, but does not impact segment profit. </w:t>
      </w:r>
    </w:p>
    <w:p>
      <w:pPr>
        <w:pStyle w:val="ListHeading"/>
        <w:spacing w:before="0" w:after="0"/>
        <w:rPr>
          <w:rFonts w:ascii="times" w:hAnsi="times"/>
          <w:position w:val="5"/>
          <w:sz w:val="11"/>
          <w:sz w:val="14"/>
        </w:rPr>
      </w:pPr>
      <w:r>
        <w:rPr>
          <w:rFonts w:ascii="times" w:hAnsi="times"/>
          <w:position w:val="5"/>
          <w:sz w:val="11"/>
          <w:sz w:val="14"/>
        </w:rPr>
        <w:t>(3)</w:t>
      </w:r>
    </w:p>
    <w:p>
      <w:pPr>
        <w:pStyle w:val="ListContents"/>
        <w:spacing w:before="0" w:after="283"/>
        <w:rPr>
          <w:rFonts w:ascii="times" w:hAnsi="times"/>
          <w:sz w:val="14"/>
        </w:rPr>
      </w:pPr>
      <w:r>
        <w:rPr>
          <w:rFonts w:ascii="times" w:hAnsi="times"/>
          <w:sz w:val="14"/>
        </w:rPr>
        <w:t xml:space="preserve">Marketing segment profit includes interest expense on contango inventory purchases of $21 million, $44 million and $49 million for the years ended December 31, 2008, 2007 and 2006, respectively. </w:t>
      </w:r>
    </w:p>
    <w:p>
      <w:pPr>
        <w:pStyle w:val="ListHeading"/>
        <w:spacing w:before="0" w:after="0"/>
        <w:rPr>
          <w:rFonts w:ascii="times" w:hAnsi="times"/>
          <w:position w:val="5"/>
          <w:sz w:val="11"/>
          <w:sz w:val="14"/>
        </w:rPr>
      </w:pPr>
      <w:r>
        <w:rPr>
          <w:rFonts w:ascii="times" w:hAnsi="times"/>
          <w:position w:val="5"/>
          <w:sz w:val="11"/>
          <w:sz w:val="14"/>
        </w:rPr>
        <w:t>(4)</w:t>
      </w:r>
    </w:p>
    <w:p>
      <w:pPr>
        <w:pStyle w:val="ListContents"/>
        <w:spacing w:before="0" w:after="283"/>
        <w:rPr>
          <w:rFonts w:ascii="times" w:hAnsi="times"/>
          <w:sz w:val="14"/>
        </w:rPr>
      </w:pPr>
      <w:r>
        <w:rPr>
          <w:rFonts w:ascii="times" w:hAnsi="times"/>
          <w:sz w:val="14"/>
        </w:rPr>
        <w:t xml:space="preserve">The following table reconciles segment profit to consolidated income before cumulative effect of change in accounting principle (in millions): </w:t>
      </w:r>
    </w:p>
    <w:tbl>
      <w:tblPr>
        <w:tblW w:w="6650" w:type="dxa"/>
        <w:jc w:val="center"/>
        <w:tblInd w:w="0" w:type="dxa"/>
        <w:tblCellMar>
          <w:top w:w="0" w:type="dxa"/>
          <w:left w:w="0" w:type="dxa"/>
          <w:bottom w:w="0" w:type="dxa"/>
          <w:right w:w="0" w:type="dxa"/>
        </w:tblCellMar>
      </w:tblPr>
      <w:tblGrid>
        <w:gridCol w:w="4860"/>
        <w:gridCol w:w="180"/>
        <w:gridCol w:w="95"/>
        <w:gridCol w:w="290"/>
        <w:gridCol w:w="195"/>
        <w:gridCol w:w="95"/>
        <w:gridCol w:w="290"/>
        <w:gridCol w:w="195"/>
        <w:gridCol w:w="95"/>
        <w:gridCol w:w="290"/>
        <w:gridCol w:w="65"/>
      </w:tblGrid>
      <w:tr>
        <w:trPr/>
        <w:tc>
          <w:tcPr>
            <w:tcW w:w="48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86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54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 xml:space="preserve">December 31, </w:t>
            </w:r>
          </w:p>
        </w:tc>
        <w:tc>
          <w:tcPr>
            <w:tcW w:w="65" w:type="dxa"/>
            <w:tcBorders/>
            <w:shd w:fill="auto" w:val="clear"/>
            <w:vAlign w:val="bottom"/>
          </w:tcPr>
          <w:p>
            <w:pPr>
              <w:pStyle w:val="TableHeading"/>
              <w:suppressLineNumbers/>
              <w:spacing w:before="0" w:after="283"/>
              <w:jc w:val="center"/>
              <w:rPr/>
            </w:pPr>
            <w:r>
              <w:rPr/>
              <w:t> </w:t>
            </w:r>
          </w:p>
        </w:tc>
      </w:tr>
      <w:tr>
        <w:trPr/>
        <w:tc>
          <w:tcPr>
            <w:tcW w:w="486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95"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195" w:type="dxa"/>
            <w:tcBorders/>
            <w:shd w:fill="auto" w:val="clear"/>
            <w:vAlign w:val="bottom"/>
          </w:tcPr>
          <w:p>
            <w:pPr>
              <w:pStyle w:val="TableHeading"/>
              <w:suppressLineNumbers/>
              <w:spacing w:before="0" w:after="283"/>
              <w:jc w:val="center"/>
              <w:rPr/>
            </w:pPr>
            <w:r>
              <w:rPr/>
              <w:t> </w:t>
            </w:r>
          </w:p>
        </w:tc>
        <w:tc>
          <w:tcPr>
            <w:tcW w:w="38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5" w:type="dxa"/>
            <w:tcBorders/>
            <w:shd w:fill="auto" w:val="clear"/>
            <w:vAlign w:val="bottom"/>
          </w:tcPr>
          <w:p>
            <w:pPr>
              <w:pStyle w:val="TableHeading"/>
              <w:suppressLineNumbers/>
              <w:spacing w:before="0" w:after="283"/>
              <w:jc w:val="center"/>
              <w:rPr/>
            </w:pPr>
            <w:r>
              <w:rPr/>
              <w:t> </w:t>
            </w:r>
          </w:p>
        </w:tc>
      </w:tr>
      <w:tr>
        <w:trPr/>
        <w:tc>
          <w:tcPr>
            <w:tcW w:w="4860" w:type="dxa"/>
            <w:tcBorders/>
            <w:shd w:fill="CCEEFF" w:val="clear"/>
          </w:tcPr>
          <w:p>
            <w:pPr>
              <w:pStyle w:val="TableContents"/>
              <w:spacing w:before="0" w:after="283"/>
              <w:ind w:left="160" w:right="0" w:hanging="160"/>
              <w:rPr>
                <w:rFonts w:ascii="times" w:hAnsi="times"/>
                <w:sz w:val="14"/>
              </w:rPr>
            </w:pPr>
            <w:r>
              <w:rPr>
                <w:rFonts w:ascii="times" w:hAnsi="times"/>
                <w:sz w:val="14"/>
              </w:rPr>
              <w:t>Segment profit</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tcPr>
          <w:p>
            <w:pPr>
              <w:pStyle w:val="TableContents"/>
              <w:spacing w:before="0" w:after="283"/>
              <w:jc w:val="right"/>
              <w:rPr>
                <w:rFonts w:ascii="times" w:hAnsi="times"/>
                <w:sz w:val="14"/>
              </w:rPr>
            </w:pPr>
            <w:r>
              <w:rPr>
                <w:rFonts w:ascii="times" w:hAnsi="times"/>
                <w:sz w:val="14"/>
              </w:rPr>
              <w:t>819</w:t>
            </w:r>
          </w:p>
        </w:tc>
        <w:tc>
          <w:tcPr>
            <w:tcW w:w="195"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tcPr>
          <w:p>
            <w:pPr>
              <w:pStyle w:val="TableContents"/>
              <w:spacing w:before="0" w:after="283"/>
              <w:jc w:val="right"/>
              <w:rPr>
                <w:rFonts w:ascii="times" w:hAnsi="times"/>
                <w:sz w:val="14"/>
              </w:rPr>
            </w:pPr>
            <w:r>
              <w:rPr>
                <w:rFonts w:ascii="times" w:hAnsi="times"/>
                <w:sz w:val="14"/>
              </w:rPr>
              <w:t>713</w:t>
            </w:r>
          </w:p>
        </w:tc>
        <w:tc>
          <w:tcPr>
            <w:tcW w:w="195"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jc w:val="right"/>
              <w:rPr>
                <w:rFonts w:ascii="times" w:hAnsi="times"/>
                <w:sz w:val="14"/>
              </w:rPr>
            </w:pPr>
            <w:r>
              <w:rPr>
                <w:rFonts w:ascii="times" w:hAnsi="times"/>
                <w:sz w:val="14"/>
              </w:rPr>
              <w:t>$</w:t>
            </w:r>
          </w:p>
        </w:tc>
        <w:tc>
          <w:tcPr>
            <w:tcW w:w="290" w:type="dxa"/>
            <w:tcBorders/>
            <w:shd w:fill="CCEEFF" w:val="clear"/>
          </w:tcPr>
          <w:p>
            <w:pPr>
              <w:pStyle w:val="TableContents"/>
              <w:spacing w:before="0" w:after="283"/>
              <w:jc w:val="right"/>
              <w:rPr>
                <w:rFonts w:ascii="times" w:hAnsi="times"/>
                <w:sz w:val="14"/>
              </w:rPr>
            </w:pPr>
            <w:r>
              <w:rPr>
                <w:rFonts w:ascii="times" w:hAnsi="times"/>
                <w:sz w:val="14"/>
              </w:rPr>
              <w:t>463</w:t>
            </w:r>
          </w:p>
        </w:tc>
        <w:tc>
          <w:tcPr>
            <w:tcW w:w="65" w:type="dxa"/>
            <w:tcBorders/>
            <w:shd w:fill="CCEEFF" w:val="clear"/>
          </w:tcPr>
          <w:p>
            <w:pPr>
              <w:pStyle w:val="TableContents"/>
              <w:spacing w:before="0" w:after="283"/>
              <w:rPr/>
            </w:pPr>
            <w:r>
              <w:rPr/>
              <w:t> </w:t>
            </w:r>
          </w:p>
        </w:tc>
      </w:tr>
      <w:tr>
        <w:trPr/>
        <w:tc>
          <w:tcPr>
            <w:tcW w:w="4860" w:type="dxa"/>
            <w:tcBorders/>
            <w:shd w:fill="FFFFFF" w:val="clear"/>
          </w:tcPr>
          <w:p>
            <w:pPr>
              <w:pStyle w:val="TableContents"/>
              <w:spacing w:before="0" w:after="283"/>
              <w:ind w:left="160" w:right="0" w:hanging="160"/>
              <w:rPr>
                <w:rFonts w:ascii="times" w:hAnsi="times"/>
                <w:sz w:val="14"/>
              </w:rPr>
            </w:pPr>
            <w:r>
              <w:rPr>
                <w:rFonts w:ascii="times" w:hAnsi="times"/>
                <w:sz w:val="14"/>
              </w:rPr>
              <w:t>Depreciation and amortization</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14"/>
              </w:rPr>
            </w:pPr>
            <w:r>
              <w:rPr>
                <w:rFonts w:ascii="times" w:hAnsi="times"/>
                <w:sz w:val="14"/>
              </w:rPr>
              <w:t>(211</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9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14"/>
              </w:rPr>
            </w:pPr>
            <w:r>
              <w:rPr>
                <w:rFonts w:ascii="times" w:hAnsi="times"/>
                <w:sz w:val="14"/>
              </w:rPr>
              <w:t>(180</w:t>
            </w:r>
          </w:p>
        </w:tc>
        <w:tc>
          <w:tcPr>
            <w:tcW w:w="195" w:type="dxa"/>
            <w:tcBorders/>
            <w:shd w:fill="FFFFFF" w:val="clear"/>
          </w:tcPr>
          <w:p>
            <w:pPr>
              <w:pStyle w:val="TableContents"/>
              <w:spacing w:before="0" w:after="283"/>
              <w:rPr>
                <w:rFonts w:ascii="times" w:hAnsi="times"/>
                <w:sz w:val="14"/>
              </w:rPr>
            </w:pPr>
            <w:r>
              <w:rPr>
                <w:rFonts w:ascii="times" w:hAnsi="times"/>
                <w:sz w:val="14"/>
              </w:rPr>
              <w:t>)</w:t>
            </w:r>
          </w:p>
        </w:tc>
        <w:tc>
          <w:tcPr>
            <w:tcW w:w="9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14"/>
              </w:rPr>
            </w:pPr>
            <w:r>
              <w:rPr>
                <w:rFonts w:ascii="times" w:hAnsi="times"/>
                <w:sz w:val="14"/>
              </w:rPr>
              <w:t>(100</w:t>
            </w:r>
          </w:p>
        </w:tc>
        <w:tc>
          <w:tcPr>
            <w:tcW w:w="65" w:type="dxa"/>
            <w:tcBorders/>
            <w:shd w:fill="FFFFFF" w:val="clear"/>
          </w:tcPr>
          <w:p>
            <w:pPr>
              <w:pStyle w:val="TableContents"/>
              <w:spacing w:before="0" w:after="283"/>
              <w:rPr>
                <w:rFonts w:ascii="times" w:hAnsi="times"/>
                <w:sz w:val="14"/>
              </w:rPr>
            </w:pPr>
            <w:r>
              <w:rPr>
                <w:rFonts w:ascii="times" w:hAnsi="times"/>
                <w:sz w:val="14"/>
              </w:rPr>
              <w:t>)</w:t>
            </w:r>
          </w:p>
        </w:tc>
      </w:tr>
      <w:tr>
        <w:trPr/>
        <w:tc>
          <w:tcPr>
            <w:tcW w:w="4860" w:type="dxa"/>
            <w:tcBorders/>
            <w:shd w:fill="CCEEFF" w:val="clear"/>
          </w:tcPr>
          <w:p>
            <w:pPr>
              <w:pStyle w:val="TableContents"/>
              <w:spacing w:before="0" w:after="283"/>
              <w:ind w:left="160" w:right="0" w:hanging="160"/>
              <w:rPr>
                <w:rFonts w:ascii="times" w:hAnsi="times"/>
                <w:sz w:val="14"/>
              </w:rPr>
            </w:pPr>
            <w:r>
              <w:rPr>
                <w:rFonts w:ascii="times" w:hAnsi="times"/>
                <w:sz w:val="14"/>
              </w:rPr>
              <w:t>Interest expense</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(196</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(162</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(86</w:t>
            </w:r>
          </w:p>
        </w:tc>
        <w:tc>
          <w:tcPr>
            <w:tcW w:w="65" w:type="dxa"/>
            <w:tcBorders/>
            <w:shd w:fill="CCEEFF" w:val="clear"/>
          </w:tcPr>
          <w:p>
            <w:pPr>
              <w:pStyle w:val="TableContents"/>
              <w:spacing w:before="0" w:after="283"/>
              <w:rPr>
                <w:rFonts w:ascii="times" w:hAnsi="times"/>
                <w:sz w:val="14"/>
              </w:rPr>
            </w:pPr>
            <w:r>
              <w:rPr>
                <w:rFonts w:ascii="times" w:hAnsi="times"/>
                <w:sz w:val="14"/>
              </w:rPr>
              <w:t>)</w:t>
            </w:r>
          </w:p>
        </w:tc>
      </w:tr>
      <w:tr>
        <w:trPr/>
        <w:tc>
          <w:tcPr>
            <w:tcW w:w="4860" w:type="dxa"/>
            <w:tcBorders/>
            <w:shd w:fill="FFFFFF" w:val="clear"/>
          </w:tcPr>
          <w:p>
            <w:pPr>
              <w:pStyle w:val="TableContents"/>
              <w:spacing w:before="0" w:after="283"/>
              <w:ind w:left="160" w:right="0" w:hanging="160"/>
              <w:rPr>
                <w:rFonts w:ascii="times" w:hAnsi="times"/>
                <w:sz w:val="14"/>
              </w:rPr>
            </w:pPr>
            <w:r>
              <w:rPr>
                <w:rFonts w:ascii="times" w:hAnsi="times"/>
                <w:sz w:val="14"/>
              </w:rPr>
              <w:t>Interest income and other income (expense), net</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14"/>
              </w:rPr>
            </w:pPr>
            <w:r>
              <w:rPr>
                <w:rFonts w:ascii="times" w:hAnsi="times"/>
                <w:sz w:val="14"/>
              </w:rPr>
              <w:t>33</w:t>
            </w:r>
          </w:p>
        </w:tc>
        <w:tc>
          <w:tcPr>
            <w:tcW w:w="195"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14"/>
              </w:rPr>
            </w:pPr>
            <w:r>
              <w:rPr>
                <w:rFonts w:ascii="times" w:hAnsi="times"/>
                <w:sz w:val="14"/>
              </w:rPr>
              <w:t>10</w:t>
            </w:r>
          </w:p>
        </w:tc>
        <w:tc>
          <w:tcPr>
            <w:tcW w:w="195"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jc w:val="right"/>
              <w:rPr>
                <w:rFonts w:ascii="times" w:hAnsi="times"/>
                <w:sz w:val="14"/>
              </w:rPr>
            </w:pPr>
            <w:r>
              <w:rPr>
                <w:rFonts w:ascii="times" w:hAnsi="times"/>
                <w:sz w:val="14"/>
              </w:rPr>
              <w:t>2</w:t>
            </w:r>
          </w:p>
        </w:tc>
        <w:tc>
          <w:tcPr>
            <w:tcW w:w="65" w:type="dxa"/>
            <w:tcBorders/>
            <w:shd w:fill="FFFFFF" w:val="clear"/>
          </w:tcPr>
          <w:p>
            <w:pPr>
              <w:pStyle w:val="TableContents"/>
              <w:spacing w:before="0" w:after="283"/>
              <w:rPr/>
            </w:pPr>
            <w:r>
              <w:rPr/>
              <w:t> </w:t>
            </w:r>
          </w:p>
        </w:tc>
      </w:tr>
      <w:tr>
        <w:trPr/>
        <w:tc>
          <w:tcPr>
            <w:tcW w:w="4860" w:type="dxa"/>
            <w:tcBorders/>
            <w:shd w:fill="CCEEFF" w:val="clear"/>
          </w:tcPr>
          <w:p>
            <w:pPr>
              <w:pStyle w:val="TableContents"/>
              <w:spacing w:before="0" w:after="283"/>
              <w:ind w:left="160" w:right="0" w:hanging="160"/>
              <w:rPr>
                <w:rFonts w:ascii="times" w:hAnsi="times"/>
                <w:sz w:val="14"/>
              </w:rPr>
            </w:pPr>
            <w:r>
              <w:rPr>
                <w:rFonts w:ascii="times" w:hAnsi="times"/>
                <w:sz w:val="14"/>
              </w:rPr>
              <w:t>Income tax expense</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(8</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(16</w:t>
            </w:r>
          </w:p>
        </w:tc>
        <w:tc>
          <w:tcPr>
            <w:tcW w:w="195" w:type="dxa"/>
            <w:tcBorders/>
            <w:shd w:fill="CCEEFF" w:val="clear"/>
          </w:tcPr>
          <w:p>
            <w:pPr>
              <w:pStyle w:val="TableContents"/>
              <w:spacing w:before="0" w:after="283"/>
              <w:rPr>
                <w:rFonts w:ascii="times" w:hAnsi="times"/>
                <w:sz w:val="14"/>
              </w:rPr>
            </w:pPr>
            <w:r>
              <w:rPr>
                <w:rFonts w:ascii="times" w:hAnsi="times"/>
                <w:sz w:val="14"/>
              </w:rPr>
              <w:t>)</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w:t>
            </w:r>
          </w:p>
        </w:tc>
        <w:tc>
          <w:tcPr>
            <w:tcW w:w="65" w:type="dxa"/>
            <w:tcBorders/>
            <w:shd w:fill="CCEEFF" w:val="clear"/>
          </w:tcPr>
          <w:p>
            <w:pPr>
              <w:pStyle w:val="TableContents"/>
              <w:spacing w:before="0" w:after="283"/>
              <w:rPr/>
            </w:pPr>
            <w:r>
              <w:rPr/>
              <w:t> </w:t>
            </w:r>
          </w:p>
        </w:tc>
      </w:tr>
      <w:tr>
        <w:trPr/>
        <w:tc>
          <w:tcPr>
            <w:tcW w:w="486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860" w:type="dxa"/>
            <w:tcBorders/>
            <w:shd w:fill="FFFFFF" w:val="clear"/>
          </w:tcPr>
          <w:p>
            <w:pPr>
              <w:pStyle w:val="TableContents"/>
              <w:spacing w:before="0" w:after="283"/>
              <w:ind w:left="160" w:right="0" w:hanging="160"/>
              <w:rPr>
                <w:rFonts w:ascii="times" w:hAnsi="times"/>
                <w:sz w:val="14"/>
              </w:rPr>
            </w:pPr>
            <w:r>
              <w:rPr>
                <w:rFonts w:ascii="times" w:hAnsi="times"/>
                <w:sz w:val="14"/>
              </w:rPr>
              <w:t>Income before cumulative effect of change in accounting principle</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tcPr>
          <w:p>
            <w:pPr>
              <w:pStyle w:val="TableContents"/>
              <w:spacing w:before="0" w:after="283"/>
              <w:jc w:val="right"/>
              <w:rPr>
                <w:rFonts w:ascii="times" w:hAnsi="times"/>
                <w:sz w:val="14"/>
              </w:rPr>
            </w:pPr>
            <w:r>
              <w:rPr>
                <w:rFonts w:ascii="times" w:hAnsi="times"/>
                <w:sz w:val="14"/>
              </w:rPr>
              <w:t>437</w:t>
            </w:r>
          </w:p>
        </w:tc>
        <w:tc>
          <w:tcPr>
            <w:tcW w:w="195"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tcPr>
          <w:p>
            <w:pPr>
              <w:pStyle w:val="TableContents"/>
              <w:spacing w:before="0" w:after="283"/>
              <w:jc w:val="right"/>
              <w:rPr>
                <w:rFonts w:ascii="times" w:hAnsi="times"/>
                <w:sz w:val="14"/>
              </w:rPr>
            </w:pPr>
            <w:r>
              <w:rPr>
                <w:rFonts w:ascii="times" w:hAnsi="times"/>
                <w:sz w:val="14"/>
              </w:rPr>
              <w:t>365</w:t>
            </w:r>
          </w:p>
        </w:tc>
        <w:tc>
          <w:tcPr>
            <w:tcW w:w="195"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tcPr>
          <w:p>
            <w:pPr>
              <w:pStyle w:val="TableContents"/>
              <w:spacing w:before="0" w:after="283"/>
              <w:jc w:val="right"/>
              <w:rPr>
                <w:rFonts w:ascii="times" w:hAnsi="times"/>
                <w:sz w:val="14"/>
              </w:rPr>
            </w:pPr>
            <w:r>
              <w:rPr>
                <w:rFonts w:ascii="times" w:hAnsi="times"/>
                <w:sz w:val="14"/>
              </w:rPr>
              <w:t>279</w:t>
            </w:r>
          </w:p>
        </w:tc>
        <w:tc>
          <w:tcPr>
            <w:tcW w:w="65" w:type="dxa"/>
            <w:tcBorders/>
            <w:shd w:fill="FFFFFF" w:val="clear"/>
          </w:tcPr>
          <w:p>
            <w:pPr>
              <w:pStyle w:val="TableContents"/>
              <w:spacing w:before="0" w:after="283"/>
              <w:rPr/>
            </w:pPr>
            <w:r>
              <w:rPr/>
              <w:t> </w:t>
            </w:r>
          </w:p>
        </w:tc>
      </w:tr>
      <w:tr>
        <w:trPr/>
        <w:tc>
          <w:tcPr>
            <w:tcW w:w="4860" w:type="dxa"/>
            <w:tcBorders/>
            <w:shd w:fill="CCEEFF" w:val="clear"/>
          </w:tcPr>
          <w:p>
            <w:pPr>
              <w:pStyle w:val="TableContents"/>
              <w:spacing w:before="0" w:after="283"/>
              <w:ind w:left="160" w:right="0" w:hanging="160"/>
              <w:rPr>
                <w:rFonts w:ascii="times" w:hAnsi="times"/>
                <w:sz w:val="14"/>
              </w:rPr>
            </w:pPr>
            <w:r>
              <w:rPr>
                <w:rFonts w:ascii="times" w:hAnsi="times"/>
                <w:sz w:val="14"/>
              </w:rPr>
              <w:t>Cumulative effect of change in accounting priciple</w:t>
            </w:r>
          </w:p>
        </w:tc>
        <w:tc>
          <w:tcPr>
            <w:tcW w:w="180"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w:t>
            </w:r>
          </w:p>
        </w:tc>
        <w:tc>
          <w:tcPr>
            <w:tcW w:w="195" w:type="dxa"/>
            <w:tcBorders/>
            <w:shd w:fill="CCEEFF" w:val="clear"/>
          </w:tcPr>
          <w:p>
            <w:pPr>
              <w:pStyle w:val="TableContents"/>
              <w:spacing w:before="0" w:after="283"/>
              <w:rPr/>
            </w:pPr>
            <w:r>
              <w:rPr/>
              <w:t> </w:t>
            </w:r>
          </w:p>
        </w:tc>
        <w:tc>
          <w:tcPr>
            <w:tcW w:w="95"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jc w:val="right"/>
              <w:rPr>
                <w:rFonts w:ascii="times" w:hAnsi="times"/>
                <w:sz w:val="14"/>
              </w:rPr>
            </w:pPr>
            <w:r>
              <w:rPr>
                <w:rFonts w:ascii="times" w:hAnsi="times"/>
                <w:sz w:val="14"/>
              </w:rPr>
              <w:t>6</w:t>
            </w:r>
          </w:p>
        </w:tc>
        <w:tc>
          <w:tcPr>
            <w:tcW w:w="65" w:type="dxa"/>
            <w:tcBorders/>
            <w:shd w:fill="CCEEFF" w:val="clear"/>
          </w:tcPr>
          <w:p>
            <w:pPr>
              <w:pStyle w:val="TableContents"/>
              <w:spacing w:before="0" w:after="283"/>
              <w:rPr/>
            </w:pPr>
            <w:r>
              <w:rPr/>
              <w:t> </w:t>
            </w:r>
          </w:p>
        </w:tc>
      </w:tr>
      <w:tr>
        <w:trPr/>
        <w:tc>
          <w:tcPr>
            <w:tcW w:w="486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r>
        <w:trPr/>
        <w:tc>
          <w:tcPr>
            <w:tcW w:w="4860" w:type="dxa"/>
            <w:tcBorders/>
            <w:shd w:fill="FFFFFF" w:val="clear"/>
          </w:tcPr>
          <w:p>
            <w:pPr>
              <w:pStyle w:val="TableContents"/>
              <w:spacing w:before="0" w:after="283"/>
              <w:ind w:left="160" w:right="0" w:hanging="160"/>
              <w:rPr>
                <w:rFonts w:ascii="times" w:hAnsi="times"/>
                <w:sz w:val="14"/>
              </w:rPr>
            </w:pPr>
            <w:r>
              <w:rPr>
                <w:rFonts w:ascii="times" w:hAnsi="times"/>
                <w:sz w:val="14"/>
              </w:rPr>
              <w:t>Net income</w:t>
            </w:r>
          </w:p>
        </w:tc>
        <w:tc>
          <w:tcPr>
            <w:tcW w:w="180"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tcPr>
          <w:p>
            <w:pPr>
              <w:pStyle w:val="TableContents"/>
              <w:spacing w:before="0" w:after="283"/>
              <w:jc w:val="right"/>
              <w:rPr>
                <w:rFonts w:ascii="times" w:hAnsi="times"/>
                <w:sz w:val="14"/>
              </w:rPr>
            </w:pPr>
            <w:r>
              <w:rPr>
                <w:rFonts w:ascii="times" w:hAnsi="times"/>
                <w:sz w:val="14"/>
              </w:rPr>
              <w:t>437</w:t>
            </w:r>
          </w:p>
        </w:tc>
        <w:tc>
          <w:tcPr>
            <w:tcW w:w="195"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tcPr>
          <w:p>
            <w:pPr>
              <w:pStyle w:val="TableContents"/>
              <w:spacing w:before="0" w:after="283"/>
              <w:jc w:val="right"/>
              <w:rPr>
                <w:rFonts w:ascii="times" w:hAnsi="times"/>
                <w:sz w:val="14"/>
              </w:rPr>
            </w:pPr>
            <w:r>
              <w:rPr>
                <w:rFonts w:ascii="times" w:hAnsi="times"/>
                <w:sz w:val="14"/>
              </w:rPr>
              <w:t>365</w:t>
            </w:r>
          </w:p>
        </w:tc>
        <w:tc>
          <w:tcPr>
            <w:tcW w:w="195" w:type="dxa"/>
            <w:tcBorders/>
            <w:shd w:fill="FFFFFF" w:val="clear"/>
          </w:tcPr>
          <w:p>
            <w:pPr>
              <w:pStyle w:val="TableContents"/>
              <w:spacing w:before="0" w:after="283"/>
              <w:rPr/>
            </w:pPr>
            <w:r>
              <w:rPr/>
              <w:t> </w:t>
            </w:r>
          </w:p>
        </w:tc>
        <w:tc>
          <w:tcPr>
            <w:tcW w:w="95" w:type="dxa"/>
            <w:tcBorders/>
            <w:shd w:fill="FFFFFF" w:val="clear"/>
          </w:tcPr>
          <w:p>
            <w:pPr>
              <w:pStyle w:val="TableContents"/>
              <w:spacing w:before="0" w:after="283"/>
              <w:jc w:val="right"/>
              <w:rPr>
                <w:rFonts w:ascii="times" w:hAnsi="times"/>
                <w:sz w:val="14"/>
              </w:rPr>
            </w:pPr>
            <w:r>
              <w:rPr>
                <w:rFonts w:ascii="times" w:hAnsi="times"/>
                <w:sz w:val="14"/>
              </w:rPr>
              <w:t>$</w:t>
            </w:r>
          </w:p>
        </w:tc>
        <w:tc>
          <w:tcPr>
            <w:tcW w:w="290" w:type="dxa"/>
            <w:tcBorders/>
            <w:shd w:fill="FFFFFF" w:val="clear"/>
          </w:tcPr>
          <w:p>
            <w:pPr>
              <w:pStyle w:val="TableContents"/>
              <w:spacing w:before="0" w:after="283"/>
              <w:jc w:val="right"/>
              <w:rPr>
                <w:rFonts w:ascii="times" w:hAnsi="times"/>
                <w:sz w:val="14"/>
              </w:rPr>
            </w:pPr>
            <w:r>
              <w:rPr>
                <w:rFonts w:ascii="times" w:hAnsi="times"/>
                <w:sz w:val="14"/>
              </w:rPr>
              <w:t>285</w:t>
            </w:r>
          </w:p>
        </w:tc>
        <w:tc>
          <w:tcPr>
            <w:tcW w:w="65" w:type="dxa"/>
            <w:tcBorders/>
            <w:shd w:fill="FFFFFF" w:val="clear"/>
          </w:tcPr>
          <w:p>
            <w:pPr>
              <w:pStyle w:val="TableContents"/>
              <w:spacing w:before="0" w:after="283"/>
              <w:rPr/>
            </w:pPr>
            <w:r>
              <w:rPr/>
              <w:t> </w:t>
            </w:r>
          </w:p>
        </w:tc>
      </w:tr>
      <w:tr>
        <w:trPr/>
        <w:tc>
          <w:tcPr>
            <w:tcW w:w="486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195" w:type="dxa"/>
            <w:tcBorders/>
            <w:shd w:fill="auto" w:val="clear"/>
          </w:tcPr>
          <w:p>
            <w:pPr>
              <w:pStyle w:val="TableContents"/>
              <w:spacing w:before="0" w:after="283"/>
              <w:rPr/>
            </w:pPr>
            <w:r>
              <w:rPr/>
              <w:t> </w:t>
            </w:r>
          </w:p>
        </w:tc>
        <w:tc>
          <w:tcPr>
            <w:tcW w:w="38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5" w:type="dxa"/>
            <w:tcBorders/>
            <w:shd w:fill="auto" w:val="clear"/>
          </w:tcPr>
          <w:p>
            <w:pPr>
              <w:pStyle w:val="TableContents"/>
              <w:spacing w:before="0" w:after="283"/>
              <w:rPr/>
            </w:pPr>
            <w:r>
              <w:rPr/>
              <w:t> </w:t>
            </w:r>
          </w:p>
        </w:tc>
      </w:tr>
    </w:tbl>
    <w:p>
      <w:pPr>
        <w:pStyle w:val="ListHeading"/>
        <w:spacing w:before="0" w:after="0"/>
        <w:rPr>
          <w:rFonts w:ascii="times" w:hAnsi="times"/>
          <w:position w:val="5"/>
          <w:sz w:val="11"/>
          <w:sz w:val="14"/>
        </w:rPr>
      </w:pPr>
      <w:r>
        <w:rPr>
          <w:rFonts w:ascii="times" w:hAnsi="times"/>
          <w:position w:val="5"/>
          <w:sz w:val="11"/>
          <w:sz w:val="14"/>
        </w:rPr>
        <w:t>(5)</w:t>
      </w:r>
    </w:p>
    <w:p>
      <w:pPr>
        <w:pStyle w:val="ListContents"/>
        <w:spacing w:before="0" w:after="283"/>
        <w:rPr>
          <w:rFonts w:ascii="times" w:hAnsi="times"/>
          <w:sz w:val="14"/>
        </w:rPr>
      </w:pPr>
      <w:r>
        <w:rPr>
          <w:rFonts w:ascii="times" w:hAnsi="times"/>
          <w:sz w:val="14"/>
        </w:rPr>
        <w:t xml:space="preserve">Certain reclassifications have been made to the balances as of December 31, 2007 and 2006 to conform to the current year presentation of intercompany balances to more accurately reflect total assets by segment. </w:t>
      </w:r>
    </w:p>
    <w:p>
      <w:pPr>
        <w:pStyle w:val="TextBody"/>
        <w:rPr>
          <w:rFonts w:ascii="times" w:hAnsi="times"/>
          <w:b/>
          <w:i/>
          <w:sz w:val="20"/>
        </w:rPr>
      </w:pPr>
      <w:r>
        <w:rPr>
          <w:rFonts w:ascii="times" w:hAnsi="times"/>
          <w:b/>
          <w:i/>
          <w:sz w:val="20"/>
        </w:rPr>
        <w:t xml:space="preserve">Geographic Data </w:t>
      </w:r>
    </w:p>
    <w:p>
      <w:pPr>
        <w:pStyle w:val="TextBody"/>
        <w:rPr/>
      </w:pPr>
      <w:r>
        <w:rPr/>
        <w:t>        </w:t>
      </w:r>
      <w:r>
        <w:rPr>
          <w:rFonts w:ascii="times" w:hAnsi="times"/>
          <w:sz w:val="20"/>
        </w:rPr>
        <w:t xml:space="preserve">We have operations in the United States and Canada. Set forth below are revenues and long lived assets attributable to these geographic areas (in millions): </w:t>
      </w:r>
    </w:p>
    <w:tbl>
      <w:tblPr>
        <w:tblW w:w="7695" w:type="dxa"/>
        <w:jc w:val="center"/>
        <w:tblInd w:w="0" w:type="dxa"/>
        <w:tblCellMar>
          <w:top w:w="0" w:type="dxa"/>
          <w:left w:w="0" w:type="dxa"/>
          <w:bottom w:w="0" w:type="dxa"/>
          <w:right w:w="0" w:type="dxa"/>
        </w:tblCellMar>
      </w:tblPr>
      <w:tblGrid>
        <w:gridCol w:w="4860"/>
        <w:gridCol w:w="180"/>
        <w:gridCol w:w="125"/>
        <w:gridCol w:w="590"/>
        <w:gridCol w:w="225"/>
        <w:gridCol w:w="125"/>
        <w:gridCol w:w="590"/>
        <w:gridCol w:w="225"/>
        <w:gridCol w:w="125"/>
        <w:gridCol w:w="590"/>
        <w:gridCol w:w="60"/>
      </w:tblGrid>
      <w:tr>
        <w:trPr/>
        <w:tc>
          <w:tcPr>
            <w:tcW w:w="48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86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2595"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For the Year Ended December 31, </w:t>
            </w:r>
          </w:p>
        </w:tc>
        <w:tc>
          <w:tcPr>
            <w:tcW w:w="60" w:type="dxa"/>
            <w:tcBorders/>
            <w:shd w:fill="auto" w:val="clear"/>
            <w:vAlign w:val="bottom"/>
          </w:tcPr>
          <w:p>
            <w:pPr>
              <w:pStyle w:val="TableHeading"/>
              <w:suppressLineNumbers/>
              <w:spacing w:before="0" w:after="283"/>
              <w:jc w:val="center"/>
              <w:rPr/>
            </w:pPr>
            <w:r>
              <w:rPr/>
              <w:t> </w:t>
            </w:r>
          </w:p>
        </w:tc>
      </w:tr>
      <w:tr>
        <w:trPr/>
        <w:tc>
          <w:tcPr>
            <w:tcW w:w="486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Revenues</w:t>
            </w:r>
            <w:r>
              <w:rPr>
                <w:rFonts w:ascii="times" w:hAnsi="times"/>
                <w:b/>
                <w:position w:val="5"/>
                <w:sz w:val="11"/>
                <w:sz w:val="14"/>
                <w:bdr w:val="single" w:sz="8" w:space="1" w:color="000000"/>
              </w:rPr>
              <w:t>(1)(2)</w:t>
            </w:r>
            <w:r>
              <w:rPr>
                <w:rFonts w:ascii="times" w:hAnsi="times"/>
                <w:b/>
                <w:sz w:val="14"/>
                <w:bdr w:val="single" w:sz="8" w:space="1" w:color="000000"/>
              </w:rPr>
              <w:t xml:space="preserve"> </w:t>
            </w:r>
          </w:p>
        </w:tc>
        <w:tc>
          <w:tcPr>
            <w:tcW w:w="180"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225" w:type="dxa"/>
            <w:tcBorders/>
            <w:shd w:fill="auto" w:val="clear"/>
            <w:vAlign w:val="bottom"/>
          </w:tcPr>
          <w:p>
            <w:pPr>
              <w:pStyle w:val="TableHeading"/>
              <w:suppressLineNumbers/>
              <w:spacing w:before="0" w:after="283"/>
              <w:jc w:val="center"/>
              <w:rPr/>
            </w:pPr>
            <w:r>
              <w:rPr/>
              <w:t> </w:t>
            </w:r>
          </w:p>
        </w:tc>
        <w:tc>
          <w:tcPr>
            <w:tcW w:w="7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2006 </w:t>
            </w:r>
          </w:p>
        </w:tc>
        <w:tc>
          <w:tcPr>
            <w:tcW w:w="60" w:type="dxa"/>
            <w:tcBorders/>
            <w:shd w:fill="auto" w:val="clear"/>
            <w:vAlign w:val="bottom"/>
          </w:tcPr>
          <w:p>
            <w:pPr>
              <w:pStyle w:val="TableHeading"/>
              <w:suppressLineNumbers/>
              <w:spacing w:before="0" w:after="283"/>
              <w:jc w:val="center"/>
              <w:rPr/>
            </w:pPr>
            <w:r>
              <w:rPr/>
              <w:t> </w:t>
            </w:r>
          </w:p>
        </w:tc>
      </w:tr>
      <w:tr>
        <w:trPr/>
        <w:tc>
          <w:tcPr>
            <w:tcW w:w="4860" w:type="dxa"/>
            <w:tcBorders/>
            <w:shd w:fill="CCEEFF" w:val="clear"/>
          </w:tcPr>
          <w:p>
            <w:pPr>
              <w:pStyle w:val="TableContents"/>
              <w:spacing w:before="0" w:after="283"/>
              <w:ind w:left="200" w:right="0" w:hanging="200"/>
              <w:rPr>
                <w:rFonts w:ascii="times" w:hAnsi="times"/>
                <w:sz w:val="20"/>
              </w:rPr>
            </w:pPr>
            <w:r>
              <w:rPr>
                <w:rFonts w:ascii="times" w:hAnsi="times"/>
                <w:sz w:val="20"/>
              </w:rPr>
              <w:t>United States (includes buy/sell revenues of $4,170 for 2006)</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25,183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16,843</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18,772</w:t>
            </w:r>
          </w:p>
        </w:tc>
        <w:tc>
          <w:tcPr>
            <w:tcW w:w="60" w:type="dxa"/>
            <w:tcBorders/>
            <w:shd w:fill="CCEEFF" w:val="clear"/>
          </w:tcPr>
          <w:p>
            <w:pPr>
              <w:pStyle w:val="TableContents"/>
              <w:spacing w:before="0" w:after="283"/>
              <w:rPr/>
            </w:pPr>
            <w:r>
              <w:rPr/>
              <w:t> </w:t>
            </w:r>
          </w:p>
        </w:tc>
      </w:tr>
      <w:tr>
        <w:trPr/>
        <w:tc>
          <w:tcPr>
            <w:tcW w:w="4860" w:type="dxa"/>
            <w:tcBorders/>
            <w:shd w:fill="FFFFFF" w:val="clear"/>
          </w:tcPr>
          <w:p>
            <w:pPr>
              <w:pStyle w:val="TableContents"/>
              <w:spacing w:before="0" w:after="283"/>
              <w:ind w:left="200" w:right="0" w:hanging="200"/>
              <w:rPr>
                <w:rFonts w:ascii="times" w:hAnsi="times"/>
                <w:sz w:val="20"/>
              </w:rPr>
            </w:pPr>
            <w:r>
              <w:rPr>
                <w:rFonts w:ascii="times" w:hAnsi="times"/>
                <w:sz w:val="20"/>
              </w:rPr>
              <w:t>Canada (includes buy/sell revenues of $592 for 2006)</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4,878</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3,551</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90" w:type="dxa"/>
            <w:tcBorders/>
            <w:shd w:fill="FFFFFF" w:val="clear"/>
          </w:tcPr>
          <w:p>
            <w:pPr>
              <w:pStyle w:val="TableContents"/>
              <w:spacing w:before="0" w:after="283"/>
              <w:jc w:val="right"/>
              <w:rPr>
                <w:rFonts w:ascii="times" w:hAnsi="times"/>
                <w:sz w:val="20"/>
              </w:rPr>
            </w:pPr>
            <w:r>
              <w:rPr>
                <w:rFonts w:ascii="times" w:hAnsi="times"/>
                <w:sz w:val="20"/>
              </w:rPr>
              <w:t>3,673</w:t>
            </w:r>
          </w:p>
        </w:tc>
        <w:tc>
          <w:tcPr>
            <w:tcW w:w="60" w:type="dxa"/>
            <w:tcBorders/>
            <w:shd w:fill="FFFFFF" w:val="clear"/>
          </w:tcPr>
          <w:p>
            <w:pPr>
              <w:pStyle w:val="TableContents"/>
              <w:spacing w:before="0" w:after="283"/>
              <w:rPr/>
            </w:pPr>
            <w:r>
              <w:rPr/>
              <w:t> </w:t>
            </w:r>
          </w:p>
        </w:tc>
      </w:tr>
      <w:tr>
        <w:trPr/>
        <w:tc>
          <w:tcPr>
            <w:tcW w:w="486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15"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4860"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30,061</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20,394</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590" w:type="dxa"/>
            <w:tcBorders/>
            <w:shd w:fill="CCEEFF" w:val="clear"/>
          </w:tcPr>
          <w:p>
            <w:pPr>
              <w:pStyle w:val="TableContents"/>
              <w:spacing w:before="0" w:after="283"/>
              <w:jc w:val="right"/>
              <w:rPr>
                <w:rFonts w:ascii="times" w:hAnsi="times"/>
                <w:sz w:val="20"/>
              </w:rPr>
            </w:pPr>
            <w:r>
              <w:rPr>
                <w:rFonts w:ascii="times" w:hAnsi="times"/>
                <w:sz w:val="20"/>
              </w:rPr>
              <w:t>22,445</w:t>
            </w:r>
          </w:p>
        </w:tc>
        <w:tc>
          <w:tcPr>
            <w:tcW w:w="60" w:type="dxa"/>
            <w:tcBorders/>
            <w:shd w:fill="CCEEFF" w:val="clear"/>
          </w:tcPr>
          <w:p>
            <w:pPr>
              <w:pStyle w:val="TableContents"/>
              <w:spacing w:before="0" w:after="283"/>
              <w:rPr/>
            </w:pPr>
            <w:r>
              <w:rPr/>
              <w:t> </w:t>
            </w:r>
          </w:p>
        </w:tc>
      </w:tr>
      <w:tr>
        <w:trPr/>
        <w:tc>
          <w:tcPr>
            <w:tcW w:w="486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715"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Revenues are attributed to each region based on where the customers are located. </w:t>
      </w:r>
    </w:p>
    <w:p>
      <w:pPr>
        <w:pStyle w:val="ListHeading"/>
        <w:spacing w:before="0" w:after="0"/>
        <w:rPr>
          <w:rFonts w:ascii="times" w:hAnsi="times"/>
          <w:position w:val="7"/>
          <w:sz w:val="16"/>
          <w:sz w:val="20"/>
        </w:rPr>
      </w:pPr>
      <w:r>
        <w:rPr>
          <w:rFonts w:ascii="times" w:hAnsi="times"/>
          <w:position w:val="7"/>
          <w:sz w:val="16"/>
          <w:sz w:val="20"/>
        </w:rPr>
        <w:t>(2)</w:t>
      </w:r>
    </w:p>
    <w:p>
      <w:pPr>
        <w:pStyle w:val="ListContents"/>
        <w:spacing w:before="0" w:after="283"/>
        <w:rPr>
          <w:rFonts w:ascii="times" w:hAnsi="times"/>
          <w:sz w:val="20"/>
        </w:rPr>
      </w:pPr>
      <w:r>
        <w:rPr>
          <w:rFonts w:ascii="times" w:hAnsi="times"/>
          <w:sz w:val="20"/>
        </w:rPr>
        <w:t xml:space="preserve">Certain reclassifications have been made to the revenues for the years ended December 31, 2007 and 2006 to conform to the current year presentation of intercompany revenues to more accurately reflect revenues attributable to the respective geographic areas. </w:t>
      </w:r>
    </w:p>
    <w:tbl>
      <w:tblPr>
        <w:tblW w:w="7355" w:type="dxa"/>
        <w:jc w:val="center"/>
        <w:tblInd w:w="0" w:type="dxa"/>
        <w:tblCellMar>
          <w:top w:w="0" w:type="dxa"/>
          <w:left w:w="0" w:type="dxa"/>
          <w:bottom w:w="0" w:type="dxa"/>
          <w:right w:w="0" w:type="dxa"/>
        </w:tblCellMar>
      </w:tblPr>
      <w:tblGrid>
        <w:gridCol w:w="5670"/>
        <w:gridCol w:w="180"/>
        <w:gridCol w:w="125"/>
        <w:gridCol w:w="485"/>
        <w:gridCol w:w="225"/>
        <w:gridCol w:w="125"/>
        <w:gridCol w:w="485"/>
        <w:gridCol w:w="60"/>
      </w:tblGrid>
      <w:tr>
        <w:trPr/>
        <w:tc>
          <w:tcPr>
            <w:tcW w:w="567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670" w:type="dxa"/>
            <w:tcBorders/>
            <w:shd w:fill="auto" w:val="clear"/>
            <w:vAlign w:val="bottom"/>
          </w:tcPr>
          <w:p>
            <w:pPr>
              <w:pStyle w:val="TableHeading"/>
              <w:spacing w:before="0" w:after="283"/>
              <w:jc w:val="left"/>
              <w:rPr/>
            </w:pPr>
            <w:r>
              <w:rPr/>
              <w:t> </w:t>
            </w:r>
          </w:p>
        </w:tc>
        <w:tc>
          <w:tcPr>
            <w:tcW w:w="180" w:type="dxa"/>
            <w:tcBorders/>
            <w:shd w:fill="auto" w:val="clear"/>
            <w:vAlign w:val="bottom"/>
          </w:tcPr>
          <w:p>
            <w:pPr>
              <w:pStyle w:val="TableHeading"/>
              <w:suppressLineNumbers/>
              <w:spacing w:before="0" w:after="283"/>
              <w:jc w:val="center"/>
              <w:rPr/>
            </w:pPr>
            <w:r>
              <w:rPr/>
              <w:t> </w:t>
            </w:r>
          </w:p>
        </w:tc>
        <w:tc>
          <w:tcPr>
            <w:tcW w:w="1445"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 of December 31, </w:t>
            </w:r>
          </w:p>
        </w:tc>
        <w:tc>
          <w:tcPr>
            <w:tcW w:w="60" w:type="dxa"/>
            <w:tcBorders/>
            <w:shd w:fill="auto" w:val="clear"/>
            <w:vAlign w:val="bottom"/>
          </w:tcPr>
          <w:p>
            <w:pPr>
              <w:pStyle w:val="TableHeading"/>
              <w:suppressLineNumbers/>
              <w:spacing w:before="0" w:after="283"/>
              <w:jc w:val="center"/>
              <w:rPr/>
            </w:pPr>
            <w:r>
              <w:rPr/>
              <w:t> </w:t>
            </w:r>
          </w:p>
        </w:tc>
      </w:tr>
      <w:tr>
        <w:trPr/>
        <w:tc>
          <w:tcPr>
            <w:tcW w:w="567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Long-Lived Assets</w:t>
            </w:r>
            <w:r>
              <w:rPr>
                <w:rFonts w:ascii="times" w:hAnsi="times"/>
                <w:b/>
                <w:position w:val="5"/>
                <w:sz w:val="11"/>
                <w:sz w:val="14"/>
                <w:bdr w:val="single" w:sz="8" w:space="1" w:color="000000"/>
              </w:rPr>
              <w:t>(1)</w:t>
            </w:r>
            <w:r>
              <w:rPr>
                <w:rFonts w:ascii="times" w:hAnsi="times"/>
                <w:b/>
                <w:sz w:val="14"/>
                <w:bdr w:val="single" w:sz="8" w:space="1" w:color="000000"/>
              </w:rPr>
              <w:t xml:space="preserve"> </w:t>
            </w:r>
          </w:p>
        </w:tc>
        <w:tc>
          <w:tcPr>
            <w:tcW w:w="180"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225" w:type="dxa"/>
            <w:tcBorders/>
            <w:shd w:fill="auto" w:val="clear"/>
            <w:vAlign w:val="bottom"/>
          </w:tcPr>
          <w:p>
            <w:pPr>
              <w:pStyle w:val="TableHeading"/>
              <w:suppressLineNumbers/>
              <w:spacing w:before="0" w:after="283"/>
              <w:jc w:val="center"/>
              <w:rPr/>
            </w:pPr>
            <w:r>
              <w:rPr/>
              <w:t> </w:t>
            </w:r>
          </w:p>
        </w:tc>
        <w:tc>
          <w:tcPr>
            <w:tcW w:w="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2007 </w:t>
            </w:r>
          </w:p>
        </w:tc>
        <w:tc>
          <w:tcPr>
            <w:tcW w:w="60" w:type="dxa"/>
            <w:tcBorders/>
            <w:shd w:fill="auto" w:val="clear"/>
            <w:vAlign w:val="bottom"/>
          </w:tcPr>
          <w:p>
            <w:pPr>
              <w:pStyle w:val="TableHeading"/>
              <w:suppressLineNumbers/>
              <w:spacing w:before="0" w:after="283"/>
              <w:jc w:val="center"/>
              <w:rPr/>
            </w:pPr>
            <w:r>
              <w:rPr/>
              <w:t> </w:t>
            </w:r>
          </w:p>
        </w:tc>
      </w:tr>
      <w:tr>
        <w:trPr/>
        <w:tc>
          <w:tcPr>
            <w:tcW w:w="5670" w:type="dxa"/>
            <w:tcBorders/>
            <w:shd w:fill="CCEEFF" w:val="clear"/>
          </w:tcPr>
          <w:p>
            <w:pPr>
              <w:pStyle w:val="TableContents"/>
              <w:spacing w:before="0" w:after="283"/>
              <w:ind w:left="200" w:right="0" w:hanging="200"/>
              <w:rPr>
                <w:rFonts w:ascii="times" w:hAnsi="times"/>
                <w:sz w:val="20"/>
              </w:rPr>
            </w:pPr>
            <w:r>
              <w:rPr>
                <w:rFonts w:ascii="times" w:hAnsi="times"/>
                <w:sz w:val="20"/>
              </w:rPr>
              <w:t>United States</w:t>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5,976</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5,407</w:t>
            </w:r>
          </w:p>
        </w:tc>
        <w:tc>
          <w:tcPr>
            <w:tcW w:w="60" w:type="dxa"/>
            <w:tcBorders/>
            <w:shd w:fill="CCEEFF" w:val="clear"/>
          </w:tcPr>
          <w:p>
            <w:pPr>
              <w:pStyle w:val="TableContents"/>
              <w:spacing w:before="0" w:after="283"/>
              <w:rPr/>
            </w:pPr>
            <w:r>
              <w:rPr/>
              <w:t> </w:t>
            </w:r>
          </w:p>
        </w:tc>
      </w:tr>
      <w:tr>
        <w:trPr/>
        <w:tc>
          <w:tcPr>
            <w:tcW w:w="5670" w:type="dxa"/>
            <w:tcBorders/>
            <w:shd w:fill="FFFFFF" w:val="clear"/>
          </w:tcPr>
          <w:p>
            <w:pPr>
              <w:pStyle w:val="TableContents"/>
              <w:spacing w:before="0" w:after="283"/>
              <w:ind w:left="200" w:right="0" w:hanging="200"/>
              <w:rPr>
                <w:rFonts w:ascii="times" w:hAnsi="times"/>
                <w:sz w:val="20"/>
              </w:rPr>
            </w:pPr>
            <w:r>
              <w:rPr>
                <w:rFonts w:ascii="times" w:hAnsi="times"/>
                <w:sz w:val="20"/>
              </w:rPr>
              <w:t>Canada</w:t>
            </w:r>
          </w:p>
        </w:tc>
        <w:tc>
          <w:tcPr>
            <w:tcW w:w="18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1,312</w:t>
            </w:r>
          </w:p>
        </w:tc>
        <w:tc>
          <w:tcPr>
            <w:tcW w:w="225"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485" w:type="dxa"/>
            <w:tcBorders/>
            <w:shd w:fill="FFFFFF" w:val="clear"/>
          </w:tcPr>
          <w:p>
            <w:pPr>
              <w:pStyle w:val="TableContents"/>
              <w:spacing w:before="0" w:after="283"/>
              <w:jc w:val="right"/>
              <w:rPr>
                <w:rFonts w:ascii="times" w:hAnsi="times"/>
                <w:sz w:val="20"/>
              </w:rPr>
            </w:pPr>
            <w:r>
              <w:rPr>
                <w:rFonts w:ascii="times" w:hAnsi="times"/>
                <w:sz w:val="20"/>
              </w:rPr>
              <w:t>800</w:t>
            </w:r>
          </w:p>
        </w:tc>
        <w:tc>
          <w:tcPr>
            <w:tcW w:w="60" w:type="dxa"/>
            <w:tcBorders/>
            <w:shd w:fill="FFFFFF" w:val="clear"/>
          </w:tcPr>
          <w:p>
            <w:pPr>
              <w:pStyle w:val="TableContents"/>
              <w:spacing w:before="0" w:after="283"/>
              <w:rPr/>
            </w:pPr>
            <w:r>
              <w:rPr/>
              <w:t> </w:t>
            </w:r>
          </w:p>
        </w:tc>
      </w:tr>
      <w:tr>
        <w:trPr/>
        <w:tc>
          <w:tcPr>
            <w:tcW w:w="56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single" w:sz="8"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r>
        <w:trPr/>
        <w:tc>
          <w:tcPr>
            <w:tcW w:w="5670" w:type="dxa"/>
            <w:tcBorders/>
            <w:shd w:fill="CCEEFF" w:val="clear"/>
          </w:tcPr>
          <w:p>
            <w:pPr>
              <w:pStyle w:val="TableContents"/>
              <w:spacing w:before="0" w:after="283"/>
              <w:ind w:left="200" w:right="0" w:hanging="200"/>
              <w:rPr>
                <w:sz w:val="4"/>
                <w:szCs w:val="4"/>
              </w:rPr>
            </w:pPr>
            <w:r>
              <w:rPr>
                <w:sz w:val="4"/>
                <w:szCs w:val="4"/>
              </w:rPr>
            </w:r>
          </w:p>
        </w:tc>
        <w:tc>
          <w:tcPr>
            <w:tcW w:w="180"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7,288</w:t>
            </w:r>
          </w:p>
        </w:tc>
        <w:tc>
          <w:tcPr>
            <w:tcW w:w="22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485" w:type="dxa"/>
            <w:tcBorders/>
            <w:shd w:fill="CCEEFF" w:val="clear"/>
          </w:tcPr>
          <w:p>
            <w:pPr>
              <w:pStyle w:val="TableContents"/>
              <w:spacing w:before="0" w:after="283"/>
              <w:jc w:val="right"/>
              <w:rPr>
                <w:rFonts w:ascii="times" w:hAnsi="times"/>
                <w:sz w:val="20"/>
              </w:rPr>
            </w:pPr>
            <w:r>
              <w:rPr>
                <w:rFonts w:ascii="times" w:hAnsi="times"/>
                <w:sz w:val="20"/>
              </w:rPr>
              <w:t>6,207</w:t>
            </w:r>
          </w:p>
        </w:tc>
        <w:tc>
          <w:tcPr>
            <w:tcW w:w="60" w:type="dxa"/>
            <w:tcBorders/>
            <w:shd w:fill="CCEEFF" w:val="clear"/>
          </w:tcPr>
          <w:p>
            <w:pPr>
              <w:pStyle w:val="TableContents"/>
              <w:spacing w:before="0" w:after="283"/>
              <w:rPr/>
            </w:pPr>
            <w:r>
              <w:rPr/>
              <w:t> </w:t>
            </w:r>
          </w:p>
        </w:tc>
      </w:tr>
      <w:tr>
        <w:trPr/>
        <w:tc>
          <w:tcPr>
            <w:tcW w:w="567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c>
          <w:tcPr>
            <w:tcW w:w="610" w:type="dxa"/>
            <w:gridSpan w:val="2"/>
            <w:tcBorders>
              <w:bottom w:val="double" w:sz="6" w:space="0" w:color="000000"/>
            </w:tcBorders>
            <w:shd w:fill="auto" w:val="clear"/>
            <w:tcMar>
              <w:bottom w:w="28" w:type="dxa"/>
            </w:tcM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Excludes long-term derivative assets. </w:t>
      </w:r>
    </w:p>
    <w:p>
      <w:pPr>
        <w:pStyle w:val="TextBody"/>
        <w:jc w:val="center"/>
        <w:rPr>
          <w:rFonts w:ascii="times" w:hAnsi="times"/>
          <w:sz w:val="20"/>
        </w:rPr>
      </w:pPr>
      <w:r>
        <w:rPr>
          <w:rFonts w:ascii="times" w:hAnsi="times"/>
          <w:sz w:val="20"/>
        </w:rPr>
        <w:t>F-65</w:t>
      </w:r>
    </w:p>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99" w:name="toc_ka12101_1"/>
      <w:bookmarkStart w:id="300" w:name="ka12101_exhibit_index"/>
      <w:bookmarkEnd w:id="299"/>
      <w:bookmarkEnd w:id="300"/>
      <w:r>
        <w:rPr>
          <w:rFonts w:ascii="times" w:hAnsi="times"/>
          <w:sz w:val="20"/>
        </w:rPr>
        <w:br/>
      </w:r>
      <w:r>
        <w:rPr>
          <w:rFonts w:ascii="times" w:hAnsi="times"/>
          <w:b/>
          <w:sz w:val="20"/>
        </w:rPr>
        <w:t xml:space="preserve">EXHIBIT INDEX </w:t>
      </w:r>
    </w:p>
    <w:tbl>
      <w:tblPr>
        <w:tblW w:w="4000" w:type="pct"/>
        <w:jc w:val="center"/>
        <w:tblInd w:w="0" w:type="dxa"/>
        <w:tblCellMar>
          <w:top w:w="0" w:type="dxa"/>
          <w:left w:w="0" w:type="dxa"/>
          <w:bottom w:w="0" w:type="dxa"/>
          <w:right w:w="0" w:type="dxa"/>
        </w:tblCellMar>
      </w:tblPr>
      <w:tblGrid>
        <w:gridCol w:w="60"/>
        <w:gridCol w:w="380"/>
        <w:gridCol w:w="60"/>
        <w:gridCol w:w="170"/>
        <w:gridCol w:w="60"/>
        <w:gridCol w:w="743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3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3.1</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Third Amended and Restated Agreement of Limited Partnership of Plains All American Pipeline, L.P. dated as of June 27, 2001 (incorporated by reference to Exhibit 3.1 to the Current Report on Form 8-K filed August 27, 2001).</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3.2</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3.3</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3.4</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Amendment No. 3 dated August 16, 2007 to Third Amended and Restated Agreement of Limited Partnership of Plains All American Pipeline, L.P. (incorporated by reference to Exhibit 3.1 to the Current Report on Form 8-K filed August 22, 2007).</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3.5</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3.6</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Amendment No. 5 dated May 28, 2008 to Third Amended and Restated Agreement of Limited Partnership of Plains All American Pipeline, L.P. (incorporated by reference to Exhibit 3.1 to the Current Report on Form 8-K filed May 30, 2008).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3.7</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Third Amended and Restated Agreement of Limited Partnership of Plains Marketing, L.P. dated as of April 1, 2004 (incorporated by reference to Exhibit 3.2 to the Quarterly Report on Form 10-Q for the quarter ended March 31, 2004).</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3.8</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Third Amended and Restated Agreement of Limited Partnership of Plains Pipeline, L.P. dated as of April 1, 2004 (incorporated by reference to Exhibit 3.3 to the Quarterly Report on Form 10-Q for the quarter ended March 31, 2004).</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3.9</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Fourth Amended and Restated Limited Liability Company Agreement of Plains All American GP LLC dated August 7, 2008 (incorporated by reference to Exhibit 3.2 to the Current Report on Form 8-K filed August 7, 2008).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3.10</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Fifth Amended and Restated Limited Partnership Agreement of Plains AAP, L.P. dated August 7, 2008 (incorporated by reference to Exhibit 3.1 to the Current Report on Form 8-K filed August 7, 2008).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3.11</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3.12</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Bylaws of PAA Finance Corp (f/k/a Pacific Energy Finance Corporation, successor-by-merger to PAA Finance Corp.) (incorporated by reference to Exhibit 3.11 to the Annual Report on Form 10-K for the year ended December 31,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3.13</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Limited Liability Company Agreement of PAA GP LLC dated December 28, 2007 (incorporated by reference to Exhibit 3.3 to the Current Report on Form 8-K filed January 4, 2008).</w:t>
            </w:r>
          </w:p>
        </w:tc>
      </w:tr>
    </w:tbl>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380"/>
        <w:gridCol w:w="60"/>
        <w:gridCol w:w="170"/>
        <w:gridCol w:w="60"/>
        <w:gridCol w:w="743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3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4.2</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4.3</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4.4</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Third Supplemental Indenture (Series A and Series B 4.75% Senior Notes due 2009) dated August 12, 2004 among Plains All American Pipeline, L.P., PAA Finance Corp., the Subsidiary Guarantors named therein and Wachovia Bank, National Association, as trustee (incorporated by reference to Exhibit 4.4 to the Registration Statement on Form S-4, File No. 333-121168).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4.5</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4.6</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4.7</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4.8</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4.9</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4.10</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bl>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380"/>
        <w:gridCol w:w="60"/>
        <w:gridCol w:w="170"/>
        <w:gridCol w:w="60"/>
        <w:gridCol w:w="743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3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4.11</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4.12</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4.13</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4.14</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4.15</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4.16</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Indenture dated June 16, 2004 among Pacific Energy Partners, L.P., PAA Finance Corp. (f/k/a Pacific Energy Finance Corporation), the Guarantors named therein, and Wells Fargo Bank, National Association, as trustee of the 7</w:t>
            </w:r>
            <w:r>
              <w:rPr>
                <w:rFonts w:ascii="times" w:hAnsi="times"/>
                <w:position w:val="7"/>
                <w:sz w:val="16"/>
                <w:sz w:val="20"/>
              </w:rPr>
              <w:t>1</w:t>
            </w:r>
            <w:r>
              <w:rPr>
                <w:rFonts w:ascii="times" w:hAnsi="times"/>
                <w:sz w:val="20"/>
              </w:rPr>
              <w:t>/</w:t>
            </w:r>
            <w:r>
              <w:rPr>
                <w:rFonts w:ascii="times" w:hAnsi="times"/>
                <w:sz w:val="14"/>
              </w:rPr>
              <w:t>8</w:t>
            </w:r>
            <w:r>
              <w:rPr>
                <w:rFonts w:ascii="times" w:hAnsi="times"/>
                <w:sz w:val="20"/>
              </w:rPr>
              <w:t>% senior notes due 2014 (incorporated by reference to Exhibit 4.21 to Pacific Energy Partners, L.P.'s Quarterly Report on Form 10-Q for the quarter ended June 30, 2004).</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4.17</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First Supplemental Indenture dated March 3, 2005 among Pacific Energy Partners, L.P., PAA Finance Corp. (f/k/a Pacific Energy Finance Corporation), the Guarantors named therein, and Wells Fargo Bank, National Association, as trustee (incorporated by reference to Exhibit 4.1 to Pacific Energy Partners, L.P.'s Current Report on Form 8-K filed March 9, 2005).</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4.18</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Second Supplemental Indenture dated September 23, 2005 among Pacific Energy Partners, L.P., PAA Finance Corp. (f/k/a Pacific Energy Finance Corporation), the Guarantors named therein, and Wells Fargo Bank, National Association, as trustee (incorporated by reference to Exhibit 4.17 to the Annual Report on Form 10-K for the year ended December 31,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4.19</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Third Supplemental Indenture dated November 15, 2006 among Plains All American Pipeline, L.P., PAA Finance Corp. (f/k/a Pacific Energy Finance Corporation), the Guarantors named therein, and Wells Fargo Bank, National Association, as trustee (incorporated by reference to Exhibit 4.2 to the Current Report on Form 8-K filed November 21,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4.20</w:t>
            </w:r>
          </w:p>
        </w:tc>
        <w:tc>
          <w:tcPr>
            <w:tcW w:w="6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434" w:type="dxa"/>
            <w:tcBorders/>
            <w:shd w:fill="auto" w:val="clear"/>
          </w:tcPr>
          <w:p>
            <w:pPr>
              <w:pStyle w:val="TableContents"/>
              <w:spacing w:before="0" w:after="283"/>
              <w:rPr>
                <w:rFonts w:ascii="times" w:hAnsi="times"/>
                <w:sz w:val="20"/>
              </w:rPr>
            </w:pPr>
            <w:r>
              <w:rPr>
                <w:rFonts w:ascii="times" w:hAnsi="times"/>
                <w:sz w:val="20"/>
              </w:rPr>
              <w:t>Fourth Supplemental Indenture dated January 1, 2008 among Plains All American Pipeline, L.P., PAA Finance Corp. (f/k/a Pacific Energy Finance Corporation), the Guarantors named therein, and Wells Fargo Bank, National Association, as trustee (incorporated by reference to Exhibit 4.23 to the Annual Report on Form 10-K for the year ended December 31, 2007).</w:t>
            </w:r>
          </w:p>
        </w:tc>
      </w:tr>
    </w:tbl>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380"/>
        <w:gridCol w:w="170"/>
        <w:gridCol w:w="170"/>
        <w:gridCol w:w="60"/>
        <w:gridCol w:w="7324"/>
      </w:tblGrid>
      <w:tr>
        <w:trPr/>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2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4.21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Fifth Supplemental Indenture dated December 17, 2008 among Plains All American Pipeline, L.P., PAA Finance Corp., the Guarantors named therein, and Wells Fargo Bank, National Association, as trustee.</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4.22</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Indenture dated September 23, 2005 among Pacific Energy Partners, L.P., PAA Finance Corp. (f/k/a Pacific Energy Finance Corporation), the Guarantors named therein, and Wells Fargo Bank, National Association, as trustee of the 6</w:t>
            </w:r>
            <w:r>
              <w:rPr>
                <w:rFonts w:ascii="times" w:hAnsi="times"/>
                <w:position w:val="7"/>
                <w:sz w:val="16"/>
                <w:sz w:val="20"/>
              </w:rPr>
              <w:t>1</w:t>
            </w:r>
            <w:r>
              <w:rPr>
                <w:rFonts w:ascii="times" w:hAnsi="times"/>
                <w:sz w:val="20"/>
              </w:rPr>
              <w:t>/</w:t>
            </w:r>
            <w:r>
              <w:rPr>
                <w:rFonts w:ascii="times" w:hAnsi="times"/>
                <w:sz w:val="14"/>
              </w:rPr>
              <w:t>4</w:t>
            </w:r>
            <w:r>
              <w:rPr>
                <w:rFonts w:ascii="times" w:hAnsi="times"/>
                <w:sz w:val="20"/>
              </w:rPr>
              <w:t>% senior notes due 2015 (incorporated by reference to Exhibit 4.1 to Pacific Energy Partners, L.P.'s Current Report on Form 8-K filed September 28, 2005).</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4.23</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4.24</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10.1</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Restated Credit Facility (Uncommitted Senior Secured Discretionary Contango Facility) dated November 19, 2004 among Plains Marketing, L.P., Bank of America, N.A., as Administrative Agent, and the Lenders party thereto (incorporated by reference to Exhibit 10.1 to the Current Report on Form 8-K filed November 24, 2004).</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10.2</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Amended and Restated Crude Oil Marketing Agreement dated as of July 23, 2004, among Plains Resources Inc., Calumet Florida Inc. and Plains Marketing, L.P. (incorporated by reference to Exhibit 10.2 to the Quarterly Report on Form 10-Q for the quarter ended June 30, 2004).</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10.3</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10.4</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10.5</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8, 2001, among Plains All American Inc., Plains AAP, L.P. and Plains All American GP LLC (incorporated by reference to Exhibit 10.1 to the Current Report on Form 8-K filed June 11, 2001).</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10.6</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Separation Agreement dated as of June 8, 2001 among Plains Resources Inc., Plains All American Inc., Plains All American GP LLC, Plains AAP, L.P. and Plains All American Pipeline, L.P. (incorporated by reference to Exhibit 10.2 to the Current Report on Form 8-K filed June 11, 2001).</w:t>
            </w:r>
          </w:p>
        </w:tc>
      </w:tr>
      <w:tr>
        <w:trPr/>
        <w:tc>
          <w:tcPr>
            <w:tcW w:w="60" w:type="dxa"/>
            <w:tcBorders/>
            <w:shd w:fill="auto" w:val="clear"/>
          </w:tcPr>
          <w:p>
            <w:pPr>
              <w:pStyle w:val="TableContents"/>
              <w:spacing w:before="0" w:after="283"/>
              <w:rPr/>
            </w:pPr>
            <w:r>
              <w:rPr/>
              <w:t> </w:t>
            </w:r>
          </w:p>
        </w:tc>
        <w:tc>
          <w:tcPr>
            <w:tcW w:w="380" w:type="dxa"/>
            <w:tcBorders/>
            <w:shd w:fill="auto" w:val="clear"/>
          </w:tcPr>
          <w:p>
            <w:pPr>
              <w:pStyle w:val="TableContents"/>
              <w:spacing w:before="0" w:after="283"/>
              <w:jc w:val="right"/>
              <w:rPr>
                <w:rFonts w:ascii="times" w:hAnsi="times"/>
                <w:sz w:val="20"/>
              </w:rPr>
            </w:pPr>
            <w:r>
              <w:rPr>
                <w:rFonts w:ascii="times" w:hAnsi="times"/>
                <w:sz w:val="20"/>
              </w:rPr>
              <w:t>10.7</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324" w:type="dxa"/>
            <w:tcBorders/>
            <w:shd w:fill="auto" w:val="clear"/>
          </w:tcPr>
          <w:p>
            <w:pPr>
              <w:pStyle w:val="TableContents"/>
              <w:spacing w:before="0" w:after="283"/>
              <w:rPr>
                <w:rFonts w:ascii="times" w:hAnsi="times"/>
                <w:sz w:val="20"/>
              </w:rPr>
            </w:pPr>
            <w:r>
              <w:rPr>
                <w:rFonts w:ascii="times" w:hAnsi="times"/>
                <w:sz w:val="20"/>
              </w:rPr>
              <w:t>Pension and Employee Benefits Assumption and Transition Agreement dated as of June 8, 2001 among Plains Resources Inc., Plains All American Inc. and Plains All American GP LLC (incorporated by reference to Exhibit 10.3 to the Current Report on Form 8-K filed June 11, 2001).</w:t>
            </w:r>
          </w:p>
        </w:tc>
      </w:tr>
    </w:tbl>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70"/>
        <w:gridCol w:w="170"/>
        <w:gridCol w:w="60"/>
        <w:gridCol w:w="7219"/>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19"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10.8</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Plains All American GP LLC 2005 Long-Term Incentive Plan (incorporated by reference to Exhibit 10.1 to the Current Report on Form 8-K filed January 26,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10.9</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10.10</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Plains All American 2001 Performance Option Plan (incorporated by reference to Exhibit 99.2 to the Registration Statement on Form S-8 filed December 11, 2001, File No. 333-74920).</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Greg L. Armstrong dated as of June 30, 2001 (incorporated by reference to Exhibit 10.1 to the Quarterly Report on Form 10-Q for the quarter ended September 30, 2001).</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10.12</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Harry N. Pefanis dated as of June 30, 2001 (incorporated by reference to Exhibit 10.2 to the Quarterly Report on Form 10-Q for the quarter ended September 30, 2001).</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10.13</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Asset Purchase and Sale Agreement dated February 28, 2001 between Murphy Oil Company Ltd. and Plains Marketing Canada, L.P. (incorporated by reference to Exhibit 99.1 to the Current Report on Form 8-K filed May 10, 2001).</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10.14</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Transportation Agreement dated July 30, 1993, between All American Pipeline Company and Exxon Company, U.S.A. (incorporated by reference to Exhibit 10.9 to the Registration Statement on Form S-1 filed September 23, 1998, File No. 333-64107).</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10.15</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Transportation Agreement dated August 2, 1993, among All American Pipeline Company, Texaco Trading and Transportation Inc., Chevron U.S.A. and Sun Operating Limited Partnership (incorporated by reference to Exhibit 10.10 to the Registration Statement on Form S-1 filed September 23, 1998, File No. 333-64107).</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10.16</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to Contribution, Conveyance and Assumption Agreement dated as of December 15, 1998 (incorporated by reference to Exhibit 10.13 to the Annual Report on Form 10-K for the year ended December 31, 1998).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10.17</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Agreement for Purchase and Sale of Membership Interest in Scurlock Permian LLC between Marathon Ashland LLC and Plains Marketing, L.P. dated as of March 17, 1999 (incorporated by reference to Exhibit 10.16 to the Annual Report on Form 10-K for the year ended December 31, 1998).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10.18</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Plains All American Inc. 1998 Management Incentive Plan (incorporated by reference to Exhibit 10.5 to the Annual Report on Form 10-K for the year ended December 31, 1998).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10.19</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PMC (Nova Scotia) Company Bonus Program (incorporated by reference to Exhibit 10.20 to the Annual Report on Form 10-K for the year ended December 31, 2004).</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10.20</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Quarterly Bonus Program Summary (incorporated by reference to Exhibit 10.21 to the Annual Report on Form 10-K for the year ended December 31,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Directors' Compensation Summary.</w:t>
            </w:r>
          </w:p>
        </w:tc>
      </w:tr>
    </w:tbl>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25"/>
        <w:gridCol w:w="170"/>
        <w:gridCol w:w="60"/>
        <w:gridCol w:w="7264"/>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64"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10.22</w:t>
            </w:r>
          </w:p>
        </w:tc>
        <w:tc>
          <w:tcPr>
            <w:tcW w:w="12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Master Railcar Leasing Agreement dated as of May 25, 1998 (effective June 1, 1998), between Pivotal Enterprises Corporation and CANPET Energy Group, Inc., (incorporated by reference to Exhibit 10.16 to the Annual Report on Form 10-K for the year ended December 31, 2001).</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10.23</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LTIP Grant Letter (Armstrong/Pefanis) (incorporated by reference to Exhibit 10.24 to the Annual Report on Form 10-K for the year ended December 31,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10.24</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LTIP Grant Letter (executive officers) (incorporated by reference to Exhibit 10.3 to the Current Report on Form 8-K filed April 1,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10.25</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LTIP Grant Letter (independent directors) (incorporated by reference to Exhibit 10.3 to the Current Report on Form 8-K filed February 23,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10.26</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LTIP Grant Letter (designated directors) (incorporated by reference to Exhibit 10.4 to the Current Report on Form 8-K filed February 23,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10.27</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LTIP Grant Letter (payment to entity) (incorporated by reference to Exhibit 10.5 to the Current Report on Form 8-K filed February 23,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10.28</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Performance Option Grant Letter (incorporated by reference to Exhibit 10.1 to the Current Report on Form 8-K filed April 1,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10.29</w:t>
            </w:r>
          </w:p>
        </w:tc>
        <w:tc>
          <w:tcPr>
            <w:tcW w:w="12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Administrative Services Agreement between Plains All American GP LLC and Vulcan Energy Corporation dated October 14, 2005 (incorporated by reference to Exhibit 1.1 to the Current Report on Form 8-K filed October 19,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10.30</w:t>
            </w:r>
          </w:p>
        </w:tc>
        <w:tc>
          <w:tcPr>
            <w:tcW w:w="12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Amended and Restated Limited Liability Company Agreement of PAA/Vulcan Gas Storage, LLC dated September 13, 2005 (incorporated by reference to Exhibit 1.1 to the Current Report on Form 8-K filed September 19,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10.31</w:t>
            </w:r>
          </w:p>
        </w:tc>
        <w:tc>
          <w:tcPr>
            <w:tcW w:w="12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Membership Interest Purchase Agreement by and between Sempra Energy Trading Corp. and PAA/Vulcan Gas Storage, LLC dated August 19, 2005 (incorporated by reference to Exhibit 1.2 to the Current Report on Form 8-K filed September 19,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10.32</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Waiver Agreement dated as of August 12, 2005 between Plains All American GP LLC and Greg L. Armstrong (incorporated by reference to Exhibit 10.1 to the Current Report on Form 8-K filed August 16,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10.33</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Waiver Agreement dated as of August 12, 2005 between Plains All American GP LLC and Harry N. Pefanis (incorporated by reference to Exhibit 10.2 to the Current Report on Form 8-K filed August 16,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10.34</w:t>
            </w:r>
          </w:p>
        </w:tc>
        <w:tc>
          <w:tcPr>
            <w:tcW w:w="12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Vulcan Energy GP Holdings Inc. and Plains All American GP LLC (incorporated by reference to Exhibit 10.3 to the Current Report on Form 8-K filed August 16,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10.35</w:t>
            </w:r>
          </w:p>
        </w:tc>
        <w:tc>
          <w:tcPr>
            <w:tcW w:w="12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Lynx Holdings I, LLC and Plains All American GP LLC (incorporated by reference to Exhibit 10.4 to the Current Report on Form 8-K filed August 16,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10.36</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Form of LTIP Grant Letter (executive officers) (incorporated by reference to Exhibit 10.39 to the Annual Report on Form 10-K for the year ended December 31, 2005).</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10.37</w:t>
            </w:r>
          </w:p>
        </w:tc>
        <w:tc>
          <w:tcPr>
            <w:tcW w:w="125"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64" w:type="dxa"/>
            <w:tcBorders/>
            <w:shd w:fill="auto" w:val="clear"/>
          </w:tcPr>
          <w:p>
            <w:pPr>
              <w:pStyle w:val="TableContents"/>
              <w:spacing w:before="0" w:after="283"/>
              <w:rPr>
                <w:rFonts w:ascii="times" w:hAnsi="times"/>
                <w:sz w:val="20"/>
              </w:rPr>
            </w:pPr>
            <w:r>
              <w:rPr>
                <w:rFonts w:ascii="times" w:hAnsi="times"/>
                <w:sz w:val="20"/>
              </w:rPr>
              <w:t>Employment Agreement between Plains All American GP LLC and John P. vonBerg dated December 18, 2001 (incorporated by reference to Exhibit 10.40 to the Annual Report on Form 10-K for the year ended December 31, 2005).</w:t>
            </w:r>
          </w:p>
        </w:tc>
      </w:tr>
    </w:tbl>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70"/>
        <w:gridCol w:w="170"/>
        <w:gridCol w:w="60"/>
        <w:gridCol w:w="7219"/>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19"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10.38</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dated May 9, 2006 to the Amended and Restated Limited Liability Company Agreement of PAA/Vulcan Gas Storage, LLC dated September 13, 2005 (incorporated by reference to Exhibit 10.1 to the Current Report on Form 8-K filed May 15, 2006).</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10.39</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Form of LTIP Grant Letter (audit committee members) (incorporated by reference to Exhibit 10.1 to the Current Report on Form 8-K filed August 23, 2006).</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10.40</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Plains All American PPX Successor Long-Term Incentive Plan (incorporated by reference to Exhibit 10.45 to the Annual Report on Form 10-K for the year ended December 31, 2006).</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Forms of LTIP Grant Letters dated February 22, 2007 (Named Executive Officers) (incorporated by reference to Exhibit 10.1 to the Quarterly Report on Form 10-Q for the quarter ended March 31, 2007).</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10.42</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dated July 31, 2007 to the Second Amended and Restated Credit Agreement [US/Canada Facilities] by and between Plains All American Pipeline, L.P., PMC (Nova Scotia) Company, Plains Marketing Canada, L.P., Rangeland Pipeline Company, Bank of America, N.A., as Administrative Agent, and the Lenders party thereto (incorporated by reference to Exhibit 10.1 to the Current Report on Form 8-K filed August 6, 2007).</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10.43</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Separation and Release Agreement dated August 21, 2007 between Plains All American GP LLC and George R. Coiner (incorporated by reference to Exhibit 10.3 to the Quarterly Report on Form 10-Q for the quarter ended September 30, 2007).</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10.44</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Form of Plains AAP, L.P. Class B Restricted Units Agreement (incorporated by reference to Exhibit 10.1 to the Current Report on Form 8-K filed January 4, 2008).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10.45</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Second Restated Credit Agreement dated as of November 6, 2008 by among Plains Marketing, L.P., Bank of America, N.A., as Administrative Agent, and the Lenders party there to (incorporated by reference to Exhibit 10.1 to the Current Report on Form 8-K filed November 7, 2008).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10.46</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Restated Guaranty Agreement dated November 6, 2008 by Plains All American Pipeline, L.P. in favor of Bank of America, N.A., as Administrative Agent (incorporated by reference to Exhibit 10.2 to the Current Report on Form 8-K filed November 7, 2008).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10.47</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Contribution and Assumption Agreement, dated December 28, 2007, by and between Plains AAP, L.P. and PAA GP LLC (incorporated by reference to Exhibit 10.2 to the Current Report on Form 8-K filed January 4, 2008).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10.48</w:t>
            </w:r>
          </w:p>
        </w:tc>
        <w:tc>
          <w:tcPr>
            <w:tcW w:w="17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Assumption, Ratification and Confirmation Agreement dated January 1, 2008 by Plains Midstream Canada ULC in favor of the Lenders party to the Second Amended and Restated Credit Agreement [US/Canada Facilities], as amended (incorporated by reference to Exhibit 10.54 to the Annual Report on Form 10-K for the year ended December 31, 2007).</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10.49**</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Greg L. Armstrong.</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10.50**</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Harry N. Pefanis.</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10.51**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First Amendment to Plains All American GP LLC 2005 Long-Term Incentive Plan dated December 4, 2008.</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10.52**</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Second Amendment to Plains All American GP LLC 1998 Long-Term Incentive Plan dated December 4, 2008.</w:t>
            </w:r>
          </w:p>
        </w:tc>
      </w:tr>
    </w:tbl>
    <w:p>
      <w:pPr>
        <w:pStyle w:val="HorizontalLine"/>
        <w:pBdr>
          <w:bottom w:val="single" w:sz="20" w:space="0" w:color="808080"/>
        </w:pBdr>
        <w:rPr/>
      </w:pPr>
      <w:r>
        <w:rPr/>
      </w:r>
      <w:r>
        <w:br w:type="page"/>
      </w:r>
    </w:p>
    <w:p>
      <w:pPr>
        <w:pStyle w:val="TextBody"/>
        <w:rPr/>
      </w:pPr>
      <w:hyperlink w:anchor="bg12101a_main_toc">
        <w:r>
          <w:rPr>
            <w:rStyle w:val="InternetLink"/>
            <w:rFonts w:ascii="times" w:hAnsi="times"/>
            <w:sz w:val="20"/>
          </w:rPr>
          <w:t>Table of Contents</w:t>
        </w:r>
      </w:hyperlink>
    </w:p>
    <w:tbl>
      <w:tblPr>
        <w:tblW w:w="4000" w:type="pct"/>
        <w:jc w:val="center"/>
        <w:tblInd w:w="0" w:type="dxa"/>
        <w:tblCellMar>
          <w:top w:w="0" w:type="dxa"/>
          <w:left w:w="0" w:type="dxa"/>
          <w:bottom w:w="0" w:type="dxa"/>
          <w:right w:w="0" w:type="dxa"/>
        </w:tblCellMar>
      </w:tblPr>
      <w:tblGrid>
        <w:gridCol w:w="60"/>
        <w:gridCol w:w="485"/>
        <w:gridCol w:w="170"/>
        <w:gridCol w:w="170"/>
        <w:gridCol w:w="60"/>
        <w:gridCol w:w="7219"/>
      </w:tblGrid>
      <w:tr>
        <w:trPr/>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19"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10.53**</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Form of Amendment to LTIP grant letters dated December 4, 2008 (executive officers).</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10.54**</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Form of Amendment to LTIP grant letters (directors).</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21.1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List of Subsidiaries of Plains All American Pipeline, L.P.</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23.1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Consent of PricewaterhouseCoopers LLP.</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31.1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Certification of Principal Executive Officer pursuant to Exchange Act Rules 13a-14(a) and 15d-14(a).</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31.2</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Certification of Principal Financial Officer pursuant to Exchange Act Rules 13a-14(a) and 15d-14(a).</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32.1</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Certification of Principal Executive Officer pursuant to 18 U.S.C. 1350</w:t>
            </w:r>
          </w:p>
        </w:tc>
      </w:tr>
      <w:tr>
        <w:trPr/>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times" w:hAnsi="times"/>
                <w:sz w:val="20"/>
              </w:rPr>
            </w:pPr>
            <w:r>
              <w:rPr>
                <w:rFonts w:ascii="times" w:hAnsi="times"/>
                <w:sz w:val="20"/>
              </w:rPr>
              <w:t>32.2</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170" w:type="dxa"/>
            <w:tcBorders/>
            <w:shd w:fill="auto" w:val="clear"/>
          </w:tcPr>
          <w:p>
            <w:pPr>
              <w:pStyle w:val="TableContents"/>
              <w:spacing w:before="0" w:after="283"/>
              <w:rPr>
                <w:rFonts w:ascii="times" w:hAnsi="times"/>
                <w:sz w:val="20"/>
              </w:rPr>
            </w:pPr>
            <w:r>
              <w:rPr>
                <w:rFonts w:ascii="times" w:hAnsi="times"/>
                <w:sz w:val="20"/>
              </w:rPr>
              <w:t></w:t>
            </w:r>
          </w:p>
        </w:tc>
        <w:tc>
          <w:tcPr>
            <w:tcW w:w="60" w:type="dxa"/>
            <w:tcBorders/>
            <w:shd w:fill="auto" w:val="clear"/>
          </w:tcPr>
          <w:p>
            <w:pPr>
              <w:pStyle w:val="TableContents"/>
              <w:spacing w:before="0" w:after="283"/>
              <w:rPr/>
            </w:pPr>
            <w:r>
              <w:rPr/>
              <w:t> </w:t>
            </w:r>
          </w:p>
        </w:tc>
        <w:tc>
          <w:tcPr>
            <w:tcW w:w="7219" w:type="dxa"/>
            <w:tcBorders/>
            <w:shd w:fill="auto" w:val="clear"/>
          </w:tcPr>
          <w:p>
            <w:pPr>
              <w:pStyle w:val="TableContents"/>
              <w:spacing w:before="0" w:after="283"/>
              <w:rPr>
                <w:rFonts w:ascii="times" w:hAnsi="times"/>
                <w:sz w:val="20"/>
              </w:rPr>
            </w:pPr>
            <w:r>
              <w:rPr>
                <w:rFonts w:ascii="times" w:hAnsi="times"/>
                <w:sz w:val="20"/>
              </w:rPr>
              <w:t>Certification of Principal Financial Officer pursuant to 18 U.S.C. 1350</w:t>
            </w:r>
          </w:p>
        </w:tc>
      </w:tr>
    </w:tbl>
    <w:p>
      <w:pPr>
        <w:pStyle w:val="HorizontalLine"/>
        <w:pBdr>
          <w:bottom w:val="single" w:sz="6" w:space="0" w:color="000000"/>
        </w:pBdr>
        <w:ind w:left="0" w:right="7552" w:hanging="0"/>
        <w:rPr/>
      </w:pPr>
      <w:r>
        <w:rPr/>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Filed herewith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Management compensatory plan or arrangement </w:t>
      </w:r>
    </w:p>
    <w:p>
      <w:pPr>
        <w:pStyle w:val="HorizontalLine"/>
        <w:pBdr>
          <w:bottom w:val="single" w:sz="20" w:space="0" w:color="808080"/>
        </w:pBdr>
        <w:rPr/>
      </w:pPr>
      <w:r>
        <w:rPr/>
      </w:r>
      <w:r>
        <w:br w:type="page"/>
      </w:r>
    </w:p>
    <w:p>
      <w:pPr>
        <w:pStyle w:val="TextBody"/>
        <w:rPr/>
      </w:pPr>
      <w:r>
        <w:rPr/>
      </w:r>
      <w:r>
        <w:br w:type="page"/>
      </w:r>
    </w:p>
    <w:p>
      <w:pPr>
        <w:pStyle w:val="TextBody"/>
        <w:rPr/>
      </w:pPr>
      <w:r>
        <w:rPr/>
      </w:r>
      <w:bookmarkStart w:id="301" w:name="a2190434zex-4_21.htm"/>
      <w:bookmarkStart w:id="302" w:name="ksa2190434zex4_21"/>
      <w:bookmarkStart w:id="303" w:name="a2190434zex-4_21.htm"/>
      <w:bookmarkStart w:id="304" w:name="ksa2190434zex4_21"/>
      <w:bookmarkEnd w:id="303"/>
      <w:bookmarkEnd w:id="304"/>
    </w:p>
    <w:p>
      <w:pPr>
        <w:pStyle w:val="TextBody"/>
        <w:spacing w:before="0" w:after="0"/>
        <w:ind w:left="0" w:right="0" w:hanging="0"/>
        <w:jc w:val="right"/>
        <w:rPr>
          <w:rFonts w:ascii="Times New Roman" w:hAnsi="Times New Roman"/>
          <w:b/>
          <w:sz w:val="17"/>
        </w:rPr>
      </w:pPr>
      <w:r>
        <w:rPr>
          <w:rFonts w:ascii="Times New Roman" w:hAnsi="Times New Roman"/>
          <w:b/>
          <w:sz w:val="17"/>
        </w:rPr>
        <w:t>Exhibit 4.21</w:t>
      </w:r>
    </w:p>
    <w:p>
      <w:pPr>
        <w:pStyle w:val="TextBody"/>
        <w:spacing w:before="0" w:after="0"/>
        <w:ind w:left="0" w:right="0" w:hanging="0"/>
        <w:jc w:val="left"/>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EXECUTION COPY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This </w:t>
      </w:r>
      <w:r>
        <w:rPr>
          <w:rFonts w:ascii="Times New Roman" w:hAnsi="Times New Roman"/>
          <w:b/>
          <w:sz w:val="17"/>
        </w:rPr>
        <w:t xml:space="preserve">FIFTH SUPPLEMENTAL INDENTURE </w:t>
      </w:r>
      <w:r>
        <w:rPr>
          <w:rFonts w:ascii="Times New Roman" w:hAnsi="Times New Roman"/>
          <w:sz w:val="17"/>
        </w:rPr>
        <w:t>(this Supplemental Indenture), dated as of December 17, 2008, is among Plains All American Pipeline, L.P., a Delaware limited partnership (Plains), PAA Finance Corp., a Delaware corporation formerly known as Pacific Energy Finance Corporation (Finance Corp), each of the parties identified under the caption Subsidiary Guarantors on the signature pages hereof (the Guarantors) and Wells Fargo Bank, National Association, a national association, as Trustee.</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RECITALS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Pacific Energy Partners, L.P., a Delaware limited partnership (Pacific Energy), Pacific Energy Finance Corporation, the initial Guarantors and the Trustee entered into an Indenture, dated as of June 16, 2004 (the Indenture), pursuant to which Pacific Energy and Pacific Energy Finance Corporation co-issued $250 million in aggregate principal amount of 7 1/8% Senior Notes due 2014 (the Notes), all of which are currently outstanding;</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Pacific Energy, Pacific Energy Finance Corporation, the initial Guarantors and the Trustee entered into a First Supplemental Indenture, dated as of March 3,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Pacific Energy, Pacific Energy Finance Corporation, the initial Guarantors, Pacific Atlantic Terminals LLC and the Trustee entered into a Second Supplemental Indenture, dated as of September 23, 2005, in order to add Pacific Atlantic Terminals LLC as a Guarantor;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WHEREAS, </w:t>
      </w:r>
      <w:r>
        <w:rPr>
          <w:rFonts w:ascii="Times New Roman" w:hAnsi="Times New Roman"/>
          <w:sz w:val="17"/>
        </w:rPr>
        <w:t>Pacific Energy merged with and into Plains on November 15, 2006, with Plains being the survivor of such merger, and in that connection Plains, Pacific Energy Finance Corporation, the Guarantors named therein and the Trustee entered into the Third Supplemental Indenture pursuant to which, among other things, Plains unconditionally assumed all of the obligations of Pacific Energy under the Indenture and under the Notes;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Plains, Pacific Energy Finance Corporation and the Guarantors named therein entered into a Fourth Supplemental Indenture, dated as of January 1, 2008, in order to add such Guarantors to the Indenture;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on July 1, 2008, Pacific Energy Finance Corporation merged with PAA Finance Corp., with Pacific Energy Finance Corporation being the survivor of such merger, and in that connection Pacific Energy Finance Corporation changed its corporate name to PAA Finance Corp.;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Section 9.01(d) of the Indenture provides that Plains, Finance Corp, the Guarantors and the Trustee may amend or supplement the Indenture to make changes to conform the Indenture to the Offering Memorandum relating to the Notes, without the consent of the Holders of the Notes;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Section 4.18 of the Indenture does not conform to the Offering Memorandum due to the failure of such Section to refer to Section 4.10 of the Indenture as being among those Sections of the Indenture that are subject to covenant termination, a fact made clear by the section of the Offering Memorandum captioned Covenant Termination, excerpts from which Offering Memorandum are attached to this Supplemental Indenture as Exhibit A for ready reference; and</w:t>
      </w:r>
    </w:p>
    <w:p>
      <w:pPr>
        <w:pStyle w:val="TextBody"/>
        <w:spacing w:before="0" w:after="0"/>
        <w:ind w:left="0" w:right="0" w:hanging="0"/>
        <w:jc w:val="left"/>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WHEREAS</w:t>
      </w:r>
      <w:r>
        <w:rPr>
          <w:rFonts w:ascii="Times New Roman" w:hAnsi="Times New Roman"/>
          <w:sz w:val="17"/>
        </w:rPr>
        <w:t>, all acts and things prescribed by the Indenture, by law and by the Certificate of Incorporation and the Bylaws (or comparable constituent documents) of Plains, Finance Corp, the Guarantors and of the Trustee necessary to make this Supplemental Indenture a valid instrument legally binding on Plains, Finance Corp, the Guarantors and the Trustee, in accordance with its terms, have been duly done and performed;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NOW, THEREFORE</w:t>
      </w:r>
      <w:r>
        <w:rPr>
          <w:rFonts w:ascii="Times New Roman" w:hAnsi="Times New Roman"/>
          <w:sz w:val="17"/>
        </w:rPr>
        <w:t>, in consideration of the above premises, Plains, Finance Corp, the Guarantors and the Trustee covenant and agree for the equal and proportionate benefit of the respective Holders of the Notes as follows:</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sz w:val="17"/>
        </w:rPr>
      </w:pPr>
      <w:r>
        <w:rPr>
          <w:rFonts w:ascii="Times New Roman" w:hAnsi="Times New Roman"/>
          <w:b/>
          <w:sz w:val="17"/>
        </w:rPr>
        <w:t>ARTICLE I</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1.01.        </w:t>
      </w:r>
      <w:r>
        <w:rPr>
          <w:rFonts w:ascii="Times New Roman" w:hAnsi="Times New Roman"/>
          <w:sz w:val="17"/>
        </w:rPr>
        <w:t>This Supplemental Indenture is supplemental to the Indenture and does and shall be deemed to form a part of, and shall be construed in connection with and as part of, the Indenture for any and all purposes.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1.02.        </w:t>
      </w:r>
      <w:r>
        <w:rPr>
          <w:rFonts w:ascii="Times New Roman" w:hAnsi="Times New Roman"/>
          <w:sz w:val="17"/>
        </w:rPr>
        <w:t>This Supplemental Indenture shall become effective immediately upon its execution and delivery by each of Plains, Finance Corp, the Guarantors and the Trustee.</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sz w:val="17"/>
        </w:rPr>
      </w:pPr>
      <w:r>
        <w:rPr>
          <w:rFonts w:ascii="Times New Roman" w:hAnsi="Times New Roman"/>
          <w:b/>
          <w:sz w:val="17"/>
        </w:rPr>
        <w:t>ARTICLE II</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2.01.        </w:t>
      </w:r>
      <w:r>
        <w:rPr>
          <w:rFonts w:ascii="Times New Roman" w:hAnsi="Times New Roman"/>
          <w:sz w:val="17"/>
        </w:rPr>
        <w:t>Section 4.18 of the Indenture is hereby amended by adding 4.10, immediately after the reference to 4.09, in clause (b) of the first sentence of Section 4.18.</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sz w:val="17"/>
        </w:rPr>
      </w:pPr>
      <w:r>
        <w:rPr>
          <w:rFonts w:ascii="Times New Roman" w:hAnsi="Times New Roman"/>
          <w:b/>
          <w:sz w:val="17"/>
        </w:rPr>
        <w:t>ARTICLE III</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3.01.        </w:t>
      </w:r>
      <w:r>
        <w:rPr>
          <w:rFonts w:ascii="Times New Roman" w:hAnsi="Times New Roman"/>
          <w:sz w:val="17"/>
        </w:rPr>
        <w:t>Except as specifically modified herein, the Indenture and the Notes are in all respects ratified and confirmed (</w:t>
      </w:r>
      <w:r>
        <w:rPr>
          <w:rFonts w:ascii="Times New Roman" w:hAnsi="Times New Roman"/>
          <w:i/>
          <w:sz w:val="17"/>
        </w:rPr>
        <w:t>mutatis mutandis</w:t>
      </w:r>
      <w:r>
        <w:rPr>
          <w:rFonts w:ascii="Times New Roman" w:hAnsi="Times New Roman"/>
          <w:sz w:val="17"/>
        </w:rPr>
        <w:t>) and shall remain in full force and effect in accordance with their terms with all capitalized terms used herein without definition having the same respective meanings ascribed to them as in the Indenture.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3.02.        </w:t>
      </w:r>
      <w:r>
        <w:rPr>
          <w:rFonts w:ascii="Times New Roman" w:hAnsi="Times New Roman"/>
          <w:sz w:val="17"/>
        </w:rPr>
        <w:t>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3.03.        </w:t>
      </w:r>
      <w:r>
        <w:rPr>
          <w:rFonts w:ascii="Times New Roman" w:hAnsi="Times New Roman"/>
          <w:sz w:val="17"/>
        </w:rPr>
        <w:t>The Trustee makes no representation as to the validity or sufficiency of this Supplemental Indenture.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3.04.        </w:t>
      </w:r>
      <w:r>
        <w:rPr>
          <w:rFonts w:ascii="Times New Roman" w:hAnsi="Times New Roman"/>
          <w:sz w:val="17"/>
        </w:rPr>
        <w:t>THIS SUPPLEMENTAL INDENTURE SHALL BE GOVERNED BY, AND CONSTRUED IN ACCORDANCE WITH, THE LAWS OF THE STATE OF NEW YORK.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jc w:val="left"/>
        <w:rPr/>
      </w:pPr>
      <w:r>
        <w:rPr/>
      </w:r>
      <w:r>
        <w:br w:type="page"/>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sz w:val="17"/>
        </w:rPr>
        <w:t xml:space="preserve">Section 3.05.        </w:t>
      </w:r>
      <w:r>
        <w:rPr>
          <w:rFonts w:ascii="Times New Roman" w:hAnsi="Times New Roman"/>
          <w:sz w:val="17"/>
        </w:rPr>
        <w:t>The parties may sign any number of copies of this Supplemental Indenture.  Each signed copy shall be an original, but all of such executed copies together shall represent the same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8" w:space="0" w:color="010101"/>
        </w:pBdr>
        <w:spacing w:before="0" w:after="0"/>
        <w:jc w:val="left"/>
        <w:rPr/>
      </w:pPr>
      <w:r>
        <w:rPr/>
      </w:r>
      <w:r>
        <w:br w:type="page"/>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 WITNESS WHEREOF, the parties hereto have caused this Supplemental Indenture to be duly executed as of the date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4"/>
        <w:gridCol w:w="207"/>
        <w:gridCol w:w="311"/>
        <w:gridCol w:w="312"/>
        <w:gridCol w:w="625"/>
        <w:gridCol w:w="3646"/>
      </w:tblGrid>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b/>
                <w:sz w:val="17"/>
              </w:rPr>
            </w:pPr>
            <w:r>
              <w:rPr>
                <w:rFonts w:ascii="Times New Roman" w:hAnsi="Times New Roman"/>
                <w:b/>
                <w:sz w:val="17"/>
                <w:u w:val="single"/>
              </w:rPr>
              <w:t>ISSUERS</w:t>
            </w:r>
            <w:r>
              <w:rPr>
                <w:b/>
                <w:sz w:val="17"/>
              </w:rPr>
              <w:t>:</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ALL AMERICAN PIPELINE, L.P.</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PAA GP LLC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AAP, L.P.</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GP LLC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62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PAA FINANCE CORP.</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(f/k/a Pacific Energy Finance Corporation)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62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Title:</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b/>
                <w:sz w:val="17"/>
              </w:rPr>
            </w:pPr>
            <w:r>
              <w:rPr>
                <w:rFonts w:ascii="Times New Roman" w:hAnsi="Times New Roman"/>
                <w:b/>
                <w:sz w:val="17"/>
                <w:u w:val="single"/>
              </w:rPr>
              <w:t>SUBSIDIARY GUARANTORS</w:t>
            </w:r>
            <w:r>
              <w:rPr>
                <w:b/>
                <w:sz w:val="17"/>
              </w:rPr>
              <w:t>:</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MARKETING GP INC.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62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952"/>
        <w:gridCol w:w="199"/>
        <w:gridCol w:w="308"/>
        <w:gridCol w:w="392"/>
        <w:gridCol w:w="672"/>
        <w:gridCol w:w="3682"/>
      </w:tblGrid>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MARKETING, L.P.</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46"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4746"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672"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82"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pPr>
            <w:r>
              <w:rPr/>
              <w:t>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PIPELINE, L.P.</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46"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4746"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72"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82"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pPr>
            <w:r>
              <w:rPr/>
              <w:t>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PACIFIC ENERGY GROUP, LLC</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72"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82"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pPr>
            <w:r>
              <w:rPr/>
              <w:t>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PACIFIC LA MARINE TERMINAL LLC</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746"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PACIFIC ENERGY GROUP LLC</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4746"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5054" w:type="dxa"/>
            <w:gridSpan w:val="4"/>
            <w:tcBorders/>
            <w:shd w:fill="auto" w:val="clear"/>
          </w:tcPr>
          <w:p>
            <w:pPr>
              <w:pStyle w:val="TableContents"/>
              <w:spacing w:before="0" w:after="0"/>
              <w:ind w:left="0" w:right="0" w:hanging="0"/>
              <w:jc w:val="left"/>
              <w:rPr/>
            </w:pPr>
            <w:r>
              <w:rPr/>
              <w:t> </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72"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82"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4952" w:type="dxa"/>
            <w:tcBorders/>
            <w:shd w:fill="auto" w:val="clear"/>
          </w:tcPr>
          <w:p>
            <w:pPr>
              <w:pStyle w:val="TableContents"/>
              <w:spacing w:before="0" w:after="0"/>
              <w:ind w:left="0" w:right="0" w:hanging="0"/>
              <w:jc w:val="left"/>
              <w:rPr/>
            </w:pPr>
            <w:r>
              <w:rPr/>
              <w:t> </w:t>
            </w:r>
          </w:p>
        </w:tc>
        <w:tc>
          <w:tcPr>
            <w:tcW w:w="199"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92" w:type="dxa"/>
            <w:tcBorders/>
            <w:shd w:fill="auto" w:val="clear"/>
          </w:tcPr>
          <w:p>
            <w:pPr>
              <w:pStyle w:val="TableContents"/>
              <w:spacing w:before="0" w:after="0"/>
              <w:ind w:left="0" w:right="0" w:hanging="0"/>
              <w:jc w:val="left"/>
              <w:rPr/>
            </w:pPr>
            <w:r>
              <w:rPr/>
              <w:t> </w:t>
            </w:r>
          </w:p>
        </w:tc>
        <w:tc>
          <w:tcPr>
            <w:tcW w:w="672" w:type="dxa"/>
            <w:tcBorders/>
            <w:shd w:fill="auto" w:val="clear"/>
          </w:tcPr>
          <w:p>
            <w:pPr>
              <w:pStyle w:val="TableContents"/>
              <w:spacing w:before="0" w:after="0"/>
              <w:ind w:left="0" w:right="0" w:hanging="0"/>
              <w:jc w:val="left"/>
              <w:rPr/>
            </w:pPr>
            <w:r>
              <w:rPr/>
              <w:t> </w:t>
            </w:r>
          </w:p>
        </w:tc>
        <w:tc>
          <w:tcPr>
            <w:tcW w:w="368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954"/>
        <w:gridCol w:w="200"/>
        <w:gridCol w:w="336"/>
        <w:gridCol w:w="434"/>
        <w:gridCol w:w="686"/>
        <w:gridCol w:w="3595"/>
      </w:tblGrid>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ROCKY MOUNTAIN PIPELINE SYSTEM LLC</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15"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PACIFIC ENERGY GROUP LLC</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715"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86"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595"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pPr>
            <w:r>
              <w:rPr/>
              <w:t> </w:t>
            </w:r>
          </w:p>
        </w:tc>
        <w:tc>
          <w:tcPr>
            <w:tcW w:w="68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59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pPr>
            <w:r>
              <w:rPr/>
              <w:t> </w:t>
            </w:r>
          </w:p>
        </w:tc>
        <w:tc>
          <w:tcPr>
            <w:tcW w:w="68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59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pPr>
            <w:r>
              <w:rPr/>
              <w:t> </w:t>
            </w:r>
          </w:p>
        </w:tc>
        <w:tc>
          <w:tcPr>
            <w:tcW w:w="686" w:type="dxa"/>
            <w:tcBorders/>
            <w:shd w:fill="auto" w:val="clear"/>
          </w:tcPr>
          <w:p>
            <w:pPr>
              <w:pStyle w:val="TableContents"/>
              <w:spacing w:before="0" w:after="0"/>
              <w:ind w:left="0" w:right="0" w:hanging="0"/>
              <w:jc w:val="left"/>
              <w:rPr/>
            </w:pPr>
            <w:r>
              <w:rPr/>
              <w:t> </w:t>
            </w:r>
          </w:p>
        </w:tc>
        <w:tc>
          <w:tcPr>
            <w:tcW w:w="359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PACIFIC ATLANTIC TERMINALS LLC</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15"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PACIFIC ENERGY GROUP LLC</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715"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5051" w:type="dxa"/>
            <w:gridSpan w:val="4"/>
            <w:tcBorders/>
            <w:shd w:fill="auto" w:val="clear"/>
          </w:tcPr>
          <w:p>
            <w:pPr>
              <w:pStyle w:val="TableContents"/>
              <w:spacing w:before="0" w:after="0"/>
              <w:ind w:left="0" w:right="0" w:hanging="0"/>
              <w:jc w:val="left"/>
              <w:rPr/>
            </w:pPr>
            <w:r>
              <w:rPr/>
              <w:t> </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86"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595"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pPr>
            <w:r>
              <w:rPr/>
              <w:t> </w:t>
            </w:r>
          </w:p>
        </w:tc>
        <w:tc>
          <w:tcPr>
            <w:tcW w:w="68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59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pPr>
            <w:r>
              <w:rPr/>
              <w:t> </w:t>
            </w:r>
          </w:p>
        </w:tc>
        <w:tc>
          <w:tcPr>
            <w:tcW w:w="68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59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4954"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pPr>
            <w:r>
              <w:rPr/>
              <w:t> </w:t>
            </w:r>
          </w:p>
        </w:tc>
        <w:tc>
          <w:tcPr>
            <w:tcW w:w="336" w:type="dxa"/>
            <w:tcBorders/>
            <w:shd w:fill="auto" w:val="clear"/>
          </w:tcPr>
          <w:p>
            <w:pPr>
              <w:pStyle w:val="TableContents"/>
              <w:spacing w:before="0" w:after="0"/>
              <w:ind w:left="0" w:right="0" w:hanging="0"/>
              <w:jc w:val="left"/>
              <w:rPr/>
            </w:pPr>
            <w:r>
              <w:rPr/>
              <w:t> </w:t>
            </w:r>
          </w:p>
        </w:tc>
        <w:tc>
          <w:tcPr>
            <w:tcW w:w="434" w:type="dxa"/>
            <w:tcBorders/>
            <w:shd w:fill="auto" w:val="clear"/>
          </w:tcPr>
          <w:p>
            <w:pPr>
              <w:pStyle w:val="TableContents"/>
              <w:spacing w:before="0" w:after="0"/>
              <w:ind w:left="0" w:right="0" w:hanging="0"/>
              <w:jc w:val="left"/>
              <w:rPr/>
            </w:pPr>
            <w:r>
              <w:rPr/>
              <w:t> </w:t>
            </w:r>
          </w:p>
        </w:tc>
        <w:tc>
          <w:tcPr>
            <w:tcW w:w="686" w:type="dxa"/>
            <w:tcBorders/>
            <w:shd w:fill="auto" w:val="clear"/>
          </w:tcPr>
          <w:p>
            <w:pPr>
              <w:pStyle w:val="TableContents"/>
              <w:spacing w:before="0" w:after="0"/>
              <w:ind w:left="0" w:right="0" w:hanging="0"/>
              <w:jc w:val="left"/>
              <w:rPr/>
            </w:pPr>
            <w:r>
              <w:rPr/>
              <w:t> </w:t>
            </w:r>
          </w:p>
        </w:tc>
        <w:tc>
          <w:tcPr>
            <w:tcW w:w="359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4"/>
        <w:gridCol w:w="208"/>
        <w:gridCol w:w="311"/>
        <w:gridCol w:w="312"/>
        <w:gridCol w:w="624"/>
        <w:gridCol w:w="3646"/>
      </w:tblGrid>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MARKETING CANADA LLC</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4"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PMC (NOVA SCOTIA) COMPANY</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4"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Vice President  Finance</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MARKETING CANADA, L.P.</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PMC (NOVA SCOTIA) COMPANY</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pPr>
            <w:r>
              <w:rPr/>
              <w:t xml:space="preserve">   </w:t>
            </w: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4"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Vice President  Finance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2"/>
        <w:gridCol w:w="205"/>
        <w:gridCol w:w="309"/>
        <w:gridCol w:w="411"/>
        <w:gridCol w:w="619"/>
        <w:gridCol w:w="3609"/>
      </w:tblGrid>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LPG SERVICES GP LLC</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19"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09"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pPr>
            <w:r>
              <w:rPr/>
              <w:t>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TOWING LLC</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19"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09"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pPr>
            <w:r>
              <w:rPr/>
              <w:t>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PICSCO LLC</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639"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19"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09"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052"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left"/>
              <w:rPr/>
            </w:pPr>
            <w:r>
              <w:rPr/>
              <w:t> </w:t>
            </w:r>
          </w:p>
        </w:tc>
        <w:tc>
          <w:tcPr>
            <w:tcW w:w="619" w:type="dxa"/>
            <w:tcBorders/>
            <w:shd w:fill="auto" w:val="clear"/>
          </w:tcPr>
          <w:p>
            <w:pPr>
              <w:pStyle w:val="TableContents"/>
              <w:spacing w:before="0" w:after="0"/>
              <w:ind w:left="0" w:right="0" w:hanging="0"/>
              <w:jc w:val="left"/>
              <w:rPr/>
            </w:pPr>
            <w:r>
              <w:rPr/>
              <w:t> </w:t>
            </w:r>
          </w:p>
        </w:tc>
        <w:tc>
          <w:tcPr>
            <w:tcW w:w="36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4"/>
        <w:gridCol w:w="208"/>
        <w:gridCol w:w="311"/>
        <w:gridCol w:w="312"/>
        <w:gridCol w:w="624"/>
        <w:gridCol w:w="3646"/>
      </w:tblGrid>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MIDSTREAM GP LLC</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4"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MIDSTREAM, L.P.</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MIDSTREAM GP LLC</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4"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MIDSTREAM CANADA ULC</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4893"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4"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8"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Vice President  Finance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18"/>
        <w:gridCol w:w="210"/>
        <w:gridCol w:w="226"/>
        <w:gridCol w:w="329"/>
        <w:gridCol w:w="658"/>
        <w:gridCol w:w="3764"/>
      </w:tblGrid>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AURORA PIPELINE COMPANY LTD.</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58"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764"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Vice President  Finance</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LPG SERVICES, L.P.</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LPG SERVICES GP LLC</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58"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764"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pPr>
            <w:r>
              <w:rPr/>
              <w:t>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BASIN HOLDINGS GP LLC</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PIPELINE, L.P.</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4751"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4977" w:type="dxa"/>
            <w:gridSpan w:val="4"/>
            <w:tcBorders/>
            <w:shd w:fill="auto" w:val="clear"/>
          </w:tcPr>
          <w:p>
            <w:pPr>
              <w:pStyle w:val="TableContents"/>
              <w:spacing w:before="0" w:after="0"/>
              <w:ind w:left="0" w:right="0" w:hanging="0"/>
              <w:jc w:val="left"/>
              <w:rPr/>
            </w:pPr>
            <w:r>
              <w:rPr/>
              <w:t> </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658"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764"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018" w:type="dxa"/>
            <w:tcBorders/>
            <w:shd w:fill="auto" w:val="clear"/>
          </w:tcPr>
          <w:p>
            <w:pPr>
              <w:pStyle w:val="TableContents"/>
              <w:spacing w:before="0" w:after="0"/>
              <w:ind w:left="0" w:right="0" w:hanging="0"/>
              <w:jc w:val="left"/>
              <w:rPr/>
            </w:pPr>
            <w:r>
              <w:rPr/>
              <w:t> </w:t>
            </w:r>
          </w:p>
        </w:tc>
        <w:tc>
          <w:tcPr>
            <w:tcW w:w="210" w:type="dxa"/>
            <w:tcBorders/>
            <w:shd w:fill="auto" w:val="clear"/>
          </w:tcPr>
          <w:p>
            <w:pPr>
              <w:pStyle w:val="TableContents"/>
              <w:spacing w:before="0" w:after="0"/>
              <w:ind w:left="0" w:right="0" w:hanging="0"/>
              <w:jc w:val="left"/>
              <w:rPr/>
            </w:pPr>
            <w:r>
              <w:rPr/>
              <w:t> </w:t>
            </w:r>
          </w:p>
        </w:tc>
        <w:tc>
          <w:tcPr>
            <w:tcW w:w="226" w:type="dxa"/>
            <w:tcBorders/>
            <w:shd w:fill="auto" w:val="clear"/>
          </w:tcPr>
          <w:p>
            <w:pPr>
              <w:pStyle w:val="TableContents"/>
              <w:spacing w:before="0" w:after="0"/>
              <w:ind w:left="0" w:right="0" w:hanging="0"/>
              <w:jc w:val="left"/>
              <w:rPr/>
            </w:pPr>
            <w:r>
              <w:rPr/>
              <w:t> </w:t>
            </w:r>
          </w:p>
        </w:tc>
        <w:tc>
          <w:tcPr>
            <w:tcW w:w="329" w:type="dxa"/>
            <w:tcBorders/>
            <w:shd w:fill="auto" w:val="clear"/>
          </w:tcPr>
          <w:p>
            <w:pPr>
              <w:pStyle w:val="TableContents"/>
              <w:spacing w:before="0" w:after="0"/>
              <w:ind w:left="0" w:right="0" w:hanging="0"/>
              <w:jc w:val="left"/>
              <w:rPr/>
            </w:pPr>
            <w:r>
              <w:rPr/>
              <w:t> </w:t>
            </w:r>
          </w:p>
        </w:tc>
        <w:tc>
          <w:tcPr>
            <w:tcW w:w="658" w:type="dxa"/>
            <w:tcBorders/>
            <w:shd w:fill="auto" w:val="clear"/>
          </w:tcPr>
          <w:p>
            <w:pPr>
              <w:pStyle w:val="TableContents"/>
              <w:spacing w:before="0" w:after="0"/>
              <w:ind w:left="0" w:right="0" w:hanging="0"/>
              <w:jc w:val="left"/>
              <w:rPr/>
            </w:pPr>
            <w:r>
              <w:rPr/>
              <w:t> </w:t>
            </w:r>
          </w:p>
        </w:tc>
        <w:tc>
          <w:tcPr>
            <w:tcW w:w="37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4"/>
        <w:gridCol w:w="207"/>
        <w:gridCol w:w="311"/>
        <w:gridCol w:w="312"/>
        <w:gridCol w:w="625"/>
        <w:gridCol w:w="3646"/>
      </w:tblGrid>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BASIN PIPELINE HOLDINGS, L.P.</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BASIN HOLDINGS GP LLC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PIPELINE, L.P.</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RANCHO LPG HOLDINGS LLC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LPG SERVICES, L.P.</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LPG SERVICES GP, LLC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458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4894" w:type="dxa"/>
            <w:gridSpan w:val="4"/>
            <w:tcBorders/>
            <w:shd w:fill="auto" w:val="clear"/>
          </w:tcPr>
          <w:p>
            <w:pPr>
              <w:pStyle w:val="TableContents"/>
              <w:spacing w:before="0" w:after="0"/>
              <w:ind w:left="0" w:right="0" w:hanging="0"/>
              <w:jc w:val="left"/>
              <w:rPr/>
            </w:pPr>
            <w:r>
              <w:rPr/>
              <w:t> </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2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6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and</w:t>
            </w:r>
          </w:p>
        </w:tc>
      </w:tr>
      <w:tr>
        <w:trPr/>
        <w:tc>
          <w:tcPr>
            <w:tcW w:w="5104" w:type="dxa"/>
            <w:tcBorders/>
            <w:shd w:fill="auto" w:val="clear"/>
          </w:tcPr>
          <w:p>
            <w:pPr>
              <w:pStyle w:val="TableContents"/>
              <w:spacing w:before="0" w:after="0"/>
              <w:ind w:left="0" w:right="0" w:hanging="0"/>
              <w:jc w:val="left"/>
              <w:rPr/>
            </w:pPr>
            <w:r>
              <w:rPr/>
              <w:t> </w:t>
            </w:r>
          </w:p>
        </w:tc>
        <w:tc>
          <w:tcPr>
            <w:tcW w:w="207" w:type="dxa"/>
            <w:tcBorders/>
            <w:shd w:fill="auto" w:val="clear"/>
          </w:tcPr>
          <w:p>
            <w:pPr>
              <w:pStyle w:val="TableContents"/>
              <w:spacing w:before="0" w:after="0"/>
              <w:ind w:left="0" w:right="0" w:hanging="0"/>
              <w:jc w:val="left"/>
              <w:rPr/>
            </w:pPr>
            <w:r>
              <w:rPr/>
              <w:t> </w:t>
            </w:r>
          </w:p>
        </w:tc>
        <w:tc>
          <w:tcPr>
            <w:tcW w:w="311"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pPr>
            <w:r>
              <w:rPr/>
              <w:t> </w:t>
            </w:r>
          </w:p>
        </w:tc>
        <w:tc>
          <w:tcPr>
            <w:tcW w:w="36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1"/>
        <w:gridCol w:w="206"/>
        <w:gridCol w:w="308"/>
        <w:gridCol w:w="309"/>
        <w:gridCol w:w="618"/>
        <w:gridCol w:w="3713"/>
      </w:tblGrid>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LONE STAR TRUCKING, LLC</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LPG SERVICES, L.P.</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LPG SERVICES GP LLC</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Sole Member</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464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18"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713"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Al Swanson</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61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713"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Al Swanson</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61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713"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 &amp;</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618" w:type="dxa"/>
            <w:tcBorders/>
            <w:shd w:fill="auto" w:val="clear"/>
          </w:tcPr>
          <w:p>
            <w:pPr>
              <w:pStyle w:val="TableContents"/>
              <w:spacing w:before="0" w:after="0"/>
              <w:ind w:left="0" w:right="0" w:hanging="0"/>
              <w:jc w:val="left"/>
              <w:rPr/>
            </w:pPr>
            <w:r>
              <w:rPr/>
              <w:t> </w:t>
            </w:r>
          </w:p>
        </w:tc>
        <w:tc>
          <w:tcPr>
            <w:tcW w:w="3713"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b/>
                <w:sz w:val="17"/>
              </w:rPr>
            </w:pPr>
            <w:r>
              <w:rPr>
                <w:rFonts w:ascii="Times New Roman" w:hAnsi="Times New Roman"/>
                <w:b/>
                <w:sz w:val="17"/>
                <w:u w:val="single"/>
              </w:rPr>
              <w:t>TRUSTEE</w:t>
            </w:r>
            <w:r>
              <w:rPr>
                <w:b/>
                <w:sz w:val="17"/>
              </w:rPr>
              <w:t>:</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WELLS FARGO BANK NATIONAL ASSOCIATION,</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as Trustee</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4948" w:type="dxa"/>
            <w:gridSpan w:val="4"/>
            <w:tcBorders/>
            <w:shd w:fill="auto" w:val="clear"/>
          </w:tcPr>
          <w:p>
            <w:pPr>
              <w:pStyle w:val="TableContents"/>
              <w:spacing w:before="0" w:after="0"/>
              <w:ind w:left="0" w:right="0" w:hanging="0"/>
              <w:jc w:val="left"/>
              <w:rPr/>
            </w:pPr>
            <w:r>
              <w:rPr/>
              <w:t> </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618"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713"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Maddy Hall</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61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3713"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Maddy Hall</w:t>
            </w:r>
          </w:p>
        </w:tc>
      </w:tr>
      <w:tr>
        <w:trPr/>
        <w:tc>
          <w:tcPr>
            <w:tcW w:w="5051" w:type="dxa"/>
            <w:tcBorders/>
            <w:shd w:fill="auto" w:val="clear"/>
          </w:tcPr>
          <w:p>
            <w:pPr>
              <w:pStyle w:val="TableContents"/>
              <w:spacing w:before="0" w:after="0"/>
              <w:ind w:left="0" w:right="0" w:hanging="0"/>
              <w:jc w:val="left"/>
              <w:rPr/>
            </w:pPr>
            <w:r>
              <w:rPr/>
              <w:t> </w:t>
            </w:r>
          </w:p>
        </w:tc>
        <w:tc>
          <w:tcPr>
            <w:tcW w:w="206" w:type="dxa"/>
            <w:tcBorders/>
            <w:shd w:fill="auto" w:val="clear"/>
          </w:tcPr>
          <w:p>
            <w:pPr>
              <w:pStyle w:val="TableContents"/>
              <w:spacing w:before="0" w:after="0"/>
              <w:ind w:left="0" w:right="0" w:hanging="0"/>
              <w:jc w:val="left"/>
              <w:rPr/>
            </w:pPr>
            <w:r>
              <w:rPr/>
              <w:t> </w:t>
            </w:r>
          </w:p>
        </w:tc>
        <w:tc>
          <w:tcPr>
            <w:tcW w:w="308"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c>
          <w:tcPr>
            <w:tcW w:w="61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Title: </w:t>
            </w:r>
          </w:p>
        </w:tc>
        <w:tc>
          <w:tcPr>
            <w:tcW w:w="3713"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r>
        <w:rPr>
          <w:rFonts w:ascii="Times New Roman" w:hAnsi="Times New Roman"/>
          <w:b/>
          <w:i/>
          <w:sz w:val="17"/>
        </w:rPr>
        <w:t>Signature Page to Fifth Supplemental Indenture</w:t>
      </w:r>
      <w:r>
        <w:rPr>
          <w:rFonts w:ascii="Times New Roman" w:hAnsi="Times New Roman"/>
          <w:b/>
          <w:sz w:val="17"/>
        </w:rPr>
        <w:t>]</w:t>
      </w:r>
    </w:p>
    <w:p>
      <w:pPr>
        <w:pStyle w:val="TextBody"/>
        <w:spacing w:before="0" w:after="0"/>
        <w:ind w:left="0" w:right="0" w:hanging="0"/>
        <w:jc w:val="center"/>
        <w:rPr/>
      </w:pPr>
      <w:r>
        <w:rPr/>
        <w:t> </w:t>
      </w:r>
    </w:p>
    <w:p>
      <w:pPr>
        <w:pStyle w:val="HorizontalLine"/>
        <w:pBdr>
          <w:bottom w:val="single" w:sz="18" w:space="0" w:color="010101"/>
        </w:pBdr>
        <w:spacing w:before="0" w:after="0"/>
        <w:jc w:val="left"/>
        <w:rPr/>
      </w:pPr>
      <w:r>
        <w:rPr/>
      </w:r>
    </w:p>
    <w:p>
      <w:pPr>
        <w:pStyle w:val="TextBody"/>
        <w:rPr/>
      </w:pPr>
      <w:r>
        <w:rPr/>
      </w:r>
      <w:r>
        <w:br w:type="page"/>
      </w:r>
    </w:p>
    <w:p>
      <w:pPr>
        <w:pStyle w:val="TextBody"/>
        <w:rPr/>
      </w:pPr>
      <w:r>
        <w:rPr/>
      </w:r>
      <w:bookmarkStart w:id="305" w:name="a2190434zex-10_21.htm"/>
      <w:bookmarkStart w:id="306" w:name="ksa2190434zex10_21"/>
      <w:bookmarkStart w:id="307" w:name="a2190434zex-10_21.htm"/>
      <w:bookmarkStart w:id="308" w:name="ksa2190434zex10_21"/>
      <w:bookmarkEnd w:id="307"/>
      <w:bookmarkEnd w:id="308"/>
    </w:p>
    <w:p>
      <w:pPr>
        <w:pStyle w:val="TextBody"/>
        <w:spacing w:before="0" w:after="0"/>
        <w:ind w:left="0" w:right="0" w:hanging="0"/>
        <w:jc w:val="right"/>
        <w:rPr>
          <w:rFonts w:ascii="Times New Roman" w:hAnsi="Times New Roman"/>
          <w:b/>
          <w:sz w:val="17"/>
        </w:rPr>
      </w:pPr>
      <w:r>
        <w:rPr>
          <w:rFonts w:ascii="Times New Roman" w:hAnsi="Times New Roman"/>
          <w:b/>
          <w:sz w:val="17"/>
        </w:rPr>
        <w:t>EXHIBIT 10.21</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Director Compensation Summary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2008, Messrs. Capobianco, Goyanes and Smith served as chairmen of the compensation, audit and governance committees,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non-employee directors receive LTIP awards or cash equivalent awards as part of their compensation. The LTIP awards vest annually in 25% increments over a four-year period and have an automatic re-grant feature such that as they vest, an equivalent amount is granted. The three non-employee directors who serve on the audit committee each have outstanding a grant of 10,000 units (vesting 2,500 units per year). Mr. Sinnott has outstanding a grant of 5,000 units (vesting 1,250 per year). Upon any vesting (other than the incremental audit committee awards), a cash payment is made to Vulcan Capital as directed by the Vulcan designee and to an affiliate of EnCap as directed by Mr. Petersen. Such cash payment is based on the unit value of Mr. Sinnotts award on the previous years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LTIP awards held by a director vest in full upon the next following vesting date after the death or disability (as determined in good faith by the board) of the director. For any independent directors (as defined in the limited liability company agreement of Plains All American GP LLC, and currently including Messrs. Goyanes, Smith and Symonds),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09" w:name="a2190434zex-10_49.htm"/>
      <w:bookmarkStart w:id="310" w:name="ksa2190434zex10_49"/>
      <w:bookmarkStart w:id="311" w:name="a2190434zex-10_49.htm"/>
      <w:bookmarkStart w:id="312" w:name="ksa2190434zex10_49"/>
      <w:bookmarkEnd w:id="311"/>
      <w:bookmarkEnd w:id="312"/>
    </w:p>
    <w:p>
      <w:pPr>
        <w:pStyle w:val="TextBody"/>
        <w:spacing w:before="0" w:after="0"/>
        <w:ind w:left="0" w:right="0" w:hanging="0"/>
        <w:jc w:val="right"/>
        <w:rPr>
          <w:rFonts w:ascii="Times New Roman" w:hAnsi="Times New Roman"/>
          <w:b/>
          <w:sz w:val="17"/>
        </w:rPr>
      </w:pPr>
      <w:r>
        <w:rPr>
          <w:rFonts w:ascii="Times New Roman" w:hAnsi="Times New Roman"/>
          <w:b/>
          <w:sz w:val="17"/>
        </w:rPr>
        <w:t>Exhibit 10.49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FIRST AMENDMENT TO</w:t>
      </w:r>
    </w:p>
    <w:p>
      <w:pPr>
        <w:pStyle w:val="TextBody"/>
        <w:spacing w:before="0" w:after="0"/>
        <w:ind w:left="0" w:right="0" w:hanging="0"/>
        <w:jc w:val="center"/>
        <w:rPr>
          <w:rFonts w:ascii="Times New Roman" w:hAnsi="Times New Roman"/>
          <w:b/>
          <w:sz w:val="17"/>
        </w:rPr>
      </w:pPr>
      <w:r>
        <w:rPr>
          <w:rFonts w:ascii="Times New Roman" w:hAnsi="Times New Roman"/>
          <w:b/>
          <w:sz w:val="17"/>
        </w:rPr>
        <w:t>AMENDED AND RESTATED EMPLOYMENT AGREEMENT</w:t>
      </w:r>
    </w:p>
    <w:p>
      <w:pPr>
        <w:pStyle w:val="TextBody"/>
        <w:spacing w:before="0" w:after="0"/>
        <w:ind w:left="0" w:right="0" w:hanging="0"/>
        <w:jc w:val="center"/>
        <w:rPr>
          <w:rFonts w:ascii="Times New Roman" w:hAnsi="Times New Roman"/>
          <w:b/>
          <w:sz w:val="17"/>
        </w:rPr>
      </w:pPr>
      <w:r>
        <w:rPr>
          <w:rFonts w:ascii="Times New Roman" w:hAnsi="Times New Roman"/>
          <w:b/>
          <w:sz w:val="17"/>
        </w:rPr>
        <w:t>Greg L. Armstrong</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First Amendment to Amended and Restated Employment Agreement (the Amendment) is made as of the 4</w:t>
      </w:r>
      <w:r>
        <w:rPr>
          <w:rFonts w:ascii="Times New Roman" w:hAnsi="Times New Roman"/>
          <w:sz w:val="11"/>
        </w:rPr>
        <w:t>th</w:t>
      </w:r>
      <w:r>
        <w:rPr>
          <w:rFonts w:ascii="Times New Roman" w:hAnsi="Times New Roman"/>
          <w:sz w:val="17"/>
        </w:rPr>
        <w:t> day of December between Plains All American GP LLC, a Delaware limited liability company (the Company) and Greg L. Armstrong (Employee).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on June 30, 2001, the Company and Employee entered into that certain Amended and Restated Employment Agreement (the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Company and Employee desire to amend the Agreement to comply with certain provisions of Section 409A of the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mutual covenants and agreements contained herein and in the Agreement, and for other good and valuable consideration, the receipt and sufficiency of which are hereby acknowledged, the Company and Employee do hereby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Section 7(f) of the Agreement is hereby amended by adding the following sentence at the end thereof:</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As used in this Agreement, a termination of the Employees employment means a separation from service, for purposes of Section 409A of the Internal Revenue Code of 1986, as amended (the Code).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Section 8(a) of the Agreement is hereby amended by adding the following sentence at the end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w:t>
      </w:r>
      <w:r>
        <w:rPr>
          <w:rFonts w:ascii="Times New Roman" w:hAnsi="Times New Roman"/>
          <w:sz w:val="17"/>
        </w:rPr>
        <w:t>S</w:t>
      </w:r>
      <w:r>
        <w:rPr>
          <w:rFonts w:ascii="Times New Roman" w:hAnsi="Times New Roman"/>
          <w:i/>
          <w:sz w:val="17"/>
        </w:rPr>
        <w:t>uch death benefit shall be paid as soon as reasonably practical and in all events by the end of the year of the Employees death or, if later, within 2½ months following his date of death.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Section 8(b) of the Agreement is hereby amended to read in full as follows: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(b)        During any period that the Employee fails to perform his duties hereunder as a result of disability (as defined in Section 409A of the Code) the Employee shall continue to receive his full Base Salary at the rate then in effect prior to the date of such disability until the Date of Termination if the Employees employment is terminated pursuant to Section 7(b) 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Section 8(g) of the Agreement is hereby amended by adding the following sentence at the end thereof:</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In all events, the Companys reimbursement of the Employee for payment of such excise tax shall be made as soon as practicable following its payment and in no event later than ten days following the date the Employee remits such excise tax to the proper governmental agency.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Section 9(a) of the Agreement is hereby amended by replacing the second sentence thereof with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Failure of the Company to obtain such agreement prior to the effectiveness of any such succession shall be a breach of this Agreement and shall constitute a Good Reason event under Section 7(d).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6.             Other than as amended hereby, the Agreement remains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Amendment as of the date first written above.</w:t>
      </w:r>
    </w:p>
    <w:p>
      <w:pPr>
        <w:pStyle w:val="TextBody"/>
        <w:spacing w:before="0" w:after="0"/>
        <w:ind w:left="0" w:right="0" w:hanging="0"/>
        <w:rPr/>
      </w:pPr>
      <w:r>
        <w:rPr/>
        <w:t> </w:t>
      </w:r>
    </w:p>
    <w:tbl>
      <w:tblPr>
        <w:tblW w:w="10815" w:type="dxa"/>
        <w:jc w:val="left"/>
        <w:tblInd w:w="0" w:type="dxa"/>
        <w:tblCellMar>
          <w:top w:w="0" w:type="dxa"/>
          <w:left w:w="0" w:type="dxa"/>
          <w:bottom w:w="0" w:type="dxa"/>
          <w:right w:w="0" w:type="dxa"/>
        </w:tblCellMar>
      </w:tblPr>
      <w:tblGrid>
        <w:gridCol w:w="5424"/>
        <w:gridCol w:w="235"/>
        <w:gridCol w:w="435"/>
        <w:gridCol w:w="23"/>
        <w:gridCol w:w="4698"/>
      </w:tblGrid>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COMPANY:</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pPr>
            <w:r>
              <w:rPr/>
              <w:t> </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pPr>
            <w:r>
              <w:rPr/>
              <w:t> </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pPr>
            <w:r>
              <w:rPr/>
              <w:t> </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4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2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45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698"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45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6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pPr>
            <w:r>
              <w:rPr/>
              <w:t> </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pPr>
            <w:r>
              <w:rPr/>
              <w:t> </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pPr>
            <w:r>
              <w:rPr/>
              <w:t> </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424" w:type="dxa"/>
            <w:tcBorders/>
            <w:shd w:fill="auto" w:val="clear"/>
          </w:tcPr>
          <w:p>
            <w:pPr>
              <w:pStyle w:val="TableContents"/>
              <w:spacing w:before="0" w:after="0"/>
              <w:ind w:left="0" w:right="0" w:hanging="0"/>
              <w:rPr/>
            </w:pPr>
            <w:r>
              <w:rPr/>
              <w:t> </w:t>
            </w:r>
          </w:p>
        </w:tc>
        <w:tc>
          <w:tcPr>
            <w:tcW w:w="235" w:type="dxa"/>
            <w:tcBorders/>
            <w:shd w:fill="auto" w:val="clear"/>
          </w:tcPr>
          <w:p>
            <w:pPr>
              <w:pStyle w:val="TableContents"/>
              <w:spacing w:before="0" w:after="0"/>
              <w:ind w:left="0" w:right="0" w:hanging="0"/>
              <w:rPr/>
            </w:pPr>
            <w:r>
              <w:rPr/>
              <w:t> </w:t>
            </w:r>
          </w:p>
        </w:tc>
        <w:tc>
          <w:tcPr>
            <w:tcW w:w="51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42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69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13" w:name="a2190434zex-10_50.htm"/>
      <w:bookmarkStart w:id="314" w:name="ksa2190434zex10_50"/>
      <w:bookmarkStart w:id="315" w:name="a2190434zex-10_50.htm"/>
      <w:bookmarkStart w:id="316" w:name="ksa2190434zex10_50"/>
      <w:bookmarkEnd w:id="315"/>
      <w:bookmarkEnd w:id="316"/>
    </w:p>
    <w:p>
      <w:pPr>
        <w:pStyle w:val="TextBody"/>
        <w:spacing w:before="0" w:after="0"/>
        <w:ind w:left="0" w:right="0" w:hanging="0"/>
        <w:jc w:val="right"/>
        <w:rPr>
          <w:rFonts w:ascii="Times New Roman" w:hAnsi="Times New Roman"/>
          <w:b/>
          <w:sz w:val="17"/>
        </w:rPr>
      </w:pPr>
      <w:r>
        <w:rPr>
          <w:rFonts w:ascii="Times New Roman" w:hAnsi="Times New Roman"/>
          <w:b/>
          <w:sz w:val="17"/>
        </w:rPr>
        <w:t>Exhibit 10.50</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FIRST AMENDMENT TO</w:t>
      </w:r>
    </w:p>
    <w:p>
      <w:pPr>
        <w:pStyle w:val="TextBody"/>
        <w:spacing w:before="0" w:after="0"/>
        <w:ind w:left="0" w:right="0" w:hanging="0"/>
        <w:jc w:val="center"/>
        <w:rPr>
          <w:rFonts w:ascii="Times New Roman" w:hAnsi="Times New Roman"/>
          <w:b/>
          <w:sz w:val="17"/>
        </w:rPr>
      </w:pPr>
      <w:r>
        <w:rPr>
          <w:rFonts w:ascii="Times New Roman" w:hAnsi="Times New Roman"/>
          <w:b/>
          <w:sz w:val="17"/>
        </w:rPr>
        <w:t>AMENDED AND RESTATED EMPLOYMENT AGREEMENT</w:t>
      </w:r>
    </w:p>
    <w:p>
      <w:pPr>
        <w:pStyle w:val="TextBody"/>
        <w:spacing w:before="0" w:after="0"/>
        <w:ind w:left="0" w:right="0" w:hanging="0"/>
        <w:jc w:val="center"/>
        <w:rPr>
          <w:rFonts w:ascii="Times New Roman" w:hAnsi="Times New Roman"/>
          <w:b/>
          <w:sz w:val="17"/>
        </w:rPr>
      </w:pPr>
      <w:r>
        <w:rPr>
          <w:rFonts w:ascii="Times New Roman" w:hAnsi="Times New Roman"/>
          <w:b/>
          <w:sz w:val="17"/>
        </w:rPr>
        <w:t>Harry N. Pefanis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First Amendment to Amended and Restated Employment Agreement (the Amendment) is made as of the 4</w:t>
      </w:r>
      <w:r>
        <w:rPr>
          <w:rFonts w:ascii="Times New Roman" w:hAnsi="Times New Roman"/>
          <w:sz w:val="11"/>
        </w:rPr>
        <w:t>th</w:t>
      </w:r>
      <w:r>
        <w:rPr>
          <w:rFonts w:ascii="Times New Roman" w:hAnsi="Times New Roman"/>
          <w:sz w:val="17"/>
        </w:rPr>
        <w:t> day of December between Plains All American GP LLC, a Delaware limited liability company (the Company) and Harry N. Pefanis (Employee).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on June 30, 2001, the Company and Employee entered into that certain Amended and Restated Employment Agreement (the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Company and Employee desire to amend the Agreement to comply with certain provisions of Section 409A of the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mutual covenants and agreements contained herein and in the Agreement, and for other good and valuable consideration, the receipt and sufficiency of which are hereby acknowledged, the Company and Employee do hereby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Section 7(f) of the Agreement is hereby amended by adding the following sentence at the end thereof:</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As used in this Agreement, a termination of the Employees employment means a separation from service, for purposes of Section 409A of the Internal Revenue Code of 1986, as amended (the Code).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Section 8(a) of the Agreement is hereby amended by adding the following sentence at the end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w:t>
      </w:r>
      <w:r>
        <w:rPr>
          <w:rFonts w:ascii="Times New Roman" w:hAnsi="Times New Roman"/>
          <w:sz w:val="17"/>
        </w:rPr>
        <w:t>S</w:t>
      </w:r>
      <w:r>
        <w:rPr>
          <w:rFonts w:ascii="Times New Roman" w:hAnsi="Times New Roman"/>
          <w:i/>
          <w:sz w:val="17"/>
        </w:rPr>
        <w:t>uch death benefit shall be paid as soon as reasonably practical and in all events by the end of the year of the Employees death or, if later, within 2½ months following his date of death.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Section 8(b) of the Agreement is hereby amended to read in full as follows: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(b)        During any period that the Employee fails to perform his duties hereunder as a result of disability (as defined in Section 409A of the Code) the Employee shall continue to receive his full Base Salary at the rate then in effect prior to the date of such disability until the Date of Termination if the Employees employment is terminated pursuant to Section 7(b) 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Section 8(g) of the Agreement is hereby amended by adding the following sentence at the end thereof:</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In all events, the Companys reimbursement of the Employee for payment of such excise tax shall be made as soon as practicable following its payment and in no event later than ten days following the date the Employee remits such excise tax to the proper governmental agency.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Section 9(a) of the Agreement is hereby amended by replacing the second sentence thereof with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Failure of the Company to obtain such agreement prior to the effectiveness of any such succession shall be a breach of this Agreement and shall constitute a Good Reason event under Section 7(d).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6.             Other than as amended hereby, the Agreement remains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Amendment as of the date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25"/>
        <w:gridCol w:w="214"/>
        <w:gridCol w:w="390"/>
        <w:gridCol w:w="227"/>
        <w:gridCol w:w="4349"/>
      </w:tblGrid>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COMPANY:</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3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7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61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49"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61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025" w:type="dxa"/>
            <w:tcBorders/>
            <w:shd w:fill="auto" w:val="clear"/>
          </w:tcPr>
          <w:p>
            <w:pPr>
              <w:pStyle w:val="TableContents"/>
              <w:spacing w:before="0" w:after="0"/>
              <w:ind w:left="0" w:right="0" w:hanging="0"/>
              <w:rPr/>
            </w:pPr>
            <w:r>
              <w:rPr/>
              <w:t> </w:t>
            </w:r>
          </w:p>
        </w:tc>
        <w:tc>
          <w:tcPr>
            <w:tcW w:w="214" w:type="dxa"/>
            <w:tcBorders/>
            <w:shd w:fill="auto" w:val="clear"/>
          </w:tcPr>
          <w:p>
            <w:pPr>
              <w:pStyle w:val="TableContents"/>
              <w:spacing w:before="0" w:after="0"/>
              <w:ind w:left="0" w:right="0" w:hanging="0"/>
              <w:rPr/>
            </w:pPr>
            <w:r>
              <w:rPr/>
              <w:t> </w:t>
            </w:r>
          </w:p>
        </w:tc>
        <w:tc>
          <w:tcPr>
            <w:tcW w:w="496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02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34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17" w:name="a2190434zex-10_51.htm"/>
      <w:bookmarkStart w:id="318" w:name="ksa2190434zex10_51"/>
      <w:bookmarkStart w:id="319" w:name="a2190434zex-10_51.htm"/>
      <w:bookmarkStart w:id="320" w:name="ksa2190434zex10_51"/>
      <w:bookmarkEnd w:id="319"/>
      <w:bookmarkEnd w:id="320"/>
    </w:p>
    <w:p>
      <w:pPr>
        <w:pStyle w:val="TextBody"/>
        <w:spacing w:before="0" w:after="0"/>
        <w:ind w:left="0" w:right="0" w:hanging="0"/>
        <w:jc w:val="right"/>
        <w:rPr>
          <w:rFonts w:ascii="Times New Roman" w:hAnsi="Times New Roman"/>
          <w:b/>
          <w:sz w:val="17"/>
        </w:rPr>
      </w:pPr>
      <w:r>
        <w:rPr>
          <w:rFonts w:ascii="Times New Roman" w:hAnsi="Times New Roman"/>
          <w:b/>
          <w:sz w:val="17"/>
        </w:rPr>
        <w:t>Exhibit 10.51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FIRST AMENDMENT TO</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w:t>
      </w:r>
    </w:p>
    <w:p>
      <w:pPr>
        <w:pStyle w:val="TextBody"/>
        <w:spacing w:before="0" w:after="0"/>
        <w:ind w:left="0" w:right="0" w:hanging="0"/>
        <w:jc w:val="center"/>
        <w:rPr>
          <w:rFonts w:ascii="Times New Roman" w:hAnsi="Times New Roman"/>
          <w:b/>
          <w:sz w:val="17"/>
        </w:rPr>
      </w:pPr>
      <w:r>
        <w:rPr>
          <w:rFonts w:ascii="Times New Roman" w:hAnsi="Times New Roman"/>
          <w:b/>
          <w:sz w:val="17"/>
        </w:rPr>
        <w:t>2005 LONG-TERM INCENTIVE PLAN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December 4, 2008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By resolution of the Compensation Committee of the Board of Directors of Plains All American GP LLC, the Plains All American 2005 Long-Term Incentive Plan (the Plan) is hereby amended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Section 8(m) of the Plan is hereby amended by adding the following language to the end thereof:</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color w:val="000000"/>
          <w:sz w:val="17"/>
        </w:rPr>
      </w:pPr>
      <w:r>
        <w:rPr>
          <w:rFonts w:ascii="Times New Roman" w:hAnsi="Times New Roman"/>
          <w:color w:val="000000"/>
          <w:sz w:val="17"/>
        </w:rPr>
        <w:t>It is the intent that each Award under this Plan shall either (i) qualify as a short term deferral as such phrase is used in Section 409A of the Code or (ii) comply with the requirements of Section 409A.  In that regard, notwithstanding anything in any Award to the contrary, (i) in no event shall payment of or under an Award be made later than 2½ months following the year in which such payment ceases to be subject to a substantial risk of forfeiture for purposes of Section 409A; (ii) for any Award in which all or a portion becomes nonforfeitable upon the occurrence of an event, the relevant provisions of such Award shall be deemed to include a proviso that (i) to the extent all requirements for vesting but for the passage of time have been met as of the occurrence of such event, payment shall be made as of the next following Distribution Date and (ii)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phrase Distribution Date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pStyle w:val="TextBody"/>
        <w:spacing w:before="0" w:after="0"/>
        <w:ind w:left="0" w:right="0" w:hanging="0"/>
        <w:jc w:val="left"/>
        <w:rPr>
          <w:color w:val="000000"/>
        </w:rPr>
      </w:pPr>
      <w:r>
        <w:rPr>
          <w:color w:val="000000"/>
        </w:rPr>
        <w:t> </w:t>
      </w:r>
    </w:p>
    <w:p>
      <w:pPr>
        <w:pStyle w:val="HorizontalLine"/>
        <w:pBdr>
          <w:bottom w:val="single" w:sz="18" w:space="0" w:color="010101"/>
        </w:pBdr>
        <w:spacing w:before="0" w:after="0"/>
        <w:jc w:val="left"/>
        <w:rPr/>
      </w:pPr>
      <w:r>
        <w:rPr/>
      </w:r>
    </w:p>
    <w:p>
      <w:pPr>
        <w:pStyle w:val="TextBody"/>
        <w:rPr/>
      </w:pPr>
      <w:r>
        <w:rPr/>
      </w:r>
      <w:r>
        <w:br w:type="page"/>
      </w:r>
    </w:p>
    <w:p>
      <w:pPr>
        <w:pStyle w:val="TextBody"/>
        <w:rPr/>
      </w:pPr>
      <w:r>
        <w:rPr/>
      </w:r>
      <w:bookmarkStart w:id="321" w:name="a2190434zex-10_52.htm"/>
      <w:bookmarkStart w:id="322" w:name="ksa2190434zex10_52"/>
      <w:bookmarkStart w:id="323" w:name="a2190434zex-10_52.htm"/>
      <w:bookmarkStart w:id="324" w:name="ksa2190434zex10_52"/>
      <w:bookmarkEnd w:id="323"/>
      <w:bookmarkEnd w:id="324"/>
    </w:p>
    <w:p>
      <w:pPr>
        <w:pStyle w:val="TextBody"/>
        <w:spacing w:before="0" w:after="0"/>
        <w:ind w:left="0" w:right="0" w:hanging="0"/>
        <w:jc w:val="right"/>
        <w:rPr>
          <w:rFonts w:ascii="Times New Roman" w:hAnsi="Times New Roman"/>
          <w:b/>
          <w:sz w:val="17"/>
        </w:rPr>
      </w:pPr>
      <w:r>
        <w:rPr>
          <w:rFonts w:ascii="Times New Roman" w:hAnsi="Times New Roman"/>
          <w:b/>
          <w:sz w:val="17"/>
        </w:rPr>
        <w:t>Exhibit 10.52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SECOND AMENDMENT TO</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w:t>
      </w:r>
    </w:p>
    <w:p>
      <w:pPr>
        <w:pStyle w:val="TextBody"/>
        <w:spacing w:before="0" w:after="0"/>
        <w:ind w:left="0" w:right="0" w:hanging="0"/>
        <w:jc w:val="center"/>
        <w:rPr>
          <w:rFonts w:ascii="Times New Roman" w:hAnsi="Times New Roman"/>
          <w:b/>
          <w:sz w:val="17"/>
        </w:rPr>
      </w:pPr>
      <w:r>
        <w:rPr>
          <w:rFonts w:ascii="Times New Roman" w:hAnsi="Times New Roman"/>
          <w:b/>
          <w:sz w:val="17"/>
        </w:rPr>
        <w:t>1998 LONG-TERM INCENTIVE PLAN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December 4, 2008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By resolution of the Compensation Committee of the Board of Directors of Plains All American GP LLC, the Plains All American GP LLC 1998 Long-Term Incentive Plan (the Plan) is hereby amended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Section 8 of the Plan is hereby amended by adding the following subsection (j) at the end thereof:</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color w:val="000000"/>
          <w:sz w:val="17"/>
        </w:rPr>
      </w:pPr>
      <w:r>
        <w:rPr>
          <w:rFonts w:ascii="Times New Roman" w:hAnsi="Times New Roman"/>
          <w:color w:val="000000"/>
          <w:sz w:val="17"/>
        </w:rPr>
        <w:t xml:space="preserve">(j)            </w:t>
      </w:r>
      <w:r>
        <w:rPr>
          <w:rFonts w:ascii="Times New Roman" w:hAnsi="Times New Roman"/>
          <w:color w:val="000000"/>
          <w:sz w:val="17"/>
          <w:u w:val="single"/>
        </w:rPr>
        <w:t>Section 409A</w:t>
      </w:r>
      <w:r>
        <w:rPr>
          <w:rFonts w:ascii="Times New Roman" w:hAnsi="Times New Roman"/>
          <w:color w:val="000000"/>
          <w:sz w:val="17"/>
        </w:rPr>
        <w:t>.  It is the intent that each Award under this Plan shall either (i) qualify as a short term deferral as such phrase is used in Section 409A of the Code or (ii) comply with the requirements of Section 409A.  In that regard, notwithstanding anything in any Award to the contrary, (i) in no event shall payment of or under an Award be made later than 2½ months following the year in which such payment ceases to be subject to a substantial risk of forfeiture for purposes of Section 409A; (ii) for any Award in which all or a portion becomes nonforfeitable upon the occurrence of an event, the relevant provisions of such Award shall be deemed to include a proviso that (i) to the extent all requirements for vesting but for the passage of time have been met as of the occurrence of such event, payment shall be made as of the next following Distribution Date and (ii)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phrase Distribution Date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pStyle w:val="TextBody"/>
        <w:spacing w:before="0" w:after="0"/>
        <w:ind w:left="0" w:right="0" w:hanging="0"/>
        <w:jc w:val="left"/>
        <w:rPr>
          <w:color w:val="000000"/>
        </w:rPr>
      </w:pPr>
      <w:r>
        <w:rPr>
          <w:color w:val="000000"/>
        </w:rPr>
        <w:t> </w:t>
      </w:r>
    </w:p>
    <w:p>
      <w:pPr>
        <w:pStyle w:val="HorizontalLine"/>
        <w:pBdr>
          <w:bottom w:val="single" w:sz="18" w:space="0" w:color="010101"/>
        </w:pBdr>
        <w:spacing w:before="0" w:after="0"/>
        <w:jc w:val="left"/>
        <w:rPr/>
      </w:pPr>
      <w:r>
        <w:rPr/>
      </w:r>
    </w:p>
    <w:p>
      <w:pPr>
        <w:pStyle w:val="TextBody"/>
        <w:rPr/>
      </w:pPr>
      <w:r>
        <w:rPr/>
      </w:r>
      <w:r>
        <w:br w:type="page"/>
      </w:r>
    </w:p>
    <w:p>
      <w:pPr>
        <w:pStyle w:val="TextBody"/>
        <w:rPr/>
      </w:pPr>
      <w:r>
        <w:rPr/>
      </w:r>
      <w:bookmarkStart w:id="325" w:name="a2190434zex-10_53.htm"/>
      <w:bookmarkStart w:id="326" w:name="ksa2190434zex10_53"/>
      <w:bookmarkStart w:id="327" w:name="a2190434zex-10_53.htm"/>
      <w:bookmarkStart w:id="328" w:name="ksa2190434zex10_53"/>
      <w:bookmarkEnd w:id="327"/>
      <w:bookmarkEnd w:id="328"/>
    </w:p>
    <w:p>
      <w:pPr>
        <w:pStyle w:val="TextBody"/>
        <w:spacing w:before="0" w:after="0"/>
        <w:ind w:left="0" w:right="0" w:hanging="0"/>
        <w:jc w:val="right"/>
        <w:rPr>
          <w:rFonts w:ascii="Times New Roman" w:hAnsi="Times New Roman"/>
          <w:b/>
          <w:sz w:val="17"/>
        </w:rPr>
      </w:pPr>
      <w:r>
        <w:rPr>
          <w:rFonts w:ascii="Times New Roman" w:hAnsi="Times New Roman"/>
          <w:b/>
          <w:sz w:val="17"/>
        </w:rPr>
        <w:t>Exhibit 10.53</w:t>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2724150" cy="752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24150" cy="7524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December 8, 2008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17"/>
        </w:rPr>
        <w:t>«FirstName»</w:t>
      </w:r>
      <w:r>
        <w:rPr>
          <w:rFonts w:ascii="Times New Roman" w:hAnsi="Times New Roman"/>
          <w:sz w:val="20"/>
        </w:rPr>
        <w:t xml:space="preserve"> «MI» «LastName»</w:t>
      </w:r>
    </w:p>
    <w:p>
      <w:pPr>
        <w:pStyle w:val="TextBody"/>
        <w:spacing w:before="0" w:after="0"/>
        <w:ind w:left="0" w:right="0" w:hanging="0"/>
        <w:rPr>
          <w:rFonts w:ascii="Times New Roman" w:hAnsi="Times New Roman"/>
          <w:sz w:val="17"/>
        </w:rPr>
      </w:pPr>
      <w:r>
        <w:rPr>
          <w:rFonts w:ascii="Times New Roman" w:hAnsi="Times New Roman"/>
          <w:sz w:val="17"/>
        </w:rPr>
        <w:t>«Street1»</w:t>
      </w:r>
    </w:p>
    <w:p>
      <w:pPr>
        <w:pStyle w:val="TextBody"/>
        <w:spacing w:before="0" w:after="0"/>
        <w:ind w:left="0" w:right="0" w:hanging="0"/>
        <w:rPr>
          <w:rFonts w:ascii="Times New Roman" w:hAnsi="Times New Roman"/>
          <w:sz w:val="20"/>
        </w:rPr>
      </w:pPr>
      <w:r>
        <w:rPr>
          <w:rFonts w:ascii="Times New Roman" w:hAnsi="Times New Roman"/>
          <w:sz w:val="17"/>
        </w:rPr>
        <w:t>«City»</w:t>
      </w:r>
      <w:r>
        <w:rPr>
          <w:rFonts w:ascii="Times New Roman" w:hAnsi="Times New Roman"/>
          <w:sz w:val="20"/>
        </w:rPr>
        <w:t xml:space="preserve"> «State» «Zip»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          Amendments to Long-Term Incentive Plans and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Dear «Salutation»: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purpose of this letter is to notify you of and explain certain amendments that will apply to all outstanding Awards under the 1998 Long Term Incentive Plan, the 2005 Long Term Incentive Plan (including the PPX Legacy Plan) and the 2006 Tracking Unit Plan (as they may be amended from time to time, the Long-Term Incentive Plans).  The relevant provisions deal with vesting of your Awards in the event of the termination of your employment because of your death or disability (which, if applicable, is defined in the grant letter for your Awards).  These amendments are intended to avoid unintended and adverse tax consequences to you (including acceleration of the taxability of income into a year prior to actual receipt, plus a 20% penalty) that might otherwise result under Section 409A of the Internal Revenue Code.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records indicate that your Awards also include a change of control provision, which also requires amendment to assure compliance with Section 409A.  This letter constitutes an amendment to any existing grant agreement evidencing Awards  to you under the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currently drafted, your grant agreement would accelerate vesting if a change of control occurs, but only if accompanied by a change in status.  This amendment changes the definition of the phrase change in status.  The new definition (set forth in numbered paragraph 2 below) generally provides that a change in status occurs only if (i) the Company terminates your employment other than for Cause or (ii) you terminate employment for any of the reasons stated.  The basic change in the definition is in the second part.  The current definition does not require actual termination of employment by you for the accelerated vesting to occur.  Also, the current definition includes a material change in fringe benefits as an acceleration event, which is not included in the amended definition.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Your Awards are amended, effective as of December 4, 2008,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333 Clay Street, Suite 1600  </w:t>
      </w:r>
      <w:r>
        <w:rPr>
          <w:rFonts w:ascii="Symbol" w:hAnsi="Symbol"/>
          <w:sz w:val="17"/>
        </w:rPr>
        <w:t>·</w:t>
      </w:r>
      <w:r>
        <w:rPr>
          <w:rFonts w:ascii="Times New Roman" w:hAnsi="Times New Roman"/>
          <w:sz w:val="17"/>
        </w:rPr>
        <w:t xml:space="preserve">  Houston, Texas 77002  </w:t>
      </w:r>
      <w:r>
        <w:rPr>
          <w:rFonts w:ascii="Symbol" w:hAnsi="Symbol"/>
          <w:sz w:val="17"/>
        </w:rPr>
        <w:t>·</w:t>
      </w:r>
      <w:r>
        <w:rPr>
          <w:rFonts w:ascii="Times New Roman" w:hAnsi="Times New Roman"/>
          <w:sz w:val="17"/>
        </w:rPr>
        <w:t xml:space="preserve">  713/646-4100 or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1.  The following language is hereby added to each Long-Term Incentive Plan and to each Award outstanding thereunder:</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i/>
          <w:color w:val="000000"/>
          <w:sz w:val="17"/>
        </w:rPr>
      </w:pPr>
      <w:r>
        <w:rPr>
          <w:rFonts w:ascii="Times New Roman" w:hAnsi="Times New Roman"/>
          <w:i/>
          <w:color w:val="000000"/>
          <w:sz w:val="17"/>
        </w:rPr>
        <w:t>It is the intent that each Award under this Plan shall either (i) qualify as a short term deferral as such phrase is used in Section 409A of the Code or (ii) comply with the requirements of Section 409A.  In that regard, notwithstanding anything in any Award to the contrary, (i) in no event shall payment of or under an Award be made later than 2½ months following the year in which such payment ceases to be subject to a substantial risk of forfeiture for purposes of Section 409A; (ii) for any Award in which all or a portion becomes nonforfeitable upon the occurrence of an event, the relevant provisions of such Award shall be deemed to include a proviso that (i) to the extent all requirements for vesting but for the passage of time have been met as of the occurrence of such event, payment shall be made as of the next following Distribution Date and (ii)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phrase Distribution Date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pStyle w:val="TextBody"/>
        <w:spacing w:before="0" w:after="0"/>
        <w:ind w:left="0" w:right="0" w:hanging="0"/>
        <w:jc w:val="left"/>
        <w:rPr>
          <w:color w:val="000000"/>
        </w:rPr>
      </w:pPr>
      <w:r>
        <w:rPr>
          <w:color w:val="000000"/>
        </w:rPr>
        <w:t> </w:t>
      </w:r>
    </w:p>
    <w:p>
      <w:pPr>
        <w:pStyle w:val="TextBody"/>
        <w:spacing w:before="0" w:after="0"/>
        <w:ind w:left="0" w:right="0" w:hanging="0"/>
        <w:rPr>
          <w:rFonts w:ascii="Times New Roman" w:hAnsi="Times New Roman"/>
          <w:sz w:val="17"/>
        </w:rPr>
      </w:pPr>
      <w:r>
        <w:rPr>
          <w:rFonts w:ascii="Times New Roman" w:hAnsi="Times New Roman"/>
          <w:sz w:val="17"/>
        </w:rPr>
        <w:t>2.  The definition of Change in Status applicable to your Awards is hereby amended to read in full as follows: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the Agreement by the Company.  A termination by you shall not be a Change in Status unless (1) you provide written notice to the Company of the condition in (B)(i), (B (ii) or (B)(iii) that would constitute a change in status within 90 days of the initial existence of the condition and (2) the Company fails to remedy the condition within the 30-day period following such notice.  As used herein, a termination of the Employees employment means a separation from service, for purposes of Section 409A of the Internal Revenue Code of 1986, as amended (the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you have any questions regarding these changes, please contact me at extension 4484.  </w:t>
      </w:r>
      <w:r>
        <w:rPr>
          <w:rFonts w:ascii="Times New Roman" w:hAnsi="Times New Roman"/>
          <w:b/>
          <w:sz w:val="17"/>
        </w:rPr>
        <w:t>To assure the desired effect for purposes of Section 409A, you must sign and return the enclosed copy of this letter to me no later than December 31, 2008.</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28"/>
        <w:gridCol w:w="4094"/>
        <w:gridCol w:w="450"/>
        <w:gridCol w:w="165"/>
        <w:gridCol w:w="4268"/>
      </w:tblGrid>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5322" w:type="dxa"/>
            <w:gridSpan w:val="2"/>
            <w:tcBorders/>
            <w:shd w:fill="auto" w:val="clear"/>
          </w:tcPr>
          <w:p>
            <w:pPr>
              <w:pStyle w:val="TableContents"/>
              <w:spacing w:before="0" w:after="0"/>
              <w:ind w:left="0" w:right="0" w:hanging="0"/>
              <w:rPr/>
            </w:pPr>
            <w:r>
              <w:rPr/>
              <w:t> </w:t>
            </w:r>
          </w:p>
        </w:tc>
        <w:tc>
          <w:tcPr>
            <w:tcW w:w="61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5322" w:type="dxa"/>
            <w:gridSpan w:val="2"/>
            <w:tcBorders/>
            <w:shd w:fill="auto" w:val="clear"/>
          </w:tcPr>
          <w:p>
            <w:pPr>
              <w:pStyle w:val="TableContents"/>
              <w:spacing w:before="0" w:after="0"/>
              <w:ind w:left="0" w:right="0" w:hanging="0"/>
              <w:rPr/>
            </w:pPr>
            <w:r>
              <w:rPr/>
              <w:t> </w:t>
            </w:r>
          </w:p>
        </w:tc>
        <w:tc>
          <w:tcPr>
            <w:tcW w:w="61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 General Counsel and Secretary</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ACKNOWLEDGED AND AGREED:</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rFonts w:ascii="Times New Roman" w:hAnsi="Times New Roman"/>
                <w:sz w:val="20"/>
              </w:rPr>
            </w:pPr>
            <w:r>
              <w:rPr>
                <w:rFonts w:ascii="Times New Roman" w:hAnsi="Times New Roman"/>
                <w:sz w:val="17"/>
              </w:rPr>
              <w:t>«FirstName»</w:t>
            </w:r>
            <w:r>
              <w:rPr>
                <w:rFonts w:ascii="Times New Roman" w:hAnsi="Times New Roman"/>
                <w:sz w:val="20"/>
              </w:rPr>
              <w:t xml:space="preserve"> «MI» «LastName»</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5322" w:type="dxa"/>
            <w:gridSpan w:val="2"/>
            <w:tcBorders/>
            <w:shd w:fill="auto" w:val="cle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1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w:t>
            </w:r>
          </w:p>
        </w:tc>
        <w:tc>
          <w:tcPr>
            <w:tcW w:w="4094"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4883" w:type="dxa"/>
            <w:gridSpan w:val="3"/>
            <w:tcBorders/>
            <w:shd w:fill="auto" w:val="clear"/>
          </w:tcPr>
          <w:p>
            <w:pPr>
              <w:pStyle w:val="TableContents"/>
              <w:spacing w:before="0" w:after="0"/>
              <w:ind w:left="0" w:right="0" w:hanging="0"/>
              <w:rPr/>
            </w:pPr>
            <w:r>
              <w:rPr/>
              <w:t> </w:t>
            </w:r>
          </w:p>
        </w:tc>
      </w:tr>
      <w:tr>
        <w:trPr/>
        <w:tc>
          <w:tcPr>
            <w:tcW w:w="1228" w:type="dxa"/>
            <w:tcBorders/>
            <w:shd w:fill="auto" w:val="clear"/>
            <w:vAlign w:val="center"/>
          </w:tcPr>
          <w:p>
            <w:pPr>
              <w:pStyle w:val="TableContents"/>
              <w:spacing w:before="0" w:after="283"/>
              <w:rPr>
                <w:sz w:val="4"/>
                <w:szCs w:val="4"/>
              </w:rPr>
            </w:pPr>
            <w:r>
              <w:rPr>
                <w:sz w:val="4"/>
                <w:szCs w:val="4"/>
              </w:rPr>
            </w:r>
          </w:p>
        </w:tc>
        <w:tc>
          <w:tcPr>
            <w:tcW w:w="4094"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26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29" w:name="a2190434zex-10_54.htm"/>
      <w:bookmarkStart w:id="330" w:name="ksa2190434zex10_54"/>
      <w:bookmarkStart w:id="331" w:name="a2190434zex-10_54.htm"/>
      <w:bookmarkStart w:id="332" w:name="ksa2190434zex10_54"/>
      <w:bookmarkEnd w:id="331"/>
      <w:bookmarkEnd w:id="332"/>
    </w:p>
    <w:p>
      <w:pPr>
        <w:pStyle w:val="TextBody"/>
        <w:spacing w:before="0" w:after="0"/>
        <w:ind w:left="0" w:right="0" w:hanging="0"/>
        <w:jc w:val="right"/>
        <w:rPr>
          <w:rFonts w:ascii="Times New Roman" w:hAnsi="Times New Roman"/>
          <w:b/>
          <w:sz w:val="17"/>
        </w:rPr>
      </w:pPr>
      <w:r>
        <w:rPr>
          <w:rFonts w:ascii="Times New Roman" w:hAnsi="Times New Roman"/>
          <w:b/>
          <w:sz w:val="17"/>
        </w:rPr>
        <w:t>Exhibit 10.54</w:t>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2724150" cy="752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24150" cy="7524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December 8, 2008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Name of Director LTIP grantee</w:t>
      </w:r>
    </w:p>
    <w:p>
      <w:pPr>
        <w:pStyle w:val="TextBody"/>
        <w:spacing w:before="0" w:after="0"/>
        <w:ind w:left="0" w:right="0" w:hanging="0"/>
        <w:rPr>
          <w:rFonts w:ascii="Times New Roman" w:hAnsi="Times New Roman"/>
          <w:sz w:val="17"/>
        </w:rPr>
      </w:pPr>
      <w:r>
        <w:rPr>
          <w:rFonts w:ascii="Times New Roman" w:hAnsi="Times New Roman"/>
          <w:sz w:val="17"/>
        </w:rPr>
        <w:t>Address</w:t>
      </w:r>
    </w:p>
    <w:p>
      <w:pPr>
        <w:pStyle w:val="TextBody"/>
        <w:spacing w:before="0" w:after="0"/>
        <w:ind w:left="0" w:right="0" w:hanging="0"/>
        <w:rPr>
          <w:rFonts w:ascii="Times New Roman" w:hAnsi="Times New Roman"/>
          <w:sz w:val="17"/>
        </w:rPr>
      </w:pPr>
      <w:r>
        <w:rPr>
          <w:rFonts w:ascii="Times New Roman" w:hAnsi="Times New Roman"/>
          <w:sz w:val="17"/>
        </w:rPr>
        <w:t>City, State Zip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          Amendment to Long-Term Incentive Plans and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Dear [name]: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you will recall, at the November Board meeting, the Board authorized the Compensation Committee to take action with respect to amendment of compensation arrangements to comply with Section 409A of the Internal Revenue Code.  The Committee met on December 4, 2008, and determined to amend the Long-Term Incentive Plans and certain Awards thereunder.  The Awards to be amended include those granted to you as a Director.  The relevant provisions deal with vesting of your Awards in the event of the termination of your term because of your death, disability or retirement (which, if applicable, is defined in the grant letter for your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letter constitutes an amendment to any existing grant agreement evidencing Awards to you under the Long-Term Incentive Plans.  This amendment is intended to avoid unintended and adverse tax consequences to you (including acceleration of the taxability of income into a year prior to actual receipt, plus a 20% penalty) that might otherwise result.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that regard, your existing grant agreement evidencing Awards under the Long-Term Incentive Plans is hereby amended, effective as of December 4, 2008,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Each reference to </w:t>
      </w:r>
      <w:r>
        <w:rPr>
          <w:rFonts w:ascii="Times New Roman" w:hAnsi="Times New Roman"/>
          <w:i/>
          <w:sz w:val="17"/>
        </w:rPr>
        <w:t>next vesting date</w:t>
      </w:r>
      <w:r>
        <w:rPr>
          <w:rFonts w:ascii="Times New Roman" w:hAnsi="Times New Roman"/>
          <w:sz w:val="17"/>
        </w:rPr>
        <w:t xml:space="preserve"> is replaced with </w:t>
      </w:r>
      <w:r>
        <w:rPr>
          <w:rFonts w:ascii="Times New Roman" w:hAnsi="Times New Roman"/>
          <w:i/>
          <w:sz w:val="17"/>
        </w:rPr>
        <w:t>next following Distribution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The definition of Distribution Date is hereby amended to read in full as follows: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The phrase Distribution Date shall mean the day in February, May, August or November that is 45 days after the end of a calendar quarter (or, if not a business day, the closest previous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Further, each Long-Term Incentive Plan is amended by adding the following language thereto:</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333 Clay Street, Suite 1600  </w:t>
      </w:r>
      <w:r>
        <w:rPr>
          <w:rFonts w:ascii="Symbol" w:hAnsi="Symbol"/>
          <w:sz w:val="17"/>
        </w:rPr>
        <w:t>·</w:t>
      </w:r>
      <w:r>
        <w:rPr>
          <w:rFonts w:ascii="Times New Roman" w:hAnsi="Times New Roman"/>
          <w:sz w:val="17"/>
        </w:rPr>
        <w:t xml:space="preserve">  Houston, Texas 77002  </w:t>
      </w:r>
      <w:r>
        <w:rPr>
          <w:rFonts w:ascii="Symbol" w:hAnsi="Symbol"/>
          <w:sz w:val="17"/>
        </w:rPr>
        <w:t>·</w:t>
      </w:r>
      <w:r>
        <w:rPr>
          <w:rFonts w:ascii="Times New Roman" w:hAnsi="Times New Roman"/>
          <w:sz w:val="17"/>
        </w:rPr>
        <w:t>  713/646-4100 or 800-564-3036</w:t>
      </w:r>
    </w:p>
    <w:p>
      <w:pPr>
        <w:pStyle w:val="TextBody"/>
        <w:spacing w:before="0" w:after="0"/>
        <w:ind w:left="0" w:right="0" w:hanging="0"/>
        <w:rPr/>
      </w:pPr>
      <w:r>
        <w:rPr/>
        <w:t> </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color w:val="000000"/>
        </w:rPr>
      </w:pPr>
      <w:r>
        <w:rPr>
          <w:color w:val="000000"/>
        </w:rPr>
        <w:t> </w:t>
      </w:r>
    </w:p>
    <w:p>
      <w:pPr>
        <w:pStyle w:val="TextBody"/>
        <w:spacing w:before="0" w:after="0"/>
        <w:ind w:left="0" w:right="0" w:hanging="0"/>
        <w:jc w:val="left"/>
        <w:rPr>
          <w:rFonts w:ascii="Times New Roman" w:hAnsi="Times New Roman"/>
          <w:i/>
          <w:color w:val="000000"/>
          <w:sz w:val="17"/>
        </w:rPr>
      </w:pPr>
      <w:r>
        <w:rPr>
          <w:rFonts w:ascii="Times New Roman" w:hAnsi="Times New Roman"/>
          <w:i/>
          <w:color w:val="000000"/>
          <w:sz w:val="17"/>
        </w:rPr>
        <w:t>It is the intent that each Award under this Plan shall either (i) qualify as a short term deferral as such phrase is used in Section 409A of the Code or (ii) comply with the requirements of Section 409A.  In that regard, notwithstanding anything in any Award to the contrary, (i) in no event shall payment of or under an Award be made later than 2½ months following the year in which such payment ceases to be subject to a substantial risk of forfeiture for purposes of Section 409A; (ii) for any Award in which all or a portion becomes nonforfeitable upon the occurrence of an event, the relevant provisions of such Award shall be deemed to include a proviso that (i) to the extent all requirements for vesting but for the passage of time have been met as of the occurrence of such event, payment shall be made as of the next following Distribution Date and (ii)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phrase Distribution Date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pStyle w:val="TextBody"/>
        <w:spacing w:before="0" w:after="0"/>
        <w:ind w:left="0" w:right="0" w:hanging="0"/>
        <w:jc w:val="left"/>
        <w:rPr>
          <w:color w:val="000000"/>
        </w:rPr>
      </w:pPr>
      <w:r>
        <w:rPr>
          <w:color w:val="000000"/>
        </w:rPr>
        <w:t> </w:t>
      </w:r>
    </w:p>
    <w:p>
      <w:pPr>
        <w:pStyle w:val="TextBody"/>
        <w:spacing w:before="0" w:after="0"/>
        <w:ind w:left="0" w:right="0" w:hanging="0"/>
        <w:rPr>
          <w:rFonts w:ascii="Times New Roman" w:hAnsi="Times New Roman"/>
          <w:sz w:val="17"/>
        </w:rPr>
      </w:pPr>
      <w:r>
        <w:rPr>
          <w:rFonts w:ascii="Times New Roman" w:hAnsi="Times New Roman"/>
          <w:sz w:val="17"/>
        </w:rPr>
        <w:t>If you have any questions regarding these changes, please contact me at extension 4484.</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29"/>
        <w:gridCol w:w="313"/>
        <w:gridCol w:w="165"/>
        <w:gridCol w:w="4498"/>
      </w:tblGrid>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 General Counsel and Secretary</w:t>
            </w:r>
          </w:p>
        </w:tc>
      </w:tr>
      <w:tr>
        <w:trPr/>
        <w:tc>
          <w:tcPr>
            <w:tcW w:w="522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49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33" w:name="a2190434zex-21_1.htm"/>
      <w:bookmarkStart w:id="334" w:name="ksa2190434zex21_1"/>
      <w:bookmarkStart w:id="335" w:name="a2190434zex-21_1.htm"/>
      <w:bookmarkStart w:id="336" w:name="ksa2190434zex21_1"/>
      <w:bookmarkEnd w:id="335"/>
      <w:bookmarkEnd w:id="336"/>
    </w:p>
    <w:p>
      <w:pPr>
        <w:pStyle w:val="TextBody"/>
        <w:spacing w:before="0" w:after="0"/>
        <w:ind w:left="0" w:right="0" w:hanging="0"/>
        <w:jc w:val="right"/>
        <w:rPr>
          <w:rFonts w:ascii="Times New Roman" w:hAnsi="Times New Roman"/>
          <w:b/>
          <w:sz w:val="17"/>
        </w:rPr>
      </w:pPr>
      <w:r>
        <w:rPr>
          <w:rFonts w:ascii="Times New Roman" w:hAnsi="Times New Roman"/>
          <w:b/>
          <w:sz w:val="17"/>
        </w:rPr>
        <w:t>Exhibit 21.1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SUBSIDIARIES OF</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As of 12/31/08</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466"/>
        <w:gridCol w:w="382"/>
        <w:gridCol w:w="4357"/>
      </w:tblGrid>
      <w:tr>
        <w:trPr/>
        <w:tc>
          <w:tcPr>
            <w:tcW w:w="5466"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Subsidiary</w:t>
            </w:r>
          </w:p>
        </w:tc>
        <w:tc>
          <w:tcPr>
            <w:tcW w:w="382" w:type="dxa"/>
            <w:tcBorders/>
            <w:shd w:fill="auto" w:val="clear"/>
            <w:tcMar>
              <w:bottom w:w="0" w:type="dxa"/>
            </w:tcMar>
            <w:vAlign w:val="bottom"/>
          </w:tcPr>
          <w:p>
            <w:pPr>
              <w:pStyle w:val="TableContents"/>
              <w:spacing w:before="0" w:after="0"/>
              <w:ind w:left="0" w:right="0" w:hanging="0"/>
              <w:jc w:val="center"/>
              <w:rPr/>
            </w:pPr>
            <w:r>
              <w:rPr/>
              <w:t> </w:t>
            </w:r>
          </w:p>
        </w:tc>
        <w:tc>
          <w:tcPr>
            <w:tcW w:w="435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Jurisdiction of Organization</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Finance Corp.</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L.P.</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Pipeline, L.P.</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GP Inc.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Canada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Canada, L.P.</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Canada</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PMC (Nova Scotia) Company</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Nova Scotia</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Basin Holdings GP LLC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Basin Pipeline Holdings, L.P.</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Rancho LPG Holdings LLC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GP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L.P.</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PICSCO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Lone Star Trucking, LLC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California</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Towing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GP, LP</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Group LLC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Pipeline System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Terminals LLC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LA Marine Terminal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Rocky Mountain Pipeline System LLC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SLC Pipeline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Atlantic Terminals LLC</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PEG Canada GP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Aurora Pipeline Company</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Canada</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GP LLC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L.P.</w:t>
            </w:r>
          </w:p>
        </w:tc>
        <w:tc>
          <w:tcPr>
            <w:tcW w:w="382" w:type="dxa"/>
            <w:tcBorders/>
            <w:shd w:fill="auto" w:val="clear"/>
            <w:tcMar>
              <w:bottom w:w="0" w:type="dxa"/>
            </w:tcMar>
            <w:vAlign w:val="bottom"/>
          </w:tcPr>
          <w:p>
            <w:pPr>
              <w:pStyle w:val="TableContents"/>
              <w:spacing w:before="0" w:after="0"/>
              <w:ind w:left="0" w:right="0" w:hanging="0"/>
              <w:rPr/>
            </w:pPr>
            <w:r>
              <w:rPr/>
              <w:t> </w:t>
            </w:r>
          </w:p>
        </w:tc>
        <w:tc>
          <w:tcPr>
            <w:tcW w:w="435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54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Canada ULC</w:t>
            </w:r>
          </w:p>
        </w:tc>
        <w:tc>
          <w:tcPr>
            <w:tcW w:w="382" w:type="dxa"/>
            <w:tcBorders/>
            <w:shd w:fill="CCEEFF" w:val="clear"/>
            <w:tcMar>
              <w:bottom w:w="0" w:type="dxa"/>
            </w:tcMar>
            <w:vAlign w:val="bottom"/>
          </w:tcPr>
          <w:p>
            <w:pPr>
              <w:pStyle w:val="TableContents"/>
              <w:spacing w:before="0" w:after="0"/>
              <w:ind w:left="0" w:right="0" w:hanging="0"/>
              <w:rPr/>
            </w:pPr>
            <w:r>
              <w:rPr/>
              <w:t> </w:t>
            </w:r>
          </w:p>
        </w:tc>
        <w:tc>
          <w:tcPr>
            <w:tcW w:w="435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Alberta</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37" w:name="a2190434zex-23_1.htm"/>
      <w:bookmarkStart w:id="338" w:name="ksa2190434zex23_1"/>
      <w:bookmarkStart w:id="339" w:name="a2190434zex-23_1.htm"/>
      <w:bookmarkStart w:id="340" w:name="ksa2190434zex23_1"/>
      <w:bookmarkEnd w:id="339"/>
      <w:bookmarkEnd w:id="340"/>
    </w:p>
    <w:p>
      <w:pPr>
        <w:pStyle w:val="TextBody"/>
        <w:spacing w:before="0" w:after="0"/>
        <w:ind w:left="0" w:right="0" w:hanging="0"/>
        <w:jc w:val="right"/>
        <w:rPr>
          <w:rFonts w:ascii="Times New Roman" w:hAnsi="Times New Roman"/>
          <w:b/>
          <w:sz w:val="17"/>
        </w:rPr>
      </w:pPr>
      <w:r>
        <w:rPr>
          <w:rFonts w:ascii="Times New Roman" w:hAnsi="Times New Roman"/>
          <w:b/>
          <w:sz w:val="17"/>
        </w:rPr>
        <w:t>Exhibit 23.1</w:t>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CONSENT OF INDEPENDENT REGISTERED PUBLIC ACCOUNTING FIRM</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hereby consent to the incorporation by reference in the Registration Statements on Form S-3 (No. 333-138888, 333-155671 and 333-155673) and on Form S-8 (No. 333-91141, 333-54118, 333-74920, 333-122806, and 333-141185) of Plains All American Pipeline, L.P. of our report dated February 26, 2009 relating to the financial statements, financial statement schedules and the effectiveness of internal control over financial reporting, which appears in this Form 10-K.</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PricewaterhouseCoopers LLP</w:t>
      </w:r>
    </w:p>
    <w:p>
      <w:pPr>
        <w:pStyle w:val="Heading3"/>
        <w:spacing w:before="0" w:after="0"/>
        <w:ind w:left="0" w:right="0" w:hanging="0"/>
        <w:rPr>
          <w:rFonts w:ascii="Times New Roman" w:hAnsi="Times New Roman"/>
          <w:b w:val="false"/>
          <w:sz w:val="17"/>
        </w:rPr>
      </w:pPr>
      <w:r>
        <w:rPr>
          <w:rFonts w:ascii="Times New Roman" w:hAnsi="Times New Roman"/>
          <w:b w:val="false"/>
          <w:sz w:val="17"/>
        </w:rPr>
        <w:t>Houston, Texas</w:t>
      </w:r>
    </w:p>
    <w:p>
      <w:pPr>
        <w:pStyle w:val="TextBody"/>
        <w:spacing w:before="0" w:after="0"/>
        <w:ind w:left="0" w:right="0" w:hanging="0"/>
        <w:rPr>
          <w:rFonts w:ascii="Times New Roman" w:hAnsi="Times New Roman"/>
          <w:sz w:val="17"/>
        </w:rPr>
      </w:pPr>
      <w:r>
        <w:rPr>
          <w:rFonts w:ascii="Times New Roman" w:hAnsi="Times New Roman"/>
          <w:sz w:val="17"/>
        </w:rPr>
        <w:t>February 26, 2009</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41" w:name="a2190434zex-31_1.htm"/>
      <w:bookmarkStart w:id="342" w:name="ksa2190434zex31_1"/>
      <w:bookmarkStart w:id="343" w:name="a2190434zex-31_1.htm"/>
      <w:bookmarkStart w:id="344" w:name="ksa2190434zex31_1"/>
      <w:bookmarkEnd w:id="343"/>
      <w:bookmarkEnd w:id="344"/>
    </w:p>
    <w:p>
      <w:pPr>
        <w:pStyle w:val="TextBody"/>
        <w:spacing w:before="0" w:after="0"/>
        <w:ind w:left="0" w:right="0" w:hanging="0"/>
        <w:jc w:val="right"/>
        <w:rPr>
          <w:rFonts w:ascii="Times New Roman" w:hAnsi="Times New Roman"/>
          <w:b/>
          <w:sz w:val="17"/>
        </w:rPr>
      </w:pPr>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annual report on Form 10-K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February 26, 2009</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45" w:name="a2190434zex-31_2.htm"/>
      <w:bookmarkStart w:id="346" w:name="ksa2190434zex31_2"/>
      <w:bookmarkStart w:id="347" w:name="a2190434zex-31_2.htm"/>
      <w:bookmarkStart w:id="348" w:name="ksa2190434zex31_2"/>
      <w:bookmarkEnd w:id="347"/>
      <w:bookmarkEnd w:id="348"/>
    </w:p>
    <w:p>
      <w:pPr>
        <w:pStyle w:val="TextBody"/>
        <w:spacing w:before="0" w:after="0"/>
        <w:ind w:left="0" w:right="0" w:hanging="0"/>
        <w:jc w:val="right"/>
        <w:rPr>
          <w:rFonts w:ascii="Times New Roman" w:hAnsi="Times New Roman"/>
          <w:b/>
          <w:sz w:val="17"/>
        </w:rPr>
      </w:pPr>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annual report on Form 10-K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February 26, 2009</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49" w:name="a2190434zex-32_1.htm"/>
      <w:bookmarkStart w:id="350" w:name="ksa2190434zex32_1"/>
      <w:bookmarkStart w:id="351" w:name="a2190434zex-32_1.htm"/>
      <w:bookmarkStart w:id="352" w:name="ksa2190434zex32_1"/>
      <w:bookmarkEnd w:id="351"/>
      <w:bookmarkEnd w:id="352"/>
    </w:p>
    <w:p>
      <w:pPr>
        <w:pStyle w:val="TextBody"/>
        <w:spacing w:before="0" w:after="0"/>
        <w:ind w:left="0" w:right="0" w:hanging="0"/>
        <w:jc w:val="right"/>
        <w:rPr>
          <w:rFonts w:ascii="Times New Roman" w:hAnsi="Times New Roman"/>
          <w:b/>
          <w:sz w:val="17"/>
        </w:rPr>
      </w:pPr>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10-K for the period ended December 31, 2008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20"/>
              </w:rPr>
            </w:pPr>
            <w:r>
              <w:rPr>
                <w:rFonts w:ascii="Times New Roman" w:hAnsi="Times New Roman"/>
                <w:sz w:val="17"/>
              </w:rPr>
              <w:t>/s/ Greg L. Armstrong</w:t>
            </w:r>
            <w:r>
              <w:rPr>
                <w:rFonts w:ascii="Times New Roman" w:hAnsi="Times New Roman"/>
                <w:sz w:val="20"/>
              </w:rPr>
              <w:t xml:space="preserve">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17"/>
              </w:rPr>
              <w:t>Name: Greg L. Armstrong</w:t>
            </w:r>
            <w:r>
              <w:rPr>
                <w:rFonts w:ascii="Times New Roman" w:hAnsi="Times New Roman"/>
                <w:sz w:val="20"/>
              </w:rPr>
              <w:t xml:space="preserve">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26, 2009</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53" w:name="a2190434zex-32_2.htm"/>
      <w:bookmarkStart w:id="354" w:name="ksa2190434zex32_2"/>
      <w:bookmarkStart w:id="355" w:name="a2190434zex-32_2.htm"/>
      <w:bookmarkStart w:id="356" w:name="ksa2190434zex32_2"/>
      <w:bookmarkEnd w:id="355"/>
      <w:bookmarkEnd w:id="356"/>
    </w:p>
    <w:p>
      <w:pPr>
        <w:pStyle w:val="TextBody"/>
        <w:spacing w:before="0" w:after="0"/>
        <w:ind w:left="0" w:right="0" w:hanging="0"/>
        <w:jc w:val="right"/>
        <w:rPr>
          <w:rFonts w:ascii="Times New Roman" w:hAnsi="Times New Roman"/>
          <w:b/>
          <w:sz w:val="17"/>
        </w:rPr>
      </w:pPr>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10-K for the period ended December 31, 2008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17"/>
              </w:rPr>
              <w:t>Name: Al Swanson</w:t>
            </w:r>
            <w:r>
              <w:rPr>
                <w:rFonts w:ascii="Times New Roman" w:hAnsi="Times New Roman"/>
                <w:sz w:val="20"/>
              </w:rPr>
              <w:t xml:space="preserve">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26, 2009</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Times New Roman">
    <w:charset w:val="00"/>
    <w:family w:val="auto"/>
    <w:pitch w:val="default"/>
  </w:font>
  <w:font w:name="Symbol">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258</Pages>
  <Words>125708</Words>
  <CharactersWithSpaces>807092</CharactersWithSpaces>
  <Paragraphs>25082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