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center"/>
        <w:rPr>
          <w:rFonts w:ascii="Times New Roman;Times;serif" w:hAnsi="Times New Roman;Times;serif"/>
          <w:sz w:val="23"/>
        </w:rPr>
      </w:pPr>
      <w:bookmarkStart w:id="0" w:name="h79686sc13d.htm"/>
      <w:bookmarkStart w:id="1" w:name="ksh79686sc13d"/>
      <w:bookmarkEnd w:id="0"/>
      <w:bookmarkEnd w:id="1"/>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jc w:val="center"/>
        <w:rPr>
          <w:rFonts w:ascii="Times New Roman;Times;serif" w:hAnsi="Times New Roman;Times;serif"/>
          <w:sz w:val="30"/>
        </w:rPr>
      </w:pPr>
      <w:r>
        <w:rPr>
          <w:rFonts w:ascii="Times New Roman;Times;serif" w:hAnsi="Times New Roman;Times;serif"/>
          <w:b/>
          <w:sz w:val="30"/>
        </w:rPr>
        <w:t>SCHEDULE 13D</w:t>
      </w:r>
      <w:r>
        <w:rPr>
          <w:rFonts w:ascii="Times New Roman;Times;serif" w:hAnsi="Times New Roman;Times;serif"/>
          <w:sz w:val="30"/>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Under the Securities Exchange Act of 1934</w:t>
      </w:r>
      <w:r>
        <w:rPr>
          <w:rFonts w:ascii="Times New Roman;Times;serif" w:hAnsi="Times New Roman;Times;serif"/>
          <w:sz w:val="20"/>
        </w:rPr>
        <w:t xml:space="preserve"> </w:t>
      </w:r>
    </w:p>
    <w:p>
      <w:pPr>
        <w:pStyle w:val="TextBody"/>
        <w:spacing w:before="320" w:after="283"/>
        <w:jc w:val="center"/>
        <w:rPr>
          <w:rFonts w:ascii="Times New Roman;Times;serif" w:hAnsi="Times New Roman;Times;serif"/>
          <w:sz w:val="40"/>
          <w:bdr w:val="single" w:sz="2" w:space="1" w:color="000000"/>
        </w:rPr>
      </w:pPr>
      <w:r>
        <w:rPr>
          <w:rFonts w:ascii="Times New Roman;Times;serif" w:hAnsi="Times New Roman;Times;serif"/>
          <w:sz w:val="40"/>
          <w:bdr w:val="single" w:sz="2" w:space="1" w:color="000000"/>
        </w:rPr>
        <w:t>PAA Natural Gas Storage, L.P.</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(Name of Issuer) </w:t>
      </w:r>
    </w:p>
    <w:p>
      <w:pPr>
        <w:pStyle w:val="TextBody"/>
        <w:spacing w:before="320" w:after="283"/>
        <w:jc w:val="center"/>
        <w:rPr>
          <w:rFonts w:ascii="Times New Roman;Times;serif" w:hAnsi="Times New Roman;Times;serif"/>
          <w:b/>
          <w:sz w:val="17"/>
          <w:bdr w:val="single" w:sz="2" w:space="1" w:color="000000"/>
        </w:rPr>
      </w:pPr>
      <w:r>
        <w:rPr>
          <w:rFonts w:ascii="Times New Roman;Times;serif" w:hAnsi="Times New Roman;Times;serif"/>
          <w:b/>
          <w:sz w:val="17"/>
          <w:bdr w:val="single" w:sz="2" w:space="1" w:color="000000"/>
        </w:rPr>
        <w:t>Common Units Representing Limited Partner Interests</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(Title of Class of Securities) </w:t>
      </w:r>
    </w:p>
    <w:p>
      <w:pPr>
        <w:pStyle w:val="TextBody"/>
        <w:spacing w:before="320" w:after="283"/>
        <w:jc w:val="center"/>
        <w:rPr>
          <w:rFonts w:ascii="Times New Roman;Times;serif" w:hAnsi="Times New Roman;Times;serif"/>
          <w:b/>
          <w:sz w:val="17"/>
          <w:bdr w:val="single" w:sz="2" w:space="1" w:color="000000"/>
        </w:rPr>
      </w:pPr>
      <w:r>
        <w:rPr>
          <w:rFonts w:ascii="Times New Roman;Times;serif" w:hAnsi="Times New Roman;Times;serif"/>
          <w:b/>
          <w:sz w:val="17"/>
          <w:bdr w:val="single" w:sz="2" w:space="1" w:color="000000"/>
        </w:rPr>
        <w:t>693139107</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(CUSIP Number) </w:t>
      </w:r>
    </w:p>
    <w:p>
      <w:pPr>
        <w:pStyle w:val="TextBody"/>
        <w:spacing w:before="320" w:after="283"/>
        <w:jc w:val="center"/>
        <w:rPr>
          <w:rFonts w:ascii="Times New Roman;Times;serif" w:hAnsi="Times New Roman;Times;serif"/>
          <w:sz w:val="17"/>
          <w:bdr w:val="single" w:sz="2" w:space="1" w:color="000000"/>
        </w:rPr>
      </w:pPr>
      <w:r>
        <w:rPr>
          <w:rFonts w:ascii="Times New Roman;Times;serif" w:hAnsi="Times New Roman;Times;serif"/>
          <w:b/>
          <w:sz w:val="17"/>
          <w:bdr w:val="single" w:sz="2" w:space="1" w:color="000000"/>
        </w:rPr>
        <w:t>Tim Moore</w:t>
      </w:r>
      <w:r>
        <w:rPr>
          <w:rFonts w:ascii="Times New Roman;Times;serif" w:hAnsi="Times New Roman;Times;serif"/>
          <w:sz w:val="17"/>
          <w:bdr w:val="single" w:sz="2" w:space="1" w:color="000000"/>
        </w:rPr>
        <w:br/>
      </w:r>
      <w:r>
        <w:rPr>
          <w:rFonts w:ascii="Times New Roman;Times;serif" w:hAnsi="Times New Roman;Times;serif"/>
          <w:b/>
          <w:sz w:val="17"/>
          <w:bdr w:val="single" w:sz="2" w:space="1" w:color="000000"/>
        </w:rPr>
        <w:t>Vice President, General Counsel and Secretary</w:t>
      </w:r>
      <w:r>
        <w:rPr>
          <w:rFonts w:ascii="Times New Roman;Times;serif" w:hAnsi="Times New Roman;Times;serif"/>
          <w:sz w:val="17"/>
          <w:bdr w:val="single" w:sz="2" w:space="1" w:color="000000"/>
        </w:rPr>
        <w:br/>
      </w:r>
      <w:r>
        <w:rPr>
          <w:rFonts w:ascii="Times New Roman;Times;serif" w:hAnsi="Times New Roman;Times;serif"/>
          <w:b/>
          <w:sz w:val="17"/>
          <w:bdr w:val="single" w:sz="2" w:space="1" w:color="000000"/>
        </w:rPr>
        <w:t xml:space="preserve">Plains All American GP LLC </w:t>
      </w:r>
      <w:r>
        <w:rPr>
          <w:rFonts w:ascii="Times New Roman;Times;serif" w:hAnsi="Times New Roman;Times;serif"/>
          <w:sz w:val="17"/>
          <w:bdr w:val="single" w:sz="2" w:space="1" w:color="000000"/>
        </w:rPr>
        <w:br/>
      </w:r>
      <w:r>
        <w:rPr>
          <w:rFonts w:ascii="Times New Roman;Times;serif" w:hAnsi="Times New Roman;Times;serif"/>
          <w:b/>
          <w:sz w:val="17"/>
          <w:bdr w:val="single" w:sz="2" w:space="1" w:color="000000"/>
        </w:rPr>
        <w:t>333 Clay Street, Suite 1600</w:t>
      </w:r>
      <w:r>
        <w:rPr>
          <w:rFonts w:ascii="Times New Roman;Times;serif" w:hAnsi="Times New Roman;Times;serif"/>
          <w:sz w:val="17"/>
          <w:bdr w:val="single" w:sz="2" w:space="1" w:color="000000"/>
        </w:rPr>
        <w:t xml:space="preserve"> </w:t>
        <w:br/>
      </w:r>
      <w:r>
        <w:rPr>
          <w:rFonts w:ascii="Times New Roman;Times;serif" w:hAnsi="Times New Roman;Times;serif"/>
          <w:b/>
          <w:sz w:val="17"/>
          <w:bdr w:val="single" w:sz="2" w:space="1" w:color="000000"/>
        </w:rPr>
        <w:t>Houston, Texas 77002</w:t>
      </w:r>
      <w:r>
        <w:rPr>
          <w:rFonts w:ascii="Times New Roman;Times;serif" w:hAnsi="Times New Roman;Times;serif"/>
          <w:sz w:val="17"/>
          <w:bdr w:val="single" w:sz="2" w:space="1" w:color="000000"/>
        </w:rPr>
        <w:t xml:space="preserve"> </w:t>
        <w:br/>
      </w:r>
      <w:r>
        <w:rPr>
          <w:rFonts w:ascii="Times New Roman;Times;serif" w:hAnsi="Times New Roman;Times;serif"/>
          <w:b/>
          <w:sz w:val="17"/>
          <w:bdr w:val="single" w:sz="2" w:space="1" w:color="000000"/>
        </w:rPr>
        <w:t xml:space="preserve">(713) 646-4100 </w:t>
      </w:r>
    </w:p>
    <w:p>
      <w:pPr>
        <w:pStyle w:val="TextBody"/>
        <w:spacing w:before="0" w:after="0"/>
        <w:jc w:val="center"/>
        <w:rPr>
          <w:rFonts w:ascii="Times New Roman;Times;serif" w:hAnsi="Times New Roman;Times;serif"/>
          <w:sz w:val="17"/>
        </w:rPr>
      </w:pPr>
      <w:r>
        <w:rPr>
          <w:rFonts w:ascii="Times New Roman;Times;serif" w:hAnsi="Times New Roman;Times;serif"/>
          <w:sz w:val="17"/>
        </w:rPr>
        <w:t>(Name, Address and Telephone Number of Person</w:t>
        <w:br/>
        <w:t xml:space="preserve">Authorized to Receive Notices and Communications) </w:t>
      </w:r>
    </w:p>
    <w:p>
      <w:pPr>
        <w:pStyle w:val="TextBody"/>
        <w:spacing w:before="320" w:after="283"/>
        <w:jc w:val="center"/>
        <w:rPr>
          <w:rFonts w:ascii="Times New Roman;Times;serif" w:hAnsi="Times New Roman;Times;serif"/>
          <w:b/>
          <w:sz w:val="17"/>
          <w:bdr w:val="single" w:sz="2" w:space="1" w:color="000000"/>
        </w:rPr>
      </w:pPr>
      <w:r>
        <w:rPr>
          <w:rFonts w:ascii="Times New Roman;Times;serif" w:hAnsi="Times New Roman;Times;serif"/>
          <w:b/>
          <w:sz w:val="17"/>
          <w:bdr w:val="single" w:sz="2" w:space="1" w:color="000000"/>
        </w:rPr>
        <w:t>February 8, 2011</w:t>
      </w:r>
    </w:p>
    <w:p>
      <w:pPr>
        <w:pStyle w:val="TextBody"/>
        <w:jc w:val="center"/>
        <w:rPr>
          <w:rFonts w:ascii="Times New Roman;Times;serif" w:hAnsi="Times New Roman;Times;serif"/>
          <w:sz w:val="17"/>
        </w:rPr>
      </w:pPr>
      <w:r>
        <w:rPr>
          <w:rFonts w:ascii="Times New Roman;Times;serif" w:hAnsi="Times New Roman;Times;serif"/>
          <w:sz w:val="17"/>
        </w:rPr>
        <w:t xml:space="preserve">(Date of Event which Requires Filing of this Statement) </w:t>
      </w:r>
    </w:p>
    <w:p>
      <w:pPr>
        <w:pStyle w:val="TextBody"/>
        <w:jc w:val="left"/>
        <w:rPr>
          <w:rFonts w:ascii="Times New Roman;Times;serif" w:hAnsi="Times New Roman;Times;serif"/>
          <w:sz w:val="17"/>
        </w:rPr>
      </w:pPr>
      <w:r>
        <w:rPr>
          <w:rFonts w:ascii="Times New Roman;Times;serif" w:hAnsi="Times New Roman;Times;serif"/>
          <w:sz w:val="17"/>
        </w:rPr>
        <w:t xml:space="preserve">If the filing person has previously filed a statement on Schedule 13G to report the acquisition which is the subject of this Schedule 13D, and is filing this schedule because of Rule 13d-1(e), 13d-1(f) or 13d-1(g), check the following box: </w:t>
      </w:r>
      <w:r>
        <w:rPr>
          <w:rFonts w:ascii="wingdings" w:hAnsi="wingdings"/>
          <w:sz w:val="20"/>
        </w:rPr>
        <w:t>o</w:t>
      </w:r>
      <w:r>
        <w:rPr>
          <w:rFonts w:ascii="Times New Roman;Times;serif" w:hAnsi="Times New Roman;Times;serif"/>
          <w:sz w:val="17"/>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(Continued on following pages)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SCHEDULE 13 D </w:t>
      </w:r>
    </w:p>
    <w:tbl>
      <w:tblPr>
        <w:tblW w:w="5000" w:type="pct"/>
        <w:jc w:val="center"/>
        <w:tblInd w:w="0" w:type="dxa"/>
        <w:tblCellMar>
          <w:top w:w="0" w:type="dxa"/>
          <w:left w:w="0" w:type="dxa"/>
          <w:bottom w:w="0" w:type="dxa"/>
          <w:right w:w="0" w:type="dxa"/>
        </w:tblCellMar>
      </w:tblPr>
      <w:tblGrid>
        <w:gridCol w:w="1144"/>
        <w:gridCol w:w="132"/>
        <w:gridCol w:w="2603"/>
        <w:gridCol w:w="4195"/>
        <w:gridCol w:w="132"/>
        <w:gridCol w:w="132"/>
        <w:gridCol w:w="734"/>
        <w:gridCol w:w="132"/>
        <w:gridCol w:w="132"/>
        <w:gridCol w:w="132"/>
        <w:gridCol w:w="737"/>
      </w:tblGrid>
      <w:tr>
        <w:trPr/>
        <w:tc>
          <w:tcPr>
            <w:tcW w:w="114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2603" w:type="dxa"/>
            <w:tcBorders/>
            <w:shd w:fill="auto" w:val="clear"/>
            <w:vAlign w:val="bottom"/>
          </w:tcPr>
          <w:p>
            <w:pPr>
              <w:pStyle w:val="TableContents"/>
              <w:spacing w:before="0" w:after="283"/>
              <w:rPr/>
            </w:pPr>
            <w:r>
              <w:rPr/>
              <w:t> </w:t>
            </w:r>
          </w:p>
        </w:tc>
        <w:tc>
          <w:tcPr>
            <w:tcW w:w="419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283"/>
              <w:rPr/>
            </w:pPr>
            <w:r>
              <w:rPr/>
              <w:t> </w:t>
            </w:r>
          </w:p>
        </w:tc>
      </w:tr>
      <w:tr>
        <w:trPr/>
        <w:tc>
          <w:tcPr>
            <w:tcW w:w="1144" w:type="dxa"/>
            <w:tcBorders/>
            <w:shd w:fill="auto" w:val="clear"/>
          </w:tcPr>
          <w:p>
            <w:pPr>
              <w:pStyle w:val="TableContents"/>
              <w:spacing w:before="0" w:after="0"/>
              <w:ind w:left="0" w:right="0" w:hanging="0"/>
              <w:rPr/>
            </w:pPr>
            <w:r>
              <w:rPr/>
              <w:t>CUSIP No.</w:t>
            </w:r>
          </w:p>
        </w:tc>
        <w:tc>
          <w:tcPr>
            <w:tcW w:w="132" w:type="dxa"/>
            <w:tcBorders/>
            <w:shd w:fill="auto" w:val="clear"/>
            <w:vAlign w:val="bottom"/>
          </w:tcPr>
          <w:p>
            <w:pPr>
              <w:pStyle w:val="TableContents"/>
              <w:spacing w:before="0" w:after="283"/>
              <w:rPr/>
            </w:pPr>
            <w:r>
              <w:rPr/>
              <w:t> </w:t>
            </w:r>
          </w:p>
        </w:tc>
        <w:tc>
          <w:tcPr>
            <w:tcW w:w="2603" w:type="dxa"/>
            <w:tcBorders/>
            <w:shd w:fill="auto" w:val="clear"/>
          </w:tcPr>
          <w:p>
            <w:pPr>
              <w:pStyle w:val="TableContents"/>
              <w:spacing w:before="0" w:after="0"/>
              <w:jc w:val="center"/>
              <w:rPr>
                <w:bdr w:val="single" w:sz="2" w:space="1" w:color="000000"/>
              </w:rPr>
            </w:pPr>
            <w:r>
              <w:rPr>
                <w:bdr w:val="single" w:sz="2" w:space="1" w:color="000000"/>
              </w:rPr>
              <w:t>693139107 </w:t>
            </w:r>
          </w:p>
        </w:tc>
        <w:tc>
          <w:tcPr>
            <w:tcW w:w="4195" w:type="dxa"/>
            <w:tcBorders/>
            <w:shd w:fill="auto" w:val="clear"/>
            <w:vAlign w:val="bottom"/>
          </w:tcPr>
          <w:p>
            <w:pPr>
              <w:pStyle w:val="TableContents"/>
              <w:spacing w:before="0" w:after="283"/>
              <w:rPr/>
            </w:pPr>
            <w:r>
              <w:rPr/>
              <w:t> </w:t>
            </w:r>
          </w:p>
        </w:tc>
        <w:tc>
          <w:tcPr>
            <w:tcW w:w="2131" w:type="dxa"/>
            <w:gridSpan w:val="7"/>
            <w:tcBorders/>
            <w:shd w:fill="auto" w:val="clear"/>
          </w:tcPr>
          <w:p>
            <w:pPr>
              <w:pStyle w:val="TableContents"/>
              <w:spacing w:before="0" w:after="283"/>
              <w:rPr>
                <w:sz w:val="4"/>
                <w:szCs w:val="4"/>
              </w:rPr>
            </w:pPr>
            <w:r>
              <w:rPr>
                <w:sz w:val="4"/>
                <w:szCs w:val="4"/>
              </w:rPr>
            </w:r>
          </w:p>
        </w:tc>
      </w:tr>
    </w:tbl>
    <w:p>
      <w:pPr>
        <w:pStyle w:val="TextBody"/>
        <w:spacing w:before="0" w:after="0"/>
        <w:rPr/>
      </w:pPr>
      <w:r>
        <w:rPr/>
        <w:t> </w:t>
      </w:r>
    </w:p>
    <w:tbl>
      <w:tblPr>
        <w:tblW w:w="5000" w:type="pct"/>
        <w:jc w:val="center"/>
        <w:tblInd w:w="0" w:type="dxa"/>
        <w:tblCellMar>
          <w:top w:w="28" w:type="dxa"/>
          <w:left w:w="28" w:type="dxa"/>
          <w:bottom w:w="28" w:type="dxa"/>
          <w:right w:w="28" w:type="dxa"/>
        </w:tblCellMar>
      </w:tblPr>
      <w:tblGrid>
        <w:gridCol w:w="1259"/>
        <w:gridCol w:w="349"/>
        <w:gridCol w:w="634"/>
        <w:gridCol w:w="653"/>
        <w:gridCol w:w="163"/>
        <w:gridCol w:w="7065"/>
        <w:gridCol w:w="82"/>
      </w:tblGrid>
      <w:tr>
        <w:trPr/>
        <w:tc>
          <w:tcPr>
            <w:tcW w:w="1259" w:type="dxa"/>
            <w:tcBorders/>
            <w:shd w:fill="auto" w:val="clear"/>
            <w:vAlign w:val="center"/>
          </w:tcPr>
          <w:p>
            <w:pPr>
              <w:pStyle w:val="TableContents"/>
              <w:spacing w:before="0" w:after="283"/>
              <w:rPr/>
            </w:pPr>
            <w:r>
              <w:rPr/>
              <w:t> </w:t>
            </w:r>
          </w:p>
        </w:tc>
        <w:tc>
          <w:tcPr>
            <w:tcW w:w="349" w:type="dxa"/>
            <w:tcBorders>
              <w:left w:val="single" w:sz="2" w:space="0" w:color="000000"/>
            </w:tcBorders>
            <w:shd w:fill="auto" w:val="clear"/>
            <w:tcMar>
              <w:top w:w="0" w:type="dxa"/>
              <w:bottom w:w="0" w:type="dxa"/>
              <w:right w:w="0" w:type="dxa"/>
            </w:tcMar>
            <w:vAlign w:val="center"/>
          </w:tcPr>
          <w:p>
            <w:pPr>
              <w:pStyle w:val="TableContents"/>
              <w:spacing w:before="0" w:after="283"/>
              <w:rPr/>
            </w:pPr>
            <w:r>
              <w:rPr/>
              <w:t> </w:t>
            </w:r>
          </w:p>
        </w:tc>
        <w:tc>
          <w:tcPr>
            <w:tcW w:w="634"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7065" w:type="dxa"/>
            <w:tcBorders/>
            <w:shd w:fill="auto" w:val="clear"/>
            <w:vAlign w:val="center"/>
          </w:tcPr>
          <w:p>
            <w:pPr>
              <w:pStyle w:val="TableContents"/>
              <w:spacing w:before="0" w:after="283"/>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tcBorders/>
            <w:shd w:fill="auto" w:val="clear"/>
            <w:vAlign w:val="center"/>
          </w:tcPr>
          <w:p>
            <w:pPr>
              <w:pStyle w:val="TableContents"/>
              <w:spacing w:before="0" w:after="283"/>
              <w:jc w:val="center"/>
              <w:rPr>
                <w:b/>
                <w:sz w:val="30"/>
              </w:rPr>
            </w:pPr>
            <w:r>
              <w:rPr>
                <w:b/>
                <w:sz w:val="30"/>
              </w:rPr>
              <w:t>1</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NAME OF REPORTING PERSON</w:t>
              <w:br/>
              <w:br/>
              <w:t xml:space="preserve">Plains All American Pipeline, L.P. </w:t>
            </w:r>
          </w:p>
        </w:tc>
        <w:tc>
          <w:tcPr>
            <w:tcW w:w="82" w:type="dxa"/>
            <w:tcBorders/>
            <w:shd w:fill="auto" w:val="clear"/>
          </w:tcPr>
          <w:p>
            <w:pPr>
              <w:pStyle w:val="TableContents"/>
              <w:spacing w:before="0" w:after="283"/>
              <w:rPr>
                <w:sz w:val="4"/>
                <w:szCs w:val="4"/>
              </w:rPr>
            </w:pPr>
            <w:r>
              <w:rPr>
                <w:sz w:val="4"/>
                <w:szCs w:val="4"/>
              </w:rPr>
            </w:r>
          </w:p>
        </w:tc>
      </w:tr>
      <w:tr>
        <w:trPr/>
        <w:tc>
          <w:tcPr>
            <w:tcW w:w="1259" w:type="dxa"/>
            <w:tcBorders/>
            <w:shd w:fill="auto" w:val="clear"/>
            <w:vAlign w:val="bottom"/>
          </w:tcPr>
          <w:p>
            <w:pPr>
              <w:pStyle w:val="TableContents"/>
              <w:spacing w:before="0" w:after="283"/>
              <w:rPr/>
            </w:pPr>
            <w:r>
              <w:rPr/>
              <w:t> </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49"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15"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restart"/>
            <w:tcBorders/>
            <w:shd w:fill="auto" w:val="clear"/>
            <w:vAlign w:val="center"/>
          </w:tcPr>
          <w:p>
            <w:pPr>
              <w:pStyle w:val="TableContents"/>
              <w:spacing w:before="0" w:after="283"/>
              <w:jc w:val="center"/>
              <w:rPr>
                <w:b/>
                <w:sz w:val="30"/>
              </w:rPr>
            </w:pPr>
            <w:r>
              <w:rPr>
                <w:b/>
                <w:sz w:val="30"/>
              </w:rPr>
              <w:t>2</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CHECK THE APPROPRIATE BOX IF A MEMBER OF A GROUP</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(a)   </w:t>
            </w:r>
            <w:r>
              <w:rPr>
                <w:rFonts w:ascii="wingdings" w:hAnsi="wingdings"/>
                <w:sz w:val="20"/>
              </w:rPr>
              <w:t>o</w:t>
            </w: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(b)   </w:t>
            </w:r>
            <w:r>
              <w:rPr>
                <w:rFonts w:ascii="wingdings" w:hAnsi="wingdings"/>
                <w:sz w:val="20"/>
              </w:rPr>
              <w:t>o</w:t>
            </w: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49"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15"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restart"/>
            <w:tcBorders/>
            <w:shd w:fill="auto" w:val="clear"/>
            <w:vAlign w:val="center"/>
          </w:tcPr>
          <w:p>
            <w:pPr>
              <w:pStyle w:val="TableContents"/>
              <w:spacing w:before="0" w:after="283"/>
              <w:jc w:val="center"/>
              <w:rPr>
                <w:b/>
                <w:sz w:val="30"/>
              </w:rPr>
            </w:pPr>
            <w:r>
              <w:rPr>
                <w:b/>
                <w:sz w:val="30"/>
              </w:rPr>
              <w:t>3</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SEC USE ONLY</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49"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15"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restart"/>
            <w:tcBorders/>
            <w:shd w:fill="auto" w:val="clear"/>
            <w:vAlign w:val="center"/>
          </w:tcPr>
          <w:p>
            <w:pPr>
              <w:pStyle w:val="TableContents"/>
              <w:spacing w:before="0" w:after="283"/>
              <w:jc w:val="center"/>
              <w:rPr>
                <w:b/>
                <w:sz w:val="30"/>
              </w:rPr>
            </w:pPr>
            <w:r>
              <w:rPr>
                <w:b/>
                <w:sz w:val="30"/>
              </w:rPr>
              <w:t>4</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SOURCE OF FUNDS (SEE INSTRUCTIONS)</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97" w:type="dxa"/>
            <w:gridSpan w:val="5"/>
            <w:tcBorders/>
            <w:shd w:fill="auto" w:val="clear"/>
            <w:vAlign w:val="bottom"/>
          </w:tcPr>
          <w:p>
            <w:pPr>
              <w:pStyle w:val="TableContents"/>
              <w:spacing w:before="0" w:after="283"/>
              <w:jc w:val="left"/>
              <w:rPr/>
            </w:pPr>
            <w:r>
              <w:rPr/>
              <w:t> </w:t>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97" w:type="dxa"/>
            <w:gridSpan w:val="5"/>
            <w:tcBorders/>
            <w:shd w:fill="auto" w:val="clear"/>
            <w:vAlign w:val="bottom"/>
          </w:tcPr>
          <w:p>
            <w:pPr>
              <w:pStyle w:val="TableContents"/>
              <w:spacing w:before="0" w:after="283"/>
              <w:jc w:val="left"/>
              <w:rPr/>
            </w:pPr>
            <w:r>
              <w:rPr/>
              <w:t>OO (please see Item 3 below)</w:t>
            </w:r>
          </w:p>
        </w:tc>
      </w:tr>
      <w:tr>
        <w:trPr/>
        <w:tc>
          <w:tcPr>
            <w:tcW w:w="1259"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49"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15"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restart"/>
            <w:tcBorders/>
            <w:shd w:fill="auto" w:val="clear"/>
            <w:vAlign w:val="center"/>
          </w:tcPr>
          <w:p>
            <w:pPr>
              <w:pStyle w:val="TableContents"/>
              <w:spacing w:before="0" w:after="283"/>
              <w:jc w:val="center"/>
              <w:rPr>
                <w:b/>
                <w:sz w:val="30"/>
              </w:rPr>
            </w:pPr>
            <w:r>
              <w:rPr>
                <w:b/>
                <w:sz w:val="30"/>
              </w:rPr>
              <w:t>5</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CHECK BOX IF DISCLOSURE OF LEGAL PROCEEDINGS IS REQUIRED PURSUANT TO ITEMS 2(d) OR 2(e)</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rFonts w:ascii="wingdings" w:hAnsi="wingdings"/>
                <w:sz w:val="20"/>
              </w:rPr>
            </w:pPr>
            <w:r>
              <w:rPr>
                <w:rFonts w:ascii="wingdings" w:hAnsi="wingdings"/>
                <w:sz w:val="20"/>
              </w:rPr>
              <w:t>o</w:t>
            </w:r>
          </w:p>
        </w:tc>
        <w:tc>
          <w:tcPr>
            <w:tcW w:w="82" w:type="dxa"/>
            <w:tcBorders/>
            <w:shd w:fill="auto" w:val="clear"/>
          </w:tcPr>
          <w:p>
            <w:pPr>
              <w:pStyle w:val="TableContents"/>
              <w:spacing w:before="0" w:after="283"/>
              <w:rPr>
                <w:sz w:val="4"/>
                <w:szCs w:val="4"/>
              </w:rPr>
            </w:pPr>
            <w:r>
              <w:rPr>
                <w:sz w:val="4"/>
                <w:szCs w:val="4"/>
              </w:rPr>
            </w:r>
          </w:p>
        </w:tc>
      </w:tr>
      <w:tr>
        <w:trPr/>
        <w:tc>
          <w:tcPr>
            <w:tcW w:w="1259"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49"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15"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restart"/>
            <w:tcBorders/>
            <w:shd w:fill="auto" w:val="clear"/>
            <w:vAlign w:val="center"/>
          </w:tcPr>
          <w:p>
            <w:pPr>
              <w:pStyle w:val="TableContents"/>
              <w:spacing w:before="0" w:after="283"/>
              <w:jc w:val="center"/>
              <w:rPr>
                <w:b/>
                <w:sz w:val="30"/>
              </w:rPr>
            </w:pPr>
            <w:r>
              <w:rPr>
                <w:b/>
                <w:sz w:val="30"/>
              </w:rPr>
              <w:t>6</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CITIZENSHIP OR PLACE OF ORGANIZATION</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xml:space="preserve">Delaware, United States </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653" w:type="dxa"/>
            <w:tcBorders>
              <w:top w:val="single" w:sz="2" w:space="0" w:color="000000"/>
              <w:left w:val="single" w:sz="2" w:space="0" w:color="000000"/>
              <w:right w:val="single" w:sz="2" w:space="0" w:color="000000"/>
            </w:tcBorders>
            <w:shd w:fill="auto" w:val="clear"/>
            <w:tcMar>
              <w:bottom w:w="0" w:type="dxa"/>
            </w:tcMar>
            <w:vAlign w:val="center"/>
          </w:tcPr>
          <w:p>
            <w:pPr>
              <w:pStyle w:val="TableContents"/>
              <w:spacing w:before="0" w:after="283"/>
              <w:jc w:val="left"/>
              <w:rPr/>
            </w:pPr>
            <w:r>
              <w:rPr/>
              <w:t> </w:t>
            </w:r>
          </w:p>
        </w:tc>
        <w:tc>
          <w:tcPr>
            <w:tcW w:w="163"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7065"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 </w:t>
            </w:r>
          </w:p>
        </w:tc>
        <w:tc>
          <w:tcPr>
            <w:tcW w:w="653" w:type="dxa"/>
            <w:vMerge w:val="restart"/>
            <w:tcBorders>
              <w:left w:val="single" w:sz="2" w:space="0" w:color="000000"/>
              <w:right w:val="single" w:sz="2" w:space="0" w:color="000000"/>
            </w:tcBorders>
            <w:shd w:fill="auto" w:val="clear"/>
            <w:tcMar>
              <w:top w:w="0" w:type="dxa"/>
              <w:bottom w:w="0" w:type="dxa"/>
            </w:tcMar>
            <w:vAlign w:val="center"/>
          </w:tcPr>
          <w:p>
            <w:pPr>
              <w:pStyle w:val="TableContents"/>
              <w:spacing w:before="0" w:after="283"/>
              <w:jc w:val="center"/>
              <w:rPr>
                <w:b/>
                <w:sz w:val="30"/>
              </w:rPr>
            </w:pPr>
            <w:r>
              <w:rPr>
                <w:b/>
                <w:sz w:val="30"/>
              </w:rPr>
              <w:t>7</w:t>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jc w:val="left"/>
              <w:rPr/>
            </w:pPr>
            <w:r>
              <w:rPr/>
              <w:t>SOLE VOTING POWER</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 </w:t>
            </w:r>
          </w:p>
        </w:tc>
        <w:tc>
          <w:tcPr>
            <w:tcW w:w="653"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NUMBER OF</w:t>
            </w:r>
          </w:p>
        </w:tc>
        <w:tc>
          <w:tcPr>
            <w:tcW w:w="653"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jc w:val="left"/>
              <w:rPr/>
            </w:pPr>
            <w:r>
              <w:rPr/>
              <w:t>53,707,221 Common Units</w:t>
            </w:r>
            <w:r>
              <w:rPr>
                <w:position w:val="8"/>
                <w:sz w:val="19"/>
              </w:rPr>
              <w:t>+</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center"/>
          </w:tcPr>
          <w:p>
            <w:pPr>
              <w:pStyle w:val="TableContents"/>
              <w:spacing w:before="0" w:after="283"/>
              <w:rPr/>
            </w:pPr>
            <w:r>
              <w:rPr/>
              <w:t> </w:t>
            </w:r>
          </w:p>
        </w:tc>
        <w:tc>
          <w:tcPr>
            <w:tcW w:w="653" w:type="dxa"/>
            <w:tcBorders>
              <w:top w:val="single" w:sz="2" w:space="0" w:color="000000"/>
              <w:left w:val="single" w:sz="2" w:space="0" w:color="000000"/>
              <w:right w:val="single" w:sz="2" w:space="0" w:color="000000"/>
            </w:tcBorders>
            <w:shd w:fill="auto" w:val="clear"/>
            <w:tcMar>
              <w:bottom w:w="0" w:type="dxa"/>
            </w:tcMar>
            <w:vAlign w:val="center"/>
          </w:tcPr>
          <w:p>
            <w:pPr>
              <w:pStyle w:val="TableContents"/>
              <w:spacing w:before="0" w:after="283"/>
              <w:jc w:val="left"/>
              <w:rPr/>
            </w:pPr>
            <w:r>
              <w:rPr/>
              <w:t> </w:t>
            </w:r>
          </w:p>
        </w:tc>
        <w:tc>
          <w:tcPr>
            <w:tcW w:w="163"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7065"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SHARES</w:t>
            </w:r>
          </w:p>
        </w:tc>
        <w:tc>
          <w:tcPr>
            <w:tcW w:w="653" w:type="dxa"/>
            <w:vMerge w:val="restart"/>
            <w:tcBorders>
              <w:left w:val="single" w:sz="2" w:space="0" w:color="000000"/>
              <w:right w:val="single" w:sz="2" w:space="0" w:color="000000"/>
            </w:tcBorders>
            <w:shd w:fill="auto" w:val="clear"/>
            <w:tcMar>
              <w:top w:w="0" w:type="dxa"/>
              <w:bottom w:w="0" w:type="dxa"/>
            </w:tcMar>
            <w:vAlign w:val="center"/>
          </w:tcPr>
          <w:p>
            <w:pPr>
              <w:pStyle w:val="TableContents"/>
              <w:spacing w:before="0" w:after="283"/>
              <w:jc w:val="center"/>
              <w:rPr>
                <w:b/>
                <w:sz w:val="30"/>
              </w:rPr>
            </w:pPr>
            <w:r>
              <w:rPr>
                <w:b/>
                <w:sz w:val="30"/>
              </w:rPr>
              <w:t>8</w:t>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jc w:val="left"/>
              <w:rPr/>
            </w:pPr>
            <w:r>
              <w:rPr/>
              <w:t>SHARED VOTING POWER</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BENEFICIALLY</w:t>
            </w:r>
          </w:p>
        </w:tc>
        <w:tc>
          <w:tcPr>
            <w:tcW w:w="653"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OWNED BY</w:t>
            </w:r>
          </w:p>
        </w:tc>
        <w:tc>
          <w:tcPr>
            <w:tcW w:w="653"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rPr/>
            </w:pPr>
            <w:r>
              <w:rPr/>
              <w:t>0 Common Units</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center"/>
          </w:tcPr>
          <w:p>
            <w:pPr>
              <w:pStyle w:val="TableContents"/>
              <w:spacing w:before="0" w:after="283"/>
              <w:rPr/>
            </w:pPr>
            <w:r>
              <w:rPr/>
              <w:t> </w:t>
            </w:r>
          </w:p>
        </w:tc>
        <w:tc>
          <w:tcPr>
            <w:tcW w:w="653" w:type="dxa"/>
            <w:tcBorders>
              <w:top w:val="single" w:sz="2" w:space="0" w:color="000000"/>
              <w:left w:val="single" w:sz="2" w:space="0" w:color="000000"/>
              <w:right w:val="single" w:sz="2" w:space="0" w:color="000000"/>
            </w:tcBorders>
            <w:shd w:fill="auto" w:val="clear"/>
            <w:tcMar>
              <w:bottom w:w="0" w:type="dxa"/>
            </w:tcMar>
            <w:vAlign w:val="center"/>
          </w:tcPr>
          <w:p>
            <w:pPr>
              <w:pStyle w:val="TableContents"/>
              <w:spacing w:before="0" w:after="283"/>
              <w:jc w:val="left"/>
              <w:rPr/>
            </w:pPr>
            <w:r>
              <w:rPr/>
              <w:t> </w:t>
            </w:r>
          </w:p>
        </w:tc>
        <w:tc>
          <w:tcPr>
            <w:tcW w:w="163"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7065"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EACH</w:t>
            </w:r>
          </w:p>
        </w:tc>
        <w:tc>
          <w:tcPr>
            <w:tcW w:w="653" w:type="dxa"/>
            <w:vMerge w:val="restart"/>
            <w:tcBorders>
              <w:left w:val="single" w:sz="2" w:space="0" w:color="000000"/>
              <w:right w:val="single" w:sz="2" w:space="0" w:color="000000"/>
            </w:tcBorders>
            <w:shd w:fill="auto" w:val="clear"/>
            <w:tcMar>
              <w:top w:w="0" w:type="dxa"/>
              <w:bottom w:w="0" w:type="dxa"/>
            </w:tcMar>
            <w:vAlign w:val="center"/>
          </w:tcPr>
          <w:p>
            <w:pPr>
              <w:pStyle w:val="TableContents"/>
              <w:spacing w:before="0" w:after="283"/>
              <w:jc w:val="center"/>
              <w:rPr>
                <w:b/>
                <w:sz w:val="30"/>
              </w:rPr>
            </w:pPr>
            <w:r>
              <w:rPr>
                <w:b/>
                <w:sz w:val="30"/>
              </w:rPr>
              <w:t>9</w:t>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jc w:val="left"/>
              <w:rPr/>
            </w:pPr>
            <w:r>
              <w:rPr/>
              <w:t>SOLE DISPOSITIVE POWER</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REPORTING</w:t>
            </w:r>
          </w:p>
        </w:tc>
        <w:tc>
          <w:tcPr>
            <w:tcW w:w="653"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PERSON</w:t>
            </w:r>
          </w:p>
        </w:tc>
        <w:tc>
          <w:tcPr>
            <w:tcW w:w="653"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jc w:val="left"/>
              <w:rPr/>
            </w:pPr>
            <w:r>
              <w:rPr/>
              <w:t>53,707,221 Common Units</w:t>
            </w:r>
            <w:r>
              <w:rPr>
                <w:position w:val="8"/>
                <w:sz w:val="19"/>
              </w:rPr>
              <w:t>+</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center"/>
          </w:tcPr>
          <w:p>
            <w:pPr>
              <w:pStyle w:val="TableContents"/>
              <w:spacing w:before="0" w:after="283"/>
              <w:rPr/>
            </w:pPr>
            <w:r>
              <w:rPr/>
              <w:t> </w:t>
            </w:r>
          </w:p>
        </w:tc>
        <w:tc>
          <w:tcPr>
            <w:tcW w:w="653" w:type="dxa"/>
            <w:tcBorders>
              <w:top w:val="single" w:sz="2" w:space="0" w:color="000000"/>
              <w:left w:val="single" w:sz="2" w:space="0" w:color="000000"/>
              <w:right w:val="single" w:sz="2" w:space="0" w:color="000000"/>
            </w:tcBorders>
            <w:shd w:fill="auto" w:val="clear"/>
            <w:tcMar>
              <w:bottom w:w="0" w:type="dxa"/>
            </w:tcMar>
            <w:vAlign w:val="center"/>
          </w:tcPr>
          <w:p>
            <w:pPr>
              <w:pStyle w:val="TableContents"/>
              <w:spacing w:before="0" w:after="283"/>
              <w:jc w:val="left"/>
              <w:rPr/>
            </w:pPr>
            <w:r>
              <w:rPr/>
              <w:t> </w:t>
            </w:r>
          </w:p>
        </w:tc>
        <w:tc>
          <w:tcPr>
            <w:tcW w:w="163"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7065"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WITH</w:t>
            </w:r>
          </w:p>
        </w:tc>
        <w:tc>
          <w:tcPr>
            <w:tcW w:w="653" w:type="dxa"/>
            <w:vMerge w:val="restart"/>
            <w:tcBorders>
              <w:left w:val="single" w:sz="2" w:space="0" w:color="000000"/>
              <w:right w:val="single" w:sz="2" w:space="0" w:color="000000"/>
            </w:tcBorders>
            <w:shd w:fill="auto" w:val="clear"/>
            <w:tcMar>
              <w:top w:w="0" w:type="dxa"/>
              <w:bottom w:w="0" w:type="dxa"/>
            </w:tcMar>
            <w:vAlign w:val="center"/>
          </w:tcPr>
          <w:p>
            <w:pPr>
              <w:pStyle w:val="TableContents"/>
              <w:spacing w:before="0" w:after="283"/>
              <w:jc w:val="center"/>
              <w:rPr>
                <w:b/>
                <w:sz w:val="30"/>
              </w:rPr>
            </w:pPr>
            <w:r>
              <w:rPr>
                <w:b/>
                <w:sz w:val="30"/>
              </w:rPr>
              <w:t>10</w:t>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jc w:val="left"/>
              <w:rPr/>
            </w:pPr>
            <w:r>
              <w:rPr/>
              <w:t>SHARED DISPOSITIVE POWER</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 </w:t>
            </w:r>
          </w:p>
        </w:tc>
        <w:tc>
          <w:tcPr>
            <w:tcW w:w="653"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 </w:t>
            </w:r>
          </w:p>
        </w:tc>
        <w:tc>
          <w:tcPr>
            <w:tcW w:w="653"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jc w:val="left"/>
              <w:rPr/>
            </w:pPr>
            <w:r>
              <w:rPr/>
              <w:t>0 Common Units</w:t>
            </w:r>
          </w:p>
        </w:tc>
        <w:tc>
          <w:tcPr>
            <w:tcW w:w="82" w:type="dxa"/>
            <w:tcBorders/>
            <w:shd w:fill="auto" w:val="clear"/>
          </w:tcPr>
          <w:p>
            <w:pPr>
              <w:pStyle w:val="TableContents"/>
              <w:spacing w:before="0" w:after="283"/>
              <w:rPr>
                <w:sz w:val="4"/>
                <w:szCs w:val="4"/>
              </w:rPr>
            </w:pPr>
            <w:r>
              <w:rPr>
                <w:sz w:val="4"/>
                <w:szCs w:val="4"/>
              </w:rPr>
            </w:r>
          </w:p>
        </w:tc>
      </w:tr>
      <w:tr>
        <w:trPr/>
        <w:tc>
          <w:tcPr>
            <w:tcW w:w="1259"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49"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15"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restart"/>
            <w:tcBorders/>
            <w:shd w:fill="auto" w:val="clear"/>
            <w:vAlign w:val="center"/>
          </w:tcPr>
          <w:p>
            <w:pPr>
              <w:pStyle w:val="TableContents"/>
              <w:spacing w:before="0" w:after="283"/>
              <w:jc w:val="center"/>
              <w:rPr>
                <w:b/>
                <w:sz w:val="30"/>
              </w:rPr>
            </w:pPr>
            <w:r>
              <w:rPr>
                <w:b/>
                <w:sz w:val="30"/>
              </w:rPr>
              <w:t>11</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AGGREGATE AMOUNT BENEFICIALLY OWNED BY EACH REPORTING PERSON</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53,707,221 Common Units</w:t>
            </w:r>
            <w:r>
              <w:rPr>
                <w:position w:val="8"/>
                <w:sz w:val="19"/>
              </w:rPr>
              <w:t>+</w:t>
            </w:r>
          </w:p>
        </w:tc>
        <w:tc>
          <w:tcPr>
            <w:tcW w:w="82" w:type="dxa"/>
            <w:tcBorders/>
            <w:shd w:fill="auto" w:val="clear"/>
          </w:tcPr>
          <w:p>
            <w:pPr>
              <w:pStyle w:val="TableContents"/>
              <w:spacing w:before="0" w:after="283"/>
              <w:rPr>
                <w:sz w:val="4"/>
                <w:szCs w:val="4"/>
              </w:rPr>
            </w:pPr>
            <w:r>
              <w:rPr>
                <w:sz w:val="4"/>
                <w:szCs w:val="4"/>
              </w:rPr>
            </w:r>
          </w:p>
        </w:tc>
      </w:tr>
      <w:tr>
        <w:trPr/>
        <w:tc>
          <w:tcPr>
            <w:tcW w:w="1259"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49"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15"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restart"/>
            <w:tcBorders/>
            <w:shd w:fill="auto" w:val="clear"/>
            <w:vAlign w:val="center"/>
          </w:tcPr>
          <w:p>
            <w:pPr>
              <w:pStyle w:val="TableContents"/>
              <w:spacing w:before="0" w:after="283"/>
              <w:jc w:val="center"/>
              <w:rPr>
                <w:b/>
                <w:sz w:val="30"/>
              </w:rPr>
            </w:pPr>
            <w:r>
              <w:rPr>
                <w:b/>
                <w:sz w:val="30"/>
              </w:rPr>
              <w:t>12</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xml:space="preserve">CHECK BOX IF THE AGGREGATE AMOUNT IN ROW (11) EXCLUDES CERTAIN SHARES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rFonts w:ascii="wingdings" w:hAnsi="wingdings"/>
                <w:sz w:val="20"/>
              </w:rPr>
              <w:t>o</w:t>
            </w:r>
            <w:r>
              <w:rPr/>
              <w:t xml:space="preserve"> </w:t>
            </w:r>
          </w:p>
        </w:tc>
        <w:tc>
          <w:tcPr>
            <w:tcW w:w="82" w:type="dxa"/>
            <w:tcBorders/>
            <w:shd w:fill="auto" w:val="clear"/>
          </w:tcPr>
          <w:p>
            <w:pPr>
              <w:pStyle w:val="TableContents"/>
              <w:spacing w:before="0" w:after="283"/>
              <w:rPr>
                <w:sz w:val="4"/>
                <w:szCs w:val="4"/>
              </w:rPr>
            </w:pPr>
            <w:r>
              <w:rPr>
                <w:sz w:val="4"/>
                <w:szCs w:val="4"/>
              </w:rPr>
            </w:r>
          </w:p>
        </w:tc>
      </w:tr>
      <w:tr>
        <w:trPr/>
        <w:tc>
          <w:tcPr>
            <w:tcW w:w="1259"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49"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15"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restart"/>
            <w:tcBorders/>
            <w:shd w:fill="auto" w:val="clear"/>
            <w:vAlign w:val="center"/>
          </w:tcPr>
          <w:p>
            <w:pPr>
              <w:pStyle w:val="TableContents"/>
              <w:spacing w:before="0" w:after="283"/>
              <w:jc w:val="center"/>
              <w:rPr>
                <w:b/>
                <w:sz w:val="30"/>
              </w:rPr>
            </w:pPr>
            <w:r>
              <w:rPr>
                <w:b/>
                <w:sz w:val="30"/>
              </w:rPr>
              <w:t>13</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PERCENT OF CLASS REPRESENTED BY AMOUNT IN ROW (11)</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63.5% of Common Units on a fully diluted basis</w:t>
            </w:r>
          </w:p>
        </w:tc>
        <w:tc>
          <w:tcPr>
            <w:tcW w:w="82" w:type="dxa"/>
            <w:tcBorders/>
            <w:shd w:fill="auto" w:val="clear"/>
          </w:tcPr>
          <w:p>
            <w:pPr>
              <w:pStyle w:val="TableContents"/>
              <w:spacing w:before="0" w:after="283"/>
              <w:rPr>
                <w:sz w:val="4"/>
                <w:szCs w:val="4"/>
              </w:rPr>
            </w:pPr>
            <w:r>
              <w:rPr>
                <w:sz w:val="4"/>
                <w:szCs w:val="4"/>
              </w:rPr>
            </w:r>
          </w:p>
        </w:tc>
      </w:tr>
      <w:tr>
        <w:trPr/>
        <w:tc>
          <w:tcPr>
            <w:tcW w:w="1259"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49"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15"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restart"/>
            <w:tcBorders/>
            <w:shd w:fill="auto" w:val="clear"/>
            <w:vAlign w:val="center"/>
          </w:tcPr>
          <w:p>
            <w:pPr>
              <w:pStyle w:val="TableContents"/>
              <w:spacing w:before="0" w:after="283"/>
              <w:jc w:val="center"/>
              <w:rPr>
                <w:b/>
                <w:sz w:val="30"/>
              </w:rPr>
            </w:pPr>
            <w:r>
              <w:rPr>
                <w:b/>
                <w:sz w:val="30"/>
              </w:rPr>
              <w:t>14</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TYPE OF REPORTING PERSON</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PN</w:t>
            </w:r>
          </w:p>
        </w:tc>
        <w:tc>
          <w:tcPr>
            <w:tcW w:w="82" w:type="dxa"/>
            <w:tcBorders/>
            <w:shd w:fill="auto" w:val="clear"/>
          </w:tcPr>
          <w:p>
            <w:pPr>
              <w:pStyle w:val="TableContents"/>
              <w:spacing w:before="0" w:after="283"/>
              <w:rPr>
                <w:sz w:val="4"/>
                <w:szCs w:val="4"/>
              </w:rPr>
            </w:pPr>
            <w:r>
              <w:rPr>
                <w:sz w:val="4"/>
                <w:szCs w:val="4"/>
              </w:rPr>
            </w:r>
          </w:p>
        </w:tc>
      </w:tr>
    </w:tbl>
    <w:tbl>
      <w:tblPr>
        <w:tblW w:w="5000" w:type="pct"/>
        <w:jc w:val="left"/>
        <w:tblInd w:w="0" w:type="dxa"/>
        <w:tblCellMar>
          <w:top w:w="0" w:type="dxa"/>
          <w:left w:w="0" w:type="dxa"/>
          <w:bottom w:w="0" w:type="dxa"/>
          <w:right w:w="0" w:type="dxa"/>
        </w:tblCellMar>
      </w:tblPr>
      <w:tblGrid>
        <w:gridCol w:w="304"/>
        <w:gridCol w:w="101"/>
        <w:gridCol w:w="9800"/>
      </w:tblGrid>
      <w:tr>
        <w:trPr/>
        <w:tc>
          <w:tcPr>
            <w:tcW w:w="304"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800" w:type="dxa"/>
            <w:tcBorders/>
            <w:shd w:fill="auto" w:val="clear"/>
            <w:vAlign w:val="cente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jc w:val="left"/>
              <w:rPr>
                <w:position w:val="8"/>
                <w:sz w:val="19"/>
              </w:rPr>
            </w:pPr>
            <w:r>
              <w:rPr>
                <w:position w:val="8"/>
                <w:sz w:val="19"/>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rPr/>
            </w:pPr>
            <w:r>
              <w:rPr/>
              <w:t>Includes 11,934,351 Series A Subordinated Units and 13,500,000 Series B Subordinated Units, each representing limited partner interests in the Issuer. The Series A Subordinated Units may be converted into Common Units on a one-for-one basis upon termination of the subordination period under certain circumstances, as set forth in the Second Amended and Restated Agreement of Limited Partnership of PAA Natural Gas Storage, L.P. (the </w:t>
            </w:r>
            <w:r>
              <w:rPr>
                <w:i/>
              </w:rPr>
              <w:t>Partnership Agreement</w:t>
            </w:r>
            <w:r>
              <w:rPr/>
              <w:t>). The Series B Subordinated Units may be converted into Series A Subordinated Units on a one-for-one basis upon the satisfaction of certain operational and financial conditions or, if the subordination period has ended at the time the various operation and financial conditions are satisfied, into Common Units on a one-for-one basis, as set forth in the Partnership Agreement.</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SCHEDULE 13 D </w:t>
      </w:r>
    </w:p>
    <w:tbl>
      <w:tblPr>
        <w:tblW w:w="5000" w:type="pct"/>
        <w:jc w:val="center"/>
        <w:tblInd w:w="0" w:type="dxa"/>
        <w:tblCellMar>
          <w:top w:w="0" w:type="dxa"/>
          <w:left w:w="0" w:type="dxa"/>
          <w:bottom w:w="0" w:type="dxa"/>
          <w:right w:w="0" w:type="dxa"/>
        </w:tblCellMar>
      </w:tblPr>
      <w:tblGrid>
        <w:gridCol w:w="1144"/>
        <w:gridCol w:w="132"/>
        <w:gridCol w:w="2603"/>
        <w:gridCol w:w="4195"/>
        <w:gridCol w:w="132"/>
        <w:gridCol w:w="132"/>
        <w:gridCol w:w="734"/>
        <w:gridCol w:w="132"/>
        <w:gridCol w:w="132"/>
        <w:gridCol w:w="132"/>
        <w:gridCol w:w="737"/>
      </w:tblGrid>
      <w:tr>
        <w:trPr/>
        <w:tc>
          <w:tcPr>
            <w:tcW w:w="114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2603" w:type="dxa"/>
            <w:tcBorders/>
            <w:shd w:fill="auto" w:val="clear"/>
            <w:vAlign w:val="bottom"/>
          </w:tcPr>
          <w:p>
            <w:pPr>
              <w:pStyle w:val="TableContents"/>
              <w:spacing w:before="0" w:after="283"/>
              <w:rPr/>
            </w:pPr>
            <w:r>
              <w:rPr/>
              <w:t> </w:t>
            </w:r>
          </w:p>
        </w:tc>
        <w:tc>
          <w:tcPr>
            <w:tcW w:w="419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283"/>
              <w:rPr/>
            </w:pPr>
            <w:r>
              <w:rPr/>
              <w:t> </w:t>
            </w:r>
          </w:p>
        </w:tc>
      </w:tr>
      <w:tr>
        <w:trPr/>
        <w:tc>
          <w:tcPr>
            <w:tcW w:w="1144" w:type="dxa"/>
            <w:tcBorders/>
            <w:shd w:fill="auto" w:val="clear"/>
          </w:tcPr>
          <w:p>
            <w:pPr>
              <w:pStyle w:val="TableContents"/>
              <w:spacing w:before="0" w:after="0"/>
              <w:ind w:left="0" w:right="0" w:hanging="0"/>
              <w:rPr/>
            </w:pPr>
            <w:r>
              <w:rPr/>
              <w:t>CUSIP No.</w:t>
            </w:r>
          </w:p>
        </w:tc>
        <w:tc>
          <w:tcPr>
            <w:tcW w:w="132" w:type="dxa"/>
            <w:tcBorders/>
            <w:shd w:fill="auto" w:val="clear"/>
            <w:vAlign w:val="bottom"/>
          </w:tcPr>
          <w:p>
            <w:pPr>
              <w:pStyle w:val="TableContents"/>
              <w:spacing w:before="0" w:after="283"/>
              <w:rPr/>
            </w:pPr>
            <w:r>
              <w:rPr/>
              <w:t> </w:t>
            </w:r>
          </w:p>
        </w:tc>
        <w:tc>
          <w:tcPr>
            <w:tcW w:w="2603" w:type="dxa"/>
            <w:tcBorders/>
            <w:shd w:fill="auto" w:val="clear"/>
          </w:tcPr>
          <w:p>
            <w:pPr>
              <w:pStyle w:val="TableContents"/>
              <w:spacing w:before="0" w:after="0"/>
              <w:jc w:val="center"/>
              <w:rPr>
                <w:bdr w:val="single" w:sz="2" w:space="1" w:color="000000"/>
              </w:rPr>
            </w:pPr>
            <w:r>
              <w:rPr>
                <w:bdr w:val="single" w:sz="2" w:space="1" w:color="000000"/>
              </w:rPr>
              <w:t>693139107 </w:t>
            </w:r>
          </w:p>
        </w:tc>
        <w:tc>
          <w:tcPr>
            <w:tcW w:w="4195" w:type="dxa"/>
            <w:tcBorders/>
            <w:shd w:fill="auto" w:val="clear"/>
            <w:vAlign w:val="bottom"/>
          </w:tcPr>
          <w:p>
            <w:pPr>
              <w:pStyle w:val="TableContents"/>
              <w:spacing w:before="0" w:after="283"/>
              <w:rPr/>
            </w:pPr>
            <w:r>
              <w:rPr/>
              <w:t> </w:t>
            </w:r>
          </w:p>
        </w:tc>
        <w:tc>
          <w:tcPr>
            <w:tcW w:w="2131" w:type="dxa"/>
            <w:gridSpan w:val="7"/>
            <w:tcBorders/>
            <w:shd w:fill="auto" w:val="clear"/>
          </w:tcPr>
          <w:p>
            <w:pPr>
              <w:pStyle w:val="TableContents"/>
              <w:spacing w:before="0" w:after="283"/>
              <w:rPr>
                <w:sz w:val="4"/>
                <w:szCs w:val="4"/>
              </w:rPr>
            </w:pPr>
            <w:r>
              <w:rPr>
                <w:sz w:val="4"/>
                <w:szCs w:val="4"/>
              </w:rPr>
            </w:r>
          </w:p>
        </w:tc>
      </w:tr>
    </w:tbl>
    <w:p>
      <w:pPr>
        <w:pStyle w:val="TextBody"/>
        <w:spacing w:before="0" w:after="0"/>
        <w:rPr/>
      </w:pPr>
      <w:r>
        <w:rPr/>
        <w:t> </w:t>
      </w:r>
    </w:p>
    <w:tbl>
      <w:tblPr>
        <w:tblW w:w="5000" w:type="pct"/>
        <w:jc w:val="center"/>
        <w:tblInd w:w="0" w:type="dxa"/>
        <w:tblCellMar>
          <w:top w:w="28" w:type="dxa"/>
          <w:left w:w="28" w:type="dxa"/>
          <w:bottom w:w="28" w:type="dxa"/>
          <w:right w:w="28" w:type="dxa"/>
        </w:tblCellMar>
      </w:tblPr>
      <w:tblGrid>
        <w:gridCol w:w="1259"/>
        <w:gridCol w:w="349"/>
        <w:gridCol w:w="634"/>
        <w:gridCol w:w="653"/>
        <w:gridCol w:w="163"/>
        <w:gridCol w:w="7065"/>
        <w:gridCol w:w="82"/>
      </w:tblGrid>
      <w:tr>
        <w:trPr/>
        <w:tc>
          <w:tcPr>
            <w:tcW w:w="1259" w:type="dxa"/>
            <w:tcBorders/>
            <w:shd w:fill="auto" w:val="clear"/>
            <w:vAlign w:val="center"/>
          </w:tcPr>
          <w:p>
            <w:pPr>
              <w:pStyle w:val="TableContents"/>
              <w:spacing w:before="0" w:after="283"/>
              <w:rPr/>
            </w:pPr>
            <w:r>
              <w:rPr/>
              <w:t> </w:t>
            </w:r>
          </w:p>
        </w:tc>
        <w:tc>
          <w:tcPr>
            <w:tcW w:w="349" w:type="dxa"/>
            <w:tcBorders>
              <w:left w:val="single" w:sz="2" w:space="0" w:color="000000"/>
            </w:tcBorders>
            <w:shd w:fill="auto" w:val="clear"/>
            <w:tcMar>
              <w:top w:w="0" w:type="dxa"/>
              <w:bottom w:w="0" w:type="dxa"/>
              <w:right w:w="0" w:type="dxa"/>
            </w:tcMar>
            <w:vAlign w:val="center"/>
          </w:tcPr>
          <w:p>
            <w:pPr>
              <w:pStyle w:val="TableContents"/>
              <w:spacing w:before="0" w:after="283"/>
              <w:rPr/>
            </w:pPr>
            <w:r>
              <w:rPr/>
              <w:t> </w:t>
            </w:r>
          </w:p>
        </w:tc>
        <w:tc>
          <w:tcPr>
            <w:tcW w:w="634"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7065" w:type="dxa"/>
            <w:tcBorders/>
            <w:shd w:fill="auto" w:val="clear"/>
            <w:vAlign w:val="center"/>
          </w:tcPr>
          <w:p>
            <w:pPr>
              <w:pStyle w:val="TableContents"/>
              <w:spacing w:before="0" w:after="283"/>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tcBorders/>
            <w:shd w:fill="auto" w:val="clear"/>
            <w:vAlign w:val="center"/>
          </w:tcPr>
          <w:p>
            <w:pPr>
              <w:pStyle w:val="TableContents"/>
              <w:spacing w:before="0" w:after="283"/>
              <w:jc w:val="center"/>
              <w:rPr>
                <w:b/>
                <w:sz w:val="30"/>
              </w:rPr>
            </w:pPr>
            <w:r>
              <w:rPr>
                <w:b/>
                <w:sz w:val="30"/>
              </w:rPr>
              <w:t>1</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NAME OF REPORTING PERSON</w:t>
              <w:br/>
              <w:br/>
              <w:t>PAA GP LLC</w:t>
            </w:r>
          </w:p>
        </w:tc>
        <w:tc>
          <w:tcPr>
            <w:tcW w:w="82" w:type="dxa"/>
            <w:tcBorders/>
            <w:shd w:fill="auto" w:val="clear"/>
          </w:tcPr>
          <w:p>
            <w:pPr>
              <w:pStyle w:val="TableContents"/>
              <w:spacing w:before="0" w:after="283"/>
              <w:rPr>
                <w:sz w:val="4"/>
                <w:szCs w:val="4"/>
              </w:rPr>
            </w:pPr>
            <w:r>
              <w:rPr>
                <w:sz w:val="4"/>
                <w:szCs w:val="4"/>
              </w:rPr>
            </w:r>
          </w:p>
        </w:tc>
      </w:tr>
      <w:tr>
        <w:trPr/>
        <w:tc>
          <w:tcPr>
            <w:tcW w:w="1259" w:type="dxa"/>
            <w:tcBorders/>
            <w:shd w:fill="auto" w:val="clear"/>
            <w:vAlign w:val="bottom"/>
          </w:tcPr>
          <w:p>
            <w:pPr>
              <w:pStyle w:val="TableContents"/>
              <w:spacing w:before="0" w:after="283"/>
              <w:rPr/>
            </w:pPr>
            <w:r>
              <w:rPr/>
              <w:t> </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49"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15"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restart"/>
            <w:tcBorders/>
            <w:shd w:fill="auto" w:val="clear"/>
            <w:vAlign w:val="center"/>
          </w:tcPr>
          <w:p>
            <w:pPr>
              <w:pStyle w:val="TableContents"/>
              <w:spacing w:before="0" w:after="283"/>
              <w:jc w:val="center"/>
              <w:rPr>
                <w:b/>
                <w:sz w:val="30"/>
              </w:rPr>
            </w:pPr>
            <w:r>
              <w:rPr>
                <w:b/>
                <w:sz w:val="30"/>
              </w:rPr>
              <w:t>2</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xml:space="preserve">CHECK THE APPROPRIATE BOX IF A MEMBER OF A GROUP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(a)   </w:t>
            </w:r>
            <w:r>
              <w:rPr>
                <w:rFonts w:ascii="wingdings" w:hAnsi="wingdings"/>
                <w:sz w:val="20"/>
              </w:rPr>
              <w:t>o</w:t>
            </w: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(b)   </w:t>
            </w:r>
            <w:r>
              <w:rPr>
                <w:rFonts w:ascii="wingdings" w:hAnsi="wingdings"/>
                <w:sz w:val="20"/>
              </w:rPr>
              <w:t>o</w:t>
            </w: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49"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15"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restart"/>
            <w:tcBorders/>
            <w:shd w:fill="auto" w:val="clear"/>
            <w:vAlign w:val="center"/>
          </w:tcPr>
          <w:p>
            <w:pPr>
              <w:pStyle w:val="TableContents"/>
              <w:spacing w:before="0" w:after="283"/>
              <w:jc w:val="center"/>
              <w:rPr>
                <w:b/>
                <w:sz w:val="30"/>
              </w:rPr>
            </w:pPr>
            <w:r>
              <w:rPr>
                <w:b/>
                <w:sz w:val="30"/>
              </w:rPr>
              <w:t>3</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SEC USE ONLY</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49"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15"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restart"/>
            <w:tcBorders/>
            <w:shd w:fill="auto" w:val="clear"/>
            <w:vAlign w:val="center"/>
          </w:tcPr>
          <w:p>
            <w:pPr>
              <w:pStyle w:val="TableContents"/>
              <w:spacing w:before="0" w:after="283"/>
              <w:jc w:val="center"/>
              <w:rPr>
                <w:b/>
                <w:sz w:val="30"/>
              </w:rPr>
            </w:pPr>
            <w:r>
              <w:rPr>
                <w:b/>
                <w:sz w:val="30"/>
              </w:rPr>
              <w:t>4</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SOURCE OF FUNDS (SEE INSTRUCTIONS)</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97" w:type="dxa"/>
            <w:gridSpan w:val="5"/>
            <w:tcBorders/>
            <w:shd w:fill="auto" w:val="clear"/>
            <w:vAlign w:val="bottom"/>
          </w:tcPr>
          <w:p>
            <w:pPr>
              <w:pStyle w:val="TableContents"/>
              <w:spacing w:before="0" w:after="283"/>
              <w:jc w:val="left"/>
              <w:rPr/>
            </w:pPr>
            <w:r>
              <w:rPr/>
              <w:t> </w:t>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97" w:type="dxa"/>
            <w:gridSpan w:val="5"/>
            <w:tcBorders/>
            <w:shd w:fill="auto" w:val="clear"/>
            <w:vAlign w:val="bottom"/>
          </w:tcPr>
          <w:p>
            <w:pPr>
              <w:pStyle w:val="TableContents"/>
              <w:spacing w:before="0" w:after="283"/>
              <w:jc w:val="left"/>
              <w:rPr/>
            </w:pPr>
            <w:r>
              <w:rPr/>
              <w:t>OO (please see Item 3 below)</w:t>
            </w:r>
          </w:p>
        </w:tc>
      </w:tr>
      <w:tr>
        <w:trPr/>
        <w:tc>
          <w:tcPr>
            <w:tcW w:w="1259"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49"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15"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restart"/>
            <w:tcBorders/>
            <w:shd w:fill="auto" w:val="clear"/>
            <w:vAlign w:val="center"/>
          </w:tcPr>
          <w:p>
            <w:pPr>
              <w:pStyle w:val="TableContents"/>
              <w:spacing w:before="0" w:after="283"/>
              <w:jc w:val="center"/>
              <w:rPr>
                <w:b/>
                <w:sz w:val="30"/>
              </w:rPr>
            </w:pPr>
            <w:r>
              <w:rPr>
                <w:b/>
                <w:sz w:val="30"/>
              </w:rPr>
              <w:t>5</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CHECK BOX IF DISCLOSURE OF LEGAL PROCEEDINGS IS REQUIRED PURSUANT TO ITEMS 2(d) OR 2(e)</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rFonts w:ascii="wingdings" w:hAnsi="wingdings"/>
                <w:sz w:val="20"/>
              </w:rPr>
            </w:pPr>
            <w:r>
              <w:rPr>
                <w:rFonts w:ascii="wingdings" w:hAnsi="wingdings"/>
                <w:sz w:val="20"/>
              </w:rPr>
              <w:t>o</w:t>
            </w:r>
          </w:p>
        </w:tc>
        <w:tc>
          <w:tcPr>
            <w:tcW w:w="82" w:type="dxa"/>
            <w:tcBorders/>
            <w:shd w:fill="auto" w:val="clear"/>
          </w:tcPr>
          <w:p>
            <w:pPr>
              <w:pStyle w:val="TableContents"/>
              <w:spacing w:before="0" w:after="283"/>
              <w:rPr>
                <w:sz w:val="4"/>
                <w:szCs w:val="4"/>
              </w:rPr>
            </w:pPr>
            <w:r>
              <w:rPr>
                <w:sz w:val="4"/>
                <w:szCs w:val="4"/>
              </w:rPr>
            </w:r>
          </w:p>
        </w:tc>
      </w:tr>
      <w:tr>
        <w:trPr/>
        <w:tc>
          <w:tcPr>
            <w:tcW w:w="1259"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49"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15"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restart"/>
            <w:tcBorders/>
            <w:shd w:fill="auto" w:val="clear"/>
            <w:vAlign w:val="center"/>
          </w:tcPr>
          <w:p>
            <w:pPr>
              <w:pStyle w:val="TableContents"/>
              <w:spacing w:before="0" w:after="283"/>
              <w:jc w:val="center"/>
              <w:rPr>
                <w:b/>
                <w:sz w:val="30"/>
              </w:rPr>
            </w:pPr>
            <w:r>
              <w:rPr>
                <w:b/>
                <w:sz w:val="30"/>
              </w:rPr>
              <w:t>6</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CITIZENSHIP OR PLACE OF ORGANIZATION</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xml:space="preserve">Delaware, United States </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653" w:type="dxa"/>
            <w:tcBorders>
              <w:top w:val="single" w:sz="2" w:space="0" w:color="000000"/>
              <w:left w:val="single" w:sz="2" w:space="0" w:color="000000"/>
              <w:right w:val="single" w:sz="2" w:space="0" w:color="000000"/>
            </w:tcBorders>
            <w:shd w:fill="auto" w:val="clear"/>
            <w:tcMar>
              <w:bottom w:w="0" w:type="dxa"/>
            </w:tcMar>
            <w:vAlign w:val="center"/>
          </w:tcPr>
          <w:p>
            <w:pPr>
              <w:pStyle w:val="TableContents"/>
              <w:spacing w:before="0" w:after="283"/>
              <w:jc w:val="left"/>
              <w:rPr/>
            </w:pPr>
            <w:r>
              <w:rPr/>
              <w:t> </w:t>
            </w:r>
          </w:p>
        </w:tc>
        <w:tc>
          <w:tcPr>
            <w:tcW w:w="163"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7065"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 </w:t>
            </w:r>
          </w:p>
        </w:tc>
        <w:tc>
          <w:tcPr>
            <w:tcW w:w="653" w:type="dxa"/>
            <w:vMerge w:val="restart"/>
            <w:tcBorders>
              <w:left w:val="single" w:sz="2" w:space="0" w:color="000000"/>
              <w:right w:val="single" w:sz="2" w:space="0" w:color="000000"/>
            </w:tcBorders>
            <w:shd w:fill="auto" w:val="clear"/>
            <w:tcMar>
              <w:top w:w="0" w:type="dxa"/>
              <w:bottom w:w="0" w:type="dxa"/>
            </w:tcMar>
            <w:vAlign w:val="center"/>
          </w:tcPr>
          <w:p>
            <w:pPr>
              <w:pStyle w:val="TableContents"/>
              <w:spacing w:before="0" w:after="283"/>
              <w:jc w:val="center"/>
              <w:rPr>
                <w:b/>
                <w:sz w:val="30"/>
              </w:rPr>
            </w:pPr>
            <w:r>
              <w:rPr>
                <w:b/>
                <w:sz w:val="30"/>
              </w:rPr>
              <w:t>7</w:t>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jc w:val="left"/>
              <w:rPr/>
            </w:pPr>
            <w:r>
              <w:rPr/>
              <w:t>SOLE VOTING POWER</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 </w:t>
            </w:r>
          </w:p>
        </w:tc>
        <w:tc>
          <w:tcPr>
            <w:tcW w:w="653"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NUMBER OF</w:t>
            </w:r>
          </w:p>
        </w:tc>
        <w:tc>
          <w:tcPr>
            <w:tcW w:w="653"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jc w:val="left"/>
              <w:rPr/>
            </w:pPr>
            <w:r>
              <w:rPr/>
              <w:t>53,707,221 Common Units+</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center"/>
          </w:tcPr>
          <w:p>
            <w:pPr>
              <w:pStyle w:val="TableContents"/>
              <w:spacing w:before="0" w:after="283"/>
              <w:rPr/>
            </w:pPr>
            <w:r>
              <w:rPr/>
              <w:t> </w:t>
            </w:r>
          </w:p>
        </w:tc>
        <w:tc>
          <w:tcPr>
            <w:tcW w:w="653" w:type="dxa"/>
            <w:tcBorders>
              <w:top w:val="single" w:sz="2" w:space="0" w:color="000000"/>
              <w:left w:val="single" w:sz="2" w:space="0" w:color="000000"/>
              <w:right w:val="single" w:sz="2" w:space="0" w:color="000000"/>
            </w:tcBorders>
            <w:shd w:fill="auto" w:val="clear"/>
            <w:tcMar>
              <w:bottom w:w="0" w:type="dxa"/>
            </w:tcMar>
            <w:vAlign w:val="center"/>
          </w:tcPr>
          <w:p>
            <w:pPr>
              <w:pStyle w:val="TableContents"/>
              <w:spacing w:before="0" w:after="283"/>
              <w:jc w:val="left"/>
              <w:rPr/>
            </w:pPr>
            <w:r>
              <w:rPr/>
              <w:t> </w:t>
            </w:r>
          </w:p>
        </w:tc>
        <w:tc>
          <w:tcPr>
            <w:tcW w:w="163"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7065"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SHARES</w:t>
            </w:r>
          </w:p>
        </w:tc>
        <w:tc>
          <w:tcPr>
            <w:tcW w:w="653" w:type="dxa"/>
            <w:vMerge w:val="restart"/>
            <w:tcBorders>
              <w:left w:val="single" w:sz="2" w:space="0" w:color="000000"/>
              <w:right w:val="single" w:sz="2" w:space="0" w:color="000000"/>
            </w:tcBorders>
            <w:shd w:fill="auto" w:val="clear"/>
            <w:tcMar>
              <w:top w:w="0" w:type="dxa"/>
              <w:bottom w:w="0" w:type="dxa"/>
            </w:tcMar>
            <w:vAlign w:val="center"/>
          </w:tcPr>
          <w:p>
            <w:pPr>
              <w:pStyle w:val="TableContents"/>
              <w:spacing w:before="0" w:after="283"/>
              <w:jc w:val="center"/>
              <w:rPr>
                <w:b/>
                <w:sz w:val="30"/>
              </w:rPr>
            </w:pPr>
            <w:r>
              <w:rPr>
                <w:b/>
                <w:sz w:val="30"/>
              </w:rPr>
              <w:t>8</w:t>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jc w:val="left"/>
              <w:rPr/>
            </w:pPr>
            <w:r>
              <w:rPr/>
              <w:t>SHARED VOTING POWER</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BENEFICIALLY</w:t>
            </w:r>
          </w:p>
        </w:tc>
        <w:tc>
          <w:tcPr>
            <w:tcW w:w="653"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OWNED BY</w:t>
            </w:r>
          </w:p>
        </w:tc>
        <w:tc>
          <w:tcPr>
            <w:tcW w:w="653"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rPr/>
            </w:pPr>
            <w:r>
              <w:rPr/>
              <w:t>0 Common Units</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center"/>
          </w:tcPr>
          <w:p>
            <w:pPr>
              <w:pStyle w:val="TableContents"/>
              <w:spacing w:before="0" w:after="283"/>
              <w:rPr/>
            </w:pPr>
            <w:r>
              <w:rPr/>
              <w:t> </w:t>
            </w:r>
          </w:p>
        </w:tc>
        <w:tc>
          <w:tcPr>
            <w:tcW w:w="653" w:type="dxa"/>
            <w:tcBorders>
              <w:top w:val="single" w:sz="2" w:space="0" w:color="000000"/>
              <w:left w:val="single" w:sz="2" w:space="0" w:color="000000"/>
              <w:right w:val="single" w:sz="2" w:space="0" w:color="000000"/>
            </w:tcBorders>
            <w:shd w:fill="auto" w:val="clear"/>
            <w:tcMar>
              <w:bottom w:w="0" w:type="dxa"/>
            </w:tcMar>
            <w:vAlign w:val="center"/>
          </w:tcPr>
          <w:p>
            <w:pPr>
              <w:pStyle w:val="TableContents"/>
              <w:spacing w:before="0" w:after="283"/>
              <w:jc w:val="left"/>
              <w:rPr/>
            </w:pPr>
            <w:r>
              <w:rPr/>
              <w:t> </w:t>
            </w:r>
          </w:p>
        </w:tc>
        <w:tc>
          <w:tcPr>
            <w:tcW w:w="163"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7065"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EACH</w:t>
            </w:r>
          </w:p>
        </w:tc>
        <w:tc>
          <w:tcPr>
            <w:tcW w:w="653" w:type="dxa"/>
            <w:vMerge w:val="restart"/>
            <w:tcBorders>
              <w:left w:val="single" w:sz="2" w:space="0" w:color="000000"/>
              <w:right w:val="single" w:sz="2" w:space="0" w:color="000000"/>
            </w:tcBorders>
            <w:shd w:fill="auto" w:val="clear"/>
            <w:tcMar>
              <w:top w:w="0" w:type="dxa"/>
              <w:bottom w:w="0" w:type="dxa"/>
            </w:tcMar>
            <w:vAlign w:val="center"/>
          </w:tcPr>
          <w:p>
            <w:pPr>
              <w:pStyle w:val="TableContents"/>
              <w:spacing w:before="0" w:after="283"/>
              <w:jc w:val="center"/>
              <w:rPr>
                <w:b/>
                <w:sz w:val="30"/>
              </w:rPr>
            </w:pPr>
            <w:r>
              <w:rPr>
                <w:b/>
                <w:sz w:val="30"/>
              </w:rPr>
              <w:t>9</w:t>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jc w:val="left"/>
              <w:rPr/>
            </w:pPr>
            <w:r>
              <w:rPr/>
              <w:t>SOLE DISPOSITIVE POWER</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REPORTING</w:t>
            </w:r>
          </w:p>
        </w:tc>
        <w:tc>
          <w:tcPr>
            <w:tcW w:w="653"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PERSON</w:t>
            </w:r>
          </w:p>
        </w:tc>
        <w:tc>
          <w:tcPr>
            <w:tcW w:w="653"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jc w:val="left"/>
              <w:rPr/>
            </w:pPr>
            <w:r>
              <w:rPr/>
              <w:t>53,707,221 Common Units+</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center"/>
          </w:tcPr>
          <w:p>
            <w:pPr>
              <w:pStyle w:val="TableContents"/>
              <w:spacing w:before="0" w:after="283"/>
              <w:rPr/>
            </w:pPr>
            <w:r>
              <w:rPr/>
              <w:t> </w:t>
            </w:r>
          </w:p>
        </w:tc>
        <w:tc>
          <w:tcPr>
            <w:tcW w:w="653" w:type="dxa"/>
            <w:tcBorders>
              <w:top w:val="single" w:sz="2" w:space="0" w:color="000000"/>
              <w:left w:val="single" w:sz="2" w:space="0" w:color="000000"/>
              <w:right w:val="single" w:sz="2" w:space="0" w:color="000000"/>
            </w:tcBorders>
            <w:shd w:fill="auto" w:val="clear"/>
            <w:tcMar>
              <w:bottom w:w="0" w:type="dxa"/>
            </w:tcMar>
            <w:vAlign w:val="center"/>
          </w:tcPr>
          <w:p>
            <w:pPr>
              <w:pStyle w:val="TableContents"/>
              <w:spacing w:before="0" w:after="283"/>
              <w:jc w:val="left"/>
              <w:rPr/>
            </w:pPr>
            <w:r>
              <w:rPr/>
              <w:t> </w:t>
            </w:r>
          </w:p>
        </w:tc>
        <w:tc>
          <w:tcPr>
            <w:tcW w:w="163"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7065"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WITH</w:t>
            </w:r>
          </w:p>
        </w:tc>
        <w:tc>
          <w:tcPr>
            <w:tcW w:w="653" w:type="dxa"/>
            <w:vMerge w:val="restart"/>
            <w:tcBorders>
              <w:left w:val="single" w:sz="2" w:space="0" w:color="000000"/>
              <w:right w:val="single" w:sz="2" w:space="0" w:color="000000"/>
            </w:tcBorders>
            <w:shd w:fill="auto" w:val="clear"/>
            <w:tcMar>
              <w:top w:w="0" w:type="dxa"/>
              <w:bottom w:w="0" w:type="dxa"/>
            </w:tcMar>
            <w:vAlign w:val="center"/>
          </w:tcPr>
          <w:p>
            <w:pPr>
              <w:pStyle w:val="TableContents"/>
              <w:spacing w:before="0" w:after="283"/>
              <w:jc w:val="center"/>
              <w:rPr>
                <w:b/>
                <w:sz w:val="30"/>
              </w:rPr>
            </w:pPr>
            <w:r>
              <w:rPr>
                <w:b/>
                <w:sz w:val="30"/>
              </w:rPr>
              <w:t>10</w:t>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jc w:val="left"/>
              <w:rPr/>
            </w:pPr>
            <w:r>
              <w:rPr/>
              <w:t>SHARED DISPOSITIVE POWER</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 </w:t>
            </w:r>
          </w:p>
        </w:tc>
        <w:tc>
          <w:tcPr>
            <w:tcW w:w="653"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 </w:t>
            </w:r>
          </w:p>
        </w:tc>
        <w:tc>
          <w:tcPr>
            <w:tcW w:w="653"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jc w:val="left"/>
              <w:rPr/>
            </w:pPr>
            <w:r>
              <w:rPr/>
              <w:t>0 Common Units</w:t>
            </w:r>
          </w:p>
        </w:tc>
        <w:tc>
          <w:tcPr>
            <w:tcW w:w="82" w:type="dxa"/>
            <w:tcBorders/>
            <w:shd w:fill="auto" w:val="clear"/>
          </w:tcPr>
          <w:p>
            <w:pPr>
              <w:pStyle w:val="TableContents"/>
              <w:spacing w:before="0" w:after="283"/>
              <w:rPr>
                <w:sz w:val="4"/>
                <w:szCs w:val="4"/>
              </w:rPr>
            </w:pPr>
            <w:r>
              <w:rPr>
                <w:sz w:val="4"/>
                <w:szCs w:val="4"/>
              </w:rPr>
            </w:r>
          </w:p>
        </w:tc>
      </w:tr>
      <w:tr>
        <w:trPr/>
        <w:tc>
          <w:tcPr>
            <w:tcW w:w="1259"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49"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15"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restart"/>
            <w:tcBorders/>
            <w:shd w:fill="auto" w:val="clear"/>
            <w:vAlign w:val="center"/>
          </w:tcPr>
          <w:p>
            <w:pPr>
              <w:pStyle w:val="TableContents"/>
              <w:spacing w:before="0" w:after="283"/>
              <w:jc w:val="center"/>
              <w:rPr>
                <w:b/>
                <w:sz w:val="30"/>
              </w:rPr>
            </w:pPr>
            <w:r>
              <w:rPr>
                <w:b/>
                <w:sz w:val="30"/>
              </w:rPr>
              <w:t>11</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AGGREGATE AMOUNT BENEFICIALLY OWNED BY EACH REPORTING PERSON</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53,707,221 Common Units+</w:t>
            </w:r>
          </w:p>
        </w:tc>
        <w:tc>
          <w:tcPr>
            <w:tcW w:w="82" w:type="dxa"/>
            <w:tcBorders/>
            <w:shd w:fill="auto" w:val="clear"/>
          </w:tcPr>
          <w:p>
            <w:pPr>
              <w:pStyle w:val="TableContents"/>
              <w:spacing w:before="0" w:after="283"/>
              <w:rPr>
                <w:sz w:val="4"/>
                <w:szCs w:val="4"/>
              </w:rPr>
            </w:pPr>
            <w:r>
              <w:rPr>
                <w:sz w:val="4"/>
                <w:szCs w:val="4"/>
              </w:rPr>
            </w:r>
          </w:p>
        </w:tc>
      </w:tr>
      <w:tr>
        <w:trPr/>
        <w:tc>
          <w:tcPr>
            <w:tcW w:w="1259"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49"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15"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restart"/>
            <w:tcBorders/>
            <w:shd w:fill="auto" w:val="clear"/>
            <w:vAlign w:val="center"/>
          </w:tcPr>
          <w:p>
            <w:pPr>
              <w:pStyle w:val="TableContents"/>
              <w:spacing w:before="0" w:after="283"/>
              <w:jc w:val="center"/>
              <w:rPr>
                <w:b/>
                <w:sz w:val="30"/>
              </w:rPr>
            </w:pPr>
            <w:r>
              <w:rPr>
                <w:b/>
                <w:sz w:val="30"/>
              </w:rPr>
              <w:t>12</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xml:space="preserve">CHECK BOX IF THE AGGREGATE AMOUNT IN ROW (11) EXCLUDES CERTAIN SHARES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rFonts w:ascii="wingdings" w:hAnsi="wingdings"/>
                <w:sz w:val="20"/>
              </w:rPr>
              <w:t>o</w:t>
            </w:r>
            <w:r>
              <w:rPr/>
              <w:t xml:space="preserve"> </w:t>
            </w:r>
          </w:p>
        </w:tc>
        <w:tc>
          <w:tcPr>
            <w:tcW w:w="82" w:type="dxa"/>
            <w:tcBorders/>
            <w:shd w:fill="auto" w:val="clear"/>
          </w:tcPr>
          <w:p>
            <w:pPr>
              <w:pStyle w:val="TableContents"/>
              <w:spacing w:before="0" w:after="283"/>
              <w:rPr>
                <w:sz w:val="4"/>
                <w:szCs w:val="4"/>
              </w:rPr>
            </w:pPr>
            <w:r>
              <w:rPr>
                <w:sz w:val="4"/>
                <w:szCs w:val="4"/>
              </w:rPr>
            </w:r>
          </w:p>
        </w:tc>
      </w:tr>
      <w:tr>
        <w:trPr/>
        <w:tc>
          <w:tcPr>
            <w:tcW w:w="1259"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49"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15"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restart"/>
            <w:tcBorders/>
            <w:shd w:fill="auto" w:val="clear"/>
            <w:vAlign w:val="center"/>
          </w:tcPr>
          <w:p>
            <w:pPr>
              <w:pStyle w:val="TableContents"/>
              <w:spacing w:before="0" w:after="283"/>
              <w:jc w:val="center"/>
              <w:rPr>
                <w:b/>
                <w:sz w:val="30"/>
              </w:rPr>
            </w:pPr>
            <w:r>
              <w:rPr>
                <w:b/>
                <w:sz w:val="30"/>
              </w:rPr>
              <w:t>13</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PERCENT OF CLASS REPRESENTED BY AMOUNT IN ROW (11)</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63.5% of Common Units on a fully diluted basis</w:t>
            </w:r>
          </w:p>
        </w:tc>
        <w:tc>
          <w:tcPr>
            <w:tcW w:w="82" w:type="dxa"/>
            <w:tcBorders/>
            <w:shd w:fill="auto" w:val="clear"/>
          </w:tcPr>
          <w:p>
            <w:pPr>
              <w:pStyle w:val="TableContents"/>
              <w:spacing w:before="0" w:after="283"/>
              <w:rPr>
                <w:sz w:val="4"/>
                <w:szCs w:val="4"/>
              </w:rPr>
            </w:pPr>
            <w:r>
              <w:rPr>
                <w:sz w:val="4"/>
                <w:szCs w:val="4"/>
              </w:rPr>
            </w:r>
          </w:p>
        </w:tc>
      </w:tr>
      <w:tr>
        <w:trPr/>
        <w:tc>
          <w:tcPr>
            <w:tcW w:w="1259"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49"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15"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restart"/>
            <w:tcBorders/>
            <w:shd w:fill="auto" w:val="clear"/>
            <w:vAlign w:val="center"/>
          </w:tcPr>
          <w:p>
            <w:pPr>
              <w:pStyle w:val="TableContents"/>
              <w:spacing w:before="0" w:after="283"/>
              <w:jc w:val="center"/>
              <w:rPr>
                <w:b/>
                <w:sz w:val="30"/>
              </w:rPr>
            </w:pPr>
            <w:r>
              <w:rPr>
                <w:b/>
                <w:sz w:val="30"/>
              </w:rPr>
              <w:t>14</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xml:space="preserve">TYPE OF REPORTING PERSON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OO</w:t>
            </w:r>
          </w:p>
        </w:tc>
        <w:tc>
          <w:tcPr>
            <w:tcW w:w="82" w:type="dxa"/>
            <w:tcBorders/>
            <w:shd w:fill="auto" w:val="clear"/>
          </w:tcPr>
          <w:p>
            <w:pPr>
              <w:pStyle w:val="TableContents"/>
              <w:spacing w:before="0" w:after="283"/>
              <w:rPr>
                <w:sz w:val="4"/>
                <w:szCs w:val="4"/>
              </w:rPr>
            </w:pPr>
            <w:r>
              <w:rPr>
                <w:sz w:val="4"/>
                <w:szCs w:val="4"/>
              </w:rPr>
            </w:r>
          </w:p>
        </w:tc>
      </w:tr>
    </w:tbl>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Includes 11,934,351 Series A Subordinated Units and 13,500,000 Series B Subordinated Units, each representing limited partner interests in the Issuer. The Series A Subordinated Units may be converted into Common Units on a one-for-one basis upon termination of the subordination period under certain circumstances, as set forth in the Second Amended and Restated Agreement of Limited Partnership of PAA Natural Gas Storage, L.P. (the </w:t>
            </w:r>
            <w:r>
              <w:rPr>
                <w:i/>
              </w:rPr>
              <w:t>Partnership Agreement</w:t>
            </w:r>
            <w:r>
              <w:rPr/>
              <w:t>). The Series B Subordinated Units may be converted into Series A Subordinated Units on a one-for-one basis upon the satisfaction of certain operational and financial conditions or, if the subordination period has ended at the time the various operation and financial conditions are satisfied, into Common Units on a one-for-one basis, as set forth in the Partnership Agreement.</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SCHEDULE 13 D </w:t>
      </w:r>
    </w:p>
    <w:tbl>
      <w:tblPr>
        <w:tblW w:w="5000" w:type="pct"/>
        <w:jc w:val="center"/>
        <w:tblInd w:w="0" w:type="dxa"/>
        <w:tblCellMar>
          <w:top w:w="0" w:type="dxa"/>
          <w:left w:w="0" w:type="dxa"/>
          <w:bottom w:w="0" w:type="dxa"/>
          <w:right w:w="0" w:type="dxa"/>
        </w:tblCellMar>
      </w:tblPr>
      <w:tblGrid>
        <w:gridCol w:w="1144"/>
        <w:gridCol w:w="132"/>
        <w:gridCol w:w="2603"/>
        <w:gridCol w:w="4195"/>
        <w:gridCol w:w="132"/>
        <w:gridCol w:w="132"/>
        <w:gridCol w:w="734"/>
        <w:gridCol w:w="132"/>
        <w:gridCol w:w="132"/>
        <w:gridCol w:w="132"/>
        <w:gridCol w:w="737"/>
      </w:tblGrid>
      <w:tr>
        <w:trPr/>
        <w:tc>
          <w:tcPr>
            <w:tcW w:w="114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2603" w:type="dxa"/>
            <w:tcBorders/>
            <w:shd w:fill="auto" w:val="clear"/>
            <w:vAlign w:val="bottom"/>
          </w:tcPr>
          <w:p>
            <w:pPr>
              <w:pStyle w:val="TableContents"/>
              <w:spacing w:before="0" w:after="283"/>
              <w:rPr/>
            </w:pPr>
            <w:r>
              <w:rPr/>
              <w:t> </w:t>
            </w:r>
          </w:p>
        </w:tc>
        <w:tc>
          <w:tcPr>
            <w:tcW w:w="419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283"/>
              <w:rPr/>
            </w:pPr>
            <w:r>
              <w:rPr/>
              <w:t> </w:t>
            </w:r>
          </w:p>
        </w:tc>
      </w:tr>
      <w:tr>
        <w:trPr/>
        <w:tc>
          <w:tcPr>
            <w:tcW w:w="1144" w:type="dxa"/>
            <w:tcBorders/>
            <w:shd w:fill="auto" w:val="clear"/>
          </w:tcPr>
          <w:p>
            <w:pPr>
              <w:pStyle w:val="TableContents"/>
              <w:spacing w:before="0" w:after="0"/>
              <w:ind w:left="0" w:right="0" w:hanging="0"/>
              <w:rPr/>
            </w:pPr>
            <w:r>
              <w:rPr/>
              <w:t>CUSIP No.</w:t>
            </w:r>
          </w:p>
        </w:tc>
        <w:tc>
          <w:tcPr>
            <w:tcW w:w="132" w:type="dxa"/>
            <w:tcBorders/>
            <w:shd w:fill="auto" w:val="clear"/>
            <w:vAlign w:val="bottom"/>
          </w:tcPr>
          <w:p>
            <w:pPr>
              <w:pStyle w:val="TableContents"/>
              <w:spacing w:before="0" w:after="283"/>
              <w:rPr/>
            </w:pPr>
            <w:r>
              <w:rPr/>
              <w:t> </w:t>
            </w:r>
          </w:p>
        </w:tc>
        <w:tc>
          <w:tcPr>
            <w:tcW w:w="2603" w:type="dxa"/>
            <w:tcBorders/>
            <w:shd w:fill="auto" w:val="clear"/>
          </w:tcPr>
          <w:p>
            <w:pPr>
              <w:pStyle w:val="TableContents"/>
              <w:spacing w:before="0" w:after="0"/>
              <w:jc w:val="center"/>
              <w:rPr>
                <w:bdr w:val="single" w:sz="2" w:space="1" w:color="000000"/>
              </w:rPr>
            </w:pPr>
            <w:r>
              <w:rPr>
                <w:bdr w:val="single" w:sz="2" w:space="1" w:color="000000"/>
              </w:rPr>
              <w:t>693139107 </w:t>
            </w:r>
          </w:p>
        </w:tc>
        <w:tc>
          <w:tcPr>
            <w:tcW w:w="4195" w:type="dxa"/>
            <w:tcBorders/>
            <w:shd w:fill="auto" w:val="clear"/>
            <w:vAlign w:val="bottom"/>
          </w:tcPr>
          <w:p>
            <w:pPr>
              <w:pStyle w:val="TableContents"/>
              <w:spacing w:before="0" w:after="283"/>
              <w:rPr/>
            </w:pPr>
            <w:r>
              <w:rPr/>
              <w:t> </w:t>
            </w:r>
          </w:p>
        </w:tc>
        <w:tc>
          <w:tcPr>
            <w:tcW w:w="2131" w:type="dxa"/>
            <w:gridSpan w:val="7"/>
            <w:tcBorders/>
            <w:shd w:fill="auto" w:val="clear"/>
          </w:tcPr>
          <w:p>
            <w:pPr>
              <w:pStyle w:val="TableContents"/>
              <w:spacing w:before="0" w:after="283"/>
              <w:rPr>
                <w:sz w:val="4"/>
                <w:szCs w:val="4"/>
              </w:rPr>
            </w:pPr>
            <w:r>
              <w:rPr>
                <w:sz w:val="4"/>
                <w:szCs w:val="4"/>
              </w:rPr>
            </w:r>
          </w:p>
        </w:tc>
      </w:tr>
    </w:tbl>
    <w:p>
      <w:pPr>
        <w:pStyle w:val="TextBody"/>
        <w:spacing w:before="0" w:after="0"/>
        <w:rPr/>
      </w:pPr>
      <w:r>
        <w:rPr/>
        <w:t> </w:t>
      </w:r>
    </w:p>
    <w:tbl>
      <w:tblPr>
        <w:tblW w:w="5000" w:type="pct"/>
        <w:jc w:val="center"/>
        <w:tblInd w:w="0" w:type="dxa"/>
        <w:tblCellMar>
          <w:top w:w="28" w:type="dxa"/>
          <w:left w:w="28" w:type="dxa"/>
          <w:bottom w:w="28" w:type="dxa"/>
          <w:right w:w="28" w:type="dxa"/>
        </w:tblCellMar>
      </w:tblPr>
      <w:tblGrid>
        <w:gridCol w:w="1259"/>
        <w:gridCol w:w="349"/>
        <w:gridCol w:w="634"/>
        <w:gridCol w:w="653"/>
        <w:gridCol w:w="163"/>
        <w:gridCol w:w="7065"/>
        <w:gridCol w:w="82"/>
      </w:tblGrid>
      <w:tr>
        <w:trPr/>
        <w:tc>
          <w:tcPr>
            <w:tcW w:w="1259" w:type="dxa"/>
            <w:tcBorders/>
            <w:shd w:fill="auto" w:val="clear"/>
            <w:vAlign w:val="center"/>
          </w:tcPr>
          <w:p>
            <w:pPr>
              <w:pStyle w:val="TableContents"/>
              <w:spacing w:before="0" w:after="283"/>
              <w:rPr/>
            </w:pPr>
            <w:r>
              <w:rPr/>
              <w:t> </w:t>
            </w:r>
          </w:p>
        </w:tc>
        <w:tc>
          <w:tcPr>
            <w:tcW w:w="349" w:type="dxa"/>
            <w:tcBorders>
              <w:left w:val="single" w:sz="2" w:space="0" w:color="000000"/>
            </w:tcBorders>
            <w:shd w:fill="auto" w:val="clear"/>
            <w:tcMar>
              <w:top w:w="0" w:type="dxa"/>
              <w:bottom w:w="0" w:type="dxa"/>
              <w:right w:w="0" w:type="dxa"/>
            </w:tcMar>
            <w:vAlign w:val="center"/>
          </w:tcPr>
          <w:p>
            <w:pPr>
              <w:pStyle w:val="TableContents"/>
              <w:spacing w:before="0" w:after="283"/>
              <w:rPr/>
            </w:pPr>
            <w:r>
              <w:rPr/>
              <w:t> </w:t>
            </w:r>
          </w:p>
        </w:tc>
        <w:tc>
          <w:tcPr>
            <w:tcW w:w="634"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7065" w:type="dxa"/>
            <w:tcBorders/>
            <w:shd w:fill="auto" w:val="clear"/>
            <w:vAlign w:val="center"/>
          </w:tcPr>
          <w:p>
            <w:pPr>
              <w:pStyle w:val="TableContents"/>
              <w:spacing w:before="0" w:after="283"/>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tcBorders/>
            <w:shd w:fill="auto" w:val="clear"/>
            <w:vAlign w:val="center"/>
          </w:tcPr>
          <w:p>
            <w:pPr>
              <w:pStyle w:val="TableContents"/>
              <w:spacing w:before="0" w:after="283"/>
              <w:jc w:val="center"/>
              <w:rPr>
                <w:b/>
                <w:sz w:val="30"/>
              </w:rPr>
            </w:pPr>
            <w:r>
              <w:rPr>
                <w:b/>
                <w:sz w:val="30"/>
              </w:rPr>
              <w:t>1</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NAME OF REPORTING PERSON</w:t>
              <w:br/>
              <w:br/>
              <w:t xml:space="preserve">Plains AAP, L.P. </w:t>
            </w:r>
          </w:p>
        </w:tc>
        <w:tc>
          <w:tcPr>
            <w:tcW w:w="82" w:type="dxa"/>
            <w:tcBorders/>
            <w:shd w:fill="auto" w:val="clear"/>
          </w:tcPr>
          <w:p>
            <w:pPr>
              <w:pStyle w:val="TableContents"/>
              <w:spacing w:before="0" w:after="283"/>
              <w:rPr>
                <w:sz w:val="4"/>
                <w:szCs w:val="4"/>
              </w:rPr>
            </w:pPr>
            <w:r>
              <w:rPr>
                <w:sz w:val="4"/>
                <w:szCs w:val="4"/>
              </w:rPr>
            </w:r>
          </w:p>
        </w:tc>
      </w:tr>
      <w:tr>
        <w:trPr/>
        <w:tc>
          <w:tcPr>
            <w:tcW w:w="1259" w:type="dxa"/>
            <w:tcBorders/>
            <w:shd w:fill="auto" w:val="clear"/>
            <w:vAlign w:val="bottom"/>
          </w:tcPr>
          <w:p>
            <w:pPr>
              <w:pStyle w:val="TableContents"/>
              <w:spacing w:before="0" w:after="283"/>
              <w:rPr/>
            </w:pPr>
            <w:r>
              <w:rPr/>
              <w:t> </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49"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15"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restart"/>
            <w:tcBorders/>
            <w:shd w:fill="auto" w:val="clear"/>
            <w:vAlign w:val="center"/>
          </w:tcPr>
          <w:p>
            <w:pPr>
              <w:pStyle w:val="TableContents"/>
              <w:spacing w:before="0" w:after="283"/>
              <w:jc w:val="center"/>
              <w:rPr>
                <w:b/>
                <w:sz w:val="30"/>
              </w:rPr>
            </w:pPr>
            <w:r>
              <w:rPr>
                <w:b/>
                <w:sz w:val="30"/>
              </w:rPr>
              <w:t>2</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xml:space="preserve">CHECK THE APPROPRIATE BOX IF A MEMBER OF A GROUP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(a)   </w:t>
            </w:r>
            <w:r>
              <w:rPr>
                <w:rFonts w:ascii="wingdings" w:hAnsi="wingdings"/>
                <w:sz w:val="20"/>
              </w:rPr>
              <w:t>o</w:t>
            </w: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(b)   </w:t>
            </w:r>
            <w:r>
              <w:rPr>
                <w:rFonts w:ascii="wingdings" w:hAnsi="wingdings"/>
                <w:sz w:val="20"/>
              </w:rPr>
              <w:t>o</w:t>
            </w: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49"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15"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restart"/>
            <w:tcBorders/>
            <w:shd w:fill="auto" w:val="clear"/>
            <w:vAlign w:val="center"/>
          </w:tcPr>
          <w:p>
            <w:pPr>
              <w:pStyle w:val="TableContents"/>
              <w:spacing w:before="0" w:after="283"/>
              <w:jc w:val="center"/>
              <w:rPr>
                <w:b/>
                <w:sz w:val="30"/>
              </w:rPr>
            </w:pPr>
            <w:r>
              <w:rPr>
                <w:b/>
                <w:sz w:val="30"/>
              </w:rPr>
              <w:t>3</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SEC USE ONLY</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49"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15"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restart"/>
            <w:tcBorders/>
            <w:shd w:fill="auto" w:val="clear"/>
            <w:vAlign w:val="center"/>
          </w:tcPr>
          <w:p>
            <w:pPr>
              <w:pStyle w:val="TableContents"/>
              <w:spacing w:before="0" w:after="283"/>
              <w:jc w:val="center"/>
              <w:rPr>
                <w:b/>
                <w:sz w:val="30"/>
              </w:rPr>
            </w:pPr>
            <w:r>
              <w:rPr>
                <w:b/>
                <w:sz w:val="30"/>
              </w:rPr>
              <w:t>4</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SOURCE OF FUNDS (SEE INSTRUCTIONS)</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97" w:type="dxa"/>
            <w:gridSpan w:val="5"/>
            <w:tcBorders/>
            <w:shd w:fill="auto" w:val="clear"/>
            <w:vAlign w:val="bottom"/>
          </w:tcPr>
          <w:p>
            <w:pPr>
              <w:pStyle w:val="TableContents"/>
              <w:spacing w:before="0" w:after="283"/>
              <w:jc w:val="left"/>
              <w:rPr/>
            </w:pPr>
            <w:r>
              <w:rPr/>
              <w:t> </w:t>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97" w:type="dxa"/>
            <w:gridSpan w:val="5"/>
            <w:tcBorders/>
            <w:shd w:fill="auto" w:val="clear"/>
            <w:vAlign w:val="bottom"/>
          </w:tcPr>
          <w:p>
            <w:pPr>
              <w:pStyle w:val="TableContents"/>
              <w:spacing w:before="0" w:after="283"/>
              <w:jc w:val="left"/>
              <w:rPr/>
            </w:pPr>
            <w:r>
              <w:rPr/>
              <w:t>OO (please see Item 3 below)</w:t>
            </w:r>
          </w:p>
        </w:tc>
      </w:tr>
      <w:tr>
        <w:trPr/>
        <w:tc>
          <w:tcPr>
            <w:tcW w:w="1259"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49"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15"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restart"/>
            <w:tcBorders/>
            <w:shd w:fill="auto" w:val="clear"/>
            <w:vAlign w:val="center"/>
          </w:tcPr>
          <w:p>
            <w:pPr>
              <w:pStyle w:val="TableContents"/>
              <w:spacing w:before="0" w:after="283"/>
              <w:jc w:val="center"/>
              <w:rPr>
                <w:b/>
                <w:sz w:val="30"/>
              </w:rPr>
            </w:pPr>
            <w:r>
              <w:rPr>
                <w:b/>
                <w:sz w:val="30"/>
              </w:rPr>
              <w:t>5</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CHECK BOX IF DISCLOSURE OF LEGAL PROCEEDINGS IS REQUIRED PURSUANT TO ITEMS 2(d) OR 2(e)</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rFonts w:ascii="wingdings" w:hAnsi="wingdings"/>
                <w:sz w:val="20"/>
              </w:rPr>
            </w:pPr>
            <w:r>
              <w:rPr>
                <w:rFonts w:ascii="wingdings" w:hAnsi="wingdings"/>
                <w:sz w:val="20"/>
              </w:rPr>
              <w:t>o</w:t>
            </w:r>
          </w:p>
        </w:tc>
        <w:tc>
          <w:tcPr>
            <w:tcW w:w="82" w:type="dxa"/>
            <w:tcBorders/>
            <w:shd w:fill="auto" w:val="clear"/>
          </w:tcPr>
          <w:p>
            <w:pPr>
              <w:pStyle w:val="TableContents"/>
              <w:spacing w:before="0" w:after="283"/>
              <w:rPr>
                <w:sz w:val="4"/>
                <w:szCs w:val="4"/>
              </w:rPr>
            </w:pPr>
            <w:r>
              <w:rPr>
                <w:sz w:val="4"/>
                <w:szCs w:val="4"/>
              </w:rPr>
            </w:r>
          </w:p>
        </w:tc>
      </w:tr>
      <w:tr>
        <w:trPr/>
        <w:tc>
          <w:tcPr>
            <w:tcW w:w="1259"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49"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15"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restart"/>
            <w:tcBorders/>
            <w:shd w:fill="auto" w:val="clear"/>
            <w:vAlign w:val="center"/>
          </w:tcPr>
          <w:p>
            <w:pPr>
              <w:pStyle w:val="TableContents"/>
              <w:spacing w:before="0" w:after="283"/>
              <w:jc w:val="center"/>
              <w:rPr>
                <w:b/>
                <w:sz w:val="30"/>
              </w:rPr>
            </w:pPr>
            <w:r>
              <w:rPr>
                <w:b/>
                <w:sz w:val="30"/>
              </w:rPr>
              <w:t>6</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CITIZENSHIP OR PLACE OF ORGANIZATION</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xml:space="preserve">Delaware, United States </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653" w:type="dxa"/>
            <w:tcBorders>
              <w:top w:val="single" w:sz="2" w:space="0" w:color="000000"/>
              <w:left w:val="single" w:sz="2" w:space="0" w:color="000000"/>
              <w:right w:val="single" w:sz="2" w:space="0" w:color="000000"/>
            </w:tcBorders>
            <w:shd w:fill="auto" w:val="clear"/>
            <w:tcMar>
              <w:bottom w:w="0" w:type="dxa"/>
            </w:tcMar>
            <w:vAlign w:val="center"/>
          </w:tcPr>
          <w:p>
            <w:pPr>
              <w:pStyle w:val="TableContents"/>
              <w:spacing w:before="0" w:after="283"/>
              <w:jc w:val="left"/>
              <w:rPr/>
            </w:pPr>
            <w:r>
              <w:rPr/>
              <w:t> </w:t>
            </w:r>
          </w:p>
        </w:tc>
        <w:tc>
          <w:tcPr>
            <w:tcW w:w="163"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7065"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 </w:t>
            </w:r>
          </w:p>
        </w:tc>
        <w:tc>
          <w:tcPr>
            <w:tcW w:w="653" w:type="dxa"/>
            <w:vMerge w:val="restart"/>
            <w:tcBorders>
              <w:left w:val="single" w:sz="2" w:space="0" w:color="000000"/>
              <w:right w:val="single" w:sz="2" w:space="0" w:color="000000"/>
            </w:tcBorders>
            <w:shd w:fill="auto" w:val="clear"/>
            <w:tcMar>
              <w:top w:w="0" w:type="dxa"/>
              <w:bottom w:w="0" w:type="dxa"/>
            </w:tcMar>
            <w:vAlign w:val="center"/>
          </w:tcPr>
          <w:p>
            <w:pPr>
              <w:pStyle w:val="TableContents"/>
              <w:spacing w:before="0" w:after="283"/>
              <w:jc w:val="center"/>
              <w:rPr>
                <w:b/>
                <w:sz w:val="30"/>
              </w:rPr>
            </w:pPr>
            <w:r>
              <w:rPr>
                <w:b/>
                <w:sz w:val="30"/>
              </w:rPr>
              <w:t>7</w:t>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jc w:val="left"/>
              <w:rPr/>
            </w:pPr>
            <w:r>
              <w:rPr/>
              <w:t>SOLE VOTING POWER</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 </w:t>
            </w:r>
          </w:p>
        </w:tc>
        <w:tc>
          <w:tcPr>
            <w:tcW w:w="653"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NUMBER OF</w:t>
            </w:r>
          </w:p>
        </w:tc>
        <w:tc>
          <w:tcPr>
            <w:tcW w:w="653"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jc w:val="left"/>
              <w:rPr/>
            </w:pPr>
            <w:r>
              <w:rPr/>
              <w:t>53,707,221 Common Units+</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center"/>
          </w:tcPr>
          <w:p>
            <w:pPr>
              <w:pStyle w:val="TableContents"/>
              <w:spacing w:before="0" w:after="283"/>
              <w:rPr/>
            </w:pPr>
            <w:r>
              <w:rPr/>
              <w:t> </w:t>
            </w:r>
          </w:p>
        </w:tc>
        <w:tc>
          <w:tcPr>
            <w:tcW w:w="653" w:type="dxa"/>
            <w:tcBorders>
              <w:top w:val="single" w:sz="2" w:space="0" w:color="000000"/>
              <w:left w:val="single" w:sz="2" w:space="0" w:color="000000"/>
              <w:right w:val="single" w:sz="2" w:space="0" w:color="000000"/>
            </w:tcBorders>
            <w:shd w:fill="auto" w:val="clear"/>
            <w:tcMar>
              <w:bottom w:w="0" w:type="dxa"/>
            </w:tcMar>
            <w:vAlign w:val="center"/>
          </w:tcPr>
          <w:p>
            <w:pPr>
              <w:pStyle w:val="TableContents"/>
              <w:spacing w:before="0" w:after="283"/>
              <w:jc w:val="left"/>
              <w:rPr/>
            </w:pPr>
            <w:r>
              <w:rPr/>
              <w:t> </w:t>
            </w:r>
          </w:p>
        </w:tc>
        <w:tc>
          <w:tcPr>
            <w:tcW w:w="163"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7065"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SHARES</w:t>
            </w:r>
          </w:p>
        </w:tc>
        <w:tc>
          <w:tcPr>
            <w:tcW w:w="653" w:type="dxa"/>
            <w:vMerge w:val="restart"/>
            <w:tcBorders>
              <w:left w:val="single" w:sz="2" w:space="0" w:color="000000"/>
              <w:right w:val="single" w:sz="2" w:space="0" w:color="000000"/>
            </w:tcBorders>
            <w:shd w:fill="auto" w:val="clear"/>
            <w:tcMar>
              <w:top w:w="0" w:type="dxa"/>
              <w:bottom w:w="0" w:type="dxa"/>
            </w:tcMar>
            <w:vAlign w:val="center"/>
          </w:tcPr>
          <w:p>
            <w:pPr>
              <w:pStyle w:val="TableContents"/>
              <w:spacing w:before="0" w:after="283"/>
              <w:jc w:val="center"/>
              <w:rPr>
                <w:b/>
                <w:sz w:val="30"/>
              </w:rPr>
            </w:pPr>
            <w:r>
              <w:rPr>
                <w:b/>
                <w:sz w:val="30"/>
              </w:rPr>
              <w:t>8</w:t>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jc w:val="left"/>
              <w:rPr/>
            </w:pPr>
            <w:r>
              <w:rPr/>
              <w:t>SHARED VOTING POWER</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BENEFICIALLY</w:t>
            </w:r>
          </w:p>
        </w:tc>
        <w:tc>
          <w:tcPr>
            <w:tcW w:w="653"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OWNED BY</w:t>
            </w:r>
          </w:p>
        </w:tc>
        <w:tc>
          <w:tcPr>
            <w:tcW w:w="653"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rPr/>
            </w:pPr>
            <w:r>
              <w:rPr/>
              <w:t>0 Common Units</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center"/>
          </w:tcPr>
          <w:p>
            <w:pPr>
              <w:pStyle w:val="TableContents"/>
              <w:spacing w:before="0" w:after="283"/>
              <w:rPr/>
            </w:pPr>
            <w:r>
              <w:rPr/>
              <w:t> </w:t>
            </w:r>
          </w:p>
        </w:tc>
        <w:tc>
          <w:tcPr>
            <w:tcW w:w="653" w:type="dxa"/>
            <w:tcBorders>
              <w:top w:val="single" w:sz="2" w:space="0" w:color="000000"/>
              <w:left w:val="single" w:sz="2" w:space="0" w:color="000000"/>
              <w:right w:val="single" w:sz="2" w:space="0" w:color="000000"/>
            </w:tcBorders>
            <w:shd w:fill="auto" w:val="clear"/>
            <w:tcMar>
              <w:bottom w:w="0" w:type="dxa"/>
            </w:tcMar>
            <w:vAlign w:val="center"/>
          </w:tcPr>
          <w:p>
            <w:pPr>
              <w:pStyle w:val="TableContents"/>
              <w:spacing w:before="0" w:after="283"/>
              <w:jc w:val="left"/>
              <w:rPr/>
            </w:pPr>
            <w:r>
              <w:rPr/>
              <w:t> </w:t>
            </w:r>
          </w:p>
        </w:tc>
        <w:tc>
          <w:tcPr>
            <w:tcW w:w="163"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7065"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EACH</w:t>
            </w:r>
          </w:p>
        </w:tc>
        <w:tc>
          <w:tcPr>
            <w:tcW w:w="653" w:type="dxa"/>
            <w:vMerge w:val="restart"/>
            <w:tcBorders>
              <w:left w:val="single" w:sz="2" w:space="0" w:color="000000"/>
              <w:right w:val="single" w:sz="2" w:space="0" w:color="000000"/>
            </w:tcBorders>
            <w:shd w:fill="auto" w:val="clear"/>
            <w:tcMar>
              <w:top w:w="0" w:type="dxa"/>
              <w:bottom w:w="0" w:type="dxa"/>
            </w:tcMar>
            <w:vAlign w:val="center"/>
          </w:tcPr>
          <w:p>
            <w:pPr>
              <w:pStyle w:val="TableContents"/>
              <w:spacing w:before="0" w:after="283"/>
              <w:jc w:val="center"/>
              <w:rPr>
                <w:b/>
                <w:sz w:val="30"/>
              </w:rPr>
            </w:pPr>
            <w:r>
              <w:rPr>
                <w:b/>
                <w:sz w:val="30"/>
              </w:rPr>
              <w:t>9</w:t>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jc w:val="left"/>
              <w:rPr/>
            </w:pPr>
            <w:r>
              <w:rPr/>
              <w:t>SOLE DISPOSITIVE POWER</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REPORTING</w:t>
            </w:r>
          </w:p>
        </w:tc>
        <w:tc>
          <w:tcPr>
            <w:tcW w:w="653"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PERSON</w:t>
            </w:r>
          </w:p>
        </w:tc>
        <w:tc>
          <w:tcPr>
            <w:tcW w:w="653"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jc w:val="left"/>
              <w:rPr/>
            </w:pPr>
            <w:r>
              <w:rPr/>
              <w:t>53,707,221 Common Units+</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center"/>
          </w:tcPr>
          <w:p>
            <w:pPr>
              <w:pStyle w:val="TableContents"/>
              <w:spacing w:before="0" w:after="283"/>
              <w:rPr/>
            </w:pPr>
            <w:r>
              <w:rPr/>
              <w:t> </w:t>
            </w:r>
          </w:p>
        </w:tc>
        <w:tc>
          <w:tcPr>
            <w:tcW w:w="653" w:type="dxa"/>
            <w:tcBorders>
              <w:top w:val="single" w:sz="2" w:space="0" w:color="000000"/>
              <w:left w:val="single" w:sz="2" w:space="0" w:color="000000"/>
              <w:right w:val="single" w:sz="2" w:space="0" w:color="000000"/>
            </w:tcBorders>
            <w:shd w:fill="auto" w:val="clear"/>
            <w:tcMar>
              <w:bottom w:w="0" w:type="dxa"/>
            </w:tcMar>
            <w:vAlign w:val="center"/>
          </w:tcPr>
          <w:p>
            <w:pPr>
              <w:pStyle w:val="TableContents"/>
              <w:spacing w:before="0" w:after="283"/>
              <w:jc w:val="left"/>
              <w:rPr/>
            </w:pPr>
            <w:r>
              <w:rPr/>
              <w:t> </w:t>
            </w:r>
          </w:p>
        </w:tc>
        <w:tc>
          <w:tcPr>
            <w:tcW w:w="163"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7065"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WITH</w:t>
            </w:r>
          </w:p>
        </w:tc>
        <w:tc>
          <w:tcPr>
            <w:tcW w:w="653" w:type="dxa"/>
            <w:vMerge w:val="restart"/>
            <w:tcBorders>
              <w:left w:val="single" w:sz="2" w:space="0" w:color="000000"/>
              <w:right w:val="single" w:sz="2" w:space="0" w:color="000000"/>
            </w:tcBorders>
            <w:shd w:fill="auto" w:val="clear"/>
            <w:tcMar>
              <w:top w:w="0" w:type="dxa"/>
              <w:bottom w:w="0" w:type="dxa"/>
            </w:tcMar>
            <w:vAlign w:val="center"/>
          </w:tcPr>
          <w:p>
            <w:pPr>
              <w:pStyle w:val="TableContents"/>
              <w:spacing w:before="0" w:after="283"/>
              <w:jc w:val="center"/>
              <w:rPr>
                <w:b/>
                <w:sz w:val="30"/>
              </w:rPr>
            </w:pPr>
            <w:r>
              <w:rPr>
                <w:b/>
                <w:sz w:val="30"/>
              </w:rPr>
              <w:t>10</w:t>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jc w:val="left"/>
              <w:rPr/>
            </w:pPr>
            <w:r>
              <w:rPr/>
              <w:t>SHARED DISPOSITIVE POWER</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 </w:t>
            </w:r>
          </w:p>
        </w:tc>
        <w:tc>
          <w:tcPr>
            <w:tcW w:w="653"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 </w:t>
            </w:r>
          </w:p>
        </w:tc>
        <w:tc>
          <w:tcPr>
            <w:tcW w:w="653"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jc w:val="left"/>
              <w:rPr/>
            </w:pPr>
            <w:r>
              <w:rPr/>
              <w:t>0 Common Units</w:t>
            </w:r>
          </w:p>
        </w:tc>
        <w:tc>
          <w:tcPr>
            <w:tcW w:w="82" w:type="dxa"/>
            <w:tcBorders/>
            <w:shd w:fill="auto" w:val="clear"/>
          </w:tcPr>
          <w:p>
            <w:pPr>
              <w:pStyle w:val="TableContents"/>
              <w:spacing w:before="0" w:after="283"/>
              <w:rPr>
                <w:sz w:val="4"/>
                <w:szCs w:val="4"/>
              </w:rPr>
            </w:pPr>
            <w:r>
              <w:rPr>
                <w:sz w:val="4"/>
                <w:szCs w:val="4"/>
              </w:rPr>
            </w:r>
          </w:p>
        </w:tc>
      </w:tr>
      <w:tr>
        <w:trPr/>
        <w:tc>
          <w:tcPr>
            <w:tcW w:w="1259"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49"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15"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restart"/>
            <w:tcBorders/>
            <w:shd w:fill="auto" w:val="clear"/>
            <w:vAlign w:val="center"/>
          </w:tcPr>
          <w:p>
            <w:pPr>
              <w:pStyle w:val="TableContents"/>
              <w:spacing w:before="0" w:after="283"/>
              <w:jc w:val="center"/>
              <w:rPr>
                <w:b/>
                <w:sz w:val="30"/>
              </w:rPr>
            </w:pPr>
            <w:r>
              <w:rPr>
                <w:b/>
                <w:sz w:val="30"/>
              </w:rPr>
              <w:t>11</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AGGREGATE AMOUNT BENEFICIALLY OWNED BY EACH REPORTING PERSON</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53,707,221 Common Units+</w:t>
            </w:r>
          </w:p>
        </w:tc>
        <w:tc>
          <w:tcPr>
            <w:tcW w:w="82" w:type="dxa"/>
            <w:tcBorders/>
            <w:shd w:fill="auto" w:val="clear"/>
          </w:tcPr>
          <w:p>
            <w:pPr>
              <w:pStyle w:val="TableContents"/>
              <w:spacing w:before="0" w:after="283"/>
              <w:rPr>
                <w:sz w:val="4"/>
                <w:szCs w:val="4"/>
              </w:rPr>
            </w:pPr>
            <w:r>
              <w:rPr>
                <w:sz w:val="4"/>
                <w:szCs w:val="4"/>
              </w:rPr>
            </w:r>
          </w:p>
        </w:tc>
      </w:tr>
      <w:tr>
        <w:trPr/>
        <w:tc>
          <w:tcPr>
            <w:tcW w:w="1259"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49"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15"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restart"/>
            <w:tcBorders/>
            <w:shd w:fill="auto" w:val="clear"/>
            <w:vAlign w:val="center"/>
          </w:tcPr>
          <w:p>
            <w:pPr>
              <w:pStyle w:val="TableContents"/>
              <w:spacing w:before="0" w:after="283"/>
              <w:jc w:val="center"/>
              <w:rPr>
                <w:b/>
                <w:sz w:val="30"/>
              </w:rPr>
            </w:pPr>
            <w:r>
              <w:rPr>
                <w:b/>
                <w:sz w:val="30"/>
              </w:rPr>
              <w:t>12</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xml:space="preserve">CHECK BOX IF THE AGGREGATE AMOUNT IN ROW (11) EXCLUDES CERTAIN SHARES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rFonts w:ascii="wingdings" w:hAnsi="wingdings"/>
                <w:sz w:val="20"/>
              </w:rPr>
              <w:t>o</w:t>
            </w:r>
            <w:r>
              <w:rPr/>
              <w:t xml:space="preserve"> </w:t>
            </w:r>
          </w:p>
        </w:tc>
        <w:tc>
          <w:tcPr>
            <w:tcW w:w="82" w:type="dxa"/>
            <w:tcBorders/>
            <w:shd w:fill="auto" w:val="clear"/>
          </w:tcPr>
          <w:p>
            <w:pPr>
              <w:pStyle w:val="TableContents"/>
              <w:spacing w:before="0" w:after="283"/>
              <w:rPr>
                <w:sz w:val="4"/>
                <w:szCs w:val="4"/>
              </w:rPr>
            </w:pPr>
            <w:r>
              <w:rPr>
                <w:sz w:val="4"/>
                <w:szCs w:val="4"/>
              </w:rPr>
            </w:r>
          </w:p>
        </w:tc>
      </w:tr>
      <w:tr>
        <w:trPr/>
        <w:tc>
          <w:tcPr>
            <w:tcW w:w="1259"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49"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15"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restart"/>
            <w:tcBorders/>
            <w:shd w:fill="auto" w:val="clear"/>
            <w:vAlign w:val="center"/>
          </w:tcPr>
          <w:p>
            <w:pPr>
              <w:pStyle w:val="TableContents"/>
              <w:spacing w:before="0" w:after="283"/>
              <w:jc w:val="center"/>
              <w:rPr>
                <w:b/>
                <w:sz w:val="30"/>
              </w:rPr>
            </w:pPr>
            <w:r>
              <w:rPr>
                <w:b/>
                <w:sz w:val="30"/>
              </w:rPr>
              <w:t>13</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PERCENT OF CLASS REPRESENTED BY AMOUNT IN ROW (11)</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63.5% of Common Units on a fully diluted basis</w:t>
            </w:r>
          </w:p>
        </w:tc>
        <w:tc>
          <w:tcPr>
            <w:tcW w:w="82" w:type="dxa"/>
            <w:tcBorders/>
            <w:shd w:fill="auto" w:val="clear"/>
          </w:tcPr>
          <w:p>
            <w:pPr>
              <w:pStyle w:val="TableContents"/>
              <w:spacing w:before="0" w:after="283"/>
              <w:rPr>
                <w:sz w:val="4"/>
                <w:szCs w:val="4"/>
              </w:rPr>
            </w:pPr>
            <w:r>
              <w:rPr>
                <w:sz w:val="4"/>
                <w:szCs w:val="4"/>
              </w:rPr>
            </w:r>
          </w:p>
        </w:tc>
      </w:tr>
      <w:tr>
        <w:trPr/>
        <w:tc>
          <w:tcPr>
            <w:tcW w:w="1259"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49"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15"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restart"/>
            <w:tcBorders/>
            <w:shd w:fill="auto" w:val="clear"/>
            <w:vAlign w:val="center"/>
          </w:tcPr>
          <w:p>
            <w:pPr>
              <w:pStyle w:val="TableContents"/>
              <w:spacing w:before="0" w:after="283"/>
              <w:jc w:val="center"/>
              <w:rPr>
                <w:b/>
                <w:sz w:val="30"/>
              </w:rPr>
            </w:pPr>
            <w:r>
              <w:rPr>
                <w:b/>
                <w:sz w:val="30"/>
              </w:rPr>
              <w:t>14</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TYPE OF REPORTING PERSON</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PN</w:t>
            </w:r>
          </w:p>
        </w:tc>
        <w:tc>
          <w:tcPr>
            <w:tcW w:w="82" w:type="dxa"/>
            <w:tcBorders/>
            <w:shd w:fill="auto" w:val="clear"/>
          </w:tcPr>
          <w:p>
            <w:pPr>
              <w:pStyle w:val="TableContents"/>
              <w:spacing w:before="0" w:after="283"/>
              <w:rPr>
                <w:sz w:val="4"/>
                <w:szCs w:val="4"/>
              </w:rPr>
            </w:pPr>
            <w:r>
              <w:rPr>
                <w:sz w:val="4"/>
                <w:szCs w:val="4"/>
              </w:rPr>
            </w:r>
          </w:p>
        </w:tc>
      </w:tr>
    </w:tbl>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Includes 11,934,351 Series A Subordinated Units and 13,500,000 Series B Subordinated Units, each representing limited partner interests in the Issuer. The Series A Subordinated Units may be converted into Common Units on a one-for-one basis upon termination of the subordination period under certain circumstances, as set forth in the Second Amended and Restated Agreement of Limited Partnership of PAA Natural Gas Storage, L.P. (the </w:t>
            </w:r>
            <w:r>
              <w:rPr>
                <w:i/>
              </w:rPr>
              <w:t>Partnership Agreement</w:t>
            </w:r>
            <w:r>
              <w:rPr/>
              <w:t>). The Series B Subordinated Units may be converted into Series A Subordinated Units on a one-for-one basis upon the satisfaction of certain operational and financial conditions or, if the subordination period has ended at the time the various operation and financial conditions are satisfied, into Common Units on a one-for-one basis, as set forth in the Partnership Agreement.</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SCHEDULE 13 D </w:t>
      </w:r>
    </w:p>
    <w:tbl>
      <w:tblPr>
        <w:tblW w:w="5000" w:type="pct"/>
        <w:jc w:val="center"/>
        <w:tblInd w:w="0" w:type="dxa"/>
        <w:tblCellMar>
          <w:top w:w="0" w:type="dxa"/>
          <w:left w:w="0" w:type="dxa"/>
          <w:bottom w:w="0" w:type="dxa"/>
          <w:right w:w="0" w:type="dxa"/>
        </w:tblCellMar>
      </w:tblPr>
      <w:tblGrid>
        <w:gridCol w:w="1144"/>
        <w:gridCol w:w="132"/>
        <w:gridCol w:w="2603"/>
        <w:gridCol w:w="4195"/>
        <w:gridCol w:w="132"/>
        <w:gridCol w:w="132"/>
        <w:gridCol w:w="734"/>
        <w:gridCol w:w="132"/>
        <w:gridCol w:w="132"/>
        <w:gridCol w:w="132"/>
        <w:gridCol w:w="737"/>
      </w:tblGrid>
      <w:tr>
        <w:trPr/>
        <w:tc>
          <w:tcPr>
            <w:tcW w:w="114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2603" w:type="dxa"/>
            <w:tcBorders/>
            <w:shd w:fill="auto" w:val="clear"/>
            <w:vAlign w:val="bottom"/>
          </w:tcPr>
          <w:p>
            <w:pPr>
              <w:pStyle w:val="TableContents"/>
              <w:spacing w:before="0" w:after="283"/>
              <w:rPr/>
            </w:pPr>
            <w:r>
              <w:rPr/>
              <w:t> </w:t>
            </w:r>
          </w:p>
        </w:tc>
        <w:tc>
          <w:tcPr>
            <w:tcW w:w="419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283"/>
              <w:rPr/>
            </w:pPr>
            <w:r>
              <w:rPr/>
              <w:t> </w:t>
            </w:r>
          </w:p>
        </w:tc>
      </w:tr>
      <w:tr>
        <w:trPr/>
        <w:tc>
          <w:tcPr>
            <w:tcW w:w="1144" w:type="dxa"/>
            <w:tcBorders/>
            <w:shd w:fill="auto" w:val="clear"/>
          </w:tcPr>
          <w:p>
            <w:pPr>
              <w:pStyle w:val="TableContents"/>
              <w:spacing w:before="0" w:after="0"/>
              <w:ind w:left="0" w:right="0" w:hanging="0"/>
              <w:rPr/>
            </w:pPr>
            <w:r>
              <w:rPr/>
              <w:t>CUSIP No.</w:t>
            </w:r>
          </w:p>
        </w:tc>
        <w:tc>
          <w:tcPr>
            <w:tcW w:w="132" w:type="dxa"/>
            <w:tcBorders/>
            <w:shd w:fill="auto" w:val="clear"/>
            <w:vAlign w:val="bottom"/>
          </w:tcPr>
          <w:p>
            <w:pPr>
              <w:pStyle w:val="TableContents"/>
              <w:spacing w:before="0" w:after="283"/>
              <w:rPr/>
            </w:pPr>
            <w:r>
              <w:rPr/>
              <w:t> </w:t>
            </w:r>
          </w:p>
        </w:tc>
        <w:tc>
          <w:tcPr>
            <w:tcW w:w="2603" w:type="dxa"/>
            <w:tcBorders/>
            <w:shd w:fill="auto" w:val="clear"/>
          </w:tcPr>
          <w:p>
            <w:pPr>
              <w:pStyle w:val="TableContents"/>
              <w:spacing w:before="0" w:after="0"/>
              <w:jc w:val="center"/>
              <w:rPr>
                <w:bdr w:val="single" w:sz="2" w:space="1" w:color="000000"/>
              </w:rPr>
            </w:pPr>
            <w:r>
              <w:rPr>
                <w:bdr w:val="single" w:sz="2" w:space="1" w:color="000000"/>
              </w:rPr>
              <w:t>693139107 </w:t>
            </w:r>
          </w:p>
        </w:tc>
        <w:tc>
          <w:tcPr>
            <w:tcW w:w="4195" w:type="dxa"/>
            <w:tcBorders/>
            <w:shd w:fill="auto" w:val="clear"/>
            <w:vAlign w:val="bottom"/>
          </w:tcPr>
          <w:p>
            <w:pPr>
              <w:pStyle w:val="TableContents"/>
              <w:spacing w:before="0" w:after="283"/>
              <w:rPr/>
            </w:pPr>
            <w:r>
              <w:rPr/>
              <w:t> </w:t>
            </w:r>
          </w:p>
        </w:tc>
        <w:tc>
          <w:tcPr>
            <w:tcW w:w="2131" w:type="dxa"/>
            <w:gridSpan w:val="7"/>
            <w:tcBorders/>
            <w:shd w:fill="auto" w:val="clear"/>
          </w:tcPr>
          <w:p>
            <w:pPr>
              <w:pStyle w:val="TableContents"/>
              <w:spacing w:before="0" w:after="283"/>
              <w:rPr>
                <w:sz w:val="4"/>
                <w:szCs w:val="4"/>
              </w:rPr>
            </w:pPr>
            <w:r>
              <w:rPr>
                <w:sz w:val="4"/>
                <w:szCs w:val="4"/>
              </w:rPr>
            </w:r>
          </w:p>
        </w:tc>
      </w:tr>
    </w:tbl>
    <w:p>
      <w:pPr>
        <w:pStyle w:val="TextBody"/>
        <w:spacing w:before="0" w:after="0"/>
        <w:rPr/>
      </w:pPr>
      <w:r>
        <w:rPr/>
        <w:t> </w:t>
      </w:r>
    </w:p>
    <w:tbl>
      <w:tblPr>
        <w:tblW w:w="5000" w:type="pct"/>
        <w:jc w:val="center"/>
        <w:tblInd w:w="0" w:type="dxa"/>
        <w:tblCellMar>
          <w:top w:w="28" w:type="dxa"/>
          <w:left w:w="28" w:type="dxa"/>
          <w:bottom w:w="28" w:type="dxa"/>
          <w:right w:w="28" w:type="dxa"/>
        </w:tblCellMar>
      </w:tblPr>
      <w:tblGrid>
        <w:gridCol w:w="1259"/>
        <w:gridCol w:w="349"/>
        <w:gridCol w:w="634"/>
        <w:gridCol w:w="653"/>
        <w:gridCol w:w="163"/>
        <w:gridCol w:w="7065"/>
        <w:gridCol w:w="82"/>
      </w:tblGrid>
      <w:tr>
        <w:trPr/>
        <w:tc>
          <w:tcPr>
            <w:tcW w:w="1259" w:type="dxa"/>
            <w:tcBorders/>
            <w:shd w:fill="auto" w:val="clear"/>
            <w:vAlign w:val="center"/>
          </w:tcPr>
          <w:p>
            <w:pPr>
              <w:pStyle w:val="TableContents"/>
              <w:spacing w:before="0" w:after="283"/>
              <w:rPr/>
            </w:pPr>
            <w:r>
              <w:rPr/>
              <w:t> </w:t>
            </w:r>
          </w:p>
        </w:tc>
        <w:tc>
          <w:tcPr>
            <w:tcW w:w="349" w:type="dxa"/>
            <w:tcBorders>
              <w:left w:val="single" w:sz="2" w:space="0" w:color="000000"/>
            </w:tcBorders>
            <w:shd w:fill="auto" w:val="clear"/>
            <w:tcMar>
              <w:top w:w="0" w:type="dxa"/>
              <w:bottom w:w="0" w:type="dxa"/>
              <w:right w:w="0" w:type="dxa"/>
            </w:tcMar>
            <w:vAlign w:val="center"/>
          </w:tcPr>
          <w:p>
            <w:pPr>
              <w:pStyle w:val="TableContents"/>
              <w:spacing w:before="0" w:after="283"/>
              <w:rPr/>
            </w:pPr>
            <w:r>
              <w:rPr/>
              <w:t> </w:t>
            </w:r>
          </w:p>
        </w:tc>
        <w:tc>
          <w:tcPr>
            <w:tcW w:w="634"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7065" w:type="dxa"/>
            <w:tcBorders/>
            <w:shd w:fill="auto" w:val="clear"/>
            <w:vAlign w:val="center"/>
          </w:tcPr>
          <w:p>
            <w:pPr>
              <w:pStyle w:val="TableContents"/>
              <w:spacing w:before="0" w:after="283"/>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tcBorders/>
            <w:shd w:fill="auto" w:val="clear"/>
            <w:vAlign w:val="center"/>
          </w:tcPr>
          <w:p>
            <w:pPr>
              <w:pStyle w:val="TableContents"/>
              <w:spacing w:before="0" w:after="283"/>
              <w:jc w:val="center"/>
              <w:rPr>
                <w:b/>
                <w:sz w:val="30"/>
              </w:rPr>
            </w:pPr>
            <w:r>
              <w:rPr>
                <w:b/>
                <w:sz w:val="30"/>
              </w:rPr>
              <w:t>1</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NAME OF REPORTING PERSON</w:t>
              <w:br/>
              <w:br/>
              <w:t xml:space="preserve">Plains All American GP LLC </w:t>
            </w:r>
          </w:p>
        </w:tc>
        <w:tc>
          <w:tcPr>
            <w:tcW w:w="82" w:type="dxa"/>
            <w:tcBorders/>
            <w:shd w:fill="auto" w:val="clear"/>
          </w:tcPr>
          <w:p>
            <w:pPr>
              <w:pStyle w:val="TableContents"/>
              <w:spacing w:before="0" w:after="283"/>
              <w:rPr>
                <w:sz w:val="4"/>
                <w:szCs w:val="4"/>
              </w:rPr>
            </w:pPr>
            <w:r>
              <w:rPr>
                <w:sz w:val="4"/>
                <w:szCs w:val="4"/>
              </w:rPr>
            </w:r>
          </w:p>
        </w:tc>
      </w:tr>
      <w:tr>
        <w:trPr/>
        <w:tc>
          <w:tcPr>
            <w:tcW w:w="1259" w:type="dxa"/>
            <w:tcBorders/>
            <w:shd w:fill="auto" w:val="clear"/>
            <w:vAlign w:val="bottom"/>
          </w:tcPr>
          <w:p>
            <w:pPr>
              <w:pStyle w:val="TableContents"/>
              <w:spacing w:before="0" w:after="283"/>
              <w:rPr/>
            </w:pPr>
            <w:r>
              <w:rPr/>
              <w:t> </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49"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15"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restart"/>
            <w:tcBorders/>
            <w:shd w:fill="auto" w:val="clear"/>
            <w:vAlign w:val="center"/>
          </w:tcPr>
          <w:p>
            <w:pPr>
              <w:pStyle w:val="TableContents"/>
              <w:spacing w:before="0" w:after="283"/>
              <w:jc w:val="center"/>
              <w:rPr>
                <w:b/>
                <w:sz w:val="30"/>
              </w:rPr>
            </w:pPr>
            <w:r>
              <w:rPr>
                <w:b/>
                <w:sz w:val="30"/>
              </w:rPr>
              <w:t>2</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xml:space="preserve">CHECK THE APPROPRIATE BOX IF A MEMBER OF A GROUP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(a)   </w:t>
            </w:r>
            <w:r>
              <w:rPr>
                <w:rFonts w:ascii="wingdings" w:hAnsi="wingdings"/>
                <w:sz w:val="20"/>
              </w:rPr>
              <w:t>o</w:t>
            </w: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(b)   </w:t>
            </w:r>
            <w:r>
              <w:rPr>
                <w:rFonts w:ascii="wingdings" w:hAnsi="wingdings"/>
                <w:sz w:val="20"/>
              </w:rPr>
              <w:t>o</w:t>
            </w: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49"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15"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restart"/>
            <w:tcBorders/>
            <w:shd w:fill="auto" w:val="clear"/>
            <w:vAlign w:val="center"/>
          </w:tcPr>
          <w:p>
            <w:pPr>
              <w:pStyle w:val="TableContents"/>
              <w:spacing w:before="0" w:after="283"/>
              <w:jc w:val="center"/>
              <w:rPr>
                <w:b/>
                <w:sz w:val="30"/>
              </w:rPr>
            </w:pPr>
            <w:r>
              <w:rPr>
                <w:b/>
                <w:sz w:val="30"/>
              </w:rPr>
              <w:t>3</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SEC USE ONLY</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49"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15"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restart"/>
            <w:tcBorders/>
            <w:shd w:fill="auto" w:val="clear"/>
            <w:vAlign w:val="center"/>
          </w:tcPr>
          <w:p>
            <w:pPr>
              <w:pStyle w:val="TableContents"/>
              <w:spacing w:before="0" w:after="283"/>
              <w:jc w:val="center"/>
              <w:rPr>
                <w:b/>
                <w:sz w:val="30"/>
              </w:rPr>
            </w:pPr>
            <w:r>
              <w:rPr>
                <w:b/>
                <w:sz w:val="30"/>
              </w:rPr>
              <w:t>4</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SOURCE OF FUNDS (SEE INSTRUCTIONS)</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97" w:type="dxa"/>
            <w:gridSpan w:val="5"/>
            <w:tcBorders/>
            <w:shd w:fill="auto" w:val="clear"/>
            <w:vAlign w:val="bottom"/>
          </w:tcPr>
          <w:p>
            <w:pPr>
              <w:pStyle w:val="TableContents"/>
              <w:spacing w:before="0" w:after="283"/>
              <w:jc w:val="left"/>
              <w:rPr/>
            </w:pPr>
            <w:r>
              <w:rPr/>
              <w:t> </w:t>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97" w:type="dxa"/>
            <w:gridSpan w:val="5"/>
            <w:tcBorders/>
            <w:shd w:fill="auto" w:val="clear"/>
            <w:vAlign w:val="bottom"/>
          </w:tcPr>
          <w:p>
            <w:pPr>
              <w:pStyle w:val="TableContents"/>
              <w:spacing w:before="0" w:after="283"/>
              <w:jc w:val="left"/>
              <w:rPr/>
            </w:pPr>
            <w:r>
              <w:rPr/>
              <w:t>OO (please see Item 3 below)</w:t>
            </w:r>
          </w:p>
        </w:tc>
      </w:tr>
      <w:tr>
        <w:trPr/>
        <w:tc>
          <w:tcPr>
            <w:tcW w:w="1259"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49"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15"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restart"/>
            <w:tcBorders/>
            <w:shd w:fill="auto" w:val="clear"/>
            <w:vAlign w:val="center"/>
          </w:tcPr>
          <w:p>
            <w:pPr>
              <w:pStyle w:val="TableContents"/>
              <w:spacing w:before="0" w:after="283"/>
              <w:jc w:val="center"/>
              <w:rPr>
                <w:b/>
                <w:sz w:val="30"/>
              </w:rPr>
            </w:pPr>
            <w:r>
              <w:rPr>
                <w:b/>
                <w:sz w:val="30"/>
              </w:rPr>
              <w:t>5</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CHECK BOX IF DISCLOSURE OF LEGAL PROCEEDINGS IS REQUIRED PURSUANT TO ITEMS 2(d) OR 2(e)</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rFonts w:ascii="wingdings" w:hAnsi="wingdings"/>
                <w:sz w:val="20"/>
              </w:rPr>
            </w:pPr>
            <w:r>
              <w:rPr>
                <w:rFonts w:ascii="wingdings" w:hAnsi="wingdings"/>
                <w:sz w:val="20"/>
              </w:rPr>
              <w:t>o</w:t>
            </w:r>
          </w:p>
        </w:tc>
        <w:tc>
          <w:tcPr>
            <w:tcW w:w="82" w:type="dxa"/>
            <w:tcBorders/>
            <w:shd w:fill="auto" w:val="clear"/>
          </w:tcPr>
          <w:p>
            <w:pPr>
              <w:pStyle w:val="TableContents"/>
              <w:spacing w:before="0" w:after="283"/>
              <w:rPr>
                <w:sz w:val="4"/>
                <w:szCs w:val="4"/>
              </w:rPr>
            </w:pPr>
            <w:r>
              <w:rPr>
                <w:sz w:val="4"/>
                <w:szCs w:val="4"/>
              </w:rPr>
            </w:r>
          </w:p>
        </w:tc>
      </w:tr>
      <w:tr>
        <w:trPr/>
        <w:tc>
          <w:tcPr>
            <w:tcW w:w="1259"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49"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15"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restart"/>
            <w:tcBorders/>
            <w:shd w:fill="auto" w:val="clear"/>
            <w:vAlign w:val="center"/>
          </w:tcPr>
          <w:p>
            <w:pPr>
              <w:pStyle w:val="TableContents"/>
              <w:spacing w:before="0" w:after="283"/>
              <w:jc w:val="center"/>
              <w:rPr>
                <w:b/>
                <w:sz w:val="30"/>
              </w:rPr>
            </w:pPr>
            <w:r>
              <w:rPr>
                <w:b/>
                <w:sz w:val="30"/>
              </w:rPr>
              <w:t>6</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CITIZENSHIP OR PLACE OF ORGANIZATION</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xml:space="preserve">Delaware, United States </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653" w:type="dxa"/>
            <w:tcBorders>
              <w:top w:val="single" w:sz="2" w:space="0" w:color="000000"/>
              <w:left w:val="single" w:sz="2" w:space="0" w:color="000000"/>
              <w:right w:val="single" w:sz="2" w:space="0" w:color="000000"/>
            </w:tcBorders>
            <w:shd w:fill="auto" w:val="clear"/>
            <w:tcMar>
              <w:bottom w:w="0" w:type="dxa"/>
            </w:tcMar>
            <w:vAlign w:val="center"/>
          </w:tcPr>
          <w:p>
            <w:pPr>
              <w:pStyle w:val="TableContents"/>
              <w:spacing w:before="0" w:after="283"/>
              <w:jc w:val="left"/>
              <w:rPr/>
            </w:pPr>
            <w:r>
              <w:rPr/>
              <w:t> </w:t>
            </w:r>
          </w:p>
        </w:tc>
        <w:tc>
          <w:tcPr>
            <w:tcW w:w="163"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7065"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 </w:t>
            </w:r>
          </w:p>
        </w:tc>
        <w:tc>
          <w:tcPr>
            <w:tcW w:w="653" w:type="dxa"/>
            <w:vMerge w:val="restart"/>
            <w:tcBorders>
              <w:left w:val="single" w:sz="2" w:space="0" w:color="000000"/>
              <w:right w:val="single" w:sz="2" w:space="0" w:color="000000"/>
            </w:tcBorders>
            <w:shd w:fill="auto" w:val="clear"/>
            <w:tcMar>
              <w:top w:w="0" w:type="dxa"/>
              <w:bottom w:w="0" w:type="dxa"/>
            </w:tcMar>
            <w:vAlign w:val="center"/>
          </w:tcPr>
          <w:p>
            <w:pPr>
              <w:pStyle w:val="TableContents"/>
              <w:spacing w:before="0" w:after="283"/>
              <w:jc w:val="center"/>
              <w:rPr>
                <w:b/>
                <w:sz w:val="30"/>
              </w:rPr>
            </w:pPr>
            <w:r>
              <w:rPr>
                <w:b/>
                <w:sz w:val="30"/>
              </w:rPr>
              <w:t>7</w:t>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jc w:val="left"/>
              <w:rPr/>
            </w:pPr>
            <w:r>
              <w:rPr/>
              <w:t>SOLE VOTING POWER</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 </w:t>
            </w:r>
          </w:p>
        </w:tc>
        <w:tc>
          <w:tcPr>
            <w:tcW w:w="653"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NUMBER OF</w:t>
            </w:r>
          </w:p>
        </w:tc>
        <w:tc>
          <w:tcPr>
            <w:tcW w:w="653"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jc w:val="left"/>
              <w:rPr/>
            </w:pPr>
            <w:r>
              <w:rPr/>
              <w:t>53,707,221 Common Units+</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center"/>
          </w:tcPr>
          <w:p>
            <w:pPr>
              <w:pStyle w:val="TableContents"/>
              <w:spacing w:before="0" w:after="283"/>
              <w:rPr/>
            </w:pPr>
            <w:r>
              <w:rPr/>
              <w:t> </w:t>
            </w:r>
          </w:p>
        </w:tc>
        <w:tc>
          <w:tcPr>
            <w:tcW w:w="653" w:type="dxa"/>
            <w:tcBorders>
              <w:top w:val="single" w:sz="2" w:space="0" w:color="000000"/>
              <w:left w:val="single" w:sz="2" w:space="0" w:color="000000"/>
              <w:right w:val="single" w:sz="2" w:space="0" w:color="000000"/>
            </w:tcBorders>
            <w:shd w:fill="auto" w:val="clear"/>
            <w:tcMar>
              <w:bottom w:w="0" w:type="dxa"/>
            </w:tcMar>
            <w:vAlign w:val="center"/>
          </w:tcPr>
          <w:p>
            <w:pPr>
              <w:pStyle w:val="TableContents"/>
              <w:spacing w:before="0" w:after="283"/>
              <w:jc w:val="left"/>
              <w:rPr/>
            </w:pPr>
            <w:r>
              <w:rPr/>
              <w:t> </w:t>
            </w:r>
          </w:p>
        </w:tc>
        <w:tc>
          <w:tcPr>
            <w:tcW w:w="163"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7065"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SHARES</w:t>
            </w:r>
          </w:p>
        </w:tc>
        <w:tc>
          <w:tcPr>
            <w:tcW w:w="653" w:type="dxa"/>
            <w:vMerge w:val="restart"/>
            <w:tcBorders>
              <w:left w:val="single" w:sz="2" w:space="0" w:color="000000"/>
              <w:right w:val="single" w:sz="2" w:space="0" w:color="000000"/>
            </w:tcBorders>
            <w:shd w:fill="auto" w:val="clear"/>
            <w:tcMar>
              <w:top w:w="0" w:type="dxa"/>
              <w:bottom w:w="0" w:type="dxa"/>
            </w:tcMar>
            <w:vAlign w:val="center"/>
          </w:tcPr>
          <w:p>
            <w:pPr>
              <w:pStyle w:val="TableContents"/>
              <w:spacing w:before="0" w:after="283"/>
              <w:jc w:val="center"/>
              <w:rPr>
                <w:b/>
                <w:sz w:val="30"/>
              </w:rPr>
            </w:pPr>
            <w:r>
              <w:rPr>
                <w:b/>
                <w:sz w:val="30"/>
              </w:rPr>
              <w:t>8</w:t>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jc w:val="left"/>
              <w:rPr/>
            </w:pPr>
            <w:r>
              <w:rPr/>
              <w:t>SHARED VOTING POWER</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BENEFICIALLY</w:t>
            </w:r>
          </w:p>
        </w:tc>
        <w:tc>
          <w:tcPr>
            <w:tcW w:w="653"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OWNED BY</w:t>
            </w:r>
          </w:p>
        </w:tc>
        <w:tc>
          <w:tcPr>
            <w:tcW w:w="653"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rPr/>
            </w:pPr>
            <w:r>
              <w:rPr/>
              <w:t>0 Common Units</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center"/>
          </w:tcPr>
          <w:p>
            <w:pPr>
              <w:pStyle w:val="TableContents"/>
              <w:spacing w:before="0" w:after="283"/>
              <w:rPr/>
            </w:pPr>
            <w:r>
              <w:rPr/>
              <w:t> </w:t>
            </w:r>
          </w:p>
        </w:tc>
        <w:tc>
          <w:tcPr>
            <w:tcW w:w="653" w:type="dxa"/>
            <w:tcBorders>
              <w:top w:val="single" w:sz="2" w:space="0" w:color="000000"/>
              <w:left w:val="single" w:sz="2" w:space="0" w:color="000000"/>
              <w:right w:val="single" w:sz="2" w:space="0" w:color="000000"/>
            </w:tcBorders>
            <w:shd w:fill="auto" w:val="clear"/>
            <w:tcMar>
              <w:bottom w:w="0" w:type="dxa"/>
            </w:tcMar>
            <w:vAlign w:val="center"/>
          </w:tcPr>
          <w:p>
            <w:pPr>
              <w:pStyle w:val="TableContents"/>
              <w:spacing w:before="0" w:after="283"/>
              <w:jc w:val="left"/>
              <w:rPr/>
            </w:pPr>
            <w:r>
              <w:rPr/>
              <w:t> </w:t>
            </w:r>
          </w:p>
        </w:tc>
        <w:tc>
          <w:tcPr>
            <w:tcW w:w="163"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7065"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EACH</w:t>
            </w:r>
          </w:p>
        </w:tc>
        <w:tc>
          <w:tcPr>
            <w:tcW w:w="653" w:type="dxa"/>
            <w:vMerge w:val="restart"/>
            <w:tcBorders>
              <w:left w:val="single" w:sz="2" w:space="0" w:color="000000"/>
              <w:right w:val="single" w:sz="2" w:space="0" w:color="000000"/>
            </w:tcBorders>
            <w:shd w:fill="auto" w:val="clear"/>
            <w:tcMar>
              <w:top w:w="0" w:type="dxa"/>
              <w:bottom w:w="0" w:type="dxa"/>
            </w:tcMar>
            <w:vAlign w:val="center"/>
          </w:tcPr>
          <w:p>
            <w:pPr>
              <w:pStyle w:val="TableContents"/>
              <w:spacing w:before="0" w:after="283"/>
              <w:jc w:val="center"/>
              <w:rPr>
                <w:b/>
                <w:sz w:val="30"/>
              </w:rPr>
            </w:pPr>
            <w:r>
              <w:rPr>
                <w:b/>
                <w:sz w:val="30"/>
              </w:rPr>
              <w:t>9</w:t>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jc w:val="left"/>
              <w:rPr/>
            </w:pPr>
            <w:r>
              <w:rPr/>
              <w:t>SOLE DISPOSITIVE POWER</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REPORTING</w:t>
            </w:r>
          </w:p>
        </w:tc>
        <w:tc>
          <w:tcPr>
            <w:tcW w:w="653"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PERSON</w:t>
            </w:r>
          </w:p>
        </w:tc>
        <w:tc>
          <w:tcPr>
            <w:tcW w:w="653"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jc w:val="left"/>
              <w:rPr/>
            </w:pPr>
            <w:r>
              <w:rPr/>
              <w:t>53,707,221 Common Units+</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center"/>
          </w:tcPr>
          <w:p>
            <w:pPr>
              <w:pStyle w:val="TableContents"/>
              <w:spacing w:before="0" w:after="283"/>
              <w:rPr/>
            </w:pPr>
            <w:r>
              <w:rPr/>
              <w:t> </w:t>
            </w:r>
          </w:p>
        </w:tc>
        <w:tc>
          <w:tcPr>
            <w:tcW w:w="653" w:type="dxa"/>
            <w:tcBorders>
              <w:top w:val="single" w:sz="2" w:space="0" w:color="000000"/>
              <w:left w:val="single" w:sz="2" w:space="0" w:color="000000"/>
              <w:right w:val="single" w:sz="2" w:space="0" w:color="000000"/>
            </w:tcBorders>
            <w:shd w:fill="auto" w:val="clear"/>
            <w:tcMar>
              <w:bottom w:w="0" w:type="dxa"/>
            </w:tcMar>
            <w:vAlign w:val="center"/>
          </w:tcPr>
          <w:p>
            <w:pPr>
              <w:pStyle w:val="TableContents"/>
              <w:spacing w:before="0" w:after="283"/>
              <w:jc w:val="left"/>
              <w:rPr/>
            </w:pPr>
            <w:r>
              <w:rPr/>
              <w:t> </w:t>
            </w:r>
          </w:p>
        </w:tc>
        <w:tc>
          <w:tcPr>
            <w:tcW w:w="163"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7065" w:type="dxa"/>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WITH</w:t>
            </w:r>
          </w:p>
        </w:tc>
        <w:tc>
          <w:tcPr>
            <w:tcW w:w="653" w:type="dxa"/>
            <w:vMerge w:val="restart"/>
            <w:tcBorders>
              <w:left w:val="single" w:sz="2" w:space="0" w:color="000000"/>
              <w:right w:val="single" w:sz="2" w:space="0" w:color="000000"/>
            </w:tcBorders>
            <w:shd w:fill="auto" w:val="clear"/>
            <w:tcMar>
              <w:top w:w="0" w:type="dxa"/>
              <w:bottom w:w="0" w:type="dxa"/>
            </w:tcMar>
            <w:vAlign w:val="center"/>
          </w:tcPr>
          <w:p>
            <w:pPr>
              <w:pStyle w:val="TableContents"/>
              <w:spacing w:before="0" w:after="283"/>
              <w:jc w:val="center"/>
              <w:rPr>
                <w:b/>
                <w:sz w:val="30"/>
              </w:rPr>
            </w:pPr>
            <w:r>
              <w:rPr>
                <w:b/>
                <w:sz w:val="30"/>
              </w:rPr>
              <w:t>10</w:t>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jc w:val="left"/>
              <w:rPr/>
            </w:pPr>
            <w:r>
              <w:rPr/>
              <w:t>SHARED DISPOSITIVE POWER</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 </w:t>
            </w:r>
          </w:p>
        </w:tc>
        <w:tc>
          <w:tcPr>
            <w:tcW w:w="653"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2242" w:type="dxa"/>
            <w:gridSpan w:val="3"/>
            <w:tcBorders/>
            <w:shd w:fill="auto" w:val="clear"/>
            <w:vAlign w:val="bottom"/>
          </w:tcPr>
          <w:p>
            <w:pPr>
              <w:pStyle w:val="TableContents"/>
              <w:spacing w:before="0" w:after="283"/>
              <w:jc w:val="center"/>
              <w:rPr/>
            </w:pPr>
            <w:r>
              <w:rPr/>
              <w:t> </w:t>
            </w:r>
          </w:p>
        </w:tc>
        <w:tc>
          <w:tcPr>
            <w:tcW w:w="653" w:type="dxa"/>
            <w:vMerge w:val="continue"/>
            <w:tcBorders>
              <w:left w:val="single" w:sz="2" w:space="0" w:color="000000"/>
              <w:right w:val="single" w:sz="2" w:space="0" w:color="000000"/>
            </w:tcBorders>
            <w:shd w:fill="auto" w:val="clear"/>
            <w:tcMar>
              <w:top w:w="0" w:type="dxa"/>
              <w:bottom w:w="0" w:type="dxa"/>
            </w:tcMar>
            <w:vAlign w:val="center"/>
          </w:tcPr>
          <w:p>
            <w:pPr>
              <w:pStyle w:val="Normal"/>
              <w:rPr/>
            </w:pPr>
            <w:r>
              <w:rPr/>
            </w:r>
          </w:p>
        </w:tc>
        <w:tc>
          <w:tcPr>
            <w:tcW w:w="163" w:type="dxa"/>
            <w:tcBorders/>
            <w:shd w:fill="auto" w:val="clear"/>
            <w:vAlign w:val="bottom"/>
          </w:tcPr>
          <w:p>
            <w:pPr>
              <w:pStyle w:val="TableContents"/>
              <w:spacing w:before="0" w:after="283"/>
              <w:rPr/>
            </w:pPr>
            <w:r>
              <w:rPr/>
              <w:t> </w:t>
            </w:r>
          </w:p>
        </w:tc>
        <w:tc>
          <w:tcPr>
            <w:tcW w:w="7065" w:type="dxa"/>
            <w:tcBorders/>
            <w:shd w:fill="auto" w:val="clear"/>
            <w:vAlign w:val="bottom"/>
          </w:tcPr>
          <w:p>
            <w:pPr>
              <w:pStyle w:val="TableContents"/>
              <w:spacing w:before="0" w:after="283"/>
              <w:jc w:val="left"/>
              <w:rPr/>
            </w:pPr>
            <w:r>
              <w:rPr/>
              <w:t>0 Common Units</w:t>
            </w:r>
          </w:p>
        </w:tc>
        <w:tc>
          <w:tcPr>
            <w:tcW w:w="82" w:type="dxa"/>
            <w:tcBorders/>
            <w:shd w:fill="auto" w:val="clear"/>
          </w:tcPr>
          <w:p>
            <w:pPr>
              <w:pStyle w:val="TableContents"/>
              <w:spacing w:before="0" w:after="283"/>
              <w:rPr>
                <w:sz w:val="4"/>
                <w:szCs w:val="4"/>
              </w:rPr>
            </w:pPr>
            <w:r>
              <w:rPr>
                <w:sz w:val="4"/>
                <w:szCs w:val="4"/>
              </w:rPr>
            </w:r>
          </w:p>
        </w:tc>
      </w:tr>
      <w:tr>
        <w:trPr/>
        <w:tc>
          <w:tcPr>
            <w:tcW w:w="1259"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49"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15"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restart"/>
            <w:tcBorders/>
            <w:shd w:fill="auto" w:val="clear"/>
            <w:vAlign w:val="center"/>
          </w:tcPr>
          <w:p>
            <w:pPr>
              <w:pStyle w:val="TableContents"/>
              <w:spacing w:before="0" w:after="283"/>
              <w:jc w:val="center"/>
              <w:rPr>
                <w:b/>
                <w:sz w:val="30"/>
              </w:rPr>
            </w:pPr>
            <w:r>
              <w:rPr>
                <w:b/>
                <w:sz w:val="30"/>
              </w:rPr>
              <w:t>11</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AGGREGATE AMOUNT BENEFICIALLY OWNED BY EACH REPORTING PERSON</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53,707,221 Common Units+</w:t>
            </w:r>
          </w:p>
        </w:tc>
        <w:tc>
          <w:tcPr>
            <w:tcW w:w="82" w:type="dxa"/>
            <w:tcBorders/>
            <w:shd w:fill="auto" w:val="clear"/>
          </w:tcPr>
          <w:p>
            <w:pPr>
              <w:pStyle w:val="TableContents"/>
              <w:spacing w:before="0" w:after="283"/>
              <w:rPr>
                <w:sz w:val="4"/>
                <w:szCs w:val="4"/>
              </w:rPr>
            </w:pPr>
            <w:r>
              <w:rPr>
                <w:sz w:val="4"/>
                <w:szCs w:val="4"/>
              </w:rPr>
            </w:r>
          </w:p>
        </w:tc>
      </w:tr>
      <w:tr>
        <w:trPr/>
        <w:tc>
          <w:tcPr>
            <w:tcW w:w="1259"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49"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15"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restart"/>
            <w:tcBorders/>
            <w:shd w:fill="auto" w:val="clear"/>
            <w:vAlign w:val="center"/>
          </w:tcPr>
          <w:p>
            <w:pPr>
              <w:pStyle w:val="TableContents"/>
              <w:spacing w:before="0" w:after="283"/>
              <w:jc w:val="center"/>
              <w:rPr>
                <w:b/>
                <w:sz w:val="30"/>
              </w:rPr>
            </w:pPr>
            <w:r>
              <w:rPr>
                <w:b/>
                <w:sz w:val="30"/>
              </w:rPr>
              <w:t>12</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xml:space="preserve">CHECK BOX IF THE AGGREGATE AMOUNT IN ROW (11) EXCLUDES CERTAIN SHARES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rFonts w:ascii="wingdings" w:hAnsi="wingdings"/>
                <w:sz w:val="20"/>
              </w:rPr>
              <w:t>o</w:t>
            </w:r>
            <w:r>
              <w:rPr/>
              <w:t xml:space="preserve"> </w:t>
            </w:r>
          </w:p>
        </w:tc>
        <w:tc>
          <w:tcPr>
            <w:tcW w:w="82" w:type="dxa"/>
            <w:tcBorders/>
            <w:shd w:fill="auto" w:val="clear"/>
          </w:tcPr>
          <w:p>
            <w:pPr>
              <w:pStyle w:val="TableContents"/>
              <w:spacing w:before="0" w:after="283"/>
              <w:rPr>
                <w:sz w:val="4"/>
                <w:szCs w:val="4"/>
              </w:rPr>
            </w:pPr>
            <w:r>
              <w:rPr>
                <w:sz w:val="4"/>
                <w:szCs w:val="4"/>
              </w:rPr>
            </w:r>
          </w:p>
        </w:tc>
      </w:tr>
      <w:tr>
        <w:trPr/>
        <w:tc>
          <w:tcPr>
            <w:tcW w:w="1259"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49"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15"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restart"/>
            <w:tcBorders/>
            <w:shd w:fill="auto" w:val="clear"/>
            <w:vAlign w:val="center"/>
          </w:tcPr>
          <w:p>
            <w:pPr>
              <w:pStyle w:val="TableContents"/>
              <w:spacing w:before="0" w:after="283"/>
              <w:jc w:val="center"/>
              <w:rPr>
                <w:b/>
                <w:sz w:val="30"/>
              </w:rPr>
            </w:pPr>
            <w:r>
              <w:rPr>
                <w:b/>
                <w:sz w:val="30"/>
              </w:rPr>
              <w:t>13</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PERCENT OF CLASS REPRESENTED BY AMOUNT IN ROW (11)</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63.5% of Common Units on a fully diluted basis</w:t>
            </w:r>
          </w:p>
        </w:tc>
        <w:tc>
          <w:tcPr>
            <w:tcW w:w="82" w:type="dxa"/>
            <w:tcBorders/>
            <w:shd w:fill="auto" w:val="clear"/>
          </w:tcPr>
          <w:p>
            <w:pPr>
              <w:pStyle w:val="TableContents"/>
              <w:spacing w:before="0" w:after="283"/>
              <w:rPr>
                <w:sz w:val="4"/>
                <w:szCs w:val="4"/>
              </w:rPr>
            </w:pPr>
            <w:r>
              <w:rPr>
                <w:sz w:val="4"/>
                <w:szCs w:val="4"/>
              </w:rPr>
            </w:r>
          </w:p>
        </w:tc>
      </w:tr>
      <w:tr>
        <w:trPr/>
        <w:tc>
          <w:tcPr>
            <w:tcW w:w="1259" w:type="dxa"/>
            <w:tcBorders>
              <w:top w:val="single" w:sz="2" w:space="0" w:color="000000"/>
            </w:tcBorders>
            <w:shd w:fill="auto" w:val="clear"/>
            <w:tcMar>
              <w:left w:w="0" w:type="dxa"/>
              <w:bottom w:w="0" w:type="dxa"/>
              <w:right w:w="0" w:type="dxa"/>
            </w:tcMar>
            <w:vAlign w:val="center"/>
          </w:tcPr>
          <w:p>
            <w:pPr>
              <w:pStyle w:val="TableContents"/>
              <w:spacing w:before="0" w:after="283"/>
              <w:rPr/>
            </w:pPr>
            <w:r>
              <w:rPr/>
              <w:t> </w:t>
            </w:r>
          </w:p>
        </w:tc>
        <w:tc>
          <w:tcPr>
            <w:tcW w:w="349" w:type="dxa"/>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pPr>
            <w:r>
              <w:rPr/>
              <w:t> </w:t>
            </w:r>
          </w:p>
        </w:tc>
        <w:tc>
          <w:tcPr>
            <w:tcW w:w="8515" w:type="dxa"/>
            <w:gridSpan w:val="4"/>
            <w:tcBorders>
              <w:top w:val="single" w:sz="2" w:space="0" w:color="000000"/>
            </w:tcBorders>
            <w:shd w:fill="auto" w:val="clear"/>
            <w:tcMar>
              <w:left w:w="0" w:type="dxa"/>
              <w:bottom w:w="0" w:type="dxa"/>
              <w:right w:w="0" w:type="dxa"/>
            </w:tcMar>
            <w:vAlign w:val="center"/>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restart"/>
            <w:tcBorders/>
            <w:shd w:fill="auto" w:val="clear"/>
            <w:vAlign w:val="center"/>
          </w:tcPr>
          <w:p>
            <w:pPr>
              <w:pStyle w:val="TableContents"/>
              <w:spacing w:before="0" w:after="283"/>
              <w:jc w:val="center"/>
              <w:rPr>
                <w:b/>
                <w:sz w:val="30"/>
              </w:rPr>
            </w:pPr>
            <w:r>
              <w:rPr>
                <w:b/>
                <w:sz w:val="30"/>
              </w:rPr>
              <w:t>14</w:t>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xml:space="preserve">TYPE OF REPORTING PERSON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 </w:t>
            </w:r>
          </w:p>
        </w:tc>
        <w:tc>
          <w:tcPr>
            <w:tcW w:w="82" w:type="dxa"/>
            <w:tcBorders/>
            <w:shd w:fill="auto" w:val="clear"/>
          </w:tcPr>
          <w:p>
            <w:pPr>
              <w:pStyle w:val="TableContents"/>
              <w:spacing w:before="0" w:after="283"/>
              <w:rPr>
                <w:sz w:val="4"/>
                <w:szCs w:val="4"/>
              </w:rPr>
            </w:pPr>
            <w:r>
              <w:rPr>
                <w:sz w:val="4"/>
                <w:szCs w:val="4"/>
              </w:rPr>
            </w:r>
          </w:p>
        </w:tc>
      </w:tr>
      <w:tr>
        <w:trPr/>
        <w:tc>
          <w:tcPr>
            <w:tcW w:w="1259" w:type="dxa"/>
            <w:vMerge w:val="continue"/>
            <w:tcBorders/>
            <w:shd w:fill="auto" w:val="clear"/>
            <w:vAlign w:val="center"/>
          </w:tcPr>
          <w:p>
            <w:pPr>
              <w:pStyle w:val="Normal"/>
              <w:rPr/>
            </w:pPr>
            <w:r>
              <w:rPr/>
            </w:r>
          </w:p>
        </w:tc>
        <w:tc>
          <w:tcPr>
            <w:tcW w:w="349" w:type="dxa"/>
            <w:tcBorders>
              <w:left w:val="single" w:sz="2" w:space="0" w:color="000000"/>
            </w:tcBorders>
            <w:shd w:fill="auto" w:val="clear"/>
            <w:tcMar>
              <w:top w:w="0" w:type="dxa"/>
              <w:bottom w:w="0" w:type="dxa"/>
              <w:right w:w="0" w:type="dxa"/>
            </w:tcMar>
            <w:vAlign w:val="bottom"/>
          </w:tcPr>
          <w:p>
            <w:pPr>
              <w:pStyle w:val="TableContents"/>
              <w:spacing w:before="0" w:after="283"/>
              <w:rPr/>
            </w:pPr>
            <w:r>
              <w:rPr/>
              <w:t> </w:t>
            </w:r>
          </w:p>
        </w:tc>
        <w:tc>
          <w:tcPr>
            <w:tcW w:w="8515" w:type="dxa"/>
            <w:gridSpan w:val="4"/>
            <w:tcBorders/>
            <w:shd w:fill="auto" w:val="clear"/>
            <w:vAlign w:val="bottom"/>
          </w:tcPr>
          <w:p>
            <w:pPr>
              <w:pStyle w:val="TableContents"/>
              <w:spacing w:before="0" w:after="283"/>
              <w:jc w:val="left"/>
              <w:rPr/>
            </w:pPr>
            <w:r>
              <w:rPr/>
              <w:t>OO</w:t>
            </w:r>
          </w:p>
        </w:tc>
        <w:tc>
          <w:tcPr>
            <w:tcW w:w="82" w:type="dxa"/>
            <w:tcBorders/>
            <w:shd w:fill="auto" w:val="clear"/>
          </w:tcPr>
          <w:p>
            <w:pPr>
              <w:pStyle w:val="TableContents"/>
              <w:spacing w:before="0" w:after="283"/>
              <w:rPr>
                <w:sz w:val="4"/>
                <w:szCs w:val="4"/>
              </w:rPr>
            </w:pPr>
            <w:r>
              <w:rPr>
                <w:sz w:val="4"/>
                <w:szCs w:val="4"/>
              </w:rPr>
            </w:r>
          </w:p>
        </w:tc>
      </w:tr>
    </w:tbl>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798"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Includes 11,934,351 Series A Subordinated Units and 13,500,000 Series B Subordinated Units, each representing limited partner interests in the Issuer. The Series A Subordinated Units may be converted into Common Units on a one-for-one basis upon termination of the subordination period under certain circumstances, as set forth in the Second Amended and Restated Agreement of Limited Partnership of PAA Natural Gas Storage, L.P. (the </w:t>
            </w:r>
            <w:r>
              <w:rPr>
                <w:i/>
              </w:rPr>
              <w:t>Partnership Agreement</w:t>
            </w:r>
            <w:r>
              <w:rPr/>
              <w:t>). The Series B Subordinated Units may be converted into Series A Subordinated Units on a one-for-one basis upon the satisfaction of certain operational and financial conditions or, if the subordination period has ended at the time the various operation and financial conditions are satisfied, into Common Units on a one-for-one basis, as set forth in the Partnership Agreement.</w:t>
            </w:r>
          </w:p>
        </w:tc>
      </w:tr>
    </w:tbl>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1. Security and Issuer</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This Schedule 13D (</w:t>
      </w:r>
      <w:r>
        <w:rPr>
          <w:rFonts w:ascii="Times New Roman;Times;serif" w:hAnsi="Times New Roman;Times;serif"/>
          <w:i/>
          <w:sz w:val="17"/>
        </w:rPr>
        <w:t>Schedule 13D</w:t>
      </w:r>
      <w:r>
        <w:rPr>
          <w:rFonts w:ascii="Times New Roman;Times;serif" w:hAnsi="Times New Roman;Times;serif"/>
          <w:sz w:val="17"/>
        </w:rPr>
        <w:t>) relates to the common units representing limited partner interests (the </w:t>
      </w:r>
      <w:r>
        <w:rPr>
          <w:rFonts w:ascii="Times New Roman;Times;serif" w:hAnsi="Times New Roman;Times;serif"/>
          <w:i/>
          <w:sz w:val="17"/>
        </w:rPr>
        <w:t>Common Units</w:t>
      </w:r>
      <w:r>
        <w:rPr>
          <w:rFonts w:ascii="Times New Roman;Times;serif" w:hAnsi="Times New Roman;Times;serif"/>
          <w:sz w:val="17"/>
        </w:rPr>
        <w:t>) of PAA Natural Gas Storage, L.P., a Delaware limited partnership (the </w:t>
      </w:r>
      <w:r>
        <w:rPr>
          <w:rFonts w:ascii="Times New Roman;Times;serif" w:hAnsi="Times New Roman;Times;serif"/>
          <w:i/>
          <w:sz w:val="17"/>
        </w:rPr>
        <w:t>Issuer</w:t>
      </w:r>
      <w:r>
        <w:rPr>
          <w:rFonts w:ascii="Times New Roman;Times;serif" w:hAnsi="Times New Roman;Times;serif"/>
          <w:sz w:val="17"/>
        </w:rPr>
        <w:t> or the </w:t>
      </w:r>
      <w:r>
        <w:rPr>
          <w:rFonts w:ascii="Times New Roman;Times;serif" w:hAnsi="Times New Roman;Times;serif"/>
          <w:i/>
          <w:sz w:val="17"/>
        </w:rPr>
        <w:t>Partnership</w:t>
      </w:r>
      <w:r>
        <w:rPr>
          <w:rFonts w:ascii="Times New Roman;Times;serif" w:hAnsi="Times New Roman;Times;serif"/>
          <w:sz w:val="17"/>
        </w:rPr>
        <w:t xml:space="preserve">), which has its principal executive offices at 333 Clay Street, Suite 1500, Houston, Texas 77002. </w:t>
      </w:r>
    </w:p>
    <w:p>
      <w:pPr>
        <w:pStyle w:val="TextBody"/>
        <w:spacing w:before="240" w:after="283"/>
        <w:jc w:val="left"/>
        <w:rPr>
          <w:rFonts w:ascii="Times New Roman;Times;serif" w:hAnsi="Times New Roman;Times;serif"/>
          <w:sz w:val="17"/>
        </w:rPr>
      </w:pPr>
      <w:bookmarkStart w:id="2" w:name="H79686001"/>
      <w:bookmarkEnd w:id="2"/>
      <w:r>
        <w:rPr>
          <w:rFonts w:ascii="Times New Roman;Times;serif" w:hAnsi="Times New Roman;Times;serif"/>
          <w:b/>
          <w:sz w:val="17"/>
        </w:rPr>
        <w:t>Item 2. Identity and Background</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307"/>
        <w:gridCol w:w="285"/>
        <w:gridCol w:w="116"/>
        <w:gridCol w:w="9497"/>
      </w:tblGrid>
      <w:tr>
        <w:trPr/>
        <w:tc>
          <w:tcPr>
            <w:tcW w:w="307" w:type="dxa"/>
            <w:tcBorders/>
            <w:shd w:fill="auto" w:val="clear"/>
          </w:tcPr>
          <w:p>
            <w:pPr>
              <w:pStyle w:val="TableContents"/>
              <w:spacing w:before="0" w:after="283"/>
              <w:rPr/>
            </w:pPr>
            <w:r>
              <w:rPr/>
              <w:t> </w:t>
            </w:r>
          </w:p>
        </w:tc>
        <w:tc>
          <w:tcPr>
            <w:tcW w:w="285" w:type="dxa"/>
            <w:tcBorders/>
            <w:shd w:fill="auto" w:val="clear"/>
          </w:tcPr>
          <w:p>
            <w:pPr>
              <w:pStyle w:val="TableContents"/>
              <w:spacing w:before="0" w:after="283"/>
              <w:jc w:val="left"/>
              <w:rPr/>
            </w:pPr>
            <w:r>
              <w:rPr/>
              <w:t>(a)</w:t>
            </w:r>
          </w:p>
        </w:tc>
        <w:tc>
          <w:tcPr>
            <w:tcW w:w="116" w:type="dxa"/>
            <w:tcBorders/>
            <w:shd w:fill="auto" w:val="clear"/>
          </w:tcPr>
          <w:p>
            <w:pPr>
              <w:pStyle w:val="TableContents"/>
              <w:spacing w:before="0" w:after="283"/>
              <w:rPr/>
            </w:pPr>
            <w:r>
              <w:rPr/>
              <w:t> </w:t>
            </w:r>
          </w:p>
        </w:tc>
        <w:tc>
          <w:tcPr>
            <w:tcW w:w="9497" w:type="dxa"/>
            <w:tcBorders/>
            <w:shd w:fill="auto" w:val="clear"/>
          </w:tcPr>
          <w:p>
            <w:pPr>
              <w:pStyle w:val="TableContents"/>
              <w:spacing w:before="0" w:after="283"/>
              <w:rPr/>
            </w:pPr>
            <w:r>
              <w:rPr>
                <w:i/>
              </w:rPr>
              <w:t>Name of Persons Filing this Schedule 13D</w:t>
            </w:r>
            <w:r>
              <w:rPr/>
              <w:t>:</w:t>
            </w:r>
          </w:p>
        </w:tc>
      </w:tr>
    </w:tbl>
    <w:tbl>
      <w:tblPr>
        <w:tblW w:w="5000" w:type="pct"/>
        <w:jc w:val="left"/>
        <w:tblInd w:w="0" w:type="dxa"/>
        <w:tblCellMar>
          <w:top w:w="0" w:type="dxa"/>
          <w:left w:w="0" w:type="dxa"/>
          <w:bottom w:w="0" w:type="dxa"/>
          <w:right w:w="0" w:type="dxa"/>
        </w:tblCellMar>
      </w:tblPr>
      <w:tblGrid>
        <w:gridCol w:w="601"/>
        <w:gridCol w:w="293"/>
        <w:gridCol w:w="117"/>
        <w:gridCol w:w="9194"/>
      </w:tblGrid>
      <w:tr>
        <w:trPr/>
        <w:tc>
          <w:tcPr>
            <w:tcW w:w="601" w:type="dxa"/>
            <w:tcBorders/>
            <w:shd w:fill="auto" w:val="clear"/>
          </w:tcPr>
          <w:p>
            <w:pPr>
              <w:pStyle w:val="TableContents"/>
              <w:spacing w:before="0" w:after="283"/>
              <w:rPr/>
            </w:pPr>
            <w:r>
              <w:rPr/>
              <w:t> </w:t>
            </w:r>
          </w:p>
        </w:tc>
        <w:tc>
          <w:tcPr>
            <w:tcW w:w="293" w:type="dxa"/>
            <w:tcBorders/>
            <w:shd w:fill="auto" w:val="clear"/>
          </w:tcPr>
          <w:p>
            <w:pPr>
              <w:pStyle w:val="TableContents"/>
              <w:spacing w:before="0" w:after="283"/>
              <w:jc w:val="left"/>
              <w:rPr/>
            </w:pPr>
            <w:r>
              <w:rPr/>
              <w:t>(1)</w:t>
            </w:r>
          </w:p>
        </w:tc>
        <w:tc>
          <w:tcPr>
            <w:tcW w:w="117" w:type="dxa"/>
            <w:tcBorders/>
            <w:shd w:fill="auto" w:val="clear"/>
          </w:tcPr>
          <w:p>
            <w:pPr>
              <w:pStyle w:val="TableContents"/>
              <w:spacing w:before="0" w:after="283"/>
              <w:rPr/>
            </w:pPr>
            <w:r>
              <w:rPr/>
              <w:t> </w:t>
            </w:r>
          </w:p>
        </w:tc>
        <w:tc>
          <w:tcPr>
            <w:tcW w:w="9194" w:type="dxa"/>
            <w:tcBorders/>
            <w:shd w:fill="auto" w:val="clear"/>
          </w:tcPr>
          <w:p>
            <w:pPr>
              <w:pStyle w:val="TableContents"/>
              <w:spacing w:before="0" w:after="283"/>
              <w:rPr/>
            </w:pPr>
            <w:r>
              <w:rPr/>
              <w:t>Plains All American Pipeline, L.P., a Delaware limited partnership (</w:t>
            </w:r>
            <w:r>
              <w:rPr>
                <w:i/>
              </w:rPr>
              <w:t>PAA</w:t>
            </w:r>
            <w:r>
              <w:rPr/>
              <w:t>),</w:t>
            </w:r>
          </w:p>
        </w:tc>
      </w:tr>
      <w:tr>
        <w:trPr/>
        <w:tc>
          <w:tcPr>
            <w:tcW w:w="601" w:type="dxa"/>
            <w:tcBorders/>
            <w:shd w:fill="auto" w:val="clear"/>
            <w:vAlign w:val="center"/>
          </w:tcPr>
          <w:p>
            <w:pPr>
              <w:pStyle w:val="TableContents"/>
              <w:spacing w:before="0" w:after="283"/>
              <w:rPr/>
            </w:pPr>
            <w:r>
              <w:rPr/>
              <w:t> </w:t>
            </w:r>
          </w:p>
        </w:tc>
        <w:tc>
          <w:tcPr>
            <w:tcW w:w="9604" w:type="dxa"/>
            <w:gridSpan w:val="3"/>
            <w:tcBorders/>
            <w:shd w:fill="auto" w:val="clear"/>
          </w:tcPr>
          <w:p>
            <w:pPr>
              <w:pStyle w:val="TableContents"/>
              <w:spacing w:before="0" w:after="283"/>
              <w:rPr>
                <w:sz w:val="4"/>
                <w:szCs w:val="4"/>
              </w:rPr>
            </w:pPr>
            <w:r>
              <w:rPr>
                <w:sz w:val="4"/>
                <w:szCs w:val="4"/>
              </w:rPr>
            </w:r>
          </w:p>
        </w:tc>
      </w:tr>
      <w:tr>
        <w:trPr/>
        <w:tc>
          <w:tcPr>
            <w:tcW w:w="601" w:type="dxa"/>
            <w:tcBorders/>
            <w:shd w:fill="auto" w:val="clear"/>
          </w:tcPr>
          <w:p>
            <w:pPr>
              <w:pStyle w:val="TableContents"/>
              <w:spacing w:before="0" w:after="283"/>
              <w:rPr/>
            </w:pPr>
            <w:r>
              <w:rPr/>
              <w:t> </w:t>
            </w:r>
          </w:p>
        </w:tc>
        <w:tc>
          <w:tcPr>
            <w:tcW w:w="293" w:type="dxa"/>
            <w:tcBorders/>
            <w:shd w:fill="auto" w:val="clear"/>
          </w:tcPr>
          <w:p>
            <w:pPr>
              <w:pStyle w:val="TableContents"/>
              <w:spacing w:before="0" w:after="283"/>
              <w:jc w:val="left"/>
              <w:rPr/>
            </w:pPr>
            <w:r>
              <w:rPr/>
              <w:t>(2)</w:t>
            </w:r>
          </w:p>
        </w:tc>
        <w:tc>
          <w:tcPr>
            <w:tcW w:w="117" w:type="dxa"/>
            <w:tcBorders/>
            <w:shd w:fill="auto" w:val="clear"/>
          </w:tcPr>
          <w:p>
            <w:pPr>
              <w:pStyle w:val="TableContents"/>
              <w:spacing w:before="0" w:after="283"/>
              <w:rPr/>
            </w:pPr>
            <w:r>
              <w:rPr/>
              <w:t> </w:t>
            </w:r>
          </w:p>
        </w:tc>
        <w:tc>
          <w:tcPr>
            <w:tcW w:w="9194" w:type="dxa"/>
            <w:tcBorders/>
            <w:shd w:fill="auto" w:val="clear"/>
          </w:tcPr>
          <w:p>
            <w:pPr>
              <w:pStyle w:val="TableContents"/>
              <w:spacing w:before="0" w:after="283"/>
              <w:rPr/>
            </w:pPr>
            <w:r>
              <w:rPr/>
              <w:t>PAA GP LLC, a Delaware limited liability company (</w:t>
            </w:r>
            <w:r>
              <w:rPr>
                <w:i/>
              </w:rPr>
              <w:t>General Partner</w:t>
            </w:r>
            <w:r>
              <w:rPr/>
              <w:t>),</w:t>
            </w:r>
          </w:p>
        </w:tc>
      </w:tr>
      <w:tr>
        <w:trPr/>
        <w:tc>
          <w:tcPr>
            <w:tcW w:w="601" w:type="dxa"/>
            <w:tcBorders/>
            <w:shd w:fill="auto" w:val="clear"/>
            <w:vAlign w:val="center"/>
          </w:tcPr>
          <w:p>
            <w:pPr>
              <w:pStyle w:val="TableContents"/>
              <w:spacing w:before="0" w:after="283"/>
              <w:rPr/>
            </w:pPr>
            <w:r>
              <w:rPr/>
              <w:t> </w:t>
            </w:r>
          </w:p>
        </w:tc>
        <w:tc>
          <w:tcPr>
            <w:tcW w:w="9604" w:type="dxa"/>
            <w:gridSpan w:val="3"/>
            <w:tcBorders/>
            <w:shd w:fill="auto" w:val="clear"/>
          </w:tcPr>
          <w:p>
            <w:pPr>
              <w:pStyle w:val="TableContents"/>
              <w:spacing w:before="0" w:after="283"/>
              <w:rPr>
                <w:sz w:val="4"/>
                <w:szCs w:val="4"/>
              </w:rPr>
            </w:pPr>
            <w:r>
              <w:rPr>
                <w:sz w:val="4"/>
                <w:szCs w:val="4"/>
              </w:rPr>
            </w:r>
          </w:p>
        </w:tc>
      </w:tr>
      <w:tr>
        <w:trPr/>
        <w:tc>
          <w:tcPr>
            <w:tcW w:w="601" w:type="dxa"/>
            <w:tcBorders/>
            <w:shd w:fill="auto" w:val="clear"/>
          </w:tcPr>
          <w:p>
            <w:pPr>
              <w:pStyle w:val="TableContents"/>
              <w:spacing w:before="0" w:after="283"/>
              <w:rPr/>
            </w:pPr>
            <w:r>
              <w:rPr/>
              <w:t> </w:t>
            </w:r>
          </w:p>
        </w:tc>
        <w:tc>
          <w:tcPr>
            <w:tcW w:w="293" w:type="dxa"/>
            <w:tcBorders/>
            <w:shd w:fill="auto" w:val="clear"/>
          </w:tcPr>
          <w:p>
            <w:pPr>
              <w:pStyle w:val="TableContents"/>
              <w:spacing w:before="0" w:after="283"/>
              <w:jc w:val="left"/>
              <w:rPr/>
            </w:pPr>
            <w:r>
              <w:rPr/>
              <w:t>(3)</w:t>
            </w:r>
          </w:p>
        </w:tc>
        <w:tc>
          <w:tcPr>
            <w:tcW w:w="117" w:type="dxa"/>
            <w:tcBorders/>
            <w:shd w:fill="auto" w:val="clear"/>
          </w:tcPr>
          <w:p>
            <w:pPr>
              <w:pStyle w:val="TableContents"/>
              <w:spacing w:before="0" w:after="283"/>
              <w:rPr/>
            </w:pPr>
            <w:r>
              <w:rPr/>
              <w:t> </w:t>
            </w:r>
          </w:p>
        </w:tc>
        <w:tc>
          <w:tcPr>
            <w:tcW w:w="9194" w:type="dxa"/>
            <w:tcBorders/>
            <w:shd w:fill="auto" w:val="clear"/>
          </w:tcPr>
          <w:p>
            <w:pPr>
              <w:pStyle w:val="TableContents"/>
              <w:spacing w:before="0" w:after="283"/>
              <w:rPr/>
            </w:pPr>
            <w:r>
              <w:rPr/>
              <w:t>Plains AAP, L.P., a Delaware limited partnership (</w:t>
            </w:r>
            <w:r>
              <w:rPr>
                <w:i/>
              </w:rPr>
              <w:t>AAP</w:t>
            </w:r>
            <w:r>
              <w:rPr/>
              <w:t>), and</w:t>
            </w:r>
          </w:p>
        </w:tc>
      </w:tr>
      <w:tr>
        <w:trPr/>
        <w:tc>
          <w:tcPr>
            <w:tcW w:w="601" w:type="dxa"/>
            <w:tcBorders/>
            <w:shd w:fill="auto" w:val="clear"/>
            <w:vAlign w:val="center"/>
          </w:tcPr>
          <w:p>
            <w:pPr>
              <w:pStyle w:val="TableContents"/>
              <w:spacing w:before="0" w:after="283"/>
              <w:rPr/>
            </w:pPr>
            <w:r>
              <w:rPr/>
              <w:t> </w:t>
            </w:r>
          </w:p>
        </w:tc>
        <w:tc>
          <w:tcPr>
            <w:tcW w:w="9604" w:type="dxa"/>
            <w:gridSpan w:val="3"/>
            <w:tcBorders/>
            <w:shd w:fill="auto" w:val="clear"/>
          </w:tcPr>
          <w:p>
            <w:pPr>
              <w:pStyle w:val="TableContents"/>
              <w:spacing w:before="0" w:after="283"/>
              <w:rPr>
                <w:sz w:val="4"/>
                <w:szCs w:val="4"/>
              </w:rPr>
            </w:pPr>
            <w:r>
              <w:rPr>
                <w:sz w:val="4"/>
                <w:szCs w:val="4"/>
              </w:rPr>
            </w:r>
          </w:p>
        </w:tc>
      </w:tr>
      <w:tr>
        <w:trPr/>
        <w:tc>
          <w:tcPr>
            <w:tcW w:w="601" w:type="dxa"/>
            <w:tcBorders/>
            <w:shd w:fill="auto" w:val="clear"/>
          </w:tcPr>
          <w:p>
            <w:pPr>
              <w:pStyle w:val="TableContents"/>
              <w:spacing w:before="0" w:after="283"/>
              <w:rPr/>
            </w:pPr>
            <w:r>
              <w:rPr/>
              <w:t> </w:t>
            </w:r>
          </w:p>
        </w:tc>
        <w:tc>
          <w:tcPr>
            <w:tcW w:w="293" w:type="dxa"/>
            <w:tcBorders/>
            <w:shd w:fill="auto" w:val="clear"/>
          </w:tcPr>
          <w:p>
            <w:pPr>
              <w:pStyle w:val="TableContents"/>
              <w:spacing w:before="0" w:after="283"/>
              <w:jc w:val="left"/>
              <w:rPr/>
            </w:pPr>
            <w:r>
              <w:rPr/>
              <w:t>(4)</w:t>
            </w:r>
          </w:p>
        </w:tc>
        <w:tc>
          <w:tcPr>
            <w:tcW w:w="117" w:type="dxa"/>
            <w:tcBorders/>
            <w:shd w:fill="auto" w:val="clear"/>
          </w:tcPr>
          <w:p>
            <w:pPr>
              <w:pStyle w:val="TableContents"/>
              <w:spacing w:before="0" w:after="283"/>
              <w:rPr/>
            </w:pPr>
            <w:r>
              <w:rPr/>
              <w:t> </w:t>
            </w:r>
          </w:p>
        </w:tc>
        <w:tc>
          <w:tcPr>
            <w:tcW w:w="9194" w:type="dxa"/>
            <w:tcBorders/>
            <w:shd w:fill="auto" w:val="clear"/>
          </w:tcPr>
          <w:p>
            <w:pPr>
              <w:pStyle w:val="TableContents"/>
              <w:spacing w:before="0" w:after="283"/>
              <w:rPr/>
            </w:pPr>
            <w:r>
              <w:rPr/>
              <w:t>Plains All American GP LLC, a Delaware limited liability company (</w:t>
            </w:r>
            <w:r>
              <w:rPr>
                <w:i/>
              </w:rPr>
              <w:t>GP LLC</w:t>
            </w:r>
            <w:r>
              <w:rPr/>
              <w:t> and, together with PAA, GP LLC and AAP, the </w:t>
            </w:r>
            <w:r>
              <w:rPr>
                <w:i/>
              </w:rPr>
              <w:t>Reporting Persons</w:t>
            </w:r>
            <w:r>
              <w:rPr/>
              <w:t>).</w:t>
            </w:r>
          </w:p>
        </w:tc>
      </w:tr>
    </w:tbl>
    <w:tbl>
      <w:tblPr>
        <w:tblW w:w="5000" w:type="pct"/>
        <w:jc w:val="left"/>
        <w:tblInd w:w="0" w:type="dxa"/>
        <w:tblCellMar>
          <w:top w:w="0" w:type="dxa"/>
          <w:left w:w="0" w:type="dxa"/>
          <w:bottom w:w="0" w:type="dxa"/>
          <w:right w:w="0" w:type="dxa"/>
        </w:tblCellMar>
      </w:tblPr>
      <w:tblGrid>
        <w:gridCol w:w="304"/>
        <w:gridCol w:w="203"/>
        <w:gridCol w:w="101"/>
        <w:gridCol w:w="9597"/>
      </w:tblGrid>
      <w:tr>
        <w:trPr/>
        <w:tc>
          <w:tcPr>
            <w:tcW w:w="304"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pPr>
            <w:r>
              <w:rPr/>
              <w:t>General Partner is the sole general partner of PAA, the record holder of the Common Units. AAP is the sole member of General Partner and GP LLC is the sole general partner of AAP. Accordingly, General Partner, AAP and GP LLC may, pursuant to Rule 13d-3, be deemed to be indirect beneficial owners of any securities held by PAA. Accordingly the Reporting Persons are hereby filing a joint Schedule 13D.</w:t>
            </w:r>
          </w:p>
        </w:tc>
      </w:tr>
      <w:tr>
        <w:trPr/>
        <w:tc>
          <w:tcPr>
            <w:tcW w:w="304" w:type="dxa"/>
            <w:tcBorders/>
            <w:shd w:fill="auto" w:val="clear"/>
            <w:vAlign w:val="center"/>
          </w:tcPr>
          <w:p>
            <w:pPr>
              <w:pStyle w:val="TableContents"/>
              <w:spacing w:before="0" w:after="283"/>
              <w:rPr/>
            </w:pPr>
            <w:r>
              <w:rPr/>
              <w:t> </w:t>
            </w:r>
          </w:p>
        </w:tc>
        <w:tc>
          <w:tcPr>
            <w:tcW w:w="9901" w:type="dxa"/>
            <w:gridSpan w:val="3"/>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pPr>
            <w:r>
              <w:rPr/>
              <w:t>PAA is also the sole member of PNGS GP LLC, which is the general partner of the Issuer. Therefore, PAA (and the other Reporting Persons) may also, pursuant to Rule 13d-3, be deemed to beneficially own the general partner interest and incentive distribution rights (representing the right to receive increasing percentages of quarterly distributions in excess of specified amounts) in the Issuer, which are owned by PNGS GP LLC.</w:t>
            </w:r>
          </w:p>
        </w:tc>
      </w:tr>
    </w:tbl>
    <w:tbl>
      <w:tblPr>
        <w:tblW w:w="5000" w:type="pct"/>
        <w:jc w:val="left"/>
        <w:tblInd w:w="0" w:type="dxa"/>
        <w:tblCellMar>
          <w:top w:w="0" w:type="dxa"/>
          <w:left w:w="0" w:type="dxa"/>
          <w:bottom w:w="0" w:type="dxa"/>
          <w:right w:w="0" w:type="dxa"/>
        </w:tblCellMar>
      </w:tblPr>
      <w:tblGrid>
        <w:gridCol w:w="311"/>
        <w:gridCol w:w="299"/>
        <w:gridCol w:w="118"/>
        <w:gridCol w:w="9477"/>
      </w:tblGrid>
      <w:tr>
        <w:trPr/>
        <w:tc>
          <w:tcPr>
            <w:tcW w:w="311" w:type="dxa"/>
            <w:tcBorders/>
            <w:shd w:fill="auto" w:val="clear"/>
          </w:tcPr>
          <w:p>
            <w:pPr>
              <w:pStyle w:val="TableContents"/>
              <w:spacing w:before="0" w:after="283"/>
              <w:rPr/>
            </w:pPr>
            <w:r>
              <w:rPr/>
              <w:t> </w:t>
            </w:r>
          </w:p>
        </w:tc>
        <w:tc>
          <w:tcPr>
            <w:tcW w:w="299" w:type="dxa"/>
            <w:tcBorders/>
            <w:shd w:fill="auto" w:val="clear"/>
          </w:tcPr>
          <w:p>
            <w:pPr>
              <w:pStyle w:val="TableContents"/>
              <w:spacing w:before="0" w:after="283"/>
              <w:jc w:val="left"/>
              <w:rPr/>
            </w:pPr>
            <w:r>
              <w:rPr/>
              <w:t>(b)</w:t>
            </w:r>
          </w:p>
        </w:tc>
        <w:tc>
          <w:tcPr>
            <w:tcW w:w="118" w:type="dxa"/>
            <w:tcBorders/>
            <w:shd w:fill="auto" w:val="clear"/>
          </w:tcPr>
          <w:p>
            <w:pPr>
              <w:pStyle w:val="TableContents"/>
              <w:spacing w:before="0" w:after="283"/>
              <w:rPr/>
            </w:pPr>
            <w:r>
              <w:rPr/>
              <w:t> </w:t>
            </w:r>
          </w:p>
        </w:tc>
        <w:tc>
          <w:tcPr>
            <w:tcW w:w="9477" w:type="dxa"/>
            <w:tcBorders/>
            <w:shd w:fill="auto" w:val="clear"/>
          </w:tcPr>
          <w:p>
            <w:pPr>
              <w:pStyle w:val="TableContents"/>
              <w:spacing w:before="0" w:after="283"/>
              <w:rPr/>
            </w:pPr>
            <w:r>
              <w:rPr>
                <w:i/>
              </w:rPr>
              <w:t>Principal Business Address and Principal Office Address of Reporting Persons</w:t>
            </w:r>
            <w:r>
              <w:rPr/>
              <w:t>:</w:t>
            </w:r>
          </w:p>
        </w:tc>
      </w:tr>
    </w:tbl>
    <w:tbl>
      <w:tblPr>
        <w:tblW w:w="5000" w:type="pct"/>
        <w:jc w:val="left"/>
        <w:tblInd w:w="0" w:type="dxa"/>
        <w:tblCellMar>
          <w:top w:w="0" w:type="dxa"/>
          <w:left w:w="0" w:type="dxa"/>
          <w:bottom w:w="0" w:type="dxa"/>
          <w:right w:w="0" w:type="dxa"/>
        </w:tblCellMar>
      </w:tblPr>
      <w:tblGrid>
        <w:gridCol w:w="602"/>
        <w:gridCol w:w="299"/>
        <w:gridCol w:w="118"/>
        <w:gridCol w:w="9186"/>
      </w:tblGrid>
      <w:tr>
        <w:trPr/>
        <w:tc>
          <w:tcPr>
            <w:tcW w:w="602" w:type="dxa"/>
            <w:tcBorders/>
            <w:shd w:fill="auto" w:val="clear"/>
          </w:tcPr>
          <w:p>
            <w:pPr>
              <w:pStyle w:val="TableContents"/>
              <w:spacing w:before="0" w:after="283"/>
              <w:rPr/>
            </w:pPr>
            <w:r>
              <w:rPr/>
              <w:t> </w:t>
            </w:r>
          </w:p>
        </w:tc>
        <w:tc>
          <w:tcPr>
            <w:tcW w:w="299" w:type="dxa"/>
            <w:tcBorders/>
            <w:shd w:fill="auto" w:val="clear"/>
          </w:tcPr>
          <w:p>
            <w:pPr>
              <w:pStyle w:val="TableContents"/>
              <w:spacing w:before="0" w:after="283"/>
              <w:jc w:val="left"/>
              <w:rPr/>
            </w:pPr>
            <w:r>
              <w:rPr/>
              <w:t>(1)</w:t>
            </w:r>
          </w:p>
        </w:tc>
        <w:tc>
          <w:tcPr>
            <w:tcW w:w="118"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The principal business address and principal office address of each of the Reporting Persons is 333 Clay Street, Suite 1600, Houston, Texas 77002.</w:t>
            </w:r>
          </w:p>
        </w:tc>
      </w:tr>
    </w:tbl>
    <w:tbl>
      <w:tblPr>
        <w:tblW w:w="5000" w:type="pct"/>
        <w:jc w:val="left"/>
        <w:tblInd w:w="0" w:type="dxa"/>
        <w:tblCellMar>
          <w:top w:w="0" w:type="dxa"/>
          <w:left w:w="0" w:type="dxa"/>
          <w:bottom w:w="0" w:type="dxa"/>
          <w:right w:w="0" w:type="dxa"/>
        </w:tblCellMar>
      </w:tblPr>
      <w:tblGrid>
        <w:gridCol w:w="308"/>
        <w:gridCol w:w="276"/>
        <w:gridCol w:w="114"/>
        <w:gridCol w:w="9507"/>
      </w:tblGrid>
      <w:tr>
        <w:trPr/>
        <w:tc>
          <w:tcPr>
            <w:tcW w:w="308" w:type="dxa"/>
            <w:tcBorders/>
            <w:shd w:fill="auto" w:val="clear"/>
          </w:tcPr>
          <w:p>
            <w:pPr>
              <w:pStyle w:val="TableContents"/>
              <w:spacing w:before="0" w:after="283"/>
              <w:rPr/>
            </w:pPr>
            <w:r>
              <w:rPr/>
              <w:t> </w:t>
            </w:r>
          </w:p>
        </w:tc>
        <w:tc>
          <w:tcPr>
            <w:tcW w:w="276" w:type="dxa"/>
            <w:tcBorders/>
            <w:shd w:fill="auto" w:val="clear"/>
          </w:tcPr>
          <w:p>
            <w:pPr>
              <w:pStyle w:val="TableContents"/>
              <w:spacing w:before="0" w:after="283"/>
              <w:jc w:val="left"/>
              <w:rPr/>
            </w:pPr>
            <w:r>
              <w:rPr/>
              <w:t>(c)</w:t>
            </w:r>
          </w:p>
        </w:tc>
        <w:tc>
          <w:tcPr>
            <w:tcW w:w="114" w:type="dxa"/>
            <w:tcBorders/>
            <w:shd w:fill="auto" w:val="clear"/>
          </w:tcPr>
          <w:p>
            <w:pPr>
              <w:pStyle w:val="TableContents"/>
              <w:spacing w:before="0" w:after="283"/>
              <w:rPr/>
            </w:pPr>
            <w:r>
              <w:rPr/>
              <w:t> </w:t>
            </w:r>
          </w:p>
        </w:tc>
        <w:tc>
          <w:tcPr>
            <w:tcW w:w="9507" w:type="dxa"/>
            <w:tcBorders/>
            <w:shd w:fill="auto" w:val="clear"/>
          </w:tcPr>
          <w:p>
            <w:pPr>
              <w:pStyle w:val="TableContents"/>
              <w:spacing w:before="0" w:after="283"/>
              <w:rPr/>
            </w:pPr>
            <w:r>
              <w:rPr>
                <w:i/>
              </w:rPr>
              <w:t>Present Principal Occupation or Principal Business of Reporting Persons</w:t>
            </w:r>
            <w:r>
              <w:rPr/>
              <w:t>:</w:t>
            </w:r>
          </w:p>
        </w:tc>
      </w:tr>
    </w:tbl>
    <w:tbl>
      <w:tblPr>
        <w:tblW w:w="5000" w:type="pct"/>
        <w:jc w:val="left"/>
        <w:tblInd w:w="0" w:type="dxa"/>
        <w:tblCellMar>
          <w:top w:w="0" w:type="dxa"/>
          <w:left w:w="0" w:type="dxa"/>
          <w:bottom w:w="0" w:type="dxa"/>
          <w:right w:w="0" w:type="dxa"/>
        </w:tblCellMar>
      </w:tblPr>
      <w:tblGrid>
        <w:gridCol w:w="594"/>
        <w:gridCol w:w="293"/>
        <w:gridCol w:w="116"/>
        <w:gridCol w:w="9202"/>
      </w:tblGrid>
      <w:tr>
        <w:trPr/>
        <w:tc>
          <w:tcPr>
            <w:tcW w:w="594" w:type="dxa"/>
            <w:tcBorders/>
            <w:shd w:fill="auto" w:val="clear"/>
          </w:tcPr>
          <w:p>
            <w:pPr>
              <w:pStyle w:val="TableContents"/>
              <w:spacing w:before="0" w:after="283"/>
              <w:rPr/>
            </w:pPr>
            <w:r>
              <w:rPr/>
              <w:t> </w:t>
            </w:r>
          </w:p>
        </w:tc>
        <w:tc>
          <w:tcPr>
            <w:tcW w:w="293" w:type="dxa"/>
            <w:tcBorders/>
            <w:shd w:fill="auto" w:val="clear"/>
          </w:tcPr>
          <w:p>
            <w:pPr>
              <w:pStyle w:val="TableContents"/>
              <w:spacing w:before="0" w:after="283"/>
              <w:jc w:val="left"/>
              <w:rPr/>
            </w:pPr>
            <w:r>
              <w:rPr/>
              <w:t>(1)</w:t>
            </w:r>
          </w:p>
        </w:tc>
        <w:tc>
          <w:tcPr>
            <w:tcW w:w="116" w:type="dxa"/>
            <w:tcBorders/>
            <w:shd w:fill="auto" w:val="clear"/>
          </w:tcPr>
          <w:p>
            <w:pPr>
              <w:pStyle w:val="TableContents"/>
              <w:spacing w:before="0" w:after="283"/>
              <w:rPr/>
            </w:pPr>
            <w:r>
              <w:rPr/>
              <w:t> </w:t>
            </w:r>
          </w:p>
        </w:tc>
        <w:tc>
          <w:tcPr>
            <w:tcW w:w="9202" w:type="dxa"/>
            <w:tcBorders/>
            <w:shd w:fill="auto" w:val="clear"/>
          </w:tcPr>
          <w:p>
            <w:pPr>
              <w:pStyle w:val="TableContents"/>
              <w:spacing w:before="0" w:after="283"/>
              <w:rPr/>
            </w:pPr>
            <w:r>
              <w:rPr/>
              <w:t>The principal business of PAA is the transportation, storage, terminalling and marketing of crude oil, refined products and liquefied petroleum gas and other natural gas-related petroleum products.</w:t>
            </w:r>
          </w:p>
        </w:tc>
      </w:tr>
      <w:tr>
        <w:trPr/>
        <w:tc>
          <w:tcPr>
            <w:tcW w:w="594" w:type="dxa"/>
            <w:tcBorders/>
            <w:shd w:fill="auto" w:val="clear"/>
            <w:vAlign w:val="center"/>
          </w:tcPr>
          <w:p>
            <w:pPr>
              <w:pStyle w:val="TableContents"/>
              <w:spacing w:before="0" w:after="283"/>
              <w:rPr/>
            </w:pPr>
            <w:r>
              <w:rPr/>
              <w:t> </w:t>
            </w:r>
          </w:p>
        </w:tc>
        <w:tc>
          <w:tcPr>
            <w:tcW w:w="9611" w:type="dxa"/>
            <w:gridSpan w:val="3"/>
            <w:tcBorders/>
            <w:shd w:fill="auto" w:val="clear"/>
          </w:tcPr>
          <w:p>
            <w:pPr>
              <w:pStyle w:val="TableContents"/>
              <w:spacing w:before="0" w:after="283"/>
              <w:rPr>
                <w:sz w:val="4"/>
                <w:szCs w:val="4"/>
              </w:rPr>
            </w:pPr>
            <w:r>
              <w:rPr>
                <w:sz w:val="4"/>
                <w:szCs w:val="4"/>
              </w:rPr>
            </w:r>
          </w:p>
        </w:tc>
      </w:tr>
      <w:tr>
        <w:trPr/>
        <w:tc>
          <w:tcPr>
            <w:tcW w:w="594" w:type="dxa"/>
            <w:tcBorders/>
            <w:shd w:fill="auto" w:val="clear"/>
          </w:tcPr>
          <w:p>
            <w:pPr>
              <w:pStyle w:val="TableContents"/>
              <w:spacing w:before="0" w:after="283"/>
              <w:rPr/>
            </w:pPr>
            <w:r>
              <w:rPr/>
              <w:t> </w:t>
            </w:r>
          </w:p>
        </w:tc>
        <w:tc>
          <w:tcPr>
            <w:tcW w:w="293" w:type="dxa"/>
            <w:tcBorders/>
            <w:shd w:fill="auto" w:val="clear"/>
          </w:tcPr>
          <w:p>
            <w:pPr>
              <w:pStyle w:val="TableContents"/>
              <w:spacing w:before="0" w:after="283"/>
              <w:jc w:val="left"/>
              <w:rPr/>
            </w:pPr>
            <w:r>
              <w:rPr/>
              <w:t>(2)</w:t>
            </w:r>
          </w:p>
        </w:tc>
        <w:tc>
          <w:tcPr>
            <w:tcW w:w="116" w:type="dxa"/>
            <w:tcBorders/>
            <w:shd w:fill="auto" w:val="clear"/>
          </w:tcPr>
          <w:p>
            <w:pPr>
              <w:pStyle w:val="TableContents"/>
              <w:spacing w:before="0" w:after="283"/>
              <w:rPr/>
            </w:pPr>
            <w:r>
              <w:rPr/>
              <w:t> </w:t>
            </w:r>
          </w:p>
        </w:tc>
        <w:tc>
          <w:tcPr>
            <w:tcW w:w="9202" w:type="dxa"/>
            <w:tcBorders/>
            <w:shd w:fill="auto" w:val="clear"/>
          </w:tcPr>
          <w:p>
            <w:pPr>
              <w:pStyle w:val="TableContents"/>
              <w:spacing w:before="0" w:after="283"/>
              <w:rPr/>
            </w:pPr>
            <w:r>
              <w:rPr/>
              <w:t xml:space="preserve">The principal business of General Partner is to hold the general partner interest in PAA and to manage the business and affairs of PAA.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598"/>
        <w:gridCol w:w="293"/>
        <w:gridCol w:w="117"/>
        <w:gridCol w:w="9197"/>
      </w:tblGrid>
      <w:tr>
        <w:trPr/>
        <w:tc>
          <w:tcPr>
            <w:tcW w:w="598" w:type="dxa"/>
            <w:tcBorders/>
            <w:shd w:fill="auto" w:val="clear"/>
          </w:tcPr>
          <w:p>
            <w:pPr>
              <w:pStyle w:val="TableContents"/>
              <w:spacing w:before="0" w:after="283"/>
              <w:rPr/>
            </w:pPr>
            <w:r>
              <w:rPr/>
              <w:t> </w:t>
            </w:r>
          </w:p>
        </w:tc>
        <w:tc>
          <w:tcPr>
            <w:tcW w:w="293" w:type="dxa"/>
            <w:tcBorders/>
            <w:shd w:fill="auto" w:val="clear"/>
          </w:tcPr>
          <w:p>
            <w:pPr>
              <w:pStyle w:val="TableContents"/>
              <w:spacing w:before="0" w:after="283"/>
              <w:jc w:val="left"/>
              <w:rPr/>
            </w:pPr>
            <w:r>
              <w:rPr/>
              <w:t>(3)</w:t>
            </w:r>
          </w:p>
        </w:tc>
        <w:tc>
          <w:tcPr>
            <w:tcW w:w="117" w:type="dxa"/>
            <w:tcBorders/>
            <w:shd w:fill="auto" w:val="clear"/>
          </w:tcPr>
          <w:p>
            <w:pPr>
              <w:pStyle w:val="TableContents"/>
              <w:spacing w:before="0" w:after="283"/>
              <w:rPr/>
            </w:pPr>
            <w:r>
              <w:rPr/>
              <w:t> </w:t>
            </w:r>
          </w:p>
        </w:tc>
        <w:tc>
          <w:tcPr>
            <w:tcW w:w="9197" w:type="dxa"/>
            <w:tcBorders/>
            <w:shd w:fill="auto" w:val="clear"/>
          </w:tcPr>
          <w:p>
            <w:pPr>
              <w:pStyle w:val="TableContents"/>
              <w:spacing w:before="0" w:after="283"/>
              <w:rPr/>
            </w:pPr>
            <w:r>
              <w:rPr/>
              <w:t>The principal business of AAP is to hold the membership interest in General Partner, to hold the incentive distribution rights in PAA and to manage the business and affairs of General Partner.</w:t>
            </w:r>
          </w:p>
        </w:tc>
      </w:tr>
      <w:tr>
        <w:trPr/>
        <w:tc>
          <w:tcPr>
            <w:tcW w:w="598" w:type="dxa"/>
            <w:tcBorders/>
            <w:shd w:fill="auto" w:val="clear"/>
            <w:vAlign w:val="center"/>
          </w:tcPr>
          <w:p>
            <w:pPr>
              <w:pStyle w:val="TableContents"/>
              <w:spacing w:before="0" w:after="283"/>
              <w:rPr/>
            </w:pPr>
            <w:r>
              <w:rPr/>
              <w:t> </w:t>
            </w:r>
          </w:p>
        </w:tc>
        <w:tc>
          <w:tcPr>
            <w:tcW w:w="9607" w:type="dxa"/>
            <w:gridSpan w:val="3"/>
            <w:tcBorders/>
            <w:shd w:fill="auto" w:val="clear"/>
          </w:tcPr>
          <w:p>
            <w:pPr>
              <w:pStyle w:val="TableContents"/>
              <w:spacing w:before="0" w:after="283"/>
              <w:rPr>
                <w:sz w:val="4"/>
                <w:szCs w:val="4"/>
              </w:rPr>
            </w:pPr>
            <w:r>
              <w:rPr>
                <w:sz w:val="4"/>
                <w:szCs w:val="4"/>
              </w:rPr>
            </w:r>
          </w:p>
        </w:tc>
      </w:tr>
      <w:tr>
        <w:trPr/>
        <w:tc>
          <w:tcPr>
            <w:tcW w:w="598" w:type="dxa"/>
            <w:tcBorders/>
            <w:shd w:fill="auto" w:val="clear"/>
          </w:tcPr>
          <w:p>
            <w:pPr>
              <w:pStyle w:val="TableContents"/>
              <w:spacing w:before="0" w:after="283"/>
              <w:rPr/>
            </w:pPr>
            <w:r>
              <w:rPr/>
              <w:t> </w:t>
            </w:r>
          </w:p>
        </w:tc>
        <w:tc>
          <w:tcPr>
            <w:tcW w:w="293" w:type="dxa"/>
            <w:tcBorders/>
            <w:shd w:fill="auto" w:val="clear"/>
          </w:tcPr>
          <w:p>
            <w:pPr>
              <w:pStyle w:val="TableContents"/>
              <w:spacing w:before="0" w:after="283"/>
              <w:jc w:val="left"/>
              <w:rPr/>
            </w:pPr>
            <w:r>
              <w:rPr/>
              <w:t>(4)</w:t>
            </w:r>
          </w:p>
        </w:tc>
        <w:tc>
          <w:tcPr>
            <w:tcW w:w="117" w:type="dxa"/>
            <w:tcBorders/>
            <w:shd w:fill="auto" w:val="clear"/>
          </w:tcPr>
          <w:p>
            <w:pPr>
              <w:pStyle w:val="TableContents"/>
              <w:spacing w:before="0" w:after="283"/>
              <w:rPr/>
            </w:pPr>
            <w:r>
              <w:rPr/>
              <w:t> </w:t>
            </w:r>
          </w:p>
        </w:tc>
        <w:tc>
          <w:tcPr>
            <w:tcW w:w="9197" w:type="dxa"/>
            <w:tcBorders/>
            <w:shd w:fill="auto" w:val="clear"/>
          </w:tcPr>
          <w:p>
            <w:pPr>
              <w:pStyle w:val="TableContents"/>
              <w:spacing w:before="0" w:after="283"/>
              <w:rPr/>
            </w:pPr>
            <w:r>
              <w:rPr/>
              <w:t>The principal business of the GP LLC is to hold the general partner interest in AAP and to manage the business and affairs of AAP. GP LLC also manages the business and affairs of PAA and employs PAAs management and operational personnel.</w:t>
            </w:r>
          </w:p>
        </w:tc>
      </w:tr>
    </w:tbl>
    <w:p>
      <w:pPr>
        <w:pStyle w:val="TextBody"/>
        <w:spacing w:before="120" w:after="283"/>
        <w:jc w:val="left"/>
        <w:rPr/>
      </w:pPr>
      <w:r>
        <w:rPr/>
        <w:t>     </w:t>
      </w:r>
      <w:r>
        <w:rPr>
          <w:rFonts w:ascii="Times New Roman;Times;serif" w:hAnsi="Times New Roman;Times;serif"/>
          <w:sz w:val="17"/>
        </w:rPr>
        <w:t xml:space="preserve">(d) During the past five years, none of the Reporting Persons has been convicted in a criminal proceeding (excluding traffic violations or similar misdemeanors). </w:t>
      </w:r>
    </w:p>
    <w:p>
      <w:pPr>
        <w:pStyle w:val="TextBody"/>
        <w:spacing w:before="120" w:after="283"/>
        <w:jc w:val="left"/>
        <w:rPr/>
      </w:pPr>
      <w:r>
        <w:rPr/>
        <w:t>     </w:t>
      </w:r>
      <w:r>
        <w:rPr>
          <w:rFonts w:ascii="Times New Roman;Times;serif" w:hAnsi="Times New Roman;Times;serif"/>
          <w:sz w:val="17"/>
        </w:rPr>
        <w:t xml:space="preserve">(e) During the past five years, none of the Reporting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violations with respect to such laws. </w:t>
      </w:r>
    </w:p>
    <w:p>
      <w:pPr>
        <w:pStyle w:val="TextBody"/>
        <w:spacing w:before="120" w:after="283"/>
        <w:jc w:val="left"/>
        <w:rPr/>
      </w:pPr>
      <w:r>
        <w:rPr/>
        <w:t>     </w:t>
      </w:r>
      <w:r>
        <w:rPr>
          <w:rFonts w:ascii="Times New Roman;Times;serif" w:hAnsi="Times New Roman;Times;serif"/>
          <w:sz w:val="17"/>
        </w:rPr>
        <w:t xml:space="preserve">(f) Not applicable. </w:t>
      </w:r>
    </w:p>
    <w:p>
      <w:pPr>
        <w:pStyle w:val="TextBody"/>
        <w:spacing w:before="120" w:after="283"/>
        <w:jc w:val="left"/>
        <w:rPr/>
      </w:pPr>
      <w:r>
        <w:rPr/>
        <w:t>     </w:t>
      </w:r>
      <w:r>
        <w:rPr>
          <w:rFonts w:ascii="Times New Roman;Times;serif" w:hAnsi="Times New Roman;Times;serif"/>
          <w:sz w:val="17"/>
        </w:rPr>
        <w:t>In accordance with the provisions of General Instruction C to Schedule 13D, information concerning the general partners, executive officers, board of directors and each person controlling a Reporting Person, as applicable (collectively, the </w:t>
      </w:r>
      <w:r>
        <w:rPr>
          <w:rFonts w:ascii="Times New Roman;Times;serif" w:hAnsi="Times New Roman;Times;serif"/>
          <w:i/>
          <w:sz w:val="17"/>
        </w:rPr>
        <w:t>Listed Persons</w:t>
      </w:r>
      <w:r>
        <w:rPr>
          <w:rFonts w:ascii="Times New Roman;Times;serif" w:hAnsi="Times New Roman;Times;serif"/>
          <w:sz w:val="17"/>
        </w:rPr>
        <w:t xml:space="preserve">), required by Item 2 of Schedule 13D, is provided on </w:t>
      </w:r>
      <w:r>
        <w:rPr>
          <w:rFonts w:ascii="Times New Roman;Times;serif" w:hAnsi="Times New Roman;Times;serif"/>
          <w:sz w:val="17"/>
          <w:u w:val="single"/>
        </w:rPr>
        <w:t>Schedule 1</w:t>
      </w:r>
      <w:r>
        <w:rPr>
          <w:rFonts w:ascii="Times New Roman;Times;serif" w:hAnsi="Times New Roman;Times;serif"/>
          <w:sz w:val="17"/>
        </w:rPr>
        <w:t xml:space="preserve"> hereto and is incorporated by reference herein. To the Reporting Persons knowledge, none of Listed Persons has been, during the last five years,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3. Source and Amount of Funds or Other Consideration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(a) </w:t>
      </w:r>
      <w:r>
        <w:rPr>
          <w:rFonts w:ascii="Times New Roman;Times;serif" w:hAnsi="Times New Roman;Times;serif"/>
          <w:b/>
          <w:i/>
          <w:sz w:val="17"/>
        </w:rPr>
        <w:t>Issuers Initial Public Offering</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At the closing of the Issuers initial public offering (</w:t>
      </w:r>
      <w:r>
        <w:rPr>
          <w:rFonts w:ascii="Times New Roman;Times;serif" w:hAnsi="Times New Roman;Times;serif"/>
          <w:i/>
          <w:sz w:val="17"/>
        </w:rPr>
        <w:t>IPO</w:t>
      </w:r>
      <w:r>
        <w:rPr>
          <w:rFonts w:ascii="Times New Roman;Times;serif" w:hAnsi="Times New Roman;Times;serif"/>
          <w:sz w:val="17"/>
        </w:rPr>
        <w:t xml:space="preserve">) on May 5, 2010, the following transaction, among others, occurred: </w:t>
      </w:r>
    </w:p>
    <w:tbl>
      <w:tblPr>
        <w:tblW w:w="5000" w:type="pct"/>
        <w:jc w:val="left"/>
        <w:tblInd w:w="0" w:type="dxa"/>
        <w:tblCellMar>
          <w:top w:w="0" w:type="dxa"/>
          <w:left w:w="0" w:type="dxa"/>
          <w:bottom w:w="0" w:type="dxa"/>
          <w:right w:w="0" w:type="dxa"/>
        </w:tblCellMar>
      </w:tblPr>
      <w:tblGrid>
        <w:gridCol w:w="207"/>
        <w:gridCol w:w="127"/>
        <w:gridCol w:w="9871"/>
      </w:tblGrid>
      <w:tr>
        <w:trPr/>
        <w:tc>
          <w:tcPr>
            <w:tcW w:w="207" w:type="dxa"/>
            <w:tcBorders/>
            <w:shd w:fill="auto" w:val="clear"/>
          </w:tcPr>
          <w:p>
            <w:pPr>
              <w:pStyle w:val="TableContents"/>
              <w:spacing w:before="0" w:after="283"/>
              <w:jc w:val="left"/>
              <w:rPr>
                <w:b/>
              </w:rPr>
            </w:pPr>
            <w:r>
              <w:rPr>
                <w:b/>
              </w:rPr>
              <w:t></w:t>
            </w:r>
          </w:p>
        </w:tc>
        <w:tc>
          <w:tcPr>
            <w:tcW w:w="127" w:type="dxa"/>
            <w:tcBorders/>
            <w:shd w:fill="auto" w:val="clear"/>
          </w:tcPr>
          <w:p>
            <w:pPr>
              <w:pStyle w:val="TableContents"/>
              <w:spacing w:before="0" w:after="283"/>
              <w:rPr/>
            </w:pPr>
            <w:r>
              <w:rPr/>
              <w:t> </w:t>
            </w:r>
          </w:p>
        </w:tc>
        <w:tc>
          <w:tcPr>
            <w:tcW w:w="9871" w:type="dxa"/>
            <w:tcBorders/>
            <w:shd w:fill="auto" w:val="clear"/>
          </w:tcPr>
          <w:p>
            <w:pPr>
              <w:pStyle w:val="TableContents"/>
              <w:spacing w:before="0" w:after="283"/>
              <w:rPr/>
            </w:pPr>
            <w:r>
              <w:rPr/>
              <w:t>The Issuer issued 18,106,529 Common Units, 13,934,351 Series A Subordinated Units, and 11,500,000 Series B Subordinated Units to PAA, representing an aggregate approximate 76.4% limited partner interest in the Issuer as of such time, pursuant to that certain Contribution Agreement, dated as of April 29, 2010, by and among the Issuer, PNGS GP LLC, PAA, PAA Natural Gas Storage, LLC, PAA/Vulcan Gas Storage, LLC, Plains Marketing, L.P. and Plains Marketing GP Inc.</w:t>
            </w:r>
          </w:p>
        </w:tc>
      </w:tr>
    </w:tbl>
    <w:p>
      <w:pPr>
        <w:pStyle w:val="TextBody"/>
        <w:spacing w:before="120" w:after="283"/>
        <w:jc w:val="left"/>
        <w:rPr/>
      </w:pPr>
      <w:r>
        <w:rPr/>
        <w:t>     </w:t>
      </w:r>
      <w:r>
        <w:rPr>
          <w:rFonts w:ascii="Times New Roman;Times;serif" w:hAnsi="Times New Roman;Times;serif"/>
          <w:sz w:val="17"/>
        </w:rPr>
        <w:t>Upon the termination of the applicable subordination period as set forth in the Issuers Second Amended and Restated Agreement of Limited Partnership (the </w:t>
      </w:r>
      <w:r>
        <w:rPr>
          <w:rFonts w:ascii="Times New Roman;Times;serif" w:hAnsi="Times New Roman;Times;serif"/>
          <w:i/>
          <w:sz w:val="17"/>
        </w:rPr>
        <w:t>Partnership Agreement</w:t>
      </w:r>
      <w:r>
        <w:rPr>
          <w:rFonts w:ascii="Times New Roman;Times;serif" w:hAnsi="Times New Roman;Times;serif"/>
          <w:sz w:val="17"/>
        </w:rPr>
        <w:t xml:space="preserve">), the Series A Subordinated Units are convertible into Common Units on a one-for-one basis and the Series B Subordinated Units are convertible into Series A Subordinated Units on a one-for-one </w:t>
      </w:r>
    </w:p>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basis or, under certain circumstances, into Common Units on a one-for-one basis. The Series A Subordinated Units and Series B Subordinated Units may be collectively referred to herein as the </w:t>
      </w:r>
      <w:r>
        <w:rPr>
          <w:rFonts w:ascii="Times New Roman;Times;serif" w:hAnsi="Times New Roman;Times;serif"/>
          <w:i/>
          <w:sz w:val="17"/>
        </w:rPr>
        <w:t>Subordinated Units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August 2010, in connection with a modification of the Issuers capital structure, PAA exchanged two million Series A Subordinated Units for two million Series B Subordinated Units; as a result, the number of Series A Subordinated Units held by PAA was reduced to 11,934,351 and the number of Series B Subordinated Units held by PAA was increased to 13,500,000. </w:t>
      </w:r>
    </w:p>
    <w:p>
      <w:pPr>
        <w:pStyle w:val="TextBody"/>
        <w:spacing w:before="120" w:after="283"/>
        <w:jc w:val="left"/>
        <w:rPr/>
      </w:pPr>
      <w:r>
        <w:rPr/>
        <w:t>          </w:t>
      </w:r>
      <w:r>
        <w:rPr>
          <w:rFonts w:ascii="Times New Roman;Times;serif" w:hAnsi="Times New Roman;Times;serif"/>
          <w:sz w:val="17"/>
        </w:rPr>
        <w:t>(b) </w:t>
      </w:r>
      <w:r>
        <w:rPr>
          <w:rFonts w:ascii="Times New Roman;Times;serif" w:hAnsi="Times New Roman;Times;serif"/>
          <w:b/>
          <w:i/>
          <w:sz w:val="17"/>
        </w:rPr>
        <w:t>Private Placement of Common Units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At the closing of the Issuers sale of 27,598,045 Common Units on February 8, 2011 in an offering exempt from the registration requirements of the Securities Act of 1933, as amended (the </w:t>
      </w:r>
      <w:r>
        <w:rPr>
          <w:rFonts w:ascii="Times New Roman;Times;serif" w:hAnsi="Times New Roman;Times;serif"/>
          <w:i/>
          <w:sz w:val="17"/>
        </w:rPr>
        <w:t>Securities Act</w:t>
      </w:r>
      <w:r>
        <w:rPr>
          <w:rFonts w:ascii="Times New Roman;Times;serif" w:hAnsi="Times New Roman;Times;serif"/>
          <w:sz w:val="17"/>
        </w:rPr>
        <w:t>), pursuant to Section 4(2) thereof (the </w:t>
      </w:r>
      <w:r>
        <w:rPr>
          <w:rFonts w:ascii="Times New Roman;Times;serif" w:hAnsi="Times New Roman;Times;serif"/>
          <w:i/>
          <w:sz w:val="17"/>
        </w:rPr>
        <w:t>Private Placement</w:t>
      </w:r>
      <w:r>
        <w:rPr>
          <w:rFonts w:ascii="Times New Roman;Times;serif" w:hAnsi="Times New Roman;Times;serif"/>
          <w:sz w:val="17"/>
        </w:rPr>
        <w:t xml:space="preserve">), the following transaction, among others, occurred: </w:t>
      </w:r>
    </w:p>
    <w:tbl>
      <w:tblPr>
        <w:tblW w:w="5000" w:type="pct"/>
        <w:jc w:val="left"/>
        <w:tblInd w:w="0" w:type="dxa"/>
        <w:tblCellMar>
          <w:top w:w="0" w:type="dxa"/>
          <w:left w:w="0" w:type="dxa"/>
          <w:bottom w:w="0" w:type="dxa"/>
          <w:right w:w="0" w:type="dxa"/>
        </w:tblCellMar>
      </w:tblPr>
      <w:tblGrid>
        <w:gridCol w:w="115"/>
        <w:gridCol w:w="276"/>
        <w:gridCol w:w="9814"/>
      </w:tblGrid>
      <w:tr>
        <w:trPr/>
        <w:tc>
          <w:tcPr>
            <w:tcW w:w="115" w:type="dxa"/>
            <w:tcBorders/>
            <w:shd w:fill="auto" w:val="clear"/>
          </w:tcPr>
          <w:p>
            <w:pPr>
              <w:pStyle w:val="TableContents"/>
              <w:spacing w:before="0" w:after="283"/>
              <w:jc w:val="left"/>
              <w:rPr/>
            </w:pPr>
            <w:r>
              <w:rPr/>
              <w:t> </w:t>
            </w:r>
          </w:p>
        </w:tc>
        <w:tc>
          <w:tcPr>
            <w:tcW w:w="276" w:type="dxa"/>
            <w:tcBorders/>
            <w:shd w:fill="auto" w:val="clear"/>
          </w:tcPr>
          <w:p>
            <w:pPr>
              <w:pStyle w:val="TableContents"/>
              <w:spacing w:before="0" w:after="283"/>
              <w:rPr/>
            </w:pPr>
            <w:r>
              <w:rPr>
                <w:b/>
              </w:rPr>
              <w:t></w:t>
            </w:r>
            <w:r>
              <w:rPr/>
              <w:t> </w:t>
            </w:r>
          </w:p>
        </w:tc>
        <w:tc>
          <w:tcPr>
            <w:tcW w:w="9814" w:type="dxa"/>
            <w:tcBorders/>
            <w:shd w:fill="auto" w:val="clear"/>
          </w:tcPr>
          <w:p>
            <w:pPr>
              <w:pStyle w:val="TableContents"/>
              <w:spacing w:before="0" w:after="283"/>
              <w:rPr/>
            </w:pPr>
            <w:r>
              <w:rPr/>
              <w:t>The Issuer issued 10,166,341 Common Units to PAA, representing a 12.0% limited partner interest in the Issuer as of such time.</w:t>
            </w:r>
          </w:p>
        </w:tc>
      </w:tr>
    </w:tbl>
    <w:p>
      <w:pPr>
        <w:pStyle w:val="TextBody"/>
        <w:spacing w:before="120" w:after="283"/>
        <w:jc w:val="left"/>
        <w:rPr/>
      </w:pPr>
      <w:r>
        <w:rPr/>
        <w:t>     </w:t>
      </w:r>
      <w:r>
        <w:rPr>
          <w:rFonts w:ascii="Times New Roman;Times;serif" w:hAnsi="Times New Roman;Times;serif"/>
          <w:sz w:val="17"/>
        </w:rPr>
        <w:t xml:space="preserve">PAA purchased the Common Units for approximately $218 million and a proportionate general partner capital contribution of approximately $12 million. </w:t>
      </w:r>
    </w:p>
    <w:p>
      <w:pPr>
        <w:pStyle w:val="TextBody"/>
        <w:spacing w:before="120" w:after="283"/>
        <w:jc w:val="left"/>
        <w:rPr/>
      </w:pPr>
      <w:r>
        <w:rPr/>
        <w:t>     </w:t>
      </w:r>
      <w:r>
        <w:rPr>
          <w:rFonts w:ascii="Times New Roman;Times;serif" w:hAnsi="Times New Roman;Times;serif"/>
          <w:sz w:val="17"/>
        </w:rPr>
        <w:t xml:space="preserve">As a result of the Private Placement, PAAs aggregate limited partner interest in the Issuer decreased to 63.5% from 76.4% prior to the transaction.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4. Purpose of Transaction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Each of the Reporting Persons acquired the Common Units reported herein solely for investment purposes. The Reporting Persons may make additional purchases of Common Units either in the open market or in private transactions depending on such Reporting Persons business, prospects and financial condition, the market for the Common Units, general economic conditions, stock market conditions and other future developments. </w:t>
      </w:r>
    </w:p>
    <w:p>
      <w:pPr>
        <w:pStyle w:val="TextBody"/>
        <w:spacing w:before="120" w:after="283"/>
        <w:jc w:val="left"/>
        <w:rPr/>
      </w:pPr>
      <w:r>
        <w:rPr/>
        <w:t>     </w:t>
      </w:r>
      <w:r>
        <w:rPr>
          <w:rFonts w:ascii="Times New Roman;Times;serif" w:hAnsi="Times New Roman;Times;serif"/>
          <w:sz w:val="17"/>
        </w:rPr>
        <w:t xml:space="preserve">The following describes plans or proposals that the Reporting Persons may have with respect to the matters set forth in Item 4(a)-(j) of Schedule 13D: </w:t>
      </w:r>
    </w:p>
    <w:p>
      <w:pPr>
        <w:pStyle w:val="TextBody"/>
        <w:spacing w:before="120" w:after="283"/>
        <w:jc w:val="left"/>
        <w:rPr/>
      </w:pPr>
      <w:r>
        <w:rPr/>
        <w:t>     </w:t>
      </w:r>
      <w:r>
        <w:rPr>
          <w:rFonts w:ascii="Times New Roman;Times;serif" w:hAnsi="Times New Roman;Times;serif"/>
          <w:sz w:val="17"/>
        </w:rPr>
        <w:t xml:space="preserve">(a) The Subordinated Units owned by PAA are convertible into Common Units on a one-for-one basis under certain circumstances as set forth under </w:t>
      </w:r>
      <w:r>
        <w:rPr>
          <w:rFonts w:ascii="Times New Roman;Times;serif" w:hAnsi="Times New Roman;Times;serif"/>
          <w:sz w:val="17"/>
          <w:u w:val="single"/>
        </w:rPr>
        <w:t>Item 6</w:t>
      </w:r>
      <w:r>
        <w:rPr>
          <w:rFonts w:ascii="Times New Roman;Times;serif" w:hAnsi="Times New Roman;Times;serif"/>
          <w:sz w:val="17"/>
        </w:rPr>
        <w:t xml:space="preserve"> below. </w:t>
      </w:r>
    </w:p>
    <w:p>
      <w:pPr>
        <w:pStyle w:val="TextBody"/>
        <w:spacing w:before="120" w:after="283"/>
        <w:jc w:val="left"/>
        <w:rPr/>
      </w:pPr>
      <w:r>
        <w:rPr/>
        <w:t>     </w:t>
      </w:r>
      <w:r>
        <w:rPr>
          <w:rFonts w:ascii="Times New Roman;Times;serif" w:hAnsi="Times New Roman;Times;serif"/>
          <w:sz w:val="17"/>
        </w:rPr>
        <w:t xml:space="preserve">(b) None. </w:t>
      </w:r>
    </w:p>
    <w:p>
      <w:pPr>
        <w:pStyle w:val="TextBody"/>
        <w:spacing w:before="120" w:after="283"/>
        <w:jc w:val="left"/>
        <w:rPr/>
      </w:pPr>
      <w:r>
        <w:rPr/>
        <w:t>     </w:t>
      </w:r>
      <w:r>
        <w:rPr>
          <w:rFonts w:ascii="Times New Roman;Times;serif" w:hAnsi="Times New Roman;Times;serif"/>
          <w:sz w:val="17"/>
        </w:rPr>
        <w:t xml:space="preserve">(c) None. </w:t>
      </w:r>
    </w:p>
    <w:p>
      <w:pPr>
        <w:pStyle w:val="TextBody"/>
        <w:spacing w:before="120" w:after="283"/>
        <w:jc w:val="left"/>
        <w:rPr/>
      </w:pPr>
      <w:r>
        <w:rPr/>
        <w:t>     </w:t>
      </w:r>
      <w:r>
        <w:rPr>
          <w:rFonts w:ascii="Times New Roman;Times;serif" w:hAnsi="Times New Roman;Times;serif"/>
          <w:sz w:val="17"/>
        </w:rPr>
        <w:t xml:space="preserve">(d) PNGS GP LLC, the general partner of the Issuer, is controlled directly by PAA and indirectly by the other Reporting Persons. PNGS GP LLC manages the Issuers operations and activities and the board of directors of PNGS GP LLC oversees the Issuers operations. As the sole member of PNGS GP LLC, PAA has the right to elect PNGS GP LLCs entire board of directors. The Reporting Persons, however, have no current intention of changing the board of directors or management of PNGS GP LLC. </w:t>
      </w:r>
    </w:p>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(e) The Reporting Persons, as the direct and indirect owners of the general partner of the Issuer, may cause the Issuer to change its dividend policy or its capitalization, through the issuance of debt or equity securities, from time to time in the future. The Reporting Persons, however, have no current intention of changing the present capitalization or dividend policy of the issuer. </w:t>
      </w:r>
    </w:p>
    <w:p>
      <w:pPr>
        <w:pStyle w:val="TextBody"/>
        <w:spacing w:before="120" w:after="283"/>
        <w:jc w:val="left"/>
        <w:rPr/>
      </w:pPr>
      <w:r>
        <w:rPr/>
        <w:t>     </w:t>
      </w:r>
      <w:r>
        <w:rPr>
          <w:rFonts w:ascii="Times New Roman;Times;serif" w:hAnsi="Times New Roman;Times;serif"/>
          <w:sz w:val="17"/>
        </w:rPr>
        <w:t xml:space="preserve">(f) None. </w:t>
      </w:r>
    </w:p>
    <w:p>
      <w:pPr>
        <w:pStyle w:val="TextBody"/>
        <w:spacing w:before="120" w:after="283"/>
        <w:jc w:val="left"/>
        <w:rPr/>
      </w:pPr>
      <w:r>
        <w:rPr/>
        <w:t>     </w:t>
      </w:r>
      <w:r>
        <w:rPr>
          <w:rFonts w:ascii="Times New Roman;Times;serif" w:hAnsi="Times New Roman;Times;serif"/>
          <w:sz w:val="17"/>
        </w:rPr>
        <w:t xml:space="preserve">(g) The Reporting Persons, as the direct and indirect owners of the general partner of the Issuer, may cause changes to the Issuers Certificate of Limited Partnership and Partnership Agreement. The Reporting Persons, however, have no current intention of changing the Issuers Certificate of Limited Partnership, Partnership Agreement or any other instrument relating thereto to impede the acquisition of control of the Issuer by any person. </w:t>
      </w:r>
    </w:p>
    <w:p>
      <w:pPr>
        <w:pStyle w:val="TextBody"/>
        <w:spacing w:before="120" w:after="283"/>
        <w:jc w:val="left"/>
        <w:rPr/>
      </w:pPr>
      <w:r>
        <w:rPr/>
        <w:t>     </w:t>
      </w:r>
      <w:r>
        <w:rPr>
          <w:rFonts w:ascii="Times New Roman;Times;serif" w:hAnsi="Times New Roman;Times;serif"/>
          <w:sz w:val="17"/>
        </w:rPr>
        <w:t xml:space="preserve">(h) None. </w:t>
      </w:r>
    </w:p>
    <w:p>
      <w:pPr>
        <w:pStyle w:val="TextBody"/>
        <w:spacing w:before="120" w:after="283"/>
        <w:jc w:val="left"/>
        <w:rPr/>
      </w:pPr>
      <w:r>
        <w:rPr/>
        <w:t>     </w:t>
      </w:r>
      <w:r>
        <w:rPr>
          <w:rFonts w:ascii="Times New Roman;Times;serif" w:hAnsi="Times New Roman;Times;serif"/>
          <w:sz w:val="17"/>
        </w:rPr>
        <w:t xml:space="preserve">(i) None. </w:t>
      </w:r>
    </w:p>
    <w:p>
      <w:pPr>
        <w:pStyle w:val="TextBody"/>
        <w:spacing w:before="120" w:after="283"/>
        <w:jc w:val="left"/>
        <w:rPr/>
      </w:pPr>
      <w:r>
        <w:rPr/>
        <w:t>     </w:t>
      </w:r>
      <w:r>
        <w:rPr>
          <w:rFonts w:ascii="Times New Roman;Times;serif" w:hAnsi="Times New Roman;Times;serif"/>
          <w:sz w:val="17"/>
        </w:rPr>
        <w:t xml:space="preserve">(j) Except as described in this </w:t>
      </w:r>
      <w:r>
        <w:rPr>
          <w:rFonts w:ascii="Times New Roman;Times;serif" w:hAnsi="Times New Roman;Times;serif"/>
          <w:sz w:val="17"/>
          <w:u w:val="single"/>
        </w:rPr>
        <w:t>Item 4</w:t>
      </w:r>
      <w:r>
        <w:rPr>
          <w:rFonts w:ascii="Times New Roman;Times;serif" w:hAnsi="Times New Roman;Times;serif"/>
          <w:sz w:val="17"/>
        </w:rPr>
        <w:t xml:space="preserve">, the Reporting Persons do not have, as of the date of this Schedule 13D, any other plans or proposals that relate to or would result in any of the actions or events specified in clauses (a) through (i) of </w:t>
      </w:r>
      <w:r>
        <w:rPr>
          <w:rFonts w:ascii="Times New Roman;Times;serif" w:hAnsi="Times New Roman;Times;serif"/>
          <w:sz w:val="17"/>
          <w:u w:val="single"/>
        </w:rPr>
        <w:t>Item 4</w:t>
      </w:r>
      <w:r>
        <w:rPr>
          <w:rFonts w:ascii="Times New Roman;Times;serif" w:hAnsi="Times New Roman;Times;serif"/>
          <w:sz w:val="17"/>
        </w:rPr>
        <w:t xml:space="preserve"> of Schedule 13D. The Reporting Persons may change their plans or proposals in the future. In determining from time to time whether to sell the Common Units reported as beneficially owned in this Schedule 13D (and in what amounts) or to retain such securities, the Reporting Persons will take into consideration such factors as they deem relevant, including the business and prospects of the Issuer, anticipated future developments concerning the Issuer, existing and anticipated market conditions from time to time, general economic conditions, regulatory matters and other opportunities available to the Reporting Persons. The Reporting Persons reserve the right to acquire additional securities of the Issuer in the open market, in privately negotiated transactions (which may be with the Issuer or with third parties) or otherwise, to dispose of all or a portion of their holdings of securities of the Issuer or to change their intention with respect to any or all of the matters referred to in this </w:t>
      </w:r>
      <w:r>
        <w:rPr>
          <w:rFonts w:ascii="Times New Roman;Times;serif" w:hAnsi="Times New Roman;Times;serif"/>
          <w:sz w:val="17"/>
          <w:u w:val="single"/>
        </w:rPr>
        <w:t>Item 4</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5. Interest in Securities of the Issuer</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607"/>
        <w:gridCol w:w="321"/>
        <w:gridCol w:w="215"/>
        <w:gridCol w:w="9062"/>
      </w:tblGrid>
      <w:tr>
        <w:trPr/>
        <w:tc>
          <w:tcPr>
            <w:tcW w:w="607" w:type="dxa"/>
            <w:tcBorders/>
            <w:shd w:fill="auto" w:val="clear"/>
          </w:tcPr>
          <w:p>
            <w:pPr>
              <w:pStyle w:val="TableContents"/>
              <w:spacing w:before="0" w:after="283"/>
              <w:rPr/>
            </w:pPr>
            <w:r>
              <w:rPr/>
              <w:t> </w:t>
            </w:r>
          </w:p>
        </w:tc>
        <w:tc>
          <w:tcPr>
            <w:tcW w:w="321" w:type="dxa"/>
            <w:tcBorders/>
            <w:shd w:fill="auto" w:val="clear"/>
          </w:tcPr>
          <w:p>
            <w:pPr>
              <w:pStyle w:val="TableContents"/>
              <w:spacing w:before="0" w:after="283"/>
              <w:jc w:val="left"/>
              <w:rPr/>
            </w:pPr>
            <w:r>
              <w:rPr/>
              <w:t>(a)</w:t>
            </w:r>
          </w:p>
        </w:tc>
        <w:tc>
          <w:tcPr>
            <w:tcW w:w="215" w:type="dxa"/>
            <w:tcBorders/>
            <w:shd w:fill="auto" w:val="clear"/>
          </w:tcPr>
          <w:p>
            <w:pPr>
              <w:pStyle w:val="TableContents"/>
              <w:spacing w:before="0" w:after="283"/>
              <w:rPr/>
            </w:pPr>
            <w:r>
              <w:rPr/>
              <w:t>(1) </w:t>
            </w:r>
          </w:p>
        </w:tc>
        <w:tc>
          <w:tcPr>
            <w:tcW w:w="9062" w:type="dxa"/>
            <w:tcBorders/>
            <w:shd w:fill="auto" w:val="clear"/>
          </w:tcPr>
          <w:p>
            <w:pPr>
              <w:pStyle w:val="TableContents"/>
              <w:spacing w:before="0" w:after="283"/>
              <w:rPr/>
            </w:pPr>
            <w:r>
              <w:rPr/>
              <w:t>PAA is the record and beneficial owner of 53,707,221 Common Units, including 11,934,351 Series A Subordinated Units and 13,500,000 Series B Subordinated Units, which represent all of the outstanding Subordinated Units of PAA as of February 18, 2011. Based on there being 84,618,801 Common and Subordinated Units outstanding as of February 18, 2011, PAAs Common Units and Subordinated Units represent 63.5% of the outstanding Common Units and Subordinated Units at such time. The Series A Subordinated Units may be converted into Common Units on a one-for-one basis upon termination of the subordination period under certain circumstances, as set forth in the Partnership Agreement. The Series B Subordinated Units may be converted into Series A Subordinated Units on a one-for-one basis upon the satisfaction of certain operational and financial conditions or, if the subordination period for the Series A Subordinated Units has ended at the</w:t>
            </w:r>
          </w:p>
        </w:tc>
      </w:tr>
    </w:tbl>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611"/>
        <w:gridCol w:w="203"/>
        <w:gridCol w:w="102"/>
        <w:gridCol w:w="9289"/>
      </w:tblGrid>
      <w:tr>
        <w:trPr/>
        <w:tc>
          <w:tcPr>
            <w:tcW w:w="611"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283"/>
              <w:rPr/>
            </w:pPr>
            <w:r>
              <w:rPr/>
              <w:t>time the operation and financial conditions are satisfied, into Common Units on a one-for-one basis, as set forth in the Partnership Agreement.</w:t>
            </w:r>
          </w:p>
        </w:tc>
      </w:tr>
    </w:tbl>
    <w:tbl>
      <w:tblPr>
        <w:tblW w:w="5000" w:type="pct"/>
        <w:jc w:val="left"/>
        <w:tblInd w:w="0" w:type="dxa"/>
        <w:tblCellMar>
          <w:top w:w="0" w:type="dxa"/>
          <w:left w:w="0" w:type="dxa"/>
          <w:bottom w:w="0" w:type="dxa"/>
          <w:right w:w="0" w:type="dxa"/>
        </w:tblCellMar>
      </w:tblPr>
      <w:tblGrid>
        <w:gridCol w:w="596"/>
        <w:gridCol w:w="296"/>
        <w:gridCol w:w="117"/>
        <w:gridCol w:w="9196"/>
      </w:tblGrid>
      <w:tr>
        <w:trPr/>
        <w:tc>
          <w:tcPr>
            <w:tcW w:w="596" w:type="dxa"/>
            <w:tcBorders/>
            <w:shd w:fill="auto" w:val="clear"/>
          </w:tcPr>
          <w:p>
            <w:pPr>
              <w:pStyle w:val="TableContents"/>
              <w:spacing w:before="0" w:after="283"/>
              <w:rPr/>
            </w:pPr>
            <w:r>
              <w:rPr/>
              <w:t> </w:t>
            </w:r>
          </w:p>
        </w:tc>
        <w:tc>
          <w:tcPr>
            <w:tcW w:w="296" w:type="dxa"/>
            <w:tcBorders/>
            <w:shd w:fill="auto" w:val="clear"/>
          </w:tcPr>
          <w:p>
            <w:pPr>
              <w:pStyle w:val="TableContents"/>
              <w:spacing w:before="0" w:after="283"/>
              <w:jc w:val="left"/>
              <w:rPr/>
            </w:pPr>
            <w:r>
              <w:rPr/>
              <w:t> </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PAA, as the sole member of PNGS GP LLC, the general partner of the Issuer, may also, pursuant to Rule 13d-3, be deemed to beneficially own the equity interest representing a 2% general partner interest and the incentive distribution rights (representing the right to receive increasing percentages of quarterly distributions in excess of specified amounts) in the Issuer held by PNGS GP LLC.</w:t>
            </w:r>
          </w:p>
        </w:tc>
      </w:tr>
      <w:tr>
        <w:trPr/>
        <w:tc>
          <w:tcPr>
            <w:tcW w:w="596" w:type="dxa"/>
            <w:tcBorders/>
            <w:shd w:fill="auto" w:val="clear"/>
            <w:vAlign w:val="center"/>
          </w:tcPr>
          <w:p>
            <w:pPr>
              <w:pStyle w:val="TableContents"/>
              <w:spacing w:before="0" w:after="283"/>
              <w:rPr/>
            </w:pPr>
            <w:r>
              <w:rPr/>
              <w:t> </w:t>
            </w:r>
          </w:p>
        </w:tc>
        <w:tc>
          <w:tcPr>
            <w:tcW w:w="9609" w:type="dxa"/>
            <w:gridSpan w:val="3"/>
            <w:tcBorders/>
            <w:shd w:fill="auto" w:val="clear"/>
          </w:tcPr>
          <w:p>
            <w:pPr>
              <w:pStyle w:val="TableContents"/>
              <w:spacing w:before="0" w:after="283"/>
              <w:rPr>
                <w:sz w:val="4"/>
                <w:szCs w:val="4"/>
              </w:rPr>
            </w:pPr>
            <w:r>
              <w:rPr>
                <w:sz w:val="4"/>
                <w:szCs w:val="4"/>
              </w:rPr>
            </w:r>
          </w:p>
        </w:tc>
      </w:tr>
      <w:tr>
        <w:trPr/>
        <w:tc>
          <w:tcPr>
            <w:tcW w:w="596" w:type="dxa"/>
            <w:tcBorders/>
            <w:shd w:fill="auto" w:val="clear"/>
          </w:tcPr>
          <w:p>
            <w:pPr>
              <w:pStyle w:val="TableContents"/>
              <w:spacing w:before="0" w:after="283"/>
              <w:rPr/>
            </w:pPr>
            <w:r>
              <w:rPr/>
              <w:t> </w:t>
            </w:r>
          </w:p>
        </w:tc>
        <w:tc>
          <w:tcPr>
            <w:tcW w:w="296" w:type="dxa"/>
            <w:tcBorders/>
            <w:shd w:fill="auto" w:val="clear"/>
          </w:tcPr>
          <w:p>
            <w:pPr>
              <w:pStyle w:val="TableContents"/>
              <w:spacing w:before="0" w:after="283"/>
              <w:jc w:val="left"/>
              <w:rPr/>
            </w:pPr>
            <w:r>
              <w:rPr/>
              <w:t>(2)</w:t>
            </w:r>
          </w:p>
        </w:tc>
        <w:tc>
          <w:tcPr>
            <w:tcW w:w="117" w:type="dxa"/>
            <w:tcBorders/>
            <w:shd w:fill="auto" w:val="clear"/>
          </w:tcPr>
          <w:p>
            <w:pPr>
              <w:pStyle w:val="TableContents"/>
              <w:spacing w:before="0" w:after="283"/>
              <w:rPr/>
            </w:pPr>
            <w:r>
              <w:rPr/>
              <w:t> </w:t>
            </w:r>
          </w:p>
        </w:tc>
        <w:tc>
          <w:tcPr>
            <w:tcW w:w="9196" w:type="dxa"/>
            <w:tcBorders/>
            <w:shd w:fill="auto" w:val="clear"/>
          </w:tcPr>
          <w:p>
            <w:pPr>
              <w:pStyle w:val="TableContents"/>
              <w:spacing w:before="0" w:after="283"/>
              <w:rPr/>
            </w:pPr>
            <w:r>
              <w:rPr/>
              <w:t>The General Partner, AAP and GP LLC may, pursuant to Rule 13d-3, be deemed to be indirect beneficial owners of the securities held by PAA, described in (a)(1) above.</w:t>
            </w:r>
          </w:p>
        </w:tc>
      </w:tr>
    </w:tbl>
    <w:p>
      <w:pPr>
        <w:pStyle w:val="TextBody"/>
        <w:spacing w:before="120" w:after="283"/>
        <w:jc w:val="left"/>
        <w:rPr/>
      </w:pPr>
      <w:r>
        <w:rPr/>
        <w:t>     </w:t>
      </w:r>
      <w:r>
        <w:rPr>
          <w:rFonts w:ascii="Times New Roman;Times;serif" w:hAnsi="Times New Roman;Times;serif"/>
          <w:sz w:val="17"/>
        </w:rPr>
        <w:t xml:space="preserve">(b) The information set forth in Items 7 through 11 of the cover pages hereto is incorporated herein by reference. See </w:t>
      </w:r>
      <w:r>
        <w:rPr>
          <w:rFonts w:ascii="Times New Roman;Times;serif" w:hAnsi="Times New Roman;Times;serif"/>
          <w:sz w:val="17"/>
          <w:u w:val="single"/>
        </w:rPr>
        <w:t>Schedule 1</w:t>
      </w:r>
      <w:r>
        <w:rPr>
          <w:rFonts w:ascii="Times New Roman;Times;serif" w:hAnsi="Times New Roman;Times;serif"/>
          <w:sz w:val="17"/>
        </w:rPr>
        <w:t xml:space="preserve"> for the information applicable to the Listed Persons. </w:t>
      </w:r>
    </w:p>
    <w:p>
      <w:pPr>
        <w:pStyle w:val="TextBody"/>
        <w:spacing w:before="120" w:after="283"/>
        <w:jc w:val="left"/>
        <w:rPr/>
      </w:pPr>
      <w:r>
        <w:rPr/>
        <w:t>     </w:t>
      </w:r>
      <w:r>
        <w:rPr>
          <w:rFonts w:ascii="Times New Roman;Times;serif" w:hAnsi="Times New Roman;Times;serif"/>
          <w:sz w:val="17"/>
        </w:rPr>
        <w:t xml:space="preserve">(c) Except as described in </w:t>
      </w:r>
      <w:r>
        <w:rPr>
          <w:rFonts w:ascii="Times New Roman;Times;serif" w:hAnsi="Times New Roman;Times;serif"/>
          <w:sz w:val="17"/>
          <w:u w:val="single"/>
        </w:rPr>
        <w:t>Item 3</w:t>
      </w:r>
      <w:r>
        <w:rPr>
          <w:rFonts w:ascii="Times New Roman;Times;serif" w:hAnsi="Times New Roman;Times;serif"/>
          <w:sz w:val="17"/>
        </w:rPr>
        <w:t xml:space="preserve"> above or elsewhere in this Schedule 13D, none of the Reporting Persons or, to the Reporting Persons knowledge, the Listed Persons has effected any transactions in the Common Units during the past 60 days. </w:t>
      </w:r>
    </w:p>
    <w:p>
      <w:pPr>
        <w:pStyle w:val="TextBody"/>
        <w:spacing w:before="120" w:after="283"/>
        <w:jc w:val="left"/>
        <w:rPr/>
      </w:pPr>
      <w:r>
        <w:rPr/>
        <w:t>     </w:t>
      </w:r>
      <w:r>
        <w:rPr>
          <w:rFonts w:ascii="Times New Roman;Times;serif" w:hAnsi="Times New Roman;Times;serif"/>
          <w:sz w:val="17"/>
        </w:rPr>
        <w:t xml:space="preserve">(d) Not applicable. </w:t>
      </w:r>
    </w:p>
    <w:p>
      <w:pPr>
        <w:pStyle w:val="TextBody"/>
        <w:spacing w:before="120" w:after="283"/>
        <w:jc w:val="left"/>
        <w:rPr/>
      </w:pPr>
      <w:r>
        <w:rPr/>
        <w:t>     </w:t>
      </w:r>
      <w:r>
        <w:rPr>
          <w:rFonts w:ascii="Times New Roman;Times;serif" w:hAnsi="Times New Roman;Times;serif"/>
          <w:sz w:val="17"/>
        </w:rPr>
        <w:t xml:space="preserve">(e) Not applicable.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6. Contracts, Arrangements, Understandings or Relationships with Respect to Securities of the Issuer</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information provided or incorporated by reference in </w:t>
      </w:r>
      <w:r>
        <w:rPr>
          <w:rFonts w:ascii="Times New Roman;Times;serif" w:hAnsi="Times New Roman;Times;serif"/>
          <w:sz w:val="17"/>
          <w:u w:val="single"/>
        </w:rPr>
        <w:t>Item 3</w:t>
      </w:r>
      <w:r>
        <w:rPr>
          <w:rFonts w:ascii="Times New Roman;Times;serif" w:hAnsi="Times New Roman;Times;serif"/>
          <w:sz w:val="17"/>
        </w:rPr>
        <w:t xml:space="preserve"> and </w:t>
      </w:r>
      <w:r>
        <w:rPr>
          <w:rFonts w:ascii="Times New Roman;Times;serif" w:hAnsi="Times New Roman;Times;serif"/>
          <w:sz w:val="17"/>
          <w:u w:val="single"/>
        </w:rPr>
        <w:t>Item 4</w:t>
      </w:r>
      <w:r>
        <w:rPr>
          <w:rFonts w:ascii="Times New Roman;Times;serif" w:hAnsi="Times New Roman;Times;serif"/>
          <w:sz w:val="17"/>
        </w:rPr>
        <w:t xml:space="preserve"> is hereby incorporated by reference herein. </w:t>
      </w:r>
    </w:p>
    <w:p>
      <w:pPr>
        <w:pStyle w:val="TextBody"/>
        <w:spacing w:before="120" w:after="283"/>
        <w:jc w:val="left"/>
        <w:rPr/>
      </w:pPr>
      <w:r>
        <w:rPr/>
        <w:t>     </w:t>
      </w:r>
      <w:r>
        <w:rPr>
          <w:rFonts w:ascii="Times New Roman;Times;serif" w:hAnsi="Times New Roman;Times;serif"/>
          <w:sz w:val="17"/>
        </w:rPr>
        <w:t xml:space="preserve">To the Reporting Persons knowledge, there are no contracts, arrangements, understandings or relationships (legal or otherwise) among the persons named in </w:t>
      </w:r>
      <w:r>
        <w:rPr>
          <w:rFonts w:ascii="Times New Roman;Times;serif" w:hAnsi="Times New Roman;Times;serif"/>
          <w:sz w:val="17"/>
          <w:u w:val="single"/>
        </w:rPr>
        <w:t>Item 2</w:t>
      </w:r>
      <w:r>
        <w:rPr>
          <w:rFonts w:ascii="Times New Roman;Times;serif" w:hAnsi="Times New Roman;Times;serif"/>
          <w:sz w:val="17"/>
        </w:rPr>
        <w:t xml:space="preserve"> and between such persons and any other person with respect to any securities of the Issuer, other than the following: </w:t>
      </w:r>
    </w:p>
    <w:p>
      <w:pPr>
        <w:pStyle w:val="TextBody"/>
        <w:spacing w:before="120" w:after="283"/>
        <w:jc w:val="left"/>
        <w:rPr/>
      </w:pPr>
      <w:r>
        <w:rPr/>
        <w:t>     </w:t>
      </w:r>
      <w:r>
        <w:rPr>
          <w:rFonts w:ascii="Times New Roman;Times;serif" w:hAnsi="Times New Roman;Times;serif"/>
          <w:sz w:val="17"/>
        </w:rPr>
        <w:t xml:space="preserve">In September 2010, PAA entered into transaction grant agreements with Greg Armstrong, Harry Pefanis and Al Swanson, who are executive officers of PAA, pursuant to which these individuals acquired phantom common units, phantom series A subordinated units and phantom series B subordinated units, representing a portion of the limited partner interests of PNG issued to PAA in connection with PNGs IPO. The phantom units will vest as follows: (i) the phantom common units will vest 50% on May 5, 2011 and 50% on May 5, 2012; (ii) the phantom series A subordinated units will vest upon conversion of the Series A Subordinated Units into Common Units; and (iii) the phantom series B subordinated units will vest in increments of 20%, 21%, 15%, 22% and 22%, respectively, in connection with the conversion of the First through Fifth Tranches of Series B Subordinated Units. Upon vesting, the phantom common units and phantom series A subordinated units will be payable one-for-one by PAA in Common Units of PNG, and the phantom series B subordinated units will be payable one-for-one by PAA in Series </w:t>
      </w:r>
    </w:p>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 Subordinated Units or Common Units of PNG it receives upon conversion of the Series B Subordinated Units. Any phantom series A subordinated units and phantom series B subordinated units that have not vested as of December 31, 2018 will be automatically cancelled on such date. The number of phantom units of each class or series granted by PAA to Messrs. Armstrong, Pefanis and Swanson is as follows: Mr. Armstrong, 62,000 each of phantom common units, phantom series A subordinated units and phantom series B subordinated units; Mr. Pefanis, 42,000 each of phantom common units, phantom series A subordinated units and phantom series B subordinated units; and Mr. Swanson, 21,000 each of phantom common units, phantom series A subordinated units and phantom series B subordinated units.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7. Material to Be Filed as Exhibits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1063"/>
        <w:gridCol w:w="204"/>
        <w:gridCol w:w="8938"/>
      </w:tblGrid>
      <w:tr>
        <w:trPr/>
        <w:tc>
          <w:tcPr>
            <w:tcW w:w="1063"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8938" w:type="dxa"/>
            <w:tcBorders/>
            <w:shd w:fill="auto" w:val="clear"/>
            <w:vAlign w:val="bottom"/>
          </w:tcPr>
          <w:p>
            <w:pPr>
              <w:pStyle w:val="TableContents"/>
              <w:spacing w:before="0" w:after="283"/>
              <w:rPr/>
            </w:pPr>
            <w:r>
              <w:rPr/>
              <w:t> </w:t>
            </w:r>
          </w:p>
        </w:tc>
      </w:tr>
      <w:tr>
        <w:trPr/>
        <w:tc>
          <w:tcPr>
            <w:tcW w:w="1063" w:type="dxa"/>
            <w:tcBorders/>
            <w:shd w:fill="auto" w:val="clear"/>
          </w:tcPr>
          <w:p>
            <w:pPr>
              <w:pStyle w:val="TableContents"/>
              <w:spacing w:before="0" w:after="0"/>
              <w:ind w:left="0" w:right="0" w:hanging="0"/>
              <w:rPr/>
            </w:pPr>
            <w:r>
              <w:rPr/>
              <w:t xml:space="preserve">Schedule I </w:t>
            </w:r>
          </w:p>
        </w:tc>
        <w:tc>
          <w:tcPr>
            <w:tcW w:w="204" w:type="dxa"/>
            <w:tcBorders/>
            <w:shd w:fill="auto" w:val="clear"/>
            <w:vAlign w:val="bottom"/>
          </w:tcPr>
          <w:p>
            <w:pPr>
              <w:pStyle w:val="TableContents"/>
              <w:spacing w:before="0" w:after="283"/>
              <w:rPr/>
            </w:pPr>
            <w:r>
              <w:rPr/>
              <w:t> </w:t>
            </w:r>
          </w:p>
        </w:tc>
        <w:tc>
          <w:tcPr>
            <w:tcW w:w="8938" w:type="dxa"/>
            <w:tcBorders/>
            <w:shd w:fill="auto" w:val="clear"/>
          </w:tcPr>
          <w:p>
            <w:pPr>
              <w:pStyle w:val="TableContents"/>
              <w:spacing w:before="0" w:after="283"/>
              <w:jc w:val="left"/>
              <w:rPr/>
            </w:pPr>
            <w:r>
              <w:rPr/>
              <w:t>Identity and Background of the Listed Persons pursuant to Item 2 and General Instruction C to Schedule 13D</w:t>
            </w:r>
          </w:p>
        </w:tc>
      </w:tr>
      <w:tr>
        <w:trPr/>
        <w:tc>
          <w:tcPr>
            <w:tcW w:w="1063"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8938" w:type="dxa"/>
            <w:tcBorders/>
            <w:shd w:fill="auto" w:val="clear"/>
          </w:tcPr>
          <w:p>
            <w:pPr>
              <w:pStyle w:val="TableContents"/>
              <w:spacing w:before="0" w:after="283"/>
              <w:jc w:val="left"/>
              <w:rPr/>
            </w:pPr>
            <w:r>
              <w:rPr/>
              <w:t> </w:t>
            </w:r>
          </w:p>
        </w:tc>
      </w:tr>
      <w:tr>
        <w:trPr/>
        <w:tc>
          <w:tcPr>
            <w:tcW w:w="1063" w:type="dxa"/>
            <w:tcBorders/>
            <w:shd w:fill="auto" w:val="clear"/>
          </w:tcPr>
          <w:p>
            <w:pPr>
              <w:pStyle w:val="TableContents"/>
              <w:spacing w:before="0" w:after="0"/>
              <w:ind w:left="0" w:right="0" w:hanging="0"/>
              <w:rPr/>
            </w:pPr>
            <w:r>
              <w:rPr/>
              <w:t xml:space="preserve">Exhibit A </w:t>
            </w:r>
          </w:p>
        </w:tc>
        <w:tc>
          <w:tcPr>
            <w:tcW w:w="204" w:type="dxa"/>
            <w:tcBorders/>
            <w:shd w:fill="auto" w:val="clear"/>
            <w:vAlign w:val="bottom"/>
          </w:tcPr>
          <w:p>
            <w:pPr>
              <w:pStyle w:val="TableContents"/>
              <w:spacing w:before="0" w:after="283"/>
              <w:rPr/>
            </w:pPr>
            <w:r>
              <w:rPr/>
              <w:t> </w:t>
            </w:r>
          </w:p>
        </w:tc>
        <w:tc>
          <w:tcPr>
            <w:tcW w:w="8938" w:type="dxa"/>
            <w:tcBorders/>
            <w:shd w:fill="auto" w:val="clear"/>
          </w:tcPr>
          <w:p>
            <w:pPr>
              <w:pStyle w:val="TableContents"/>
              <w:spacing w:before="0" w:after="283"/>
              <w:jc w:val="left"/>
              <w:rPr/>
            </w:pPr>
            <w:r>
              <w:rPr/>
              <w:t>Second Amended and Restated Limited Partnership Agreement of PAA Natural Gas Storage L.P., dated as of August 16, 2010 (filed as Exhibit 3.1 to PAA Natural Gas Storage L.P.s Current Report on Form 8-K filed with the Commission on August 20, 2010 (File No. 001-34722) and incorporated herein in its entirety by reference).</w:t>
            </w:r>
          </w:p>
        </w:tc>
      </w:tr>
      <w:tr>
        <w:trPr/>
        <w:tc>
          <w:tcPr>
            <w:tcW w:w="1063"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8938" w:type="dxa"/>
            <w:tcBorders/>
            <w:shd w:fill="auto" w:val="clear"/>
          </w:tcPr>
          <w:p>
            <w:pPr>
              <w:pStyle w:val="TableContents"/>
              <w:spacing w:before="0" w:after="283"/>
              <w:jc w:val="left"/>
              <w:rPr/>
            </w:pPr>
            <w:r>
              <w:rPr/>
              <w:t> </w:t>
            </w:r>
          </w:p>
        </w:tc>
      </w:tr>
      <w:tr>
        <w:trPr/>
        <w:tc>
          <w:tcPr>
            <w:tcW w:w="1063" w:type="dxa"/>
            <w:tcBorders/>
            <w:shd w:fill="auto" w:val="clear"/>
          </w:tcPr>
          <w:p>
            <w:pPr>
              <w:pStyle w:val="TableContents"/>
              <w:spacing w:before="0" w:after="0"/>
              <w:ind w:left="0" w:right="0" w:hanging="0"/>
              <w:rPr/>
            </w:pPr>
            <w:r>
              <w:rPr/>
              <w:t xml:space="preserve">Exhibit B </w:t>
            </w:r>
          </w:p>
        </w:tc>
        <w:tc>
          <w:tcPr>
            <w:tcW w:w="204" w:type="dxa"/>
            <w:tcBorders/>
            <w:shd w:fill="auto" w:val="clear"/>
            <w:vAlign w:val="bottom"/>
          </w:tcPr>
          <w:p>
            <w:pPr>
              <w:pStyle w:val="TableContents"/>
              <w:spacing w:before="0" w:after="283"/>
              <w:rPr/>
            </w:pPr>
            <w:r>
              <w:rPr/>
              <w:t> </w:t>
            </w:r>
          </w:p>
        </w:tc>
        <w:tc>
          <w:tcPr>
            <w:tcW w:w="8938" w:type="dxa"/>
            <w:tcBorders/>
            <w:shd w:fill="auto" w:val="clear"/>
          </w:tcPr>
          <w:p>
            <w:pPr>
              <w:pStyle w:val="TableContents"/>
              <w:spacing w:before="0" w:after="283"/>
              <w:jc w:val="left"/>
              <w:rPr/>
            </w:pPr>
            <w:r>
              <w:rPr/>
              <w:t>Contribution Agreement by and among PAA Natural Gas Storage, L.P., PNGS GP LLC, Plains All American Pipeline, L.P., PAA Natural Gas Storage, LLC, PAA/Vulcan Gas Storage, LLC, Plains Marketing, L.P. and Plains Marketing GP Inc., dated as of April 29, 2010 (filed as Exhibit 10.1 to PAA Natural Gas Storage L.P.s Current Report on Form 8-K filed with the Commission on May 4, 2010 (File No. 001-34722) and incorporated herein in its entirety by reference).</w:t>
            </w:r>
          </w:p>
        </w:tc>
      </w:tr>
      <w:tr>
        <w:trPr/>
        <w:tc>
          <w:tcPr>
            <w:tcW w:w="1063"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8938" w:type="dxa"/>
            <w:tcBorders/>
            <w:shd w:fill="auto" w:val="clear"/>
          </w:tcPr>
          <w:p>
            <w:pPr>
              <w:pStyle w:val="TableContents"/>
              <w:spacing w:before="0" w:after="283"/>
              <w:jc w:val="left"/>
              <w:rPr/>
            </w:pPr>
            <w:r>
              <w:rPr/>
              <w:t> </w:t>
            </w:r>
          </w:p>
        </w:tc>
      </w:tr>
      <w:tr>
        <w:trPr/>
        <w:tc>
          <w:tcPr>
            <w:tcW w:w="1063" w:type="dxa"/>
            <w:tcBorders/>
            <w:shd w:fill="auto" w:val="clear"/>
          </w:tcPr>
          <w:p>
            <w:pPr>
              <w:pStyle w:val="TableContents"/>
              <w:spacing w:before="0" w:after="0"/>
              <w:ind w:left="0" w:right="0" w:hanging="0"/>
              <w:rPr/>
            </w:pPr>
            <w:r>
              <w:rPr/>
              <w:t xml:space="preserve">Exhibit C </w:t>
            </w:r>
          </w:p>
        </w:tc>
        <w:tc>
          <w:tcPr>
            <w:tcW w:w="204" w:type="dxa"/>
            <w:tcBorders/>
            <w:shd w:fill="auto" w:val="clear"/>
            <w:vAlign w:val="bottom"/>
          </w:tcPr>
          <w:p>
            <w:pPr>
              <w:pStyle w:val="TableContents"/>
              <w:spacing w:before="0" w:after="283"/>
              <w:rPr/>
            </w:pPr>
            <w:r>
              <w:rPr/>
              <w:t> </w:t>
            </w:r>
          </w:p>
        </w:tc>
        <w:tc>
          <w:tcPr>
            <w:tcW w:w="8938" w:type="dxa"/>
            <w:tcBorders/>
            <w:shd w:fill="auto" w:val="clear"/>
          </w:tcPr>
          <w:p>
            <w:pPr>
              <w:pStyle w:val="TableContents"/>
              <w:spacing w:before="0" w:after="283"/>
              <w:jc w:val="left"/>
              <w:rPr/>
            </w:pPr>
            <w:r>
              <w:rPr/>
              <w:t>Joint Filing Statement (filed herewith).</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Signature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After reasonable inquiry and to the best of my knowledge and belief, I certify that the information set forth in this statement is true, complete and correct.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 xml:space="preserve">Date: </w:t>
      </w:r>
      <w:r>
        <w:rPr>
          <w:rFonts w:ascii="Times New Roman;Times;serif" w:hAnsi="Times New Roman;Times;serif"/>
          <w:sz w:val="17"/>
        </w:rPr>
        <w:t xml:space="preserve">February 18, 2011 </w:t>
      </w:r>
    </w:p>
    <w:tbl>
      <w:tblPr>
        <w:tblW w:w="5000" w:type="pct"/>
        <w:jc w:val="left"/>
        <w:tblInd w:w="0" w:type="dxa"/>
        <w:tblCellMar>
          <w:top w:w="0" w:type="dxa"/>
          <w:left w:w="0" w:type="dxa"/>
          <w:bottom w:w="0" w:type="dxa"/>
          <w:right w:w="0" w:type="dxa"/>
        </w:tblCellMar>
      </w:tblPr>
      <w:tblGrid>
        <w:gridCol w:w="4128"/>
        <w:gridCol w:w="350"/>
        <w:gridCol w:w="598"/>
        <w:gridCol w:w="3799"/>
        <w:gridCol w:w="1330"/>
      </w:tblGrid>
      <w:tr>
        <w:trPr/>
        <w:tc>
          <w:tcPr>
            <w:tcW w:w="4128"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799" w:type="dxa"/>
            <w:tcBorders/>
            <w:shd w:fill="auto" w:val="clear"/>
            <w:vAlign w:val="center"/>
          </w:tcPr>
          <w:p>
            <w:pPr>
              <w:pStyle w:val="TableContents"/>
              <w:spacing w:before="0" w:after="283"/>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b/>
              </w:rPr>
              <w:t>PLAINS ALL AMERICAN PIPELINE, L.P.</w:t>
            </w:r>
            <w:r>
              <w:rPr/>
              <w:b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shd w:fill="auto" w:val="clear"/>
            <w:vAlign w:val="center"/>
          </w:tcPr>
          <w:p>
            <w:pPr>
              <w:pStyle w:val="TableContents"/>
              <w:spacing w:before="0" w:after="283"/>
              <w:jc w:val="left"/>
              <w:rPr/>
            </w:pPr>
            <w:r>
              <w:rPr/>
              <w:t>PAA GP LLC, its general partner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shd w:fill="auto" w:val="clear"/>
            <w:vAlign w:val="center"/>
          </w:tcPr>
          <w:p>
            <w:pPr>
              <w:pStyle w:val="TableContents"/>
              <w:spacing w:before="0" w:after="283"/>
              <w:jc w:val="left"/>
              <w:rPr/>
            </w:pPr>
            <w:r>
              <w:rPr/>
              <w:t>Plains AAP, L.P., its sole member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shd w:fill="auto" w:val="clear"/>
            <w:vAlign w:val="center"/>
          </w:tcPr>
          <w:p>
            <w:pPr>
              <w:pStyle w:val="TableContents"/>
              <w:spacing w:before="0" w:after="283"/>
              <w:jc w:val="left"/>
              <w:rPr/>
            </w:pPr>
            <w:r>
              <w:rPr/>
              <w:t>Plains All American GP LLC, its general partner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799" w:type="dxa"/>
            <w:tcBorders/>
            <w:shd w:fill="auto" w:val="clear"/>
            <w:vAlign w:val="center"/>
          </w:tcPr>
          <w:p>
            <w:pPr>
              <w:pStyle w:val="TableContents"/>
              <w:spacing w:before="0" w:after="283"/>
              <w:jc w:val="left"/>
              <w:rPr/>
            </w:pPr>
            <w:r>
              <w:rPr/>
              <w:t>Tim Moore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799" w:type="dxa"/>
            <w:tcBorders/>
            <w:shd w:fill="auto" w:val="clear"/>
            <w:vAlign w:val="center"/>
          </w:tcPr>
          <w:p>
            <w:pPr>
              <w:pStyle w:val="TableContents"/>
              <w:spacing w:before="0" w:after="283"/>
              <w:jc w:val="left"/>
              <w:rPr/>
            </w:pPr>
            <w:r>
              <w:rPr/>
              <w:t>Vice President </w:t>
            </w:r>
          </w:p>
        </w:tc>
        <w:tc>
          <w:tcPr>
            <w:tcW w:w="1330"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Signature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After reasonable inquiry and to the best of my knowledge and belief, I certify that the information set forth in this statement is true, complete and correct.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 xml:space="preserve">Date: </w:t>
      </w:r>
      <w:r>
        <w:rPr>
          <w:rFonts w:ascii="Times New Roman;Times;serif" w:hAnsi="Times New Roman;Times;serif"/>
          <w:sz w:val="17"/>
        </w:rPr>
        <w:t xml:space="preserve">February 18, 2011 </w:t>
      </w:r>
    </w:p>
    <w:tbl>
      <w:tblPr>
        <w:tblW w:w="5000" w:type="pct"/>
        <w:jc w:val="left"/>
        <w:tblInd w:w="0" w:type="dxa"/>
        <w:tblCellMar>
          <w:top w:w="0" w:type="dxa"/>
          <w:left w:w="0" w:type="dxa"/>
          <w:bottom w:w="0" w:type="dxa"/>
          <w:right w:w="0" w:type="dxa"/>
        </w:tblCellMar>
      </w:tblPr>
      <w:tblGrid>
        <w:gridCol w:w="4128"/>
        <w:gridCol w:w="350"/>
        <w:gridCol w:w="598"/>
        <w:gridCol w:w="3799"/>
        <w:gridCol w:w="1330"/>
      </w:tblGrid>
      <w:tr>
        <w:trPr/>
        <w:tc>
          <w:tcPr>
            <w:tcW w:w="4128"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799" w:type="dxa"/>
            <w:tcBorders/>
            <w:shd w:fill="auto" w:val="clear"/>
            <w:vAlign w:val="center"/>
          </w:tcPr>
          <w:p>
            <w:pPr>
              <w:pStyle w:val="TableContents"/>
              <w:spacing w:before="0" w:after="283"/>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b/>
              </w:rPr>
              <w:t>PAA GP LLC</w:t>
            </w:r>
            <w:r>
              <w:rPr/>
              <w:b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b/>
              </w:rPr>
              <w:t>By:</w:t>
            </w:r>
            <w:r>
              <w:rPr/>
              <w:t>  </w:t>
            </w:r>
          </w:p>
        </w:tc>
        <w:tc>
          <w:tcPr>
            <w:tcW w:w="4397" w:type="dxa"/>
            <w:gridSpan w:val="2"/>
            <w:tcBorders/>
            <w:shd w:fill="auto" w:val="clear"/>
            <w:vAlign w:val="center"/>
          </w:tcPr>
          <w:p>
            <w:pPr>
              <w:pStyle w:val="TableContents"/>
              <w:spacing w:before="0" w:after="283"/>
              <w:jc w:val="left"/>
              <w:rPr/>
            </w:pPr>
            <w:r>
              <w:rPr>
                <w:b/>
              </w:rPr>
              <w:t>Plains AAP, L.P., its sole member</w:t>
            </w:r>
            <w:r>
              <w:rPr/>
              <w:t xml:space="preserve">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b/>
              </w:rPr>
              <w:t>By:</w:t>
            </w:r>
            <w:r>
              <w:rPr/>
              <w:t>  </w:t>
            </w:r>
          </w:p>
        </w:tc>
        <w:tc>
          <w:tcPr>
            <w:tcW w:w="4397" w:type="dxa"/>
            <w:gridSpan w:val="2"/>
            <w:tcBorders/>
            <w:shd w:fill="auto" w:val="clear"/>
            <w:vAlign w:val="center"/>
          </w:tcPr>
          <w:p>
            <w:pPr>
              <w:pStyle w:val="TableContents"/>
              <w:spacing w:before="0" w:after="283"/>
              <w:jc w:val="left"/>
              <w:rPr/>
            </w:pPr>
            <w:r>
              <w:rPr>
                <w:b/>
              </w:rPr>
              <w:t>Plains All American GP LLC, its general partner</w:t>
            </w:r>
            <w:r>
              <w:rPr/>
              <w:t xml:space="preserve">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799" w:type="dxa"/>
            <w:tcBorders/>
            <w:shd w:fill="auto" w:val="clear"/>
            <w:vAlign w:val="center"/>
          </w:tcPr>
          <w:p>
            <w:pPr>
              <w:pStyle w:val="TableContents"/>
              <w:spacing w:before="0" w:after="283"/>
              <w:jc w:val="left"/>
              <w:rPr/>
            </w:pPr>
            <w:r>
              <w:rPr/>
              <w:t>Tim Moore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799" w:type="dxa"/>
            <w:tcBorders/>
            <w:shd w:fill="auto" w:val="clear"/>
            <w:vAlign w:val="center"/>
          </w:tcPr>
          <w:p>
            <w:pPr>
              <w:pStyle w:val="TableContents"/>
              <w:spacing w:before="0" w:after="283"/>
              <w:jc w:val="left"/>
              <w:rPr/>
            </w:pPr>
            <w:r>
              <w:rPr/>
              <w:t>Vice President </w:t>
            </w:r>
          </w:p>
        </w:tc>
        <w:tc>
          <w:tcPr>
            <w:tcW w:w="1330"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13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Signature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After reasonable inquiry and to the best of my knowledge and belief, I certify that the information set forth in this statement is true, complete and correct.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 xml:space="preserve">Date: </w:t>
      </w:r>
      <w:r>
        <w:rPr>
          <w:rFonts w:ascii="Times New Roman;Times;serif" w:hAnsi="Times New Roman;Times;serif"/>
          <w:sz w:val="17"/>
        </w:rPr>
        <w:t xml:space="preserve">February 18, 2011 </w:t>
      </w:r>
    </w:p>
    <w:tbl>
      <w:tblPr>
        <w:tblW w:w="5000" w:type="pct"/>
        <w:jc w:val="left"/>
        <w:tblInd w:w="0" w:type="dxa"/>
        <w:tblCellMar>
          <w:top w:w="0" w:type="dxa"/>
          <w:left w:w="0" w:type="dxa"/>
          <w:bottom w:w="0" w:type="dxa"/>
          <w:right w:w="0" w:type="dxa"/>
        </w:tblCellMar>
      </w:tblPr>
      <w:tblGrid>
        <w:gridCol w:w="4128"/>
        <w:gridCol w:w="350"/>
        <w:gridCol w:w="598"/>
        <w:gridCol w:w="3799"/>
        <w:gridCol w:w="1330"/>
      </w:tblGrid>
      <w:tr>
        <w:trPr/>
        <w:tc>
          <w:tcPr>
            <w:tcW w:w="4128"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799" w:type="dxa"/>
            <w:tcBorders/>
            <w:shd w:fill="auto" w:val="clear"/>
            <w:vAlign w:val="center"/>
          </w:tcPr>
          <w:p>
            <w:pPr>
              <w:pStyle w:val="TableContents"/>
              <w:spacing w:before="0" w:after="283"/>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b/>
              </w:rPr>
              <w:t>PLAINS AAP, L.P.</w:t>
            </w:r>
            <w:r>
              <w:rPr/>
              <w:b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b/>
              </w:rPr>
              <w:t>By:</w:t>
            </w:r>
            <w:r>
              <w:rPr/>
              <w:t>  </w:t>
            </w:r>
          </w:p>
        </w:tc>
        <w:tc>
          <w:tcPr>
            <w:tcW w:w="4397" w:type="dxa"/>
            <w:gridSpan w:val="2"/>
            <w:tcBorders/>
            <w:shd w:fill="auto" w:val="clear"/>
            <w:vAlign w:val="center"/>
          </w:tcPr>
          <w:p>
            <w:pPr>
              <w:pStyle w:val="TableContents"/>
              <w:spacing w:before="0" w:after="283"/>
              <w:jc w:val="left"/>
              <w:rPr/>
            </w:pPr>
            <w:r>
              <w:rPr>
                <w:b/>
              </w:rPr>
              <w:t>Plains All American GP LLC, its general partner</w:t>
            </w:r>
            <w:r>
              <w:rPr/>
              <w:t xml:space="preserve">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799" w:type="dxa"/>
            <w:tcBorders/>
            <w:shd w:fill="auto" w:val="clear"/>
            <w:vAlign w:val="center"/>
          </w:tcPr>
          <w:p>
            <w:pPr>
              <w:pStyle w:val="TableContents"/>
              <w:spacing w:before="0" w:after="283"/>
              <w:jc w:val="left"/>
              <w:rPr/>
            </w:pPr>
            <w:r>
              <w:rPr/>
              <w:t>Tim Moore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799" w:type="dxa"/>
            <w:tcBorders/>
            <w:shd w:fill="auto" w:val="clear"/>
            <w:vAlign w:val="center"/>
          </w:tcPr>
          <w:p>
            <w:pPr>
              <w:pStyle w:val="TableContents"/>
              <w:spacing w:before="0" w:after="283"/>
              <w:jc w:val="left"/>
              <w:rPr/>
            </w:pPr>
            <w:r>
              <w:rPr/>
              <w:t>Vice President </w:t>
            </w:r>
          </w:p>
        </w:tc>
        <w:tc>
          <w:tcPr>
            <w:tcW w:w="1330"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14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Signature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After reasonable inquiry and to the best of my knowledge and belief, I certify that the information set forth in this statement is true, complete and correct.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 xml:space="preserve">Date: </w:t>
      </w:r>
      <w:r>
        <w:rPr>
          <w:rFonts w:ascii="Times New Roman;Times;serif" w:hAnsi="Times New Roman;Times;serif"/>
          <w:sz w:val="17"/>
        </w:rPr>
        <w:t xml:space="preserve">February 18, 2011 </w:t>
      </w:r>
    </w:p>
    <w:tbl>
      <w:tblPr>
        <w:tblW w:w="5000" w:type="pct"/>
        <w:jc w:val="left"/>
        <w:tblInd w:w="0" w:type="dxa"/>
        <w:tblCellMar>
          <w:top w:w="0" w:type="dxa"/>
          <w:left w:w="0" w:type="dxa"/>
          <w:bottom w:w="0" w:type="dxa"/>
          <w:right w:w="0" w:type="dxa"/>
        </w:tblCellMar>
      </w:tblPr>
      <w:tblGrid>
        <w:gridCol w:w="4128"/>
        <w:gridCol w:w="350"/>
        <w:gridCol w:w="598"/>
        <w:gridCol w:w="3799"/>
        <w:gridCol w:w="1330"/>
      </w:tblGrid>
      <w:tr>
        <w:trPr/>
        <w:tc>
          <w:tcPr>
            <w:tcW w:w="4128"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799" w:type="dxa"/>
            <w:tcBorders/>
            <w:shd w:fill="auto" w:val="clear"/>
            <w:vAlign w:val="center"/>
          </w:tcPr>
          <w:p>
            <w:pPr>
              <w:pStyle w:val="TableContents"/>
              <w:spacing w:before="0" w:after="283"/>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b/>
              </w:rPr>
              <w:t>PLAINS ALL AMERICAN GP LLC</w:t>
            </w:r>
            <w:r>
              <w:rPr/>
              <w:b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799" w:type="dxa"/>
            <w:tcBorders/>
            <w:shd w:fill="auto" w:val="clear"/>
            <w:vAlign w:val="center"/>
          </w:tcPr>
          <w:p>
            <w:pPr>
              <w:pStyle w:val="TableContents"/>
              <w:spacing w:before="0" w:after="283"/>
              <w:jc w:val="left"/>
              <w:rPr/>
            </w:pPr>
            <w:r>
              <w:rPr/>
              <w:t>Tim Moore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799" w:type="dxa"/>
            <w:tcBorders/>
            <w:shd w:fill="auto" w:val="clear"/>
            <w:vAlign w:val="center"/>
          </w:tcPr>
          <w:p>
            <w:pPr>
              <w:pStyle w:val="TableContents"/>
              <w:spacing w:before="0" w:after="283"/>
              <w:jc w:val="left"/>
              <w:rPr/>
            </w:pPr>
            <w:r>
              <w:rPr/>
              <w:t>Vice President </w:t>
            </w:r>
          </w:p>
        </w:tc>
        <w:tc>
          <w:tcPr>
            <w:tcW w:w="133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15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EXHIBIT INDEX</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1053"/>
        <w:gridCol w:w="485"/>
        <w:gridCol w:w="8667"/>
      </w:tblGrid>
      <w:tr>
        <w:trPr/>
        <w:tc>
          <w:tcPr>
            <w:tcW w:w="1053"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rPr/>
            </w:pPr>
            <w:r>
              <w:rPr/>
              <w:t> </w:t>
            </w:r>
          </w:p>
        </w:tc>
        <w:tc>
          <w:tcPr>
            <w:tcW w:w="8667" w:type="dxa"/>
            <w:tcBorders/>
            <w:shd w:fill="auto" w:val="clear"/>
            <w:vAlign w:val="bottom"/>
          </w:tcPr>
          <w:p>
            <w:pPr>
              <w:pStyle w:val="TableContents"/>
              <w:spacing w:before="0" w:after="283"/>
              <w:rPr/>
            </w:pPr>
            <w:r>
              <w:rPr/>
              <w:t> </w:t>
            </w:r>
          </w:p>
        </w:tc>
      </w:tr>
      <w:tr>
        <w:trPr/>
        <w:tc>
          <w:tcPr>
            <w:tcW w:w="1053" w:type="dxa"/>
            <w:tcBorders/>
            <w:shd w:fill="auto" w:val="clear"/>
          </w:tcPr>
          <w:p>
            <w:pPr>
              <w:pStyle w:val="TableContents"/>
              <w:spacing w:before="0" w:after="0"/>
              <w:ind w:left="0" w:right="0" w:hanging="0"/>
              <w:rPr/>
            </w:pPr>
            <w:r>
              <w:rPr/>
              <w:t xml:space="preserve">Schedule I </w:t>
            </w:r>
          </w:p>
        </w:tc>
        <w:tc>
          <w:tcPr>
            <w:tcW w:w="485" w:type="dxa"/>
            <w:tcBorders/>
            <w:shd w:fill="auto" w:val="clear"/>
            <w:vAlign w:val="bottom"/>
          </w:tcPr>
          <w:p>
            <w:pPr>
              <w:pStyle w:val="TableContents"/>
              <w:spacing w:before="0" w:after="283"/>
              <w:rPr/>
            </w:pPr>
            <w:r>
              <w:rPr/>
              <w:t> </w:t>
            </w:r>
          </w:p>
        </w:tc>
        <w:tc>
          <w:tcPr>
            <w:tcW w:w="8667" w:type="dxa"/>
            <w:tcBorders/>
            <w:shd w:fill="auto" w:val="clear"/>
          </w:tcPr>
          <w:p>
            <w:pPr>
              <w:pStyle w:val="TableContents"/>
              <w:spacing w:before="0" w:after="283"/>
              <w:jc w:val="left"/>
              <w:rPr/>
            </w:pPr>
            <w:r>
              <w:rPr/>
              <w:t>Identity and Background of the Listed Persons pursuant to Item 2 and General Instruction C to Schedule 13D</w:t>
            </w:r>
          </w:p>
        </w:tc>
      </w:tr>
      <w:tr>
        <w:trPr/>
        <w:tc>
          <w:tcPr>
            <w:tcW w:w="1053" w:type="dxa"/>
            <w:tcBorders/>
            <w:shd w:fill="auto" w:val="clear"/>
          </w:tcPr>
          <w:p>
            <w:pPr>
              <w:pStyle w:val="TableContents"/>
              <w:spacing w:before="0" w:after="0"/>
              <w:ind w:left="0" w:right="0" w:hanging="0"/>
              <w:rPr/>
            </w:pPr>
            <w:r>
              <w:rPr/>
              <w:t> </w:t>
            </w:r>
          </w:p>
        </w:tc>
        <w:tc>
          <w:tcPr>
            <w:tcW w:w="485" w:type="dxa"/>
            <w:tcBorders/>
            <w:shd w:fill="auto" w:val="clear"/>
            <w:vAlign w:val="bottom"/>
          </w:tcPr>
          <w:p>
            <w:pPr>
              <w:pStyle w:val="TableContents"/>
              <w:spacing w:before="0" w:after="283"/>
              <w:rPr/>
            </w:pPr>
            <w:r>
              <w:rPr/>
              <w:t> </w:t>
            </w:r>
          </w:p>
        </w:tc>
        <w:tc>
          <w:tcPr>
            <w:tcW w:w="8667" w:type="dxa"/>
            <w:tcBorders/>
            <w:shd w:fill="auto" w:val="clear"/>
          </w:tcPr>
          <w:p>
            <w:pPr>
              <w:pStyle w:val="TableContents"/>
              <w:spacing w:before="0" w:after="283"/>
              <w:jc w:val="left"/>
              <w:rPr/>
            </w:pPr>
            <w:r>
              <w:rPr/>
              <w:t> </w:t>
            </w:r>
          </w:p>
        </w:tc>
      </w:tr>
      <w:tr>
        <w:trPr/>
        <w:tc>
          <w:tcPr>
            <w:tcW w:w="1053" w:type="dxa"/>
            <w:tcBorders/>
            <w:shd w:fill="auto" w:val="clear"/>
          </w:tcPr>
          <w:p>
            <w:pPr>
              <w:pStyle w:val="TableContents"/>
              <w:spacing w:before="0" w:after="283"/>
              <w:jc w:val="left"/>
              <w:rPr/>
            </w:pPr>
            <w:r>
              <w:rPr/>
              <w:t xml:space="preserve">Exhibit A </w:t>
            </w:r>
          </w:p>
        </w:tc>
        <w:tc>
          <w:tcPr>
            <w:tcW w:w="485" w:type="dxa"/>
            <w:tcBorders/>
            <w:shd w:fill="auto" w:val="clear"/>
            <w:vAlign w:val="bottom"/>
          </w:tcPr>
          <w:p>
            <w:pPr>
              <w:pStyle w:val="TableContents"/>
              <w:spacing w:before="0" w:after="283"/>
              <w:rPr/>
            </w:pPr>
            <w:r>
              <w:rPr/>
              <w:t> </w:t>
            </w:r>
          </w:p>
        </w:tc>
        <w:tc>
          <w:tcPr>
            <w:tcW w:w="8667" w:type="dxa"/>
            <w:tcBorders/>
            <w:shd w:fill="auto" w:val="clear"/>
          </w:tcPr>
          <w:p>
            <w:pPr>
              <w:pStyle w:val="TableContents"/>
              <w:spacing w:before="0" w:after="0"/>
              <w:ind w:left="0" w:right="0" w:hanging="0"/>
              <w:rPr/>
            </w:pPr>
            <w:r>
              <w:rPr/>
              <w:t>Second Amended and Restated Limited Partnership Agreement of PAA Natural Gas Storage L.P., dated as of August 16, 2010 (filed as Exhibit 3.1 to PAA Natural Gas Storage L.P.s Current Report on Form 8-K filed with the Commission on August 20, 2010 (File No. 001-34722) and incorporated herein in its entirety by reference).</w:t>
            </w:r>
          </w:p>
        </w:tc>
      </w:tr>
      <w:tr>
        <w:trPr/>
        <w:tc>
          <w:tcPr>
            <w:tcW w:w="1053" w:type="dxa"/>
            <w:tcBorders/>
            <w:shd w:fill="auto" w:val="clear"/>
          </w:tcPr>
          <w:p>
            <w:pPr>
              <w:pStyle w:val="TableContents"/>
              <w:spacing w:before="0" w:after="283"/>
              <w:jc w:val="left"/>
              <w:rPr/>
            </w:pPr>
            <w:r>
              <w:rPr/>
              <w:t> </w:t>
            </w:r>
          </w:p>
        </w:tc>
        <w:tc>
          <w:tcPr>
            <w:tcW w:w="485" w:type="dxa"/>
            <w:tcBorders/>
            <w:shd w:fill="auto" w:val="clear"/>
            <w:vAlign w:val="bottom"/>
          </w:tcPr>
          <w:p>
            <w:pPr>
              <w:pStyle w:val="TableContents"/>
              <w:spacing w:before="0" w:after="283"/>
              <w:rPr/>
            </w:pPr>
            <w:r>
              <w:rPr/>
              <w:t> </w:t>
            </w:r>
          </w:p>
        </w:tc>
        <w:tc>
          <w:tcPr>
            <w:tcW w:w="8667" w:type="dxa"/>
            <w:tcBorders/>
            <w:shd w:fill="auto" w:val="clear"/>
          </w:tcPr>
          <w:p>
            <w:pPr>
              <w:pStyle w:val="TableContents"/>
              <w:spacing w:before="0" w:after="0"/>
              <w:ind w:left="0" w:right="0" w:hanging="0"/>
              <w:rPr/>
            </w:pPr>
            <w:r>
              <w:rPr/>
              <w:t> </w:t>
            </w:r>
          </w:p>
        </w:tc>
      </w:tr>
      <w:tr>
        <w:trPr/>
        <w:tc>
          <w:tcPr>
            <w:tcW w:w="1053" w:type="dxa"/>
            <w:tcBorders/>
            <w:shd w:fill="auto" w:val="clear"/>
          </w:tcPr>
          <w:p>
            <w:pPr>
              <w:pStyle w:val="TableContents"/>
              <w:spacing w:before="0" w:after="283"/>
              <w:jc w:val="left"/>
              <w:rPr/>
            </w:pPr>
            <w:r>
              <w:rPr/>
              <w:t xml:space="preserve">Exhibit B </w:t>
            </w:r>
          </w:p>
        </w:tc>
        <w:tc>
          <w:tcPr>
            <w:tcW w:w="485" w:type="dxa"/>
            <w:tcBorders/>
            <w:shd w:fill="auto" w:val="clear"/>
            <w:vAlign w:val="bottom"/>
          </w:tcPr>
          <w:p>
            <w:pPr>
              <w:pStyle w:val="TableContents"/>
              <w:spacing w:before="0" w:after="283"/>
              <w:rPr/>
            </w:pPr>
            <w:r>
              <w:rPr/>
              <w:t> </w:t>
            </w:r>
          </w:p>
        </w:tc>
        <w:tc>
          <w:tcPr>
            <w:tcW w:w="8667" w:type="dxa"/>
            <w:tcBorders/>
            <w:shd w:fill="auto" w:val="clear"/>
          </w:tcPr>
          <w:p>
            <w:pPr>
              <w:pStyle w:val="TableContents"/>
              <w:spacing w:before="0" w:after="0"/>
              <w:ind w:left="0" w:right="0" w:hanging="0"/>
              <w:rPr/>
            </w:pPr>
            <w:r>
              <w:rPr/>
              <w:t>Contribution Agreement by and among PAA Natural Gas Storage, L.P., PNGS GP LLC, Plains All American Pipeline, L.P., PAA Natural Gas Storage, LLC, PAA/Vulcan Gas Storage, LLC, Plains Marketing, L.P. and Plains Marketing GP Inc., dated as of April 29, 2010 (filed as Exhibit 10.1 to PAA Natural Gas Storage L.P.s Current Report on Form 8-K filed with the Commission on May 4, 2010 (File No. 001-34722) and incorporated herein in its entirety by reference).</w:t>
            </w:r>
          </w:p>
        </w:tc>
      </w:tr>
      <w:tr>
        <w:trPr/>
        <w:tc>
          <w:tcPr>
            <w:tcW w:w="1053" w:type="dxa"/>
            <w:tcBorders/>
            <w:shd w:fill="auto" w:val="clear"/>
          </w:tcPr>
          <w:p>
            <w:pPr>
              <w:pStyle w:val="TableContents"/>
              <w:spacing w:before="0" w:after="283"/>
              <w:jc w:val="left"/>
              <w:rPr/>
            </w:pPr>
            <w:r>
              <w:rPr/>
              <w:t> </w:t>
            </w:r>
          </w:p>
        </w:tc>
        <w:tc>
          <w:tcPr>
            <w:tcW w:w="485" w:type="dxa"/>
            <w:tcBorders/>
            <w:shd w:fill="auto" w:val="clear"/>
            <w:vAlign w:val="bottom"/>
          </w:tcPr>
          <w:p>
            <w:pPr>
              <w:pStyle w:val="TableContents"/>
              <w:spacing w:before="0" w:after="283"/>
              <w:rPr/>
            </w:pPr>
            <w:r>
              <w:rPr/>
              <w:t> </w:t>
            </w:r>
          </w:p>
        </w:tc>
        <w:tc>
          <w:tcPr>
            <w:tcW w:w="8667" w:type="dxa"/>
            <w:tcBorders/>
            <w:shd w:fill="auto" w:val="clear"/>
          </w:tcPr>
          <w:p>
            <w:pPr>
              <w:pStyle w:val="TableContents"/>
              <w:spacing w:before="0" w:after="0"/>
              <w:ind w:left="0" w:right="0" w:hanging="0"/>
              <w:rPr/>
            </w:pPr>
            <w:r>
              <w:rPr/>
              <w:t> </w:t>
            </w:r>
          </w:p>
        </w:tc>
      </w:tr>
      <w:tr>
        <w:trPr/>
        <w:tc>
          <w:tcPr>
            <w:tcW w:w="1053" w:type="dxa"/>
            <w:tcBorders/>
            <w:shd w:fill="auto" w:val="clear"/>
          </w:tcPr>
          <w:p>
            <w:pPr>
              <w:pStyle w:val="TableContents"/>
              <w:spacing w:before="0" w:after="283"/>
              <w:jc w:val="left"/>
              <w:rPr/>
            </w:pPr>
            <w:r>
              <w:rPr/>
              <w:t xml:space="preserve">Exhibit C </w:t>
            </w:r>
          </w:p>
        </w:tc>
        <w:tc>
          <w:tcPr>
            <w:tcW w:w="485" w:type="dxa"/>
            <w:tcBorders/>
            <w:shd w:fill="auto" w:val="clear"/>
            <w:vAlign w:val="bottom"/>
          </w:tcPr>
          <w:p>
            <w:pPr>
              <w:pStyle w:val="TableContents"/>
              <w:spacing w:before="0" w:after="283"/>
              <w:rPr/>
            </w:pPr>
            <w:r>
              <w:rPr/>
              <w:t> </w:t>
            </w:r>
          </w:p>
        </w:tc>
        <w:tc>
          <w:tcPr>
            <w:tcW w:w="8667" w:type="dxa"/>
            <w:tcBorders/>
            <w:shd w:fill="auto" w:val="clear"/>
          </w:tcPr>
          <w:p>
            <w:pPr>
              <w:pStyle w:val="TableContents"/>
              <w:spacing w:before="0" w:after="0"/>
              <w:ind w:left="0" w:right="0" w:hanging="0"/>
              <w:rPr/>
            </w:pPr>
            <w:r>
              <w:rPr/>
              <w:t>Joint Filing Statement (filed herewith).</w:t>
            </w:r>
          </w:p>
        </w:tc>
      </w:tr>
    </w:tbl>
    <w:p>
      <w:pPr>
        <w:pStyle w:val="TextBody"/>
        <w:jc w:val="center"/>
        <w:rPr/>
      </w:pPr>
      <w:r>
        <w:rPr/>
        <w:t xml:space="preserve">  </w:t>
      </w:r>
      <w:r>
        <w:br w:type="page"/>
      </w:r>
    </w:p>
    <w:p>
      <w:pPr>
        <w:pStyle w:val="TextBody"/>
        <w:spacing w:before="360" w:after="283"/>
        <w:jc w:val="center"/>
        <w:rPr>
          <w:rFonts w:ascii="Times New Roman;Times;serif" w:hAnsi="Times New Roman;Times;serif"/>
          <w:sz w:val="17"/>
        </w:rPr>
      </w:pPr>
      <w:bookmarkStart w:id="3" w:name="h79686exv99wschw1.htm"/>
      <w:bookmarkStart w:id="4" w:name="ksh79686exv99wschw1"/>
      <w:bookmarkEnd w:id="3"/>
      <w:bookmarkEnd w:id="4"/>
      <w:r>
        <w:rPr>
          <w:rFonts w:ascii="Times New Roman;Times;serif" w:hAnsi="Times New Roman;Times;serif"/>
          <w:b/>
          <w:sz w:val="17"/>
          <w:u w:val="single"/>
        </w:rPr>
        <w:t>Schedule I</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Executive Officers1</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Greg L. Armstrong</w:t>
      </w:r>
      <w:r>
        <w:rPr>
          <w:rFonts w:ascii="Times New Roman;Times;serif" w:hAnsi="Times New Roman;Times;serif"/>
          <w:sz w:val="17"/>
        </w:rPr>
        <w:br/>
      </w:r>
      <w:r>
        <w:rPr>
          <w:rFonts w:ascii="Times New Roman;Times;serif" w:hAnsi="Times New Roman;Times;serif"/>
          <w:sz w:val="17"/>
          <w:u w:val="single"/>
        </w:rPr>
        <w:t>Address</w:t>
      </w:r>
      <w:r>
        <w:rPr>
          <w:rFonts w:ascii="Times New Roman;Times;serif" w:hAnsi="Times New Roman;Times;serif"/>
          <w:sz w:val="17"/>
        </w:rPr>
        <w:t>: c/o Plains All American Pipeline, L.P., 333 Clay Street, Suite 1600, Houston,Texas 77002</w:t>
        <w:br/>
      </w:r>
      <w:r>
        <w:rPr>
          <w:rFonts w:ascii="Times New Roman;Times;serif" w:hAnsi="Times New Roman;Times;serif"/>
          <w:sz w:val="17"/>
          <w:u w:val="single"/>
        </w:rPr>
        <w:t>Principal Occupation</w:t>
      </w:r>
      <w:r>
        <w:rPr>
          <w:rFonts w:ascii="Times New Roman;Times;serif" w:hAnsi="Times New Roman;Times;serif"/>
          <w:sz w:val="17"/>
        </w:rPr>
        <w:t>: Chairman of the Board, Chief Executive Officer and Director of PNGS GP LLC and of Plains All American GP LLC</w:t>
        <w:br/>
      </w:r>
      <w:r>
        <w:rPr>
          <w:rFonts w:ascii="Times New Roman;Times;serif" w:hAnsi="Times New Roman;Times;serif"/>
          <w:sz w:val="17"/>
          <w:u w:val="single"/>
        </w:rPr>
        <w:t>Citizenship</w:t>
      </w:r>
      <w:r>
        <w:rPr>
          <w:rFonts w:ascii="Times New Roman;Times;serif" w:hAnsi="Times New Roman;Times;serif"/>
          <w:sz w:val="17"/>
        </w:rPr>
        <w:t>: USA</w:t>
        <w:br/>
      </w:r>
      <w:r>
        <w:rPr>
          <w:rFonts w:ascii="Times New Roman;Times;serif" w:hAnsi="Times New Roman;Times;serif"/>
          <w:sz w:val="17"/>
          <w:u w:val="single"/>
        </w:rPr>
        <w:t>Amount Beneficially Owned</w:t>
      </w:r>
      <w:r>
        <w:rPr>
          <w:rFonts w:ascii="Times New Roman;Times;serif" w:hAnsi="Times New Roman;Times;serif"/>
          <w:sz w:val="17"/>
        </w:rPr>
        <w:t xml:space="preserve">: 100,000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Harry N. Pefanis</w:t>
      </w:r>
      <w:r>
        <w:rPr>
          <w:rFonts w:ascii="Times New Roman;Times;serif" w:hAnsi="Times New Roman;Times;serif"/>
          <w:sz w:val="17"/>
        </w:rPr>
        <w:br/>
      </w:r>
      <w:r>
        <w:rPr>
          <w:rFonts w:ascii="Times New Roman;Times;serif" w:hAnsi="Times New Roman;Times;serif"/>
          <w:sz w:val="17"/>
          <w:u w:val="single"/>
        </w:rPr>
        <w:t>Address</w:t>
      </w:r>
      <w:r>
        <w:rPr>
          <w:rFonts w:ascii="Times New Roman;Times;serif" w:hAnsi="Times New Roman;Times;serif"/>
          <w:sz w:val="17"/>
        </w:rPr>
        <w:t>: c/o Plains All American Pipeline, L.P., 333 Clay Street, Suite 1600, Houston,Texas 77002</w:t>
        <w:br/>
      </w:r>
      <w:r>
        <w:rPr>
          <w:rFonts w:ascii="Times New Roman;Times;serif" w:hAnsi="Times New Roman;Times;serif"/>
          <w:sz w:val="17"/>
          <w:u w:val="single"/>
        </w:rPr>
        <w:t>Principal Occupation</w:t>
      </w:r>
      <w:r>
        <w:rPr>
          <w:rFonts w:ascii="Times New Roman;Times;serif" w:hAnsi="Times New Roman;Times;serif"/>
          <w:sz w:val="17"/>
        </w:rPr>
        <w:t>: Vice Chairman and Director of PNGS GP LLC and President and Chief Operating Officer of Plains All American GP LLC</w:t>
        <w:br/>
      </w:r>
      <w:r>
        <w:rPr>
          <w:rFonts w:ascii="Times New Roman;Times;serif" w:hAnsi="Times New Roman;Times;serif"/>
          <w:sz w:val="17"/>
          <w:u w:val="single"/>
        </w:rPr>
        <w:t>Citizenship</w:t>
      </w:r>
      <w:r>
        <w:rPr>
          <w:rFonts w:ascii="Times New Roman;Times;serif" w:hAnsi="Times New Roman;Times;serif"/>
          <w:sz w:val="17"/>
        </w:rPr>
        <w:t>: USA</w:t>
        <w:br/>
      </w:r>
      <w:r>
        <w:rPr>
          <w:rFonts w:ascii="Times New Roman;Times;serif" w:hAnsi="Times New Roman;Times;serif"/>
          <w:sz w:val="17"/>
          <w:u w:val="single"/>
        </w:rPr>
        <w:t>Amount Beneficially Owned</w:t>
      </w:r>
      <w:r>
        <w:rPr>
          <w:rFonts w:ascii="Times New Roman;Times;serif" w:hAnsi="Times New Roman;Times;serif"/>
          <w:sz w:val="17"/>
        </w:rPr>
        <w:t xml:space="preserve">: 65,000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Phillip D. Kramer</w:t>
      </w:r>
      <w:r>
        <w:rPr>
          <w:rFonts w:ascii="Times New Roman;Times;serif" w:hAnsi="Times New Roman;Times;serif"/>
          <w:sz w:val="17"/>
        </w:rPr>
        <w:br/>
      </w:r>
      <w:r>
        <w:rPr>
          <w:rFonts w:ascii="Times New Roman;Times;serif" w:hAnsi="Times New Roman;Times;serif"/>
          <w:sz w:val="17"/>
          <w:u w:val="single"/>
        </w:rPr>
        <w:t>Address</w:t>
      </w:r>
      <w:r>
        <w:rPr>
          <w:rFonts w:ascii="Times New Roman;Times;serif" w:hAnsi="Times New Roman;Times;serif"/>
          <w:sz w:val="17"/>
        </w:rPr>
        <w:t>: c/o Plains All American Pipeline, L.P., 333 Clay Street, Suite 1600, Houston,Texas 77002</w:t>
        <w:br/>
      </w:r>
      <w:r>
        <w:rPr>
          <w:rFonts w:ascii="Times New Roman;Times;serif" w:hAnsi="Times New Roman;Times;serif"/>
          <w:sz w:val="17"/>
          <w:u w:val="single"/>
        </w:rPr>
        <w:t>Principal Occupation</w:t>
      </w:r>
      <w:r>
        <w:rPr>
          <w:rFonts w:ascii="Times New Roman;Times;serif" w:hAnsi="Times New Roman;Times;serif"/>
          <w:sz w:val="17"/>
        </w:rPr>
        <w:t>: Executive Vice President of Plains All American GP LLC</w:t>
        <w:br/>
      </w:r>
      <w:r>
        <w:rPr>
          <w:rFonts w:ascii="Times New Roman;Times;serif" w:hAnsi="Times New Roman;Times;serif"/>
          <w:sz w:val="17"/>
          <w:u w:val="single"/>
        </w:rPr>
        <w:t>Citizenship</w:t>
      </w:r>
      <w:r>
        <w:rPr>
          <w:rFonts w:ascii="Times New Roman;Times;serif" w:hAnsi="Times New Roman;Times;serif"/>
          <w:sz w:val="17"/>
        </w:rPr>
        <w:t>: USA</w:t>
        <w:br/>
      </w:r>
      <w:r>
        <w:rPr>
          <w:rFonts w:ascii="Times New Roman;Times;serif" w:hAnsi="Times New Roman;Times;serif"/>
          <w:sz w:val="17"/>
          <w:u w:val="single"/>
        </w:rPr>
        <w:t>Amount Beneficially Owned</w:t>
      </w:r>
      <w:r>
        <w:rPr>
          <w:rFonts w:ascii="Times New Roman;Times;serif" w:hAnsi="Times New Roman;Times;serif"/>
          <w:sz w:val="17"/>
        </w:rPr>
        <w:t xml:space="preserve">: 12,000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W. David Duckett</w:t>
      </w:r>
      <w:r>
        <w:rPr>
          <w:rFonts w:ascii="Times New Roman;Times;serif" w:hAnsi="Times New Roman;Times;serif"/>
          <w:sz w:val="17"/>
        </w:rPr>
        <w:br/>
      </w:r>
      <w:r>
        <w:rPr>
          <w:rFonts w:ascii="Times New Roman;Times;serif" w:hAnsi="Times New Roman;Times;serif"/>
          <w:sz w:val="17"/>
          <w:u w:val="single"/>
        </w:rPr>
        <w:t>Address</w:t>
      </w:r>
      <w:r>
        <w:rPr>
          <w:rFonts w:ascii="Times New Roman;Times;serif" w:hAnsi="Times New Roman;Times;serif"/>
          <w:sz w:val="17"/>
        </w:rPr>
        <w:t>: c/o Plains All American Pipeline, L.P., 333 Clay Street, Suite 1600, Houston,Texas 77002</w:t>
        <w:br/>
      </w:r>
      <w:r>
        <w:rPr>
          <w:rFonts w:ascii="Times New Roman;Times;serif" w:hAnsi="Times New Roman;Times;serif"/>
          <w:sz w:val="17"/>
          <w:u w:val="single"/>
        </w:rPr>
        <w:t>Principal Occupation</w:t>
      </w:r>
      <w:r>
        <w:rPr>
          <w:rFonts w:ascii="Times New Roman;Times;serif" w:hAnsi="Times New Roman;Times;serif"/>
          <w:sz w:val="17"/>
        </w:rPr>
        <w:t>: President of Plains Midstream Canada ULC</w:t>
        <w:br/>
      </w:r>
      <w:r>
        <w:rPr>
          <w:rFonts w:ascii="Times New Roman;Times;serif" w:hAnsi="Times New Roman;Times;serif"/>
          <w:sz w:val="17"/>
          <w:u w:val="single"/>
        </w:rPr>
        <w:t>Citizenship</w:t>
      </w:r>
      <w:r>
        <w:rPr>
          <w:rFonts w:ascii="Times New Roman;Times;serif" w:hAnsi="Times New Roman;Times;serif"/>
          <w:sz w:val="17"/>
        </w:rPr>
        <w:t>: USA</w:t>
        <w:br/>
      </w:r>
      <w:r>
        <w:rPr>
          <w:rFonts w:ascii="Times New Roman;Times;serif" w:hAnsi="Times New Roman;Times;serif"/>
          <w:sz w:val="17"/>
          <w:u w:val="single"/>
        </w:rPr>
        <w:t>Amount Beneficially Owned</w:t>
      </w:r>
      <w:r>
        <w:rPr>
          <w:rFonts w:ascii="Times New Roman;Times;serif" w:hAnsi="Times New Roman;Times;serif"/>
          <w:sz w:val="17"/>
        </w:rPr>
        <w:t xml:space="preserve">: 123,000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Mark J. Gorman</w:t>
      </w:r>
      <w:r>
        <w:rPr>
          <w:rFonts w:ascii="Times New Roman;Times;serif" w:hAnsi="Times New Roman;Times;serif"/>
          <w:sz w:val="17"/>
        </w:rPr>
        <w:br/>
      </w:r>
      <w:r>
        <w:rPr>
          <w:rFonts w:ascii="Times New Roman;Times;serif" w:hAnsi="Times New Roman;Times;serif"/>
          <w:sz w:val="17"/>
          <w:u w:val="single"/>
        </w:rPr>
        <w:t>Address</w:t>
      </w:r>
      <w:r>
        <w:rPr>
          <w:rFonts w:ascii="Times New Roman;Times;serif" w:hAnsi="Times New Roman;Times;serif"/>
          <w:sz w:val="17"/>
        </w:rPr>
        <w:t>: c/o Plains All American Pipeline, L.P., 333 Clay Street, Suite 1600, Houston,Texas 77002</w:t>
        <w:br/>
      </w:r>
      <w:r>
        <w:rPr>
          <w:rFonts w:ascii="Times New Roman;Times;serif" w:hAnsi="Times New Roman;Times;serif"/>
          <w:sz w:val="17"/>
          <w:u w:val="single"/>
        </w:rPr>
        <w:t>Principal Occupation</w:t>
      </w:r>
      <w:r>
        <w:rPr>
          <w:rFonts w:ascii="Times New Roman;Times;serif" w:hAnsi="Times New Roman;Times;serif"/>
          <w:sz w:val="17"/>
        </w:rPr>
        <w:t>: Senior Vice PresidentOperations and Business Development of Plains All American GP LLC</w:t>
        <w:br/>
      </w:r>
      <w:r>
        <w:rPr>
          <w:rFonts w:ascii="Times New Roman;Times;serif" w:hAnsi="Times New Roman;Times;serif"/>
          <w:sz w:val="17"/>
          <w:u w:val="single"/>
        </w:rPr>
        <w:t>Citizenship</w:t>
      </w:r>
      <w:r>
        <w:rPr>
          <w:rFonts w:ascii="Times New Roman;Times;serif" w:hAnsi="Times New Roman;Times;serif"/>
          <w:sz w:val="17"/>
        </w:rPr>
        <w:t>: USA</w:t>
        <w:br/>
      </w:r>
      <w:r>
        <w:rPr>
          <w:rFonts w:ascii="Times New Roman;Times;serif" w:hAnsi="Times New Roman;Times;serif"/>
          <w:sz w:val="17"/>
          <w:u w:val="single"/>
        </w:rPr>
        <w:t>Amount Beneficially Owned</w:t>
      </w:r>
      <w:r>
        <w:rPr>
          <w:rFonts w:ascii="Times New Roman;Times;serif" w:hAnsi="Times New Roman;Times;serif"/>
          <w:sz w:val="17"/>
        </w:rPr>
        <w:t xml:space="preserve">: 6,000 </w:t>
      </w:r>
    </w:p>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9"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1</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Plains All American Pipeline, L.P. (PAA) does not directly have officers, directors or employees, rather its operations and activities are managed by Plains All American GP LLC (GP LLC), which employs PAAs management and operational personnel. GP LLC is the general partner of Plains AAP, L.P. (AAP LP), which is the sole member of PAA GP LLC, which is PAAs general partner. References to PAAs officers are references to the officers of GP LLC.</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Al Swanson</w:t>
      </w:r>
      <w:r>
        <w:rPr>
          <w:rFonts w:ascii="Times New Roman;Times;serif" w:hAnsi="Times New Roman;Times;serif"/>
          <w:sz w:val="17"/>
        </w:rPr>
        <w:br/>
      </w:r>
      <w:r>
        <w:rPr>
          <w:rFonts w:ascii="Times New Roman;Times;serif" w:hAnsi="Times New Roman;Times;serif"/>
          <w:sz w:val="17"/>
          <w:u w:val="single"/>
        </w:rPr>
        <w:t>Address</w:t>
      </w:r>
      <w:r>
        <w:rPr>
          <w:rFonts w:ascii="Times New Roman;Times;serif" w:hAnsi="Times New Roman;Times;serif"/>
          <w:sz w:val="17"/>
        </w:rPr>
        <w:t>: c/o Plains All American Pipeline, L.P., 333 Clay Street, Suite 1600, Houston,Texas 77002</w:t>
        <w:br/>
      </w:r>
      <w:r>
        <w:rPr>
          <w:rFonts w:ascii="Times New Roman;Times;serif" w:hAnsi="Times New Roman;Times;serif"/>
          <w:sz w:val="17"/>
          <w:u w:val="single"/>
        </w:rPr>
        <w:t>Principal Occupation</w:t>
      </w:r>
      <w:r>
        <w:rPr>
          <w:rFonts w:ascii="Times New Roman;Times;serif" w:hAnsi="Times New Roman;Times;serif"/>
          <w:sz w:val="17"/>
        </w:rPr>
        <w:t>: Senior Vice President, Chief Financial Officer and Director of PNGS GP LLC and Senior Vice President and Chief Financial Officer of Plains All American GP LLC</w:t>
        <w:br/>
      </w:r>
      <w:r>
        <w:rPr>
          <w:rFonts w:ascii="Times New Roman;Times;serif" w:hAnsi="Times New Roman;Times;serif"/>
          <w:sz w:val="17"/>
          <w:u w:val="single"/>
        </w:rPr>
        <w:t>Citizenship</w:t>
      </w:r>
      <w:r>
        <w:rPr>
          <w:rFonts w:ascii="Times New Roman;Times;serif" w:hAnsi="Times New Roman;Times;serif"/>
          <w:sz w:val="17"/>
        </w:rPr>
        <w:t>: USA</w:t>
        <w:br/>
        <w:t xml:space="preserve">Amount Beneficially Owned: 37,500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John P. vonBerg</w:t>
      </w:r>
      <w:r>
        <w:rPr>
          <w:rFonts w:ascii="Times New Roman;Times;serif" w:hAnsi="Times New Roman;Times;serif"/>
          <w:sz w:val="17"/>
        </w:rPr>
        <w:br/>
      </w:r>
      <w:r>
        <w:rPr>
          <w:rFonts w:ascii="Times New Roman;Times;serif" w:hAnsi="Times New Roman;Times;serif"/>
          <w:sz w:val="17"/>
          <w:u w:val="single"/>
        </w:rPr>
        <w:t>Address</w:t>
      </w:r>
      <w:r>
        <w:rPr>
          <w:rFonts w:ascii="Times New Roman;Times;serif" w:hAnsi="Times New Roman;Times;serif"/>
          <w:sz w:val="17"/>
        </w:rPr>
        <w:t>: c/o Plains All American Pipeline, L.P., 333 Clay Street, Suite 1600, Houston,Texas 77002</w:t>
        <w:br/>
      </w:r>
      <w:r>
        <w:rPr>
          <w:rFonts w:ascii="Times New Roman;Times;serif" w:hAnsi="Times New Roman;Times;serif"/>
          <w:sz w:val="17"/>
          <w:u w:val="single"/>
        </w:rPr>
        <w:t>Principal Occupation</w:t>
      </w:r>
      <w:r>
        <w:rPr>
          <w:rFonts w:ascii="Times New Roman;Times;serif" w:hAnsi="Times New Roman;Times;serif"/>
          <w:sz w:val="17"/>
        </w:rPr>
        <w:t>: Senior Vice PresidentCommercial Activities of Plains All American GP LLC</w:t>
        <w:br/>
      </w:r>
      <w:r>
        <w:rPr>
          <w:rFonts w:ascii="Times New Roman;Times;serif" w:hAnsi="Times New Roman;Times;serif"/>
          <w:sz w:val="17"/>
          <w:u w:val="single"/>
        </w:rPr>
        <w:t>Citizenship</w:t>
      </w:r>
      <w:r>
        <w:rPr>
          <w:rFonts w:ascii="Times New Roman;Times;serif" w:hAnsi="Times New Roman;Times;serif"/>
          <w:sz w:val="17"/>
        </w:rPr>
        <w:t>: USA</w:t>
        <w:br/>
      </w:r>
      <w:r>
        <w:rPr>
          <w:rFonts w:ascii="Times New Roman;Times;serif" w:hAnsi="Times New Roman;Times;serif"/>
          <w:sz w:val="17"/>
          <w:u w:val="single"/>
        </w:rPr>
        <w:t>Amount Beneficially Owned</w:t>
      </w:r>
      <w:r>
        <w:rPr>
          <w:rFonts w:ascii="Times New Roman;Times;serif" w:hAnsi="Times New Roman;Times;serif"/>
          <w:sz w:val="17"/>
        </w:rPr>
        <w:t xml:space="preserve">: 15,000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Tim Moore</w:t>
      </w:r>
      <w:r>
        <w:rPr>
          <w:rFonts w:ascii="Times New Roman;Times;serif" w:hAnsi="Times New Roman;Times;serif"/>
          <w:sz w:val="17"/>
        </w:rPr>
        <w:br/>
      </w:r>
      <w:r>
        <w:rPr>
          <w:rFonts w:ascii="Times New Roman;Times;serif" w:hAnsi="Times New Roman;Times;serif"/>
          <w:sz w:val="17"/>
          <w:u w:val="single"/>
        </w:rPr>
        <w:t>Address</w:t>
      </w:r>
      <w:r>
        <w:rPr>
          <w:rFonts w:ascii="Times New Roman;Times;serif" w:hAnsi="Times New Roman;Times;serif"/>
          <w:sz w:val="17"/>
        </w:rPr>
        <w:t>: c/o Plains All American Pipeline, L.P., 333 Clay Street, Suite 1600, Houston,Texas 77002</w:t>
        <w:br/>
      </w:r>
      <w:r>
        <w:rPr>
          <w:rFonts w:ascii="Times New Roman;Times;serif" w:hAnsi="Times New Roman;Times;serif"/>
          <w:sz w:val="17"/>
          <w:u w:val="single"/>
        </w:rPr>
        <w:t>Principal Occupation</w:t>
      </w:r>
      <w:r>
        <w:rPr>
          <w:rFonts w:ascii="Times New Roman;Times;serif" w:hAnsi="Times New Roman;Times;serif"/>
          <w:sz w:val="17"/>
        </w:rPr>
        <w:t>: Vice President, General Counsel and Secretary of Plains All American GP LLC</w:t>
        <w:br/>
      </w:r>
      <w:r>
        <w:rPr>
          <w:rFonts w:ascii="Times New Roman;Times;serif" w:hAnsi="Times New Roman;Times;serif"/>
          <w:sz w:val="17"/>
          <w:u w:val="single"/>
        </w:rPr>
        <w:t>Citizenship</w:t>
      </w:r>
      <w:r>
        <w:rPr>
          <w:rFonts w:ascii="Times New Roman;Times;serif" w:hAnsi="Times New Roman;Times;serif"/>
          <w:sz w:val="17"/>
        </w:rPr>
        <w:t>: USA</w:t>
        <w:br/>
      </w:r>
      <w:r>
        <w:rPr>
          <w:rFonts w:ascii="Times New Roman;Times;serif" w:hAnsi="Times New Roman;Times;serif"/>
          <w:sz w:val="17"/>
          <w:u w:val="single"/>
        </w:rPr>
        <w:t>Amount Beneficially Owned</w:t>
      </w:r>
      <w:r>
        <w:rPr>
          <w:rFonts w:ascii="Times New Roman;Times;serif" w:hAnsi="Times New Roman;Times;serif"/>
          <w:sz w:val="17"/>
        </w:rPr>
        <w:t xml:space="preserve">: 4,000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Chris Herbold</w:t>
      </w:r>
      <w:r>
        <w:rPr>
          <w:rFonts w:ascii="Times New Roman;Times;serif" w:hAnsi="Times New Roman;Times;serif"/>
          <w:sz w:val="17"/>
        </w:rPr>
        <w:br/>
      </w:r>
      <w:r>
        <w:rPr>
          <w:rFonts w:ascii="Times New Roman;Times;serif" w:hAnsi="Times New Roman;Times;serif"/>
          <w:sz w:val="17"/>
          <w:u w:val="single"/>
        </w:rPr>
        <w:t>Address</w:t>
      </w:r>
      <w:r>
        <w:rPr>
          <w:rFonts w:ascii="Times New Roman;Times;serif" w:hAnsi="Times New Roman;Times;serif"/>
          <w:sz w:val="17"/>
        </w:rPr>
        <w:t>: c/o Plains All American Pipeline, L.P., 333 Clay Street, Suite 1600, Houston,Texas 77002</w:t>
        <w:br/>
      </w:r>
      <w:r>
        <w:rPr>
          <w:rFonts w:ascii="Times New Roman;Times;serif" w:hAnsi="Times New Roman;Times;serif"/>
          <w:sz w:val="17"/>
          <w:u w:val="single"/>
        </w:rPr>
        <w:t>Principal Occupation</w:t>
      </w:r>
      <w:r>
        <w:rPr>
          <w:rFonts w:ascii="Times New Roman;Times;serif" w:hAnsi="Times New Roman;Times;serif"/>
          <w:sz w:val="17"/>
        </w:rPr>
        <w:t>: Vice President and Chief Accounting Officer of Plains All American GP LLC</w:t>
        <w:br/>
      </w:r>
      <w:r>
        <w:rPr>
          <w:rFonts w:ascii="Times New Roman;Times;serif" w:hAnsi="Times New Roman;Times;serif"/>
          <w:sz w:val="17"/>
          <w:u w:val="single"/>
        </w:rPr>
        <w:t>Citizenship</w:t>
      </w:r>
      <w:r>
        <w:rPr>
          <w:rFonts w:ascii="Times New Roman;Times;serif" w:hAnsi="Times New Roman;Times;serif"/>
          <w:sz w:val="17"/>
        </w:rPr>
        <w:t>: USA</w:t>
        <w:br/>
      </w:r>
      <w:r>
        <w:rPr>
          <w:rFonts w:ascii="Times New Roman;Times;serif" w:hAnsi="Times New Roman;Times;serif"/>
          <w:sz w:val="17"/>
          <w:u w:val="single"/>
        </w:rPr>
        <w:t>Amount Beneficially Owned</w:t>
      </w:r>
      <w:r>
        <w:rPr>
          <w:rFonts w:ascii="Times New Roman;Times;serif" w:hAnsi="Times New Roman;Times;serif"/>
          <w:sz w:val="17"/>
        </w:rPr>
        <w:t xml:space="preserve">: 1,500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John R. Rutherford</w:t>
      </w:r>
      <w:r>
        <w:rPr>
          <w:rFonts w:ascii="Times New Roman;Times;serif" w:hAnsi="Times New Roman;Times;serif"/>
          <w:sz w:val="17"/>
        </w:rPr>
        <w:br/>
      </w:r>
      <w:r>
        <w:rPr>
          <w:rFonts w:ascii="Times New Roman;Times;serif" w:hAnsi="Times New Roman;Times;serif"/>
          <w:sz w:val="17"/>
          <w:u w:val="single"/>
        </w:rPr>
        <w:t>Address</w:t>
      </w:r>
      <w:r>
        <w:rPr>
          <w:rFonts w:ascii="Times New Roman;Times;serif" w:hAnsi="Times New Roman;Times;serif"/>
          <w:sz w:val="17"/>
        </w:rPr>
        <w:t>: c/o Plains All American Pipeline, L.P., 333 Clay Street, Suite 1600, Houston,Texas 77002</w:t>
        <w:br/>
      </w:r>
      <w:r>
        <w:rPr>
          <w:rFonts w:ascii="Times New Roman;Times;serif" w:hAnsi="Times New Roman;Times;serif"/>
          <w:sz w:val="17"/>
          <w:u w:val="single"/>
        </w:rPr>
        <w:t>Principal Occupation</w:t>
      </w:r>
      <w:r>
        <w:rPr>
          <w:rFonts w:ascii="Times New Roman;Times;serif" w:hAnsi="Times New Roman;Times;serif"/>
          <w:sz w:val="17"/>
        </w:rPr>
        <w:t>: Executive Vice President of Plains All American GP LLC</w:t>
        <w:br/>
      </w:r>
      <w:r>
        <w:rPr>
          <w:rFonts w:ascii="Times New Roman;Times;serif" w:hAnsi="Times New Roman;Times;serif"/>
          <w:sz w:val="17"/>
          <w:u w:val="single"/>
        </w:rPr>
        <w:t>Citizenship</w:t>
      </w:r>
      <w:r>
        <w:rPr>
          <w:rFonts w:ascii="Times New Roman;Times;serif" w:hAnsi="Times New Roman;Times;serif"/>
          <w:sz w:val="17"/>
        </w:rPr>
        <w:t>: USA</w:t>
        <w:br/>
      </w:r>
      <w:r>
        <w:rPr>
          <w:rFonts w:ascii="Times New Roman;Times;serif" w:hAnsi="Times New Roman;Times;serif"/>
          <w:sz w:val="17"/>
          <w:u w:val="single"/>
        </w:rPr>
        <w:t>Amount Beneficially Owned</w:t>
      </w:r>
      <w:r>
        <w:rPr>
          <w:rFonts w:ascii="Times New Roman;Times;serif" w:hAnsi="Times New Roman;Times;serif"/>
          <w:sz w:val="17"/>
        </w:rPr>
        <w:t xml:space="preserve">: None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Directors2</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Greg L. Armstrong</w:t>
      </w:r>
      <w:r>
        <w:rPr>
          <w:rFonts w:ascii="Times New Roman;Times;serif" w:hAnsi="Times New Roman;Times;serif"/>
          <w:sz w:val="17"/>
        </w:rPr>
        <w:br/>
      </w:r>
      <w:r>
        <w:rPr>
          <w:rFonts w:ascii="Times New Roman;Times;serif" w:hAnsi="Times New Roman;Times;serif"/>
          <w:sz w:val="17"/>
          <w:u w:val="single"/>
        </w:rPr>
        <w:t>Address</w:t>
      </w:r>
      <w:r>
        <w:rPr>
          <w:rFonts w:ascii="Times New Roman;Times;serif" w:hAnsi="Times New Roman;Times;serif"/>
          <w:sz w:val="17"/>
        </w:rPr>
        <w:t>: c/o Plains All American Pipeline, L.P., 333 Clay Street, Suite 1600, Houston,Texas 77002</w:t>
        <w:br/>
      </w:r>
      <w:r>
        <w:rPr>
          <w:rFonts w:ascii="Times New Roman;Times;serif" w:hAnsi="Times New Roman;Times;serif"/>
          <w:sz w:val="17"/>
          <w:u w:val="single"/>
        </w:rPr>
        <w:t>Principal Occupation</w:t>
      </w:r>
      <w:r>
        <w:rPr>
          <w:rFonts w:ascii="Times New Roman;Times;serif" w:hAnsi="Times New Roman;Times;serif"/>
          <w:sz w:val="17"/>
        </w:rPr>
        <w:t>: Chairman of the Board, Chief Executive Officer and Director of PNGS GP LLC and of Plains All American GP LLC</w:t>
        <w:br/>
      </w:r>
      <w:r>
        <w:rPr>
          <w:rFonts w:ascii="Times New Roman;Times;serif" w:hAnsi="Times New Roman;Times;serif"/>
          <w:sz w:val="17"/>
          <w:u w:val="single"/>
        </w:rPr>
        <w:t>Citizenship</w:t>
      </w:r>
      <w:r>
        <w:rPr>
          <w:rFonts w:ascii="Times New Roman;Times;serif" w:hAnsi="Times New Roman;Times;serif"/>
          <w:sz w:val="17"/>
        </w:rPr>
        <w:t>: USA</w:t>
        <w:br/>
      </w:r>
      <w:r>
        <w:rPr>
          <w:rFonts w:ascii="Times New Roman;Times;serif" w:hAnsi="Times New Roman;Times;serif"/>
          <w:sz w:val="17"/>
          <w:u w:val="single"/>
        </w:rPr>
        <w:t>Amount Beneficially Owned</w:t>
      </w:r>
      <w:r>
        <w:rPr>
          <w:rFonts w:ascii="Times New Roman;Times;serif" w:hAnsi="Times New Roman;Times;serif"/>
          <w:sz w:val="17"/>
        </w:rPr>
        <w:t xml:space="preserve">: 100,000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Everardo Goyanes</w:t>
      </w:r>
      <w:r>
        <w:rPr>
          <w:rFonts w:ascii="Times New Roman;Times;serif" w:hAnsi="Times New Roman;Times;serif"/>
          <w:sz w:val="17"/>
        </w:rPr>
        <w:br/>
      </w:r>
      <w:r>
        <w:rPr>
          <w:rFonts w:ascii="Times New Roman;Times;serif" w:hAnsi="Times New Roman;Times;serif"/>
          <w:sz w:val="17"/>
          <w:u w:val="single"/>
        </w:rPr>
        <w:t>Address</w:t>
      </w:r>
      <w:r>
        <w:rPr>
          <w:rFonts w:ascii="Times New Roman;Times;serif" w:hAnsi="Times New Roman;Times;serif"/>
          <w:sz w:val="17"/>
        </w:rPr>
        <w:t>: c/o Plains All American Pipeline, L.P., 333 Clay Street, Suite 1600, Houston,Texas 77002</w:t>
        <w:br/>
      </w:r>
      <w:r>
        <w:rPr>
          <w:rFonts w:ascii="Times New Roman;Times;serif" w:hAnsi="Times New Roman;Times;serif"/>
          <w:sz w:val="17"/>
          <w:u w:val="single"/>
        </w:rPr>
        <w:t>Principal Occupation</w:t>
      </w:r>
      <w:r>
        <w:rPr>
          <w:rFonts w:ascii="Times New Roman;Times;serif" w:hAnsi="Times New Roman;Times;serif"/>
          <w:sz w:val="17"/>
        </w:rPr>
        <w:t>: Chairman of Liberty Natural Resources</w:t>
        <w:br/>
      </w:r>
      <w:r>
        <w:rPr>
          <w:rFonts w:ascii="Times New Roman;Times;serif" w:hAnsi="Times New Roman;Times;serif"/>
          <w:sz w:val="17"/>
          <w:u w:val="single"/>
        </w:rPr>
        <w:t>Citizenship</w:t>
      </w:r>
      <w:r>
        <w:rPr>
          <w:rFonts w:ascii="Times New Roman;Times;serif" w:hAnsi="Times New Roman;Times;serif"/>
          <w:sz w:val="17"/>
        </w:rPr>
        <w:t>: USA</w:t>
        <w:br/>
        <w:t xml:space="preserve">Amount Beneficially Owned: 35,000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Vicky Sutil</w:t>
      </w:r>
      <w:r>
        <w:rPr>
          <w:rFonts w:ascii="Times New Roman;Times;serif" w:hAnsi="Times New Roman;Times;serif"/>
          <w:sz w:val="17"/>
        </w:rPr>
        <w:br/>
      </w:r>
      <w:r>
        <w:rPr>
          <w:rFonts w:ascii="Times New Roman;Times;serif" w:hAnsi="Times New Roman;Times;serif"/>
          <w:sz w:val="17"/>
          <w:u w:val="single"/>
        </w:rPr>
        <w:t>Address</w:t>
      </w:r>
      <w:r>
        <w:rPr>
          <w:rFonts w:ascii="Times New Roman;Times;serif" w:hAnsi="Times New Roman;Times;serif"/>
          <w:sz w:val="17"/>
        </w:rPr>
        <w:t>: c/o Plains All American Pipeline, L.P., 333 Clay Street, Suite 1600, Houston,Texas 77002</w:t>
        <w:br/>
      </w:r>
      <w:r>
        <w:rPr>
          <w:rFonts w:ascii="Times New Roman;Times;serif" w:hAnsi="Times New Roman;Times;serif"/>
          <w:sz w:val="17"/>
          <w:u w:val="single"/>
        </w:rPr>
        <w:t>Principal Occupation</w:t>
      </w:r>
      <w:r>
        <w:rPr>
          <w:rFonts w:ascii="Times New Roman;Times;serif" w:hAnsi="Times New Roman;Times;serif"/>
          <w:sz w:val="17"/>
        </w:rPr>
        <w:t>: Senior Manager, Corporate Development of Occidental Petroleum Corporation</w:t>
        <w:br/>
      </w:r>
      <w:r>
        <w:rPr>
          <w:rFonts w:ascii="Times New Roman;Times;serif" w:hAnsi="Times New Roman;Times;serif"/>
          <w:sz w:val="17"/>
          <w:u w:val="single"/>
        </w:rPr>
        <w:t>Citizenship</w:t>
      </w:r>
      <w:r>
        <w:rPr>
          <w:rFonts w:ascii="Times New Roman;Times;serif" w:hAnsi="Times New Roman;Times;serif"/>
          <w:sz w:val="17"/>
        </w:rPr>
        <w:t>: USA</w:t>
        <w:br/>
        <w:t xml:space="preserve">Amount Beneficially Owned: None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Gary R. Petersen</w:t>
      </w:r>
      <w:r>
        <w:rPr>
          <w:rFonts w:ascii="Times New Roman;Times;serif" w:hAnsi="Times New Roman;Times;serif"/>
          <w:sz w:val="17"/>
        </w:rPr>
        <w:br/>
      </w:r>
      <w:r>
        <w:rPr>
          <w:rFonts w:ascii="Times New Roman;Times;serif" w:hAnsi="Times New Roman;Times;serif"/>
          <w:sz w:val="17"/>
          <w:u w:val="single"/>
        </w:rPr>
        <w:t>Address</w:t>
      </w:r>
      <w:r>
        <w:rPr>
          <w:rFonts w:ascii="Times New Roman;Times;serif" w:hAnsi="Times New Roman;Times;serif"/>
          <w:sz w:val="17"/>
        </w:rPr>
        <w:t>: c/o Plains All American Pipeline, L.P., 333 Clay Street, Suite 1600, Houston,Texas 77002</w:t>
        <w:br/>
      </w:r>
      <w:r>
        <w:rPr>
          <w:rFonts w:ascii="Times New Roman;Times;serif" w:hAnsi="Times New Roman;Times;serif"/>
          <w:sz w:val="17"/>
          <w:u w:val="single"/>
        </w:rPr>
        <w:t>Principal Occupation</w:t>
      </w:r>
      <w:r>
        <w:rPr>
          <w:rFonts w:ascii="Times New Roman;Times;serif" w:hAnsi="Times New Roman;Times;serif"/>
          <w:sz w:val="17"/>
        </w:rPr>
        <w:t>: Senior Managing Director of EnCap Investments L.P.</w:t>
        <w:br/>
      </w:r>
      <w:r>
        <w:rPr>
          <w:rFonts w:ascii="Times New Roman;Times;serif" w:hAnsi="Times New Roman;Times;serif"/>
          <w:sz w:val="17"/>
          <w:u w:val="single"/>
        </w:rPr>
        <w:t>Citizenship</w:t>
      </w:r>
      <w:r>
        <w:rPr>
          <w:rFonts w:ascii="Times New Roman;Times;serif" w:hAnsi="Times New Roman;Times;serif"/>
          <w:sz w:val="17"/>
        </w:rPr>
        <w:t>: USA</w:t>
        <w:br/>
        <w:t xml:space="preserve">Amount Beneficially Owned: 10,000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Robert V. Sinnott</w:t>
      </w:r>
      <w:r>
        <w:rPr>
          <w:rFonts w:ascii="Times New Roman;Times;serif" w:hAnsi="Times New Roman;Times;serif"/>
          <w:sz w:val="17"/>
        </w:rPr>
        <w:br/>
      </w:r>
      <w:r>
        <w:rPr>
          <w:rFonts w:ascii="Times New Roman;Times;serif" w:hAnsi="Times New Roman;Times;serif"/>
          <w:sz w:val="17"/>
          <w:u w:val="single"/>
        </w:rPr>
        <w:t>Address</w:t>
      </w:r>
      <w:r>
        <w:rPr>
          <w:rFonts w:ascii="Times New Roman;Times;serif" w:hAnsi="Times New Roman;Times;serif"/>
          <w:sz w:val="17"/>
        </w:rPr>
        <w:t>: c/o Plains All American Pipeline, L.P., 333 Clay Street, Suite 1600, Houston,Texas 77002</w:t>
        <w:br/>
      </w:r>
      <w:r>
        <w:rPr>
          <w:rFonts w:ascii="Times New Roman;Times;serif" w:hAnsi="Times New Roman;Times;serif"/>
          <w:sz w:val="17"/>
          <w:u w:val="single"/>
        </w:rPr>
        <w:t>Principal Occupation</w:t>
      </w:r>
      <w:r>
        <w:rPr>
          <w:rFonts w:ascii="Times New Roman;Times;serif" w:hAnsi="Times New Roman;Times;serif"/>
          <w:sz w:val="17"/>
        </w:rPr>
        <w:t xml:space="preserve">: President, Chief Executive Officer, and Senior Managing Director of energy investments of Kayne Anderson Capital Advisors, L.P. and President of Kayne Anderson Investment Management, Inc., the general partner of Kayne Anderson Capital Advisors, L.P. </w:t>
      </w:r>
      <w:r>
        <w:rPr>
          <w:rFonts w:ascii="Times New Roman;Times;serif" w:hAnsi="Times New Roman;Times;serif"/>
          <w:sz w:val="17"/>
          <w:u w:val="single"/>
        </w:rPr>
        <w:t>Citizenship</w:t>
      </w:r>
      <w:r>
        <w:rPr>
          <w:rFonts w:ascii="Times New Roman;Times;serif" w:hAnsi="Times New Roman;Times;serif"/>
          <w:sz w:val="17"/>
        </w:rPr>
        <w:t>: USA</w:t>
        <w:br/>
      </w:r>
      <w:r>
        <w:rPr>
          <w:rFonts w:ascii="Times New Roman;Times;serif" w:hAnsi="Times New Roman;Times;serif"/>
          <w:sz w:val="17"/>
          <w:u w:val="single"/>
        </w:rPr>
        <w:t>Amount Beneficially Owned</w:t>
      </w:r>
      <w:r>
        <w:rPr>
          <w:rFonts w:ascii="Times New Roman;Times;serif" w:hAnsi="Times New Roman;Times;serif"/>
          <w:sz w:val="17"/>
        </w:rPr>
        <w:t xml:space="preserve">: 150,000 </w:t>
      </w:r>
    </w:p>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9"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2</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Plains All American Pipeline, L.P. (PAA) does not directly have officers, directors or employees, rather its operations and activities are managed by Plains All American GP LLC (GP LLC), which employs PAAs management and operational personnel. GP LLC is the general partner of Plains AAP, L.P. (AAP LP), which is the sole member of PAA GP LLC, which is PAAs general partner. References to PAAs directors are references to the directors of GP LLC.</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J. Taft Symonds</w:t>
      </w:r>
      <w:r>
        <w:rPr>
          <w:rFonts w:ascii="Times New Roman;Times;serif" w:hAnsi="Times New Roman;Times;serif"/>
          <w:sz w:val="17"/>
        </w:rPr>
        <w:br/>
      </w:r>
      <w:r>
        <w:rPr>
          <w:rFonts w:ascii="Times New Roman;Times;serif" w:hAnsi="Times New Roman;Times;serif"/>
          <w:sz w:val="17"/>
          <w:u w:val="single"/>
        </w:rPr>
        <w:t>Address</w:t>
      </w:r>
      <w:r>
        <w:rPr>
          <w:rFonts w:ascii="Times New Roman;Times;serif" w:hAnsi="Times New Roman;Times;serif"/>
          <w:sz w:val="17"/>
        </w:rPr>
        <w:t>: c/o Plains All American Pipeline, L.P., 333 Clay Street, Suite 1600, Houston,Texas 77002</w:t>
        <w:br/>
      </w:r>
      <w:r>
        <w:rPr>
          <w:rFonts w:ascii="Times New Roman;Times;serif" w:hAnsi="Times New Roman;Times;serif"/>
          <w:sz w:val="17"/>
          <w:u w:val="single"/>
        </w:rPr>
        <w:t>Principal Occupation</w:t>
      </w:r>
      <w:r>
        <w:rPr>
          <w:rFonts w:ascii="Times New Roman;Times;serif" w:hAnsi="Times New Roman;Times;serif"/>
          <w:sz w:val="17"/>
        </w:rPr>
        <w:t>: Chairman of the Board of Symonds Investment Company, Inc.</w:t>
        <w:br/>
      </w:r>
      <w:r>
        <w:rPr>
          <w:rFonts w:ascii="Times New Roman;Times;serif" w:hAnsi="Times New Roman;Times;serif"/>
          <w:sz w:val="17"/>
          <w:u w:val="single"/>
        </w:rPr>
        <w:t>Citizenship</w:t>
      </w:r>
      <w:r>
        <w:rPr>
          <w:rFonts w:ascii="Times New Roman;Times;serif" w:hAnsi="Times New Roman;Times;serif"/>
          <w:sz w:val="17"/>
        </w:rPr>
        <w:t>: USA</w:t>
        <w:br/>
      </w:r>
      <w:r>
        <w:rPr>
          <w:rFonts w:ascii="Times New Roman;Times;serif" w:hAnsi="Times New Roman;Times;serif"/>
          <w:sz w:val="17"/>
          <w:u w:val="single"/>
        </w:rPr>
        <w:t>Amount Beneficially Owned</w:t>
      </w:r>
      <w:r>
        <w:rPr>
          <w:rFonts w:ascii="Times New Roman;Times;serif" w:hAnsi="Times New Roman;Times;serif"/>
          <w:sz w:val="17"/>
        </w:rPr>
        <w:t xml:space="preserve">: 10,000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John Raymond</w:t>
      </w:r>
      <w:r>
        <w:rPr>
          <w:rFonts w:ascii="Times New Roman;Times;serif" w:hAnsi="Times New Roman;Times;serif"/>
          <w:sz w:val="17"/>
        </w:rPr>
        <w:br/>
      </w:r>
      <w:r>
        <w:rPr>
          <w:rFonts w:ascii="Times New Roman;Times;serif" w:hAnsi="Times New Roman;Times;serif"/>
          <w:sz w:val="17"/>
          <w:u w:val="single"/>
        </w:rPr>
        <w:t>Address</w:t>
      </w:r>
      <w:r>
        <w:rPr>
          <w:rFonts w:ascii="Times New Roman;Times;serif" w:hAnsi="Times New Roman;Times;serif"/>
          <w:sz w:val="17"/>
        </w:rPr>
        <w:t>: c/o Plains All American Pipeline, L.P., 333 Clay Street, Suite 1600, Houston,Texas 77002</w:t>
        <w:br/>
      </w:r>
      <w:r>
        <w:rPr>
          <w:rFonts w:ascii="Times New Roman;Times;serif" w:hAnsi="Times New Roman;Times;serif"/>
          <w:sz w:val="17"/>
          <w:u w:val="single"/>
        </w:rPr>
        <w:t>Principal Occupation</w:t>
      </w:r>
      <w:r>
        <w:rPr>
          <w:rFonts w:ascii="Times New Roman;Times;serif" w:hAnsi="Times New Roman;Times;serif"/>
          <w:sz w:val="17"/>
        </w:rPr>
        <w:t>: Owner and founder of The Energy &amp; Minerals Group</w:t>
        <w:br/>
      </w:r>
      <w:r>
        <w:rPr>
          <w:rFonts w:ascii="Times New Roman;Times;serif" w:hAnsi="Times New Roman;Times;serif"/>
          <w:sz w:val="17"/>
          <w:u w:val="single"/>
        </w:rPr>
        <w:t>Citizenship</w:t>
      </w:r>
      <w:r>
        <w:rPr>
          <w:rFonts w:ascii="Times New Roman;Times;serif" w:hAnsi="Times New Roman;Times;serif"/>
          <w:sz w:val="17"/>
        </w:rPr>
        <w:t>: USA</w:t>
        <w:br/>
      </w:r>
      <w:r>
        <w:rPr>
          <w:rFonts w:ascii="Times New Roman;Times;serif" w:hAnsi="Times New Roman;Times;serif"/>
          <w:sz w:val="17"/>
          <w:u w:val="single"/>
        </w:rPr>
        <w:t>Amount Beneficially Owned</w:t>
      </w:r>
      <w:r>
        <w:rPr>
          <w:rFonts w:ascii="Times New Roman;Times;serif" w:hAnsi="Times New Roman;Times;serif"/>
          <w:sz w:val="17"/>
        </w:rPr>
        <w:t xml:space="preserve">: 733,381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Christopher M. Temple</w:t>
      </w:r>
      <w:r>
        <w:rPr>
          <w:rFonts w:ascii="Times New Roman;Times;serif" w:hAnsi="Times New Roman;Times;serif"/>
          <w:sz w:val="17"/>
        </w:rPr>
        <w:br/>
      </w:r>
      <w:r>
        <w:rPr>
          <w:rFonts w:ascii="Times New Roman;Times;serif" w:hAnsi="Times New Roman;Times;serif"/>
          <w:sz w:val="17"/>
          <w:u w:val="single"/>
        </w:rPr>
        <w:t>Address</w:t>
      </w:r>
      <w:r>
        <w:rPr>
          <w:rFonts w:ascii="Times New Roman;Times;serif" w:hAnsi="Times New Roman;Times;serif"/>
          <w:sz w:val="17"/>
        </w:rPr>
        <w:t>: c/o Plains All American Pipeline, L.P., 333 Clay Street, Suite 1600, Houston,Texas 77002</w:t>
        <w:br/>
      </w:r>
      <w:r>
        <w:rPr>
          <w:rFonts w:ascii="Times New Roman;Times;serif" w:hAnsi="Times New Roman;Times;serif"/>
          <w:sz w:val="17"/>
          <w:u w:val="single"/>
        </w:rPr>
        <w:t>Principal Occupation</w:t>
      </w:r>
      <w:r>
        <w:rPr>
          <w:rFonts w:ascii="Times New Roman;Times;serif" w:hAnsi="Times New Roman;Times;serif"/>
          <w:sz w:val="17"/>
        </w:rPr>
        <w:t>: President of DelTex Capital LLC</w:t>
        <w:br/>
      </w:r>
      <w:r>
        <w:rPr>
          <w:rFonts w:ascii="Times New Roman;Times;serif" w:hAnsi="Times New Roman;Times;serif"/>
          <w:sz w:val="17"/>
          <w:u w:val="single"/>
        </w:rPr>
        <w:t>Citizenship</w:t>
      </w:r>
      <w:r>
        <w:rPr>
          <w:rFonts w:ascii="Times New Roman;Times;serif" w:hAnsi="Times New Roman;Times;serif"/>
          <w:sz w:val="17"/>
        </w:rPr>
        <w:t>: USA</w:t>
        <w:br/>
      </w:r>
      <w:r>
        <w:rPr>
          <w:rFonts w:ascii="Times New Roman;Times;serif" w:hAnsi="Times New Roman;Times;serif"/>
          <w:sz w:val="17"/>
          <w:u w:val="single"/>
        </w:rPr>
        <w:t>Amount Beneficially Owned</w:t>
      </w:r>
      <w:r>
        <w:rPr>
          <w:rFonts w:ascii="Times New Roman;Times;serif" w:hAnsi="Times New Roman;Times;serif"/>
          <w:sz w:val="17"/>
        </w:rPr>
        <w:t xml:space="preserve">: 5,000 </w:t>
      </w:r>
    </w:p>
    <w:p>
      <w:pPr>
        <w:pStyle w:val="TextBody"/>
        <w:jc w:val="center"/>
        <w:rPr>
          <w:rFonts w:ascii="Times New Roman;Times;serif" w:hAnsi="Times New Roman;Times;serif"/>
          <w:sz w:val="17"/>
        </w:rPr>
      </w:pPr>
      <w:r>
        <w:rPr>
          <w:rFonts w:ascii="Times New Roman;Times;serif" w:hAnsi="Times New Roman;Times;serif"/>
          <w:sz w:val="17"/>
        </w:rPr>
        <w:t xml:space="preserve">4 </w:t>
      </w:r>
      <w:r>
        <w:br w:type="page"/>
      </w:r>
    </w:p>
    <w:p>
      <w:pPr>
        <w:pStyle w:val="TextBody"/>
        <w:spacing w:before="240" w:after="283"/>
        <w:jc w:val="right"/>
        <w:rPr>
          <w:rFonts w:ascii="Times New Roman;Times;serif" w:hAnsi="Times New Roman;Times;serif"/>
          <w:sz w:val="17"/>
        </w:rPr>
      </w:pPr>
      <w:bookmarkStart w:id="5" w:name="h79686exv99wc.htm"/>
      <w:bookmarkStart w:id="6" w:name="ksh79686exv99wc"/>
      <w:bookmarkEnd w:id="5"/>
      <w:bookmarkEnd w:id="6"/>
      <w:r>
        <w:rPr>
          <w:rFonts w:ascii="Times New Roman;Times;serif" w:hAnsi="Times New Roman;Times;serif"/>
          <w:b/>
          <w:sz w:val="17"/>
        </w:rPr>
        <w:t>Exhibit C</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AGREEMENT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Rule 13d-1(k)(1) under the Securities Exchange Act of 1934, as amended, the undersigned hereby agree that only one statement containing the information required by Schedule 13D need be filed with respect to the ownership by each of the undersigned of the Common Units of PAA Natural Gas Storage, L.P.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Dated: February 18, 2011 </w:t>
      </w:r>
    </w:p>
    <w:tbl>
      <w:tblPr>
        <w:tblW w:w="5000" w:type="pct"/>
        <w:jc w:val="left"/>
        <w:tblInd w:w="0" w:type="dxa"/>
        <w:tblCellMar>
          <w:top w:w="0" w:type="dxa"/>
          <w:left w:w="0" w:type="dxa"/>
          <w:bottom w:w="0" w:type="dxa"/>
          <w:right w:w="0" w:type="dxa"/>
        </w:tblCellMar>
      </w:tblPr>
      <w:tblGrid>
        <w:gridCol w:w="4128"/>
        <w:gridCol w:w="350"/>
        <w:gridCol w:w="598"/>
        <w:gridCol w:w="3799"/>
        <w:gridCol w:w="1330"/>
      </w:tblGrid>
      <w:tr>
        <w:trPr/>
        <w:tc>
          <w:tcPr>
            <w:tcW w:w="4128"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799" w:type="dxa"/>
            <w:tcBorders/>
            <w:shd w:fill="auto" w:val="clear"/>
            <w:vAlign w:val="center"/>
          </w:tcPr>
          <w:p>
            <w:pPr>
              <w:pStyle w:val="TableContents"/>
              <w:spacing w:before="0" w:after="283"/>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b/>
              </w:rPr>
              <w:t>PLAINS ALL AMERICAN PIPELINE, L.P.</w:t>
            </w:r>
            <w:r>
              <w:rPr/>
              <w:b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shd w:fill="auto" w:val="clear"/>
            <w:vAlign w:val="center"/>
          </w:tcPr>
          <w:p>
            <w:pPr>
              <w:pStyle w:val="TableContents"/>
              <w:spacing w:before="0" w:after="283"/>
              <w:jc w:val="left"/>
              <w:rPr/>
            </w:pPr>
            <w:r>
              <w:rPr/>
              <w:t>PAA GP LLC, its general partner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shd w:fill="auto" w:val="clear"/>
            <w:vAlign w:val="center"/>
          </w:tcPr>
          <w:p>
            <w:pPr>
              <w:pStyle w:val="TableContents"/>
              <w:spacing w:before="0" w:after="283"/>
              <w:jc w:val="left"/>
              <w:rPr/>
            </w:pPr>
            <w:r>
              <w:rPr/>
              <w:t>Plains AAP, L.P., its sole member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shd w:fill="auto" w:val="clear"/>
            <w:vAlign w:val="center"/>
          </w:tcPr>
          <w:p>
            <w:pPr>
              <w:pStyle w:val="TableContents"/>
              <w:spacing w:before="0" w:after="283"/>
              <w:jc w:val="left"/>
              <w:rPr/>
            </w:pPr>
            <w:r>
              <w:rPr/>
              <w:t>Plains All American GP LLC, its general partner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799" w:type="dxa"/>
            <w:tcBorders/>
            <w:shd w:fill="auto" w:val="clear"/>
            <w:vAlign w:val="center"/>
          </w:tcPr>
          <w:p>
            <w:pPr>
              <w:pStyle w:val="TableContents"/>
              <w:spacing w:before="0" w:after="283"/>
              <w:jc w:val="left"/>
              <w:rPr/>
            </w:pPr>
            <w:r>
              <w:rPr/>
              <w:t>Tim Moore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799" w:type="dxa"/>
            <w:tcBorders/>
            <w:shd w:fill="auto" w:val="clear"/>
            <w:vAlign w:val="center"/>
          </w:tcPr>
          <w:p>
            <w:pPr>
              <w:pStyle w:val="TableContents"/>
              <w:spacing w:before="0" w:after="283"/>
              <w:jc w:val="left"/>
              <w:rPr/>
            </w:pPr>
            <w:r>
              <w:rPr/>
              <w:t>Vice President </w:t>
            </w:r>
          </w:p>
        </w:tc>
        <w:tc>
          <w:tcPr>
            <w:tcW w:w="1330"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128"/>
        <w:gridCol w:w="350"/>
        <w:gridCol w:w="598"/>
        <w:gridCol w:w="3799"/>
        <w:gridCol w:w="1330"/>
      </w:tblGrid>
      <w:tr>
        <w:trPr/>
        <w:tc>
          <w:tcPr>
            <w:tcW w:w="4128"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799" w:type="dxa"/>
            <w:tcBorders/>
            <w:shd w:fill="auto" w:val="clear"/>
            <w:vAlign w:val="center"/>
          </w:tcPr>
          <w:p>
            <w:pPr>
              <w:pStyle w:val="TableContents"/>
              <w:spacing w:before="0" w:after="283"/>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b/>
              </w:rPr>
              <w:t>PAA GP LLC</w:t>
            </w:r>
            <w:r>
              <w:rPr/>
              <w:b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shd w:fill="auto" w:val="clear"/>
            <w:vAlign w:val="center"/>
          </w:tcPr>
          <w:p>
            <w:pPr>
              <w:pStyle w:val="TableContents"/>
              <w:spacing w:before="0" w:after="283"/>
              <w:jc w:val="left"/>
              <w:rPr/>
            </w:pPr>
            <w:r>
              <w:rPr/>
              <w:t>Plains AAP, L.P., its sole member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shd w:fill="auto" w:val="clear"/>
            <w:vAlign w:val="center"/>
          </w:tcPr>
          <w:p>
            <w:pPr>
              <w:pStyle w:val="TableContents"/>
              <w:spacing w:before="0" w:after="283"/>
              <w:jc w:val="left"/>
              <w:rPr/>
            </w:pPr>
            <w:r>
              <w:rPr/>
              <w:t>Plains All American GP LLC, its general partner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799" w:type="dxa"/>
            <w:tcBorders/>
            <w:shd w:fill="auto" w:val="clear"/>
            <w:vAlign w:val="center"/>
          </w:tcPr>
          <w:p>
            <w:pPr>
              <w:pStyle w:val="TableContents"/>
              <w:spacing w:before="0" w:after="283"/>
              <w:jc w:val="left"/>
              <w:rPr/>
            </w:pPr>
            <w:r>
              <w:rPr/>
              <w:t>Tim Moore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799" w:type="dxa"/>
            <w:tcBorders/>
            <w:shd w:fill="auto" w:val="clear"/>
            <w:vAlign w:val="center"/>
          </w:tcPr>
          <w:p>
            <w:pPr>
              <w:pStyle w:val="TableContents"/>
              <w:spacing w:before="0" w:after="283"/>
              <w:jc w:val="left"/>
              <w:rPr/>
            </w:pPr>
            <w:r>
              <w:rPr/>
              <w:t>Vice President </w:t>
            </w:r>
          </w:p>
        </w:tc>
        <w:tc>
          <w:tcPr>
            <w:tcW w:w="1330"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128"/>
        <w:gridCol w:w="350"/>
        <w:gridCol w:w="598"/>
        <w:gridCol w:w="3799"/>
        <w:gridCol w:w="1330"/>
      </w:tblGrid>
      <w:tr>
        <w:trPr/>
        <w:tc>
          <w:tcPr>
            <w:tcW w:w="4128"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799" w:type="dxa"/>
            <w:tcBorders/>
            <w:shd w:fill="auto" w:val="clear"/>
            <w:vAlign w:val="center"/>
          </w:tcPr>
          <w:p>
            <w:pPr>
              <w:pStyle w:val="TableContents"/>
              <w:spacing w:before="0" w:after="283"/>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b/>
              </w:rPr>
              <w:t>PLAINS AAP, L.P.</w:t>
            </w:r>
            <w:r>
              <w:rPr/>
              <w:b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shd w:fill="auto" w:val="clear"/>
            <w:vAlign w:val="center"/>
          </w:tcPr>
          <w:p>
            <w:pPr>
              <w:pStyle w:val="TableContents"/>
              <w:spacing w:before="0" w:after="283"/>
              <w:jc w:val="left"/>
              <w:rPr/>
            </w:pPr>
            <w:r>
              <w:rPr/>
              <w:t>Plains All American GP LLC, its general partner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799" w:type="dxa"/>
            <w:tcBorders/>
            <w:shd w:fill="auto" w:val="clear"/>
            <w:vAlign w:val="center"/>
          </w:tcPr>
          <w:p>
            <w:pPr>
              <w:pStyle w:val="TableContents"/>
              <w:spacing w:before="0" w:after="283"/>
              <w:jc w:val="left"/>
              <w:rPr/>
            </w:pPr>
            <w:r>
              <w:rPr/>
              <w:t>Tim Moore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799" w:type="dxa"/>
            <w:tcBorders/>
            <w:shd w:fill="auto" w:val="clear"/>
            <w:vAlign w:val="center"/>
          </w:tcPr>
          <w:p>
            <w:pPr>
              <w:pStyle w:val="TableContents"/>
              <w:spacing w:before="0" w:after="283"/>
              <w:jc w:val="left"/>
              <w:rPr/>
            </w:pPr>
            <w:r>
              <w:rPr/>
              <w:t>Vice President </w:t>
            </w:r>
          </w:p>
        </w:tc>
        <w:tc>
          <w:tcPr>
            <w:tcW w:w="1330"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128"/>
        <w:gridCol w:w="350"/>
        <w:gridCol w:w="598"/>
        <w:gridCol w:w="3799"/>
        <w:gridCol w:w="1330"/>
      </w:tblGrid>
      <w:tr>
        <w:trPr/>
        <w:tc>
          <w:tcPr>
            <w:tcW w:w="4128"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799" w:type="dxa"/>
            <w:tcBorders/>
            <w:shd w:fill="auto" w:val="clear"/>
            <w:vAlign w:val="center"/>
          </w:tcPr>
          <w:p>
            <w:pPr>
              <w:pStyle w:val="TableContents"/>
              <w:spacing w:before="0" w:after="283"/>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b/>
              </w:rPr>
              <w:t>PLAINS ALL AMERICAN GP LLC</w:t>
            </w:r>
            <w:r>
              <w:rPr/>
              <w:b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799" w:type="dxa"/>
            <w:tcBorders/>
            <w:shd w:fill="auto" w:val="clear"/>
            <w:vAlign w:val="center"/>
          </w:tcPr>
          <w:p>
            <w:pPr>
              <w:pStyle w:val="TableContents"/>
              <w:spacing w:before="0" w:after="283"/>
              <w:jc w:val="left"/>
              <w:rPr/>
            </w:pPr>
            <w:r>
              <w:rPr/>
              <w:t>Tim Moore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799" w:type="dxa"/>
            <w:tcBorders/>
            <w:shd w:fill="auto" w:val="clear"/>
            <w:vAlign w:val="center"/>
          </w:tcPr>
          <w:p>
            <w:pPr>
              <w:pStyle w:val="TableContents"/>
              <w:spacing w:before="0" w:after="283"/>
              <w:jc w:val="left"/>
              <w:rPr/>
            </w:pPr>
            <w:r>
              <w:rPr/>
              <w:t>Vice President </w:t>
            </w:r>
          </w:p>
        </w:tc>
        <w:tc>
          <w:tcPr>
            <w:tcW w:w="133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2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22</Pages>
  <Words>5320</Words>
  <CharactersWithSpaces>33522</CharactersWithSpaces>
  <Paragraphs>1275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exv99wc</dc:title>
</cp:coreProperties>
</file>