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8301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30199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7"/>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1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60" w:type="dxa"/>
            <w:vAlign w:val="bottom"/>
          </w:tcPr>
          <w:p>
            <w:pPr>
              <w:spacing w:after="0"/>
              <w:rPr>
                <w:sz w:val="2"/>
                <w:szCs w:val="2"/>
                <w:color w:val="auto"/>
              </w:rPr>
            </w:pP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100" w:type="dxa"/>
            <w:vAlign w:val="bottom"/>
            <w:gridSpan w:val="2"/>
            <w:vMerge w:val="restart"/>
          </w:tcPr>
          <w:p>
            <w:pPr>
              <w:ind w:left="560"/>
              <w:spacing w:after="0"/>
              <w:rPr>
                <w:sz w:val="20"/>
                <w:szCs w:val="20"/>
                <w:color w:val="auto"/>
              </w:rPr>
            </w:pPr>
            <w:r>
              <w:rPr>
                <w:rFonts w:ascii="Arial" w:cs="Arial" w:eastAsia="Arial" w:hAnsi="Arial"/>
                <w:sz w:val="13"/>
                <w:szCs w:val="13"/>
                <w:color w:val="auto"/>
              </w:rPr>
              <w:t>Officer (give title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520" w:type="dxa"/>
            <w:vAlign w:val="bottom"/>
            <w:vMerge w:val="restart"/>
          </w:tcPr>
          <w:p>
            <w:pPr>
              <w:ind w:left="60"/>
              <w:spacing w:after="0"/>
              <w:rPr>
                <w:sz w:val="20"/>
                <w:szCs w:val="20"/>
                <w:color w:val="auto"/>
              </w:rPr>
            </w:pPr>
            <w:r>
              <w:rPr>
                <w:rFonts w:ascii="Arial" w:cs="Arial" w:eastAsia="Arial" w:hAnsi="Arial"/>
                <w:sz w:val="13"/>
                <w:szCs w:val="13"/>
                <w:color w:val="auto"/>
                <w:w w:val="93"/>
              </w:rPr>
              <w:t>(Middle)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ind w:left="560"/>
              <w:spacing w:after="0" w:line="123" w:lineRule="exact"/>
              <w:rPr>
                <w:sz w:val="20"/>
                <w:szCs w:val="20"/>
                <w:color w:val="auto"/>
              </w:rPr>
            </w:pPr>
            <w:r>
              <w:rPr>
                <w:rFonts w:ascii="Arial" w:cs="Arial" w:eastAsia="Arial" w:hAnsi="Arial"/>
                <w:sz w:val="13"/>
                <w:szCs w:val="13"/>
                <w:color w:val="auto"/>
              </w:rPr>
              <w:t>below)</w:t>
            </w:r>
          </w:p>
        </w:tc>
        <w:tc>
          <w:tcPr>
            <w:tcW w:w="960" w:type="dxa"/>
            <w:vAlign w:val="bottom"/>
          </w:tcPr>
          <w:p>
            <w:pPr>
              <w:spacing w:after="0"/>
              <w:rPr>
                <w:sz w:val="10"/>
                <w:szCs w:val="10"/>
                <w:color w:val="auto"/>
              </w:rPr>
            </w:pPr>
          </w:p>
        </w:tc>
        <w:tc>
          <w:tcPr>
            <w:tcW w:w="1280" w:type="dxa"/>
            <w:vAlign w:val="bottom"/>
          </w:tcPr>
          <w:p>
            <w:pPr>
              <w:ind w:left="8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140" w:type="dxa"/>
            <w:vAlign w:val="bottom"/>
            <w:gridSpan w:val="5"/>
            <w:vMerge w:val="restart"/>
          </w:tcPr>
          <w:p>
            <w:pPr>
              <w:ind w:left="920"/>
              <w:spacing w:after="0"/>
              <w:rPr>
                <w:sz w:val="20"/>
                <w:szCs w:val="20"/>
                <w:color w:val="auto"/>
              </w:rPr>
            </w:pPr>
            <w:r>
              <w:rPr>
                <w:rFonts w:ascii="Arial" w:cs="Arial" w:eastAsia="Arial" w:hAnsi="Arial"/>
                <w:sz w:val="17"/>
                <w:szCs w:val="17"/>
                <w:color w:val="0000FF"/>
              </w:rPr>
              <w:t>03/31/2017</w:t>
            </w: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1800 AVE OF THE STATE</w:t>
            </w:r>
          </w:p>
        </w:tc>
        <w:tc>
          <w:tcPr>
            <w:tcW w:w="52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3RD FLOOR</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3"/>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gridSpan w:val="3"/>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w w:val="99"/>
              </w:rPr>
              <w:t>LOS ANGELES</w:t>
            </w: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520" w:type="dxa"/>
            <w:vAlign w:val="bottom"/>
          </w:tcPr>
          <w:p>
            <w:pPr>
              <w:ind w:left="60"/>
              <w:spacing w:after="0"/>
              <w:rPr>
                <w:sz w:val="20"/>
                <w:szCs w:val="20"/>
                <w:color w:val="auto"/>
              </w:rPr>
            </w:pPr>
            <w:r>
              <w:rPr>
                <w:rFonts w:ascii="Arial" w:cs="Arial" w:eastAsia="Arial" w:hAnsi="Arial"/>
                <w:sz w:val="17"/>
                <w:szCs w:val="17"/>
                <w:color w:val="0000FF"/>
                <w:w w:val="92"/>
              </w:rPr>
              <w:t>90067</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80" w:type="dxa"/>
            <w:vAlign w:val="bottom"/>
            <w:gridSpan w:val="3"/>
          </w:tcPr>
          <w:p>
            <w:pPr>
              <w:ind w:left="5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580"/>
              <w:spacing w:after="0" w:line="131"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520" w:type="dxa"/>
            <w:vAlign w:val="bottom"/>
          </w:tcPr>
          <w:p>
            <w:pPr>
              <w:ind w:left="6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4"/>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28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12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12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124"/>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03/31/2017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8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185,207</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185,207</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280" w:type="dxa"/>
            <w:vAlign w:val="bottom"/>
          </w:tcPr>
          <w:p>
            <w:pPr>
              <w:ind w:left="80"/>
              <w:spacing w:after="0"/>
              <w:rPr>
                <w:sz w:val="20"/>
                <w:szCs w:val="20"/>
                <w:color w:val="auto"/>
              </w:rPr>
            </w:pPr>
            <w:r>
              <w:rPr>
                <w:rFonts w:ascii="Arial" w:cs="Arial" w:eastAsia="Arial" w:hAnsi="Arial"/>
                <w:sz w:val="17"/>
                <w:szCs w:val="17"/>
                <w:color w:val="0000FF"/>
                <w:w w:val="98"/>
              </w:rPr>
              <w:t>See Footnote</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8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03/31/2017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8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185,207</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right"/>
              <w:ind w:right="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280" w:type="dxa"/>
            <w:vAlign w:val="bottom"/>
          </w:tcPr>
          <w:p>
            <w:pPr>
              <w:ind w:left="80"/>
              <w:spacing w:after="0"/>
              <w:rPr>
                <w:sz w:val="20"/>
                <w:szCs w:val="20"/>
                <w:color w:val="auto"/>
              </w:rPr>
            </w:pPr>
            <w:r>
              <w:rPr>
                <w:rFonts w:ascii="Arial" w:cs="Arial" w:eastAsia="Arial" w:hAnsi="Arial"/>
                <w:sz w:val="17"/>
                <w:szCs w:val="17"/>
                <w:color w:val="0000FF"/>
                <w:w w:val="98"/>
              </w:rPr>
              <w:t>See Footnote</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8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280" w:type="dxa"/>
            <w:vAlign w:val="bottom"/>
          </w:tcPr>
          <w:p>
            <w:pPr>
              <w:ind w:left="80"/>
              <w:spacing w:after="0"/>
              <w:rPr>
                <w:sz w:val="20"/>
                <w:szCs w:val="20"/>
                <w:color w:val="auto"/>
              </w:rPr>
            </w:pPr>
            <w:r>
              <w:rPr>
                <w:rFonts w:ascii="Arial" w:cs="Arial" w:eastAsia="Arial" w:hAnsi="Arial"/>
                <w:sz w:val="17"/>
                <w:szCs w:val="17"/>
                <w:color w:val="0000FF"/>
                <w:w w:val="99"/>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280" w:type="dxa"/>
            <w:vAlign w:val="bottom"/>
          </w:tcPr>
          <w:p>
            <w:pPr>
              <w:ind w:left="80"/>
              <w:spacing w:after="0"/>
              <w:rPr>
                <w:sz w:val="20"/>
                <w:szCs w:val="20"/>
                <w:color w:val="auto"/>
              </w:rPr>
            </w:pPr>
            <w:r>
              <w:rPr>
                <w:rFonts w:ascii="Arial" w:cs="Arial" w:eastAsia="Arial" w:hAnsi="Arial"/>
                <w:sz w:val="17"/>
                <w:szCs w:val="17"/>
                <w:color w:val="0000FF"/>
                <w:w w:val="99"/>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0000FF"/>
                <w:w w:val="88"/>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280" w:type="dxa"/>
            <w:vAlign w:val="bottom"/>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Robert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Rosa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Living 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10/24/97,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42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w w:val="99"/>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w w:val="98"/>
              </w:rPr>
              <w:t>See Footnote</w:t>
            </w:r>
            <w:r>
              <w:rPr>
                <w:rFonts w:ascii="Arial" w:cs="Arial" w:eastAsia="Arial" w:hAnsi="Arial"/>
                <w:sz w:val="21"/>
                <w:szCs w:val="21"/>
                <w:color w:val="008000"/>
                <w:w w:val="98"/>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240" w:type="dxa"/>
            <w:vAlign w:val="bottom"/>
            <w:tcBorders>
              <w:bottom w:val="single" w:sz="8" w:color="2C2C2C"/>
            </w:tcBorders>
            <w:gridSpan w:val="8"/>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8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0000FF"/>
                <w:w w:val="84"/>
              </w:rPr>
              <w:t>See Footnote</w:t>
            </w:r>
            <w:r>
              <w:rPr>
                <w:rFonts w:ascii="Arial" w:cs="Arial" w:eastAsia="Arial" w:hAnsi="Arial"/>
                <w:sz w:val="21"/>
                <w:szCs w:val="21"/>
                <w:color w:val="008000"/>
                <w:w w:val="84"/>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185,207</w:t>
            </w:r>
          </w:p>
        </w:tc>
        <w:tc>
          <w:tcPr>
            <w:tcW w:w="760" w:type="dxa"/>
            <w:vAlign w:val="bottom"/>
          </w:tcPr>
          <w:p>
            <w:pPr>
              <w:spacing w:after="0"/>
              <w:rPr>
                <w:sz w:val="5"/>
                <w:szCs w:val="5"/>
                <w:color w:val="auto"/>
              </w:rPr>
            </w:pPr>
          </w:p>
        </w:tc>
        <w:tc>
          <w:tcPr>
            <w:tcW w:w="880" w:type="dxa"/>
            <w:vAlign w:val="bottom"/>
            <w:vMerge w:val="restart"/>
          </w:tcPr>
          <w:p>
            <w:pPr>
              <w:ind w:left="60"/>
              <w:spacing w:after="0" w:line="204" w:lineRule="exact"/>
              <w:rPr>
                <w:sz w:val="20"/>
                <w:szCs w:val="20"/>
                <w:color w:val="auto"/>
              </w:rPr>
            </w:pPr>
            <w:r>
              <w:rPr>
                <w:rFonts w:ascii="Arial" w:cs="Arial" w:eastAsia="Arial" w:hAnsi="Arial"/>
                <w:sz w:val="13"/>
                <w:szCs w:val="13"/>
                <w:color w:val="0000FF"/>
                <w:w w:val="97"/>
              </w:rPr>
              <w:t>22,637,206</w:t>
            </w:r>
            <w:r>
              <w:rPr>
                <w:rFonts w:ascii="Arial" w:cs="Arial" w:eastAsia="Arial" w:hAnsi="Arial"/>
                <w:sz w:val="21"/>
                <w:szCs w:val="21"/>
                <w:color w:val="008000"/>
                <w:w w:val="97"/>
                <w:vertAlign w:val="superscript"/>
              </w:rPr>
              <w:t>(6)</w:t>
            </w:r>
          </w:p>
        </w:tc>
        <w:tc>
          <w:tcPr>
            <w:tcW w:w="7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ind w:left="34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tcPr>
          <w:p>
            <w:pPr>
              <w:jc w:val="right"/>
              <w:ind w:right="180"/>
              <w:spacing w:after="0" w:line="139" w:lineRule="exact"/>
              <w:rPr>
                <w:sz w:val="20"/>
                <w:szCs w:val="20"/>
                <w:color w:val="auto"/>
              </w:rPr>
            </w:pPr>
            <w:r>
              <w:rPr>
                <w:rFonts w:ascii="Arial" w:cs="Arial" w:eastAsia="Arial" w:hAnsi="Arial"/>
                <w:sz w:val="13"/>
                <w:szCs w:val="13"/>
                <w:color w:val="0000FF"/>
              </w:rPr>
              <w:t>03/31/2017</w:t>
            </w:r>
          </w:p>
        </w:tc>
        <w:tc>
          <w:tcPr>
            <w:tcW w:w="112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380"/>
              <w:spacing w:after="0" w:line="139" w:lineRule="exact"/>
              <w:rPr>
                <w:sz w:val="20"/>
                <w:szCs w:val="20"/>
                <w:color w:val="auto"/>
              </w:rPr>
            </w:pPr>
            <w:r>
              <w:rPr>
                <w:rFonts w:ascii="Arial" w:cs="Arial" w:eastAsia="Arial" w:hAnsi="Arial"/>
                <w:sz w:val="13"/>
                <w:szCs w:val="13"/>
                <w:color w:val="0000FF"/>
              </w:rPr>
              <w:t>185,207</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ind w:left="200"/>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2"/>
                <w:szCs w:val="12"/>
                <w:color w:val="auto"/>
              </w:rPr>
            </w:pPr>
          </w:p>
        </w:tc>
        <w:tc>
          <w:tcPr>
            <w:tcW w:w="760" w:type="dxa"/>
            <w:vAlign w:val="bottom"/>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continue"/>
          </w:tcPr>
          <w:p>
            <w:pPr>
              <w:spacing w:after="0"/>
              <w:rPr>
                <w:sz w:val="12"/>
                <w:szCs w:val="12"/>
                <w:color w:val="auto"/>
              </w:rPr>
            </w:pP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tcPr>
          <w:p>
            <w:pPr>
              <w:ind w:left="60"/>
              <w:spacing w:after="0" w:line="82" w:lineRule="exact"/>
              <w:rPr>
                <w:sz w:val="20"/>
                <w:szCs w:val="20"/>
                <w:color w:val="auto"/>
              </w:rPr>
            </w:pPr>
            <w:r>
              <w:rPr>
                <w:rFonts w:ascii="Arial" w:cs="Arial" w:eastAsia="Arial" w:hAnsi="Arial"/>
                <w:sz w:val="9"/>
                <w:szCs w:val="9"/>
                <w:color w:val="0000FF"/>
              </w:rPr>
              <w:t>A Units/GP</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2"/>
              </w:rPr>
              <w:t>Shares</w:t>
            </w: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ind w:left="60"/>
              <w:spacing w:after="0" w:line="82"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3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31" w:lineRule="exact"/>
        <w:rPr>
          <w:rFonts w:ascii="Arial" w:cs="Arial" w:eastAsia="Arial" w:hAnsi="Arial"/>
          <w:sz w:val="13"/>
          <w:szCs w:val="13"/>
          <w:color w:val="008000"/>
        </w:rPr>
      </w:pPr>
    </w:p>
    <w:p>
      <w:pPr>
        <w:jc w:val="both"/>
        <w:ind w:left="40" w:right="680" w:firstLine="3"/>
        <w:spacing w:after="0" w:line="321"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ectPr>
          <w:pgSz w:w="11900" w:h="16838" w:orient="portrait"/>
          <w:cols w:equalWidth="0" w:num="1">
            <w:col w:w="11520"/>
          </w:cols>
          <w:pgMar w:left="240" w:top="222" w:right="139" w:bottom="0" w:gutter="0" w:footer="0" w:header="0"/>
          <w:type w:val="continuous"/>
        </w:sectPr>
      </w:pPr>
    </w:p>
    <w:bookmarkStart w:id="1" w:name="page2"/>
    <w:bookmarkEnd w:id="1"/>
    <w:p>
      <w:pPr>
        <w:ind w:firstLine="3"/>
        <w:spacing w:after="0" w:line="241"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1,835,421 Class A Units. As a result, such Class A Units were cancelled and 1,835,421 Common Units of Plains All American Pipeline, L.P. were distributed by AAP to KAFU. The number of derivative securities owned reflects both the exchange transaction reported herein and the simultaneous redemption transaction.</w:t>
      </w:r>
    </w:p>
    <w:p>
      <w:pPr>
        <w:spacing w:after="0" w:line="31"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4"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David Shladovsky</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04/04/2017</w:t>
            </w:r>
          </w:p>
        </w:tc>
      </w:tr>
      <w:tr>
        <w:trPr>
          <w:trHeight w:val="22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820" w:firstLine="3"/>
        <w:spacing w:after="0" w:line="311"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2020-01-16T01:39:06Z</dcterms:created>
  <dcterms:modified xsi:type="dcterms:W3CDTF">2020-01-16T01:39:06Z</dcterms:modified>
</cp:coreProperties>
</file>