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rFonts w:ascii="Times New Roman;serif" w:hAnsi="Times New Roman;serif"/>
          <w:b/>
          <w:sz w:val="22"/>
        </w:rPr>
      </w:pPr>
      <w:bookmarkStart w:id="0" w:name="sc13da.htm"/>
      <w:bookmarkStart w:id="1" w:name="kssc13da"/>
      <w:bookmarkEnd w:id="0"/>
      <w:bookmarkEnd w:id="1"/>
      <w:r>
        <w:rPr>
          <w:rFonts w:ascii="Times New Roman;serif" w:hAnsi="Times New Roman;serif"/>
          <w:b/>
          <w:sz w:val="22"/>
        </w:rPr>
        <w:t>CUSIP NO. 726503105</w:t>
      </w:r>
    </w:p>
    <w:p>
      <w:pPr>
        <w:pStyle w:val="TextBody"/>
        <w:spacing w:before="0" w:after="0"/>
        <w:rPr/>
      </w:pPr>
      <w:r>
        <w:rPr/>
        <w:t> </w:t>
      </w:r>
    </w:p>
    <w:p>
      <w:pPr>
        <w:pStyle w:val="TextBody"/>
        <w:spacing w:before="0" w:after="0"/>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SCHEDULE 13D/A</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(Rule 13d-101)</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INFORMATION TO BE INCLUDED IN STATEMENTS FILED PURSUANT</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TO RULE 13d-1(a) AND AMENDMENTS THERETO FILED PURSUANT TO</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RULE 13d-2(a)</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SECURITIES AND EXCHANGE COMMISSION</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Washington, D.C. 20549</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Under the Securities Exchange Act of 1934*</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(Amendment #9)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u w:val="single"/>
        </w:rPr>
      </w:pPr>
      <w:r>
        <w:rPr>
          <w:rFonts w:ascii="Times New Roman;serif" w:hAnsi="Times New Roman;serif"/>
          <w:sz w:val="22"/>
          <w:u w:val="single"/>
        </w:rPr>
        <w:t>Plains All American Pipeline, L.P.</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(Name of Issuer)</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u w:val="single"/>
        </w:rPr>
      </w:pPr>
      <w:r>
        <w:rPr>
          <w:rFonts w:ascii="Times New Roman;serif" w:hAnsi="Times New Roman;serif"/>
          <w:sz w:val="22"/>
          <w:u w:val="single"/>
        </w:rPr>
        <w:t>Common Units</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(Title of Class of Securities)</w:t>
      </w:r>
    </w:p>
    <w:p>
      <w:pPr>
        <w:pStyle w:val="TextBody"/>
        <w:spacing w:before="0" w:after="0"/>
        <w:ind w:left="0" w:right="0" w:hanging="0"/>
        <w:rPr/>
      </w:pPr>
      <w:r>
        <w:rPr/>
      </w:r>
    </w:p>
    <w:p>
      <w:pPr>
        <w:pStyle w:val="TextBody"/>
        <w:spacing w:before="0" w:after="0"/>
        <w:ind w:left="0" w:right="0" w:hanging="0"/>
        <w:jc w:val="center"/>
        <w:rPr>
          <w:u w:val="single"/>
        </w:rPr>
      </w:pPr>
      <w:r>
        <w:rPr>
          <w:u w:val="single"/>
        </w:rPr>
        <w:t>         </w:t>
      </w:r>
      <w:r>
        <w:rPr>
          <w:rFonts w:ascii="Times New Roman;serif" w:hAnsi="Times New Roman;serif"/>
          <w:sz w:val="22"/>
          <w:u w:val="single"/>
        </w:rPr>
        <w:t>726503105      </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(CUSIP Number)</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Paul G. Allen</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Vulcan Capital Private Equity Inc.</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Vulcan Capital Private Equity Management I LLC</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Vulcan Capital Private Equity I LLC</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Vulcan Capital Private Equity II LLC</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505 Fifth Avenue S, Suite 900</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Seattle, Washington 98104</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(206) 342-2000</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Vulcan Energy Corporation</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333 Clay Street, Suite 1600,</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Houston, Texas 77002</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December 23, 2010</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(Date of Event which Requires Filing</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of this Statement)</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sz w:val="22"/>
        </w:rPr>
      </w:pPr>
      <w:r>
        <w:rPr>
          <w:rFonts w:ascii="Times New Roman;serif" w:hAnsi="Times New Roman;serif"/>
          <w:sz w:val="22"/>
        </w:rPr>
        <w:t>If the filing person has previously filed a statement on Schedule 13G to report the acquisition that is the subject of this Schedule 13D, and is filing this schedule because of Rule 13d-1(e), 13d-1(f) or 13d-1(g), check the following box [  ].</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sz w:val="22"/>
        </w:rPr>
      </w:pPr>
      <w:r>
        <w:rPr>
          <w:rFonts w:ascii="Times New Roman;serif" w:hAnsi="Times New Roman;serif"/>
          <w:i/>
          <w:sz w:val="22"/>
        </w:rPr>
        <w:t>Note.</w:t>
      </w:r>
      <w:r>
        <w:rPr>
          <w:rFonts w:ascii="Times New Roman;serif" w:hAnsi="Times New Roman;serif"/>
          <w:sz w:val="22"/>
        </w:rPr>
        <w:t>  Schedules filed in paper format shall include a signed original and five copies of the schedule, including all exhibits.  See Rule 13d-7 for other parties to whom copies are to be sent.</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sz w:val="22"/>
        </w:rPr>
      </w:pPr>
      <w:r>
        <w:rPr>
          <w:rFonts w:ascii="Times New Roman;serif" w:hAnsi="Times New Roman;serif"/>
          <w:sz w:val="22"/>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sz w:val="22"/>
        </w:rPr>
      </w:pPr>
      <w:r>
        <w:rPr>
          <w:rFonts w:ascii="Times New Roman;serif" w:hAnsi="Times New Roman;serif"/>
          <w:sz w:val="22"/>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serif" w:hAnsi="Times New Roman;serif"/>
          <w:i/>
          <w:sz w:val="22"/>
        </w:rPr>
        <w:t>see</w:t>
      </w:r>
      <w:r>
        <w:rPr>
          <w:rFonts w:ascii="Times New Roman;serif" w:hAnsi="Times New Roman;serif"/>
          <w:sz w:val="22"/>
        </w:rPr>
        <w:t xml:space="preserve"> the Notes).</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Continued on following page(s)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 w:name="PGBRK"/>
      <w:bookmarkStart w:id="3" w:name="PGBRK"/>
      <w:bookmarkEnd w:id="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 w:name="FTR"/>
      <w:bookmarkStart w:id="5" w:name="FTR"/>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 w:name="GLFTR"/>
      <w:bookmarkEnd w:id="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7" w:name="PN"/>
      <w:bookmarkEnd w:id="7"/>
      <w:r>
        <w:rPr>
          <w:rFonts w:ascii="Times New Roman;serif" w:hAnsi="Times New Roman;serif"/>
          <w:sz w:val="22"/>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HDR"/>
      <w:bookmarkStart w:id="9" w:name="HD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 w:name="GLHD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184"/>
        <w:gridCol w:w="2760"/>
        <w:gridCol w:w="1134"/>
        <w:gridCol w:w="1872"/>
        <w:gridCol w:w="3255"/>
      </w:tblGrid>
      <w:tr>
        <w:trPr/>
        <w:tc>
          <w:tcPr>
            <w:tcW w:w="1184"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021"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11" w:name="TAB1"/>
            <w:bookmarkEnd w:id="11"/>
            <w:r>
              <w:rPr>
                <w:rFonts w:ascii="times new roman;serif" w:hAnsi="times new roman;serif"/>
                <w:sz w:val="22"/>
              </w:rPr>
              <w:t>Paul G. Allen</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576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p>
            <w:pPr>
              <w:pStyle w:val="TableContents"/>
              <w:spacing w:before="0" w:after="0"/>
              <w:ind w:left="0" w:right="0" w:hanging="0"/>
              <w:jc w:val="left"/>
              <w:rPr/>
            </w:pPr>
            <w:r>
              <w:rPr/>
              <w:t> </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840" w:right="0" w:hanging="0"/>
              <w:jc w:val="right"/>
              <w:rPr>
                <w:rFonts w:ascii="times new roman;serif" w:hAnsi="times new roman;serif"/>
                <w:sz w:val="20"/>
              </w:rPr>
            </w:pPr>
            <w:r>
              <w:rPr>
                <w:rFonts w:ascii="times new roman;serif" w:hAnsi="times new roman;serif"/>
                <w:sz w:val="20"/>
              </w:rPr>
              <w:t xml:space="preserve">(a) ☐  </w:t>
            </w:r>
          </w:p>
          <w:p>
            <w:pPr>
              <w:pStyle w:val="TableContents"/>
              <w:spacing w:before="0" w:after="0"/>
              <w:ind w:left="78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 xml:space="preserve">x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12" w:name="TAB11"/>
            <w:bookmarkEnd w:id="12"/>
            <w:r>
              <w:rPr>
                <w:rFonts w:ascii="times new roman;serif" w:hAnsi="times new roman;serif"/>
                <w:sz w:val="20"/>
              </w:rPr>
              <w:t>N/A</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5766" w:type="dxa"/>
            <w:gridSpan w:val="3"/>
            <w:tcBorders>
              <w:left w:val="single" w:sz="4"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800" w:right="0" w:hanging="0"/>
              <w:jc w:val="right"/>
              <w:rPr/>
            </w:pPr>
            <w:r>
              <w:rPr/>
              <w:t>☐ </w:t>
            </w:r>
          </w:p>
          <w:p>
            <w:pPr>
              <w:pStyle w:val="TableContents"/>
              <w:spacing w:before="0" w:after="0"/>
              <w:ind w:left="0" w:right="0" w:hanging="0"/>
              <w:jc w:val="righ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13" w:name="TAB12"/>
            <w:bookmarkEnd w:id="13"/>
            <w:r>
              <w:rPr>
                <w:rFonts w:ascii="times new roman;serif" w:hAnsi="times new roman;serif"/>
                <w:sz w:val="20"/>
              </w:rPr>
              <w:t>United States</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16,293,379 Common Units</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  0</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SOLE DISPOSITIVE POWER: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16,293,379 Common Units</w:t>
            </w:r>
          </w:p>
        </w:tc>
      </w:tr>
      <w:tr>
        <w:trPr/>
        <w:tc>
          <w:tcPr>
            <w:tcW w:w="3944"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 0</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16,293,379 Common Units</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576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440" w:right="0" w:hanging="0"/>
              <w:jc w:val="right"/>
              <w:rPr/>
            </w:pPr>
            <w:r>
              <w:rPr/>
              <w:t xml:space="preserve">☐  </w:t>
            </w:r>
          </w:p>
          <w:p>
            <w:pPr>
              <w:pStyle w:val="TableContents"/>
              <w:spacing w:before="0" w:after="0"/>
              <w:ind w:left="0" w:right="0" w:hanging="0"/>
              <w:jc w:val="righ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14" w:name="TAB13"/>
            <w:bookmarkEnd w:id="14"/>
            <w:r>
              <w:rPr>
                <w:rFonts w:ascii="times new roman;serif" w:hAnsi="times new roman;serif"/>
                <w:sz w:val="20"/>
              </w:rPr>
              <w:t>11.9% of Common Units</w:t>
            </w:r>
          </w:p>
          <w:p>
            <w:pPr>
              <w:pStyle w:val="TableContents"/>
              <w:spacing w:before="0" w:after="0"/>
              <w:ind w:left="0" w:right="0" w:hanging="0"/>
              <w:jc w:val="left"/>
              <w:rPr/>
            </w:pPr>
            <w:r>
              <w:rPr/>
              <w:t> </w:t>
            </w:r>
          </w:p>
        </w:tc>
      </w:tr>
      <w:tr>
        <w:trPr/>
        <w:tc>
          <w:tcPr>
            <w:tcW w:w="1184"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021"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15" w:name="TAB14"/>
            <w:bookmarkEnd w:id="15"/>
            <w:r>
              <w:rPr>
                <w:rFonts w:ascii="times new roman;serif" w:hAnsi="times new roman;serif"/>
                <w:sz w:val="20"/>
              </w:rPr>
              <w:t>IN</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 w:name="PGBRK1"/>
      <w:bookmarkStart w:id="17" w:name="PGBRK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FTR1"/>
      <w:bookmarkStart w:id="19" w:name="FTR1"/>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 w:name="GLFTR1"/>
      <w:bookmarkEnd w:id="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1" w:name="PN1"/>
      <w:bookmarkEnd w:id="21"/>
      <w:r>
        <w:rPr>
          <w:rFonts w:ascii="Times New Roman;serif" w:hAnsi="Times New Roman;serif"/>
          <w:sz w:val="22"/>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HDR1"/>
      <w:bookmarkStart w:id="23" w:name="HDR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 w:name="GLHDR1"/>
      <w:bookmarkEnd w:id="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184"/>
        <w:gridCol w:w="2760"/>
        <w:gridCol w:w="1134"/>
        <w:gridCol w:w="1872"/>
        <w:gridCol w:w="3255"/>
      </w:tblGrid>
      <w:tr>
        <w:trPr/>
        <w:tc>
          <w:tcPr>
            <w:tcW w:w="1184"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021"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25" w:name="TAB15"/>
            <w:bookmarkEnd w:id="25"/>
            <w:r>
              <w:rPr>
                <w:rFonts w:ascii="times new roman;serif" w:hAnsi="times new roman;serif"/>
                <w:sz w:val="22"/>
              </w:rPr>
              <w:t>Vulcan Capital Private Equity Inc.</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576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p>
            <w:pPr>
              <w:pStyle w:val="TableContents"/>
              <w:spacing w:before="0" w:after="0"/>
              <w:ind w:left="0" w:right="0" w:hanging="0"/>
              <w:jc w:val="left"/>
              <w:rPr/>
            </w:pPr>
            <w:r>
              <w:rPr/>
              <w:t> </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840" w:right="0" w:hanging="0"/>
              <w:jc w:val="right"/>
              <w:rPr>
                <w:rFonts w:ascii="times new roman;serif" w:hAnsi="times new roman;serif"/>
                <w:sz w:val="20"/>
              </w:rPr>
            </w:pPr>
            <w:r>
              <w:rPr>
                <w:rFonts w:ascii="times new roman;serif" w:hAnsi="times new roman;serif"/>
                <w:sz w:val="20"/>
              </w:rPr>
              <w:t xml:space="preserve">(a) ☐  </w:t>
            </w:r>
          </w:p>
          <w:p>
            <w:pPr>
              <w:pStyle w:val="TableContents"/>
              <w:spacing w:before="0" w:after="0"/>
              <w:ind w:left="78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 xml:space="preserve">x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26" w:name="TAB16"/>
            <w:bookmarkEnd w:id="26"/>
            <w:r>
              <w:rPr>
                <w:rFonts w:ascii="times new roman;serif" w:hAnsi="times new roman;serif"/>
                <w:sz w:val="20"/>
              </w:rPr>
              <w:t>N/A</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576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080" w:right="0" w:hanging="0"/>
              <w:jc w:val="right"/>
              <w:rPr/>
            </w:pPr>
            <w:r>
              <w:rPr/>
              <w:t xml:space="preserve">☐  </w:t>
            </w:r>
          </w:p>
          <w:p>
            <w:pPr>
              <w:pStyle w:val="TableContents"/>
              <w:spacing w:before="0" w:after="0"/>
              <w:ind w:left="0" w:right="0" w:hanging="0"/>
              <w:jc w:val="righ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27" w:name="TAB17"/>
            <w:bookmarkEnd w:id="27"/>
            <w:r>
              <w:rPr>
                <w:rFonts w:ascii="times new roman;serif" w:hAnsi="times new roman;serif"/>
                <w:sz w:val="20"/>
              </w:rPr>
              <w:t>Delaware</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3,903,259 Common Units</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3944"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3,903,259 Common Units</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3,903,259 Common Units</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576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900" w:right="0" w:hanging="0"/>
              <w:jc w:val="right"/>
              <w:rPr/>
            </w:pPr>
            <w:r>
              <w:rPr/>
              <w:t xml:space="preserve">☐  </w:t>
            </w:r>
          </w:p>
          <w:p>
            <w:pPr>
              <w:pStyle w:val="TableContents"/>
              <w:spacing w:before="0" w:after="0"/>
              <w:ind w:left="0" w:right="0" w:hanging="0"/>
              <w:jc w:val="righ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28" w:name="TAB18"/>
            <w:bookmarkEnd w:id="28"/>
            <w:r>
              <w:rPr>
                <w:rFonts w:ascii="times new roman;serif" w:hAnsi="times new roman;serif"/>
                <w:sz w:val="20"/>
              </w:rPr>
              <w:t>2.9%</w:t>
            </w:r>
          </w:p>
        </w:tc>
      </w:tr>
      <w:tr>
        <w:trPr/>
        <w:tc>
          <w:tcPr>
            <w:tcW w:w="1184"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021"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29" w:name="TAB19"/>
            <w:bookmarkEnd w:id="29"/>
            <w:r>
              <w:rPr>
                <w:rFonts w:ascii="times new roman;serif" w:hAnsi="times new roman;serif"/>
                <w:sz w:val="20"/>
              </w:rPr>
              <w:t>CO</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 w:name="PGBRK2"/>
      <w:bookmarkStart w:id="31" w:name="PGBRK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FTR2"/>
      <w:bookmarkStart w:id="33" w:name="FTR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 w:name="GLFTR2"/>
      <w:bookmarkEnd w:id="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5" w:name="PN2"/>
      <w:bookmarkEnd w:id="35"/>
      <w:r>
        <w:rPr>
          <w:rFonts w:ascii="Times New Roman;serif" w:hAnsi="Times New Roman;serif"/>
          <w:sz w:val="22"/>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HDR2"/>
      <w:bookmarkStart w:id="37" w:name="HDR2"/>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 w:name="GLHDR2"/>
      <w:bookmarkEnd w:id="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155"/>
        <w:gridCol w:w="2876"/>
        <w:gridCol w:w="1100"/>
        <w:gridCol w:w="1801"/>
        <w:gridCol w:w="3273"/>
      </w:tblGrid>
      <w:tr>
        <w:trPr/>
        <w:tc>
          <w:tcPr>
            <w:tcW w:w="1155"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050"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39" w:name="TAB110"/>
            <w:bookmarkEnd w:id="39"/>
            <w:r>
              <w:rPr>
                <w:rFonts w:ascii="times new roman;serif" w:hAnsi="times new roman;serif"/>
                <w:sz w:val="22"/>
              </w:rPr>
              <w:t>Vulcan Capital Private Equity Management I LLC</w:t>
            </w:r>
          </w:p>
          <w:p>
            <w:pPr>
              <w:pStyle w:val="TableContents"/>
              <w:spacing w:before="0" w:after="0"/>
              <w:ind w:left="0" w:right="0" w:hanging="0"/>
              <w:jc w:val="left"/>
              <w:rPr/>
            </w:pPr>
            <w:r>
              <w:rPr/>
              <w:t> </w:t>
            </w:r>
          </w:p>
        </w:tc>
      </w:tr>
      <w:tr>
        <w:trPr/>
        <w:tc>
          <w:tcPr>
            <w:tcW w:w="1155"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577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p>
            <w:pPr>
              <w:pStyle w:val="TableContents"/>
              <w:spacing w:before="0" w:after="0"/>
              <w:ind w:left="0" w:right="0" w:hanging="0"/>
              <w:jc w:val="left"/>
              <w:rPr/>
            </w:pPr>
            <w:r>
              <w:rPr/>
              <w:t> </w:t>
            </w:r>
          </w:p>
        </w:tc>
        <w:tc>
          <w:tcPr>
            <w:tcW w:w="3273"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020" w:right="0" w:hanging="0"/>
              <w:jc w:val="right"/>
              <w:rPr>
                <w:rFonts w:ascii="times new roman;serif" w:hAnsi="times new roman;serif"/>
                <w:sz w:val="20"/>
              </w:rPr>
            </w:pPr>
            <w:r>
              <w:rPr>
                <w:rFonts w:ascii="times new roman;serif" w:hAnsi="times new roman;serif"/>
                <w:sz w:val="20"/>
              </w:rPr>
              <w:t xml:space="preserve">(a) ☐  </w:t>
            </w:r>
          </w:p>
          <w:p>
            <w:pPr>
              <w:pStyle w:val="TableContents"/>
              <w:spacing w:before="0" w:after="0"/>
              <w:ind w:left="96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 xml:space="preserve">x  </w:t>
            </w:r>
          </w:p>
        </w:tc>
      </w:tr>
      <w:tr>
        <w:trPr/>
        <w:tc>
          <w:tcPr>
            <w:tcW w:w="1155"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050"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155"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050"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40" w:name="TAB111"/>
            <w:bookmarkEnd w:id="40"/>
            <w:r>
              <w:rPr>
                <w:rFonts w:ascii="times new roman;serif" w:hAnsi="times new roman;serif"/>
                <w:sz w:val="20"/>
              </w:rPr>
              <w:t>N/A</w:t>
            </w:r>
          </w:p>
        </w:tc>
      </w:tr>
      <w:tr>
        <w:trPr/>
        <w:tc>
          <w:tcPr>
            <w:tcW w:w="1155"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577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3273"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260" w:right="0" w:hanging="0"/>
              <w:jc w:val="right"/>
              <w:rPr/>
            </w:pPr>
            <w:r>
              <w:rPr/>
              <w:t xml:space="preserve">☐  </w:t>
            </w:r>
          </w:p>
          <w:p>
            <w:pPr>
              <w:pStyle w:val="TableContents"/>
              <w:spacing w:before="0" w:after="0"/>
              <w:ind w:left="0" w:right="0" w:hanging="0"/>
              <w:jc w:val="right"/>
              <w:rPr/>
            </w:pPr>
            <w:r>
              <w:rPr/>
              <w:t> </w:t>
            </w:r>
          </w:p>
        </w:tc>
      </w:tr>
      <w:tr>
        <w:trPr/>
        <w:tc>
          <w:tcPr>
            <w:tcW w:w="1155"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050"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41" w:name="TAB112"/>
            <w:bookmarkEnd w:id="41"/>
            <w:r>
              <w:rPr>
                <w:rFonts w:ascii="times new roman;serif" w:hAnsi="times new roman;serif"/>
                <w:sz w:val="20"/>
              </w:rPr>
              <w:t>Delaware</w:t>
            </w:r>
          </w:p>
        </w:tc>
      </w:tr>
      <w:tr>
        <w:trPr/>
        <w:tc>
          <w:tcPr>
            <w:tcW w:w="4031"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507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tc>
      </w:tr>
      <w:tr>
        <w:trPr/>
        <w:tc>
          <w:tcPr>
            <w:tcW w:w="4031"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507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tc>
      </w:tr>
      <w:tr>
        <w:trPr/>
        <w:tc>
          <w:tcPr>
            <w:tcW w:w="4031"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507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4031"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507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1155"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050"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1155"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577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3273"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080" w:right="0" w:hanging="0"/>
              <w:jc w:val="right"/>
              <w:rPr/>
            </w:pPr>
            <w:r>
              <w:rPr/>
              <w:t xml:space="preserve">☐  </w:t>
            </w:r>
          </w:p>
          <w:p>
            <w:pPr>
              <w:pStyle w:val="TableContents"/>
              <w:spacing w:before="0" w:after="0"/>
              <w:ind w:left="0" w:right="0" w:hanging="0"/>
              <w:jc w:val="right"/>
              <w:rPr/>
            </w:pPr>
            <w:r>
              <w:rPr/>
              <w:t> </w:t>
            </w:r>
          </w:p>
        </w:tc>
      </w:tr>
      <w:tr>
        <w:trPr/>
        <w:tc>
          <w:tcPr>
            <w:tcW w:w="1155"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050"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42" w:name="TAB113"/>
            <w:bookmarkEnd w:id="42"/>
            <w:r>
              <w:rPr>
                <w:rFonts w:ascii="times new roman;serif" w:hAnsi="times new roman;serif"/>
                <w:sz w:val="20"/>
              </w:rPr>
              <w:t>2.7%</w:t>
            </w:r>
          </w:p>
        </w:tc>
      </w:tr>
      <w:tr>
        <w:trPr/>
        <w:tc>
          <w:tcPr>
            <w:tcW w:w="1155"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050"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43" w:name="TAB114"/>
            <w:bookmarkEnd w:id="43"/>
            <w:r>
              <w:rPr>
                <w:rFonts w:ascii="times new roman;serif" w:hAnsi="times new roman;serif"/>
                <w:sz w:val="20"/>
              </w:rPr>
              <w:t>CO</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sz w:val="20"/>
        </w:rPr>
      </w:pPr>
      <w:r>
        <w:rPr>
          <w:rFonts w:ascii="Times New Roman;serif" w:hAnsi="Times New Roman;serif"/>
          <w:b/>
          <w:sz w:val="20"/>
        </w:rPr>
        <w:t>*</w:t>
      </w:r>
      <w:r>
        <w:rPr>
          <w:rFonts w:ascii="Times New Roman;serif" w:hAnsi="Times New Roman;serif"/>
          <w:b/>
          <w:sz w:val="22"/>
        </w:rPr>
        <w:t>SEE INSTRUCTIONS BEFORE FILLING OUT</w:t>
      </w:r>
    </w:p>
    <w:p>
      <w:pPr>
        <w:pStyle w:val="TextBody"/>
        <w:spacing w:before="0" w:after="0"/>
        <w:ind w:left="0" w:right="0" w:hanging="0"/>
        <w:jc w:val="center"/>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 w:name="PGBRK3"/>
      <w:bookmarkStart w:id="45" w:name="PGBRK3"/>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 w:name="FTR3"/>
      <w:bookmarkStart w:id="47" w:name="FTR3"/>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 w:name="GLFTR3"/>
      <w:bookmarkEnd w:id="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9" w:name="PN3"/>
      <w:bookmarkEnd w:id="49"/>
      <w:r>
        <w:rPr>
          <w:rFonts w:ascii="Times New Roman;serif" w:hAnsi="Times New Roman;serif"/>
          <w:sz w:val="22"/>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 w:name="HDR3"/>
      <w:bookmarkStart w:id="51" w:name="HDR3"/>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 w:name="GLHDR3"/>
      <w:bookmarkEnd w:id="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jc w:val="left"/>
        <w:rPr/>
      </w:pPr>
      <w:r>
        <w:rPr/>
        <w:t> </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184"/>
        <w:gridCol w:w="2760"/>
        <w:gridCol w:w="1134"/>
        <w:gridCol w:w="1872"/>
        <w:gridCol w:w="3255"/>
      </w:tblGrid>
      <w:tr>
        <w:trPr/>
        <w:tc>
          <w:tcPr>
            <w:tcW w:w="1184"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021"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53" w:name="TAB115"/>
            <w:bookmarkEnd w:id="53"/>
            <w:r>
              <w:rPr>
                <w:rFonts w:ascii="times new roman;serif" w:hAnsi="times new roman;serif"/>
                <w:sz w:val="22"/>
              </w:rPr>
              <w:t>Vulcan Capital Private Equity I LLC</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576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p>
            <w:pPr>
              <w:pStyle w:val="TableContents"/>
              <w:spacing w:before="0" w:after="0"/>
              <w:ind w:left="0" w:right="0" w:hanging="0"/>
              <w:jc w:val="left"/>
              <w:rPr/>
            </w:pPr>
            <w:r>
              <w:rPr/>
              <w:t> </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200" w:right="0" w:hanging="0"/>
              <w:jc w:val="right"/>
              <w:rPr>
                <w:rFonts w:ascii="times new roman;serif" w:hAnsi="times new roman;serif"/>
                <w:sz w:val="20"/>
              </w:rPr>
            </w:pPr>
            <w:r>
              <w:rPr>
                <w:rFonts w:ascii="times new roman;serif" w:hAnsi="times new roman;serif"/>
                <w:sz w:val="20"/>
              </w:rPr>
              <w:t xml:space="preserve">(a) ☐  </w:t>
            </w:r>
          </w:p>
          <w:p>
            <w:pPr>
              <w:pStyle w:val="TableContents"/>
              <w:spacing w:before="0" w:after="0"/>
              <w:ind w:left="114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 xml:space="preserve">x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54" w:name="TAB116"/>
            <w:bookmarkEnd w:id="54"/>
            <w:r>
              <w:rPr>
                <w:rFonts w:ascii="times new roman;serif" w:hAnsi="times new roman;serif"/>
                <w:sz w:val="20"/>
              </w:rPr>
              <w:t>N/A</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576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440" w:right="0" w:hanging="0"/>
              <w:jc w:val="right"/>
              <w:rPr/>
            </w:pPr>
            <w:r>
              <w:rPr/>
              <w:t xml:space="preserve">☐  </w:t>
            </w:r>
          </w:p>
          <w:p>
            <w:pPr>
              <w:pStyle w:val="TableContents"/>
              <w:spacing w:before="0" w:after="0"/>
              <w:ind w:left="0" w:right="0" w:hanging="0"/>
              <w:jc w:val="righ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55" w:name="TAB117"/>
            <w:bookmarkEnd w:id="55"/>
            <w:r>
              <w:rPr>
                <w:rFonts w:ascii="times new roman;serif" w:hAnsi="times new roman;serif"/>
                <w:sz w:val="20"/>
              </w:rPr>
              <w:t>Delaware</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3944"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576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260" w:right="0" w:hanging="0"/>
              <w:jc w:val="right"/>
              <w:rPr/>
            </w:pPr>
            <w:r>
              <w:rPr/>
              <w:t xml:space="preserve">☐  </w:t>
            </w:r>
          </w:p>
          <w:p>
            <w:pPr>
              <w:pStyle w:val="TableContents"/>
              <w:spacing w:before="0" w:after="0"/>
              <w:ind w:left="0" w:right="0" w:hanging="0"/>
              <w:jc w:val="righ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56" w:name="TAB118"/>
            <w:bookmarkEnd w:id="56"/>
            <w:r>
              <w:rPr>
                <w:rFonts w:ascii="times new roman;serif" w:hAnsi="times new roman;serif"/>
                <w:sz w:val="20"/>
              </w:rPr>
              <w:t>2.7%</w:t>
            </w:r>
          </w:p>
        </w:tc>
      </w:tr>
      <w:tr>
        <w:trPr/>
        <w:tc>
          <w:tcPr>
            <w:tcW w:w="1184"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021"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57" w:name="TAB119"/>
            <w:bookmarkEnd w:id="57"/>
            <w:r>
              <w:rPr>
                <w:rFonts w:ascii="times new roman;serif" w:hAnsi="times new roman;serif"/>
                <w:sz w:val="20"/>
              </w:rPr>
              <w:t>CO</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sz w:val="20"/>
        </w:rPr>
      </w:pPr>
      <w:r>
        <w:rPr>
          <w:rFonts w:ascii="Times New Roman;serif" w:hAnsi="Times New Roman;serif"/>
          <w:b/>
          <w:sz w:val="20"/>
        </w:rPr>
        <w:t>*</w:t>
      </w:r>
      <w:r>
        <w:rPr>
          <w:rFonts w:ascii="Times New Roman;serif" w:hAnsi="Times New Roman;serif"/>
          <w:b/>
          <w:sz w:val="22"/>
        </w:rPr>
        <w:t>SEE INSTRUCTIONS BEFORE FILLING OUT</w:t>
      </w:r>
    </w:p>
    <w:p>
      <w:pPr>
        <w:pStyle w:val="TextBody"/>
        <w:spacing w:before="0" w:after="0"/>
        <w:ind w:left="0" w:right="0" w:hanging="0"/>
        <w:jc w:val="center"/>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 w:name="PGBRK4"/>
      <w:bookmarkStart w:id="59" w:name="PGBRK4"/>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 w:name="FTR4"/>
      <w:bookmarkStart w:id="61" w:name="FTR4"/>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 w:name="GLFTR4"/>
      <w:bookmarkEnd w:id="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63" w:name="PN4"/>
      <w:bookmarkEnd w:id="63"/>
      <w:r>
        <w:rPr>
          <w:rFonts w:ascii="Times New Roman;serif" w:hAnsi="Times New Roman;serif"/>
          <w:sz w:val="22"/>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HDR4"/>
      <w:bookmarkStart w:id="65" w:name="HDR4"/>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 w:name="GLHDR4"/>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jc w:val="left"/>
        <w:rPr/>
      </w:pPr>
      <w:r>
        <w:rPr/>
        <w:t> </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184"/>
        <w:gridCol w:w="2760"/>
        <w:gridCol w:w="1134"/>
        <w:gridCol w:w="1872"/>
        <w:gridCol w:w="3255"/>
      </w:tblGrid>
      <w:tr>
        <w:trPr/>
        <w:tc>
          <w:tcPr>
            <w:tcW w:w="1184"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021"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67" w:name="TAB120"/>
            <w:bookmarkEnd w:id="67"/>
            <w:r>
              <w:rPr>
                <w:rFonts w:ascii="times new roman;serif" w:hAnsi="times new roman;serif"/>
                <w:sz w:val="22"/>
              </w:rPr>
              <w:t>Vulcan Capital Private Equity II LLC</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576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p>
            <w:pPr>
              <w:pStyle w:val="TableContents"/>
              <w:spacing w:before="0" w:after="0"/>
              <w:ind w:left="0" w:right="0" w:hanging="0"/>
              <w:jc w:val="left"/>
              <w:rPr/>
            </w:pPr>
            <w:r>
              <w:rPr/>
              <w:t> </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380" w:right="0" w:hanging="0"/>
              <w:jc w:val="right"/>
              <w:rPr>
                <w:rFonts w:ascii="times new roman;serif" w:hAnsi="times new roman;serif"/>
                <w:sz w:val="20"/>
              </w:rPr>
            </w:pPr>
            <w:r>
              <w:rPr>
                <w:rFonts w:ascii="times new roman;serif" w:hAnsi="times new roman;serif"/>
                <w:sz w:val="20"/>
              </w:rPr>
              <w:t xml:space="preserve">(a) ☐  </w:t>
            </w:r>
          </w:p>
          <w:p>
            <w:pPr>
              <w:pStyle w:val="TableContents"/>
              <w:spacing w:before="0" w:after="0"/>
              <w:ind w:left="132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 xml:space="preserve">x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68" w:name="TAB121"/>
            <w:bookmarkEnd w:id="68"/>
            <w:r>
              <w:rPr>
                <w:rFonts w:ascii="times new roman;serif" w:hAnsi="times new roman;serif"/>
                <w:sz w:val="20"/>
              </w:rPr>
              <w:t>N/A</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576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620" w:right="0" w:hanging="0"/>
              <w:jc w:val="right"/>
              <w:rPr/>
            </w:pPr>
            <w:r>
              <w:rPr/>
              <w:t xml:space="preserve">☐  </w:t>
            </w:r>
          </w:p>
          <w:p>
            <w:pPr>
              <w:pStyle w:val="TableContents"/>
              <w:spacing w:before="0" w:after="0"/>
              <w:ind w:left="0" w:right="0" w:hanging="0"/>
              <w:jc w:val="righ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69" w:name="TAB122"/>
            <w:bookmarkEnd w:id="69"/>
            <w:r>
              <w:rPr>
                <w:rFonts w:ascii="times new roman;serif" w:hAnsi="times new roman;serif"/>
                <w:sz w:val="20"/>
              </w:rPr>
              <w:t>Delaware</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tc>
      </w:tr>
      <w:tr>
        <w:trPr/>
        <w:tc>
          <w:tcPr>
            <w:tcW w:w="3944"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3944"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34"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5127"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p>
            <w:pPr>
              <w:pStyle w:val="TableContents"/>
              <w:spacing w:before="0" w:after="0"/>
              <w:ind w:left="0" w:right="0" w:hanging="0"/>
              <w:jc w:val="lef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576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325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620" w:right="0" w:hanging="0"/>
              <w:jc w:val="right"/>
              <w:rPr/>
            </w:pPr>
            <w:r>
              <w:rPr/>
              <w:t xml:space="preserve">☐  </w:t>
            </w:r>
          </w:p>
          <w:p>
            <w:pPr>
              <w:pStyle w:val="TableContents"/>
              <w:spacing w:before="0" w:after="0"/>
              <w:ind w:left="0" w:right="0" w:hanging="0"/>
              <w:jc w:val="right"/>
              <w:rPr/>
            </w:pPr>
            <w:r>
              <w:rPr/>
              <w:t> </w:t>
            </w:r>
          </w:p>
        </w:tc>
      </w:tr>
      <w:tr>
        <w:trPr/>
        <w:tc>
          <w:tcPr>
            <w:tcW w:w="1184"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021"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70" w:name="TAB123"/>
            <w:bookmarkEnd w:id="70"/>
            <w:r>
              <w:rPr>
                <w:rFonts w:ascii="times new roman;serif" w:hAnsi="times new roman;serif"/>
                <w:sz w:val="20"/>
              </w:rPr>
              <w:t>0.2%</w:t>
            </w:r>
          </w:p>
        </w:tc>
      </w:tr>
      <w:tr>
        <w:trPr/>
        <w:tc>
          <w:tcPr>
            <w:tcW w:w="1184"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021"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71" w:name="TAB124"/>
            <w:bookmarkEnd w:id="71"/>
            <w:r>
              <w:rPr>
                <w:rFonts w:ascii="times new roman;serif" w:hAnsi="times new roman;serif"/>
                <w:sz w:val="20"/>
              </w:rPr>
              <w:t>CO</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 w:name="PGBRK5"/>
      <w:bookmarkStart w:id="73" w:name="PGBRK5"/>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FTR5"/>
      <w:bookmarkStart w:id="75" w:name="FTR5"/>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 w:name="GLFTR5"/>
      <w:bookmarkEnd w:id="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77" w:name="PN5"/>
      <w:bookmarkEnd w:id="77"/>
      <w:r>
        <w:rPr>
          <w:rFonts w:ascii="Times New Roman;serif" w:hAnsi="Times New Roman;serif"/>
          <w:sz w:val="22"/>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HDR5"/>
      <w:bookmarkStart w:id="79" w:name="HDR5"/>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0" w:name="GLHDR5"/>
      <w:bookmarkEnd w:id="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jc w:val="left"/>
        <w:rPr/>
      </w:pPr>
      <w:r>
        <w:rPr/>
        <w:t> </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066"/>
        <w:gridCol w:w="3612"/>
        <w:gridCol w:w="1123"/>
        <w:gridCol w:w="2489"/>
        <w:gridCol w:w="1915"/>
      </w:tblGrid>
      <w:tr>
        <w:trPr/>
        <w:tc>
          <w:tcPr>
            <w:tcW w:w="1066"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139"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81" w:name="TAB125"/>
            <w:bookmarkEnd w:id="81"/>
            <w:r>
              <w:rPr>
                <w:rFonts w:ascii="times new roman;serif" w:hAnsi="times new roman;serif"/>
                <w:sz w:val="22"/>
              </w:rPr>
              <w:t>Vulcan Energy Corporation</w:t>
            </w:r>
          </w:p>
          <w:p>
            <w:pPr>
              <w:pStyle w:val="TableContents"/>
              <w:spacing w:before="0" w:after="0"/>
              <w:ind w:left="0" w:right="0" w:hanging="0"/>
              <w:jc w:val="left"/>
              <w:rPr/>
            </w:pPr>
            <w:r>
              <w:rPr/>
              <w:t> </w:t>
            </w:r>
          </w:p>
        </w:tc>
      </w:tr>
      <w:tr>
        <w:trPr/>
        <w:tc>
          <w:tcPr>
            <w:tcW w:w="10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7224"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p>
            <w:pPr>
              <w:pStyle w:val="TableContents"/>
              <w:spacing w:before="0" w:after="0"/>
              <w:ind w:left="0" w:right="0" w:hanging="0"/>
              <w:jc w:val="left"/>
              <w:rPr/>
            </w:pPr>
            <w:r>
              <w:rPr/>
              <w:t> </w:t>
            </w:r>
          </w:p>
        </w:tc>
        <w:tc>
          <w:tcPr>
            <w:tcW w:w="191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380" w:right="0" w:hanging="0"/>
              <w:jc w:val="right"/>
              <w:rPr>
                <w:rFonts w:ascii="times new roman;serif" w:hAnsi="times new roman;serif"/>
                <w:sz w:val="20"/>
              </w:rPr>
            </w:pPr>
            <w:r>
              <w:rPr>
                <w:rFonts w:ascii="times new roman;serif" w:hAnsi="times new roman;serif"/>
                <w:sz w:val="20"/>
              </w:rPr>
              <w:t xml:space="preserve">(a) ☐  </w:t>
            </w:r>
          </w:p>
          <w:p>
            <w:pPr>
              <w:pStyle w:val="TableContents"/>
              <w:spacing w:before="0" w:after="0"/>
              <w:ind w:left="132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 xml:space="preserve">x  </w:t>
            </w:r>
          </w:p>
        </w:tc>
      </w:tr>
      <w:tr>
        <w:trPr/>
        <w:tc>
          <w:tcPr>
            <w:tcW w:w="10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139"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0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139"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82" w:name="TAB126"/>
            <w:bookmarkEnd w:id="82"/>
            <w:r>
              <w:rPr>
                <w:rFonts w:ascii="times new roman;serif" w:hAnsi="times new roman;serif"/>
                <w:sz w:val="20"/>
              </w:rPr>
              <w:t>N/A</w:t>
            </w:r>
          </w:p>
        </w:tc>
      </w:tr>
      <w:tr>
        <w:trPr/>
        <w:tc>
          <w:tcPr>
            <w:tcW w:w="10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7224"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191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620" w:right="0" w:hanging="0"/>
              <w:jc w:val="right"/>
              <w:rPr/>
            </w:pPr>
            <w:r>
              <w:rPr/>
              <w:t xml:space="preserve">☐  </w:t>
            </w:r>
          </w:p>
          <w:p>
            <w:pPr>
              <w:pStyle w:val="TableContents"/>
              <w:spacing w:before="0" w:after="0"/>
              <w:ind w:left="0" w:right="0" w:hanging="0"/>
              <w:jc w:val="right"/>
              <w:rPr/>
            </w:pPr>
            <w:r>
              <w:rPr/>
              <w:t> </w:t>
            </w:r>
          </w:p>
        </w:tc>
      </w:tr>
      <w:tr>
        <w:trPr/>
        <w:tc>
          <w:tcPr>
            <w:tcW w:w="10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139"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83" w:name="TAB127"/>
            <w:bookmarkEnd w:id="83"/>
            <w:r>
              <w:rPr>
                <w:rFonts w:ascii="times new roman;serif" w:hAnsi="times new roman;serif"/>
                <w:sz w:val="20"/>
              </w:rPr>
              <w:t>Delaware</w:t>
            </w:r>
          </w:p>
        </w:tc>
      </w:tr>
      <w:tr>
        <w:trPr/>
        <w:tc>
          <w:tcPr>
            <w:tcW w:w="4678"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23"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440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tc>
      </w:tr>
      <w:tr>
        <w:trPr/>
        <w:tc>
          <w:tcPr>
            <w:tcW w:w="4678"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23"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440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12,390,120 Common Units</w:t>
            </w:r>
          </w:p>
          <w:p>
            <w:pPr>
              <w:pStyle w:val="TableContents"/>
              <w:spacing w:before="0" w:after="0"/>
              <w:ind w:left="0" w:right="0" w:hanging="0"/>
              <w:jc w:val="left"/>
              <w:rPr/>
            </w:pPr>
            <w:r>
              <w:rPr/>
              <w:t> </w:t>
            </w:r>
          </w:p>
        </w:tc>
      </w:tr>
      <w:tr>
        <w:trPr/>
        <w:tc>
          <w:tcPr>
            <w:tcW w:w="4678"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23"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440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4678"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23"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440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12,390,120 Common Units</w:t>
            </w:r>
          </w:p>
          <w:p>
            <w:pPr>
              <w:pStyle w:val="TableContents"/>
              <w:spacing w:before="0" w:after="0"/>
              <w:ind w:left="0" w:right="0" w:hanging="0"/>
              <w:jc w:val="left"/>
              <w:rPr/>
            </w:pPr>
            <w:r>
              <w:rPr/>
              <w:t> </w:t>
            </w:r>
          </w:p>
        </w:tc>
      </w:tr>
      <w:tr>
        <w:trPr/>
        <w:tc>
          <w:tcPr>
            <w:tcW w:w="10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139"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12,390,120 Common Units</w:t>
            </w:r>
          </w:p>
          <w:p>
            <w:pPr>
              <w:pStyle w:val="TableContents"/>
              <w:spacing w:before="0" w:after="0"/>
              <w:ind w:left="0" w:right="0" w:hanging="0"/>
              <w:jc w:val="left"/>
              <w:rPr/>
            </w:pPr>
            <w:r>
              <w:rPr/>
              <w:t> </w:t>
            </w:r>
          </w:p>
        </w:tc>
      </w:tr>
      <w:tr>
        <w:trPr/>
        <w:tc>
          <w:tcPr>
            <w:tcW w:w="10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7224"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1915"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1440" w:right="0" w:hanging="0"/>
              <w:jc w:val="right"/>
              <w:rPr/>
            </w:pPr>
            <w:r>
              <w:rPr/>
              <w:t xml:space="preserve">☐  </w:t>
            </w:r>
          </w:p>
          <w:p>
            <w:pPr>
              <w:pStyle w:val="TableContents"/>
              <w:spacing w:before="0" w:after="0"/>
              <w:ind w:left="0" w:right="0" w:hanging="0"/>
              <w:jc w:val="right"/>
              <w:rPr/>
            </w:pPr>
            <w:r>
              <w:rPr/>
              <w:t> </w:t>
            </w:r>
          </w:p>
        </w:tc>
      </w:tr>
      <w:tr>
        <w:trPr/>
        <w:tc>
          <w:tcPr>
            <w:tcW w:w="10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139"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84" w:name="TAB128"/>
            <w:bookmarkEnd w:id="84"/>
            <w:r>
              <w:rPr>
                <w:rFonts w:ascii="times new roman;serif" w:hAnsi="times new roman;serif"/>
                <w:sz w:val="20"/>
              </w:rPr>
              <w:t>9.1% of Common Units</w:t>
            </w:r>
          </w:p>
          <w:p>
            <w:pPr>
              <w:pStyle w:val="TableContents"/>
              <w:spacing w:before="0" w:after="0"/>
              <w:ind w:left="0" w:right="0" w:hanging="0"/>
              <w:jc w:val="left"/>
              <w:rPr/>
            </w:pPr>
            <w:r>
              <w:rPr/>
              <w:t> </w:t>
            </w:r>
          </w:p>
        </w:tc>
      </w:tr>
      <w:tr>
        <w:trPr/>
        <w:tc>
          <w:tcPr>
            <w:tcW w:w="1066"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139"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85" w:name="TAB129"/>
            <w:bookmarkEnd w:id="85"/>
            <w:r>
              <w:rPr>
                <w:rFonts w:ascii="times new roman;serif" w:hAnsi="times new roman;serif"/>
                <w:sz w:val="20"/>
              </w:rPr>
              <w:t>CO</w:t>
            </w:r>
          </w:p>
        </w:tc>
      </w:tr>
    </w:tbl>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ind w:left="0" w:right="0" w:hanging="0"/>
        <w:jc w:val="center"/>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 w:name="PGBRK6"/>
      <w:bookmarkStart w:id="87" w:name="PGBRK6"/>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 w:name="FTR6"/>
      <w:bookmarkStart w:id="89" w:name="FTR6"/>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0" w:name="GLFTR6"/>
      <w:bookmarkEnd w:id="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91" w:name="PN6"/>
      <w:bookmarkEnd w:id="91"/>
      <w:r>
        <w:rPr>
          <w:rFonts w:ascii="Times New Roman;serif" w:hAnsi="Times New Roman;serif"/>
          <w:sz w:val="22"/>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 w:name="HDR6"/>
      <w:bookmarkStart w:id="93" w:name="HDR6"/>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4" w:name="GLHDR6"/>
      <w:bookmarkEnd w:id="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Introductory Note</w:t>
      </w:r>
    </w:p>
    <w:p>
      <w:pPr>
        <w:pStyle w:val="TextBody"/>
        <w:spacing w:before="0" w:after="0"/>
        <w:ind w:left="0" w:right="0" w:hanging="0"/>
        <w:jc w:val="both"/>
        <w:rPr/>
      </w:pPr>
      <w:r>
        <w:rPr/>
        <w:t> </w:t>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This ninth amendment to the Schedule 13D (this “</w:t>
      </w:r>
      <w:r>
        <w:rPr>
          <w:rFonts w:ascii="Times New Roman;serif" w:hAnsi="Times New Roman;serif"/>
          <w:b/>
          <w:i/>
          <w:sz w:val="22"/>
        </w:rPr>
        <w:t>Amendment</w:t>
      </w:r>
      <w:r>
        <w:rPr>
          <w:rFonts w:ascii="Times New Roman;serif" w:hAnsi="Times New Roman;serif"/>
          <w:sz w:val="22"/>
        </w:rPr>
        <w:t>”) amends the Schedule 13D filed with the Securities and Exchange Commission (the “</w:t>
      </w:r>
      <w:r>
        <w:rPr>
          <w:rFonts w:ascii="Times New Roman;serif" w:hAnsi="Times New Roman;serif"/>
          <w:b/>
          <w:i/>
          <w:sz w:val="22"/>
        </w:rPr>
        <w:t>SEC</w:t>
      </w:r>
      <w:r>
        <w:rPr>
          <w:rFonts w:ascii="Times New Roman;serif" w:hAnsi="Times New Roman;serif"/>
          <w:sz w:val="22"/>
        </w:rPr>
        <w:t>”) on December 3, 1993, as amended on July 3, 2001, July 23, 2004, October 13, 2004, December 20, 2004, August 12, 2005, September 3, 2008, September 10, 2009 and January 6, 2011.  This ninth amendment is filed by Paul G. Allen, Vulcan Capital Private Equity Inc., a Delaware corporation (“</w:t>
      </w:r>
      <w:r>
        <w:rPr>
          <w:rFonts w:ascii="Times New Roman;serif" w:hAnsi="Times New Roman;serif"/>
          <w:b/>
          <w:i/>
          <w:sz w:val="22"/>
        </w:rPr>
        <w:t>Vulcan Capital Inc.</w:t>
      </w:r>
      <w:r>
        <w:rPr>
          <w:rFonts w:ascii="Times New Roman;serif" w:hAnsi="Times New Roman;serif"/>
          <w:sz w:val="22"/>
        </w:rPr>
        <w:t>”), Vulcan Capital Private Equity Management I LLC, a Delaware limited liability company ("</w:t>
      </w:r>
      <w:r>
        <w:rPr>
          <w:rFonts w:ascii="Times New Roman;serif" w:hAnsi="Times New Roman;serif"/>
          <w:b/>
          <w:i/>
          <w:sz w:val="22"/>
        </w:rPr>
        <w:t>Vulcan Capital Management</w:t>
      </w:r>
      <w:r>
        <w:rPr>
          <w:rFonts w:ascii="Times New Roman;serif" w:hAnsi="Times New Roman;serif"/>
          <w:sz w:val="22"/>
        </w:rPr>
        <w:t>"), Vulcan Capital Private Equity I LLC, a Delaware limited liability company (“</w:t>
      </w:r>
      <w:r>
        <w:rPr>
          <w:rFonts w:ascii="Times New Roman;serif" w:hAnsi="Times New Roman;serif"/>
          <w:b/>
          <w:i/>
          <w:sz w:val="22"/>
        </w:rPr>
        <w:t>Vulcan Capital LLC</w:t>
      </w:r>
      <w:r>
        <w:rPr>
          <w:rFonts w:ascii="Times New Roman;serif" w:hAnsi="Times New Roman;serif"/>
          <w:sz w:val="22"/>
        </w:rPr>
        <w:t>”), Vulcan Capital Private Equity II LLC, a Delaware limited liability company (“</w:t>
      </w:r>
      <w:r>
        <w:rPr>
          <w:rFonts w:ascii="Times New Roman;serif" w:hAnsi="Times New Roman;serif"/>
          <w:b/>
          <w:i/>
          <w:sz w:val="22"/>
        </w:rPr>
        <w:t>Vulcan Capital II LLC</w:t>
      </w:r>
      <w:r>
        <w:rPr>
          <w:rFonts w:ascii="Times New Roman;serif" w:hAnsi="Times New Roman;serif"/>
          <w:sz w:val="22"/>
        </w:rPr>
        <w:t>”) and Vulcan Energy Corporation, a Delaware corporation (“</w:t>
      </w:r>
      <w:r>
        <w:rPr>
          <w:rFonts w:ascii="Times New Roman;serif" w:hAnsi="Times New Roman;serif"/>
          <w:b/>
          <w:i/>
          <w:sz w:val="22"/>
        </w:rPr>
        <w:t>Vulcan Energy</w:t>
      </w:r>
      <w:r>
        <w:rPr>
          <w:rFonts w:ascii="Times New Roman;serif" w:hAnsi="Times New Roman;serif"/>
          <w:sz w:val="22"/>
        </w:rPr>
        <w:t>” and collectively, the “</w:t>
      </w:r>
      <w:r>
        <w:rPr>
          <w:rFonts w:ascii="Times New Roman;serif" w:hAnsi="Times New Roman;serif"/>
          <w:b/>
          <w:i/>
          <w:sz w:val="22"/>
        </w:rPr>
        <w:t>Reporting Persons</w:t>
      </w:r>
      <w:r>
        <w:rPr>
          <w:rFonts w:ascii="Times New Roman;serif" w:hAnsi="Times New Roman;serif"/>
          <w:sz w:val="22"/>
        </w:rPr>
        <w:t>”), which is successor by merger to Plains Holdings II Inc., a Delaware corporation which was successor by merger to Plains Holdings Inc., a Delaware corporation which was successor by merger to Plain s Resources Inc., a Delaware corporation, with respect to the Common Units of Plains All American Pipeline, L.P. (the “</w:t>
      </w:r>
      <w:r>
        <w:rPr>
          <w:rFonts w:ascii="Times New Roman;serif" w:hAnsi="Times New Roman;serif"/>
          <w:b/>
          <w:i/>
          <w:sz w:val="22"/>
        </w:rPr>
        <w:t>Issuer</w:t>
      </w:r>
      <w:r>
        <w:rPr>
          <w:rFonts w:ascii="Times New Roman;serif" w:hAnsi="Times New Roman;serif"/>
          <w:sz w:val="22"/>
        </w:rPr>
        <w:t>”), the principal executive offices of which are located at 333 Clay St., Suite 1600, Houston TX, 77002.  Except as otherwise specified in this Amendment, all previous Items are unchanged.  Capitalized terms not otherwise defined herein shall have the meaning ascribed thereto in the Schedule 13D.</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The Reporting Persons have entered into a Joint Filing Agreement, dated as of January 6, 2011, a copy of which is attached as Exhibit 99.1 to the eighth amendment to this Schedule 13D filed by the Reporting Persons on January 6, 2011 and incorporated herein by reference. Neither the fact of this filing nor anything contained herein shall be deemed an admission by the Reporting Persons that they constitute a "group" as such term is used in Section 13(d)(1)(k) of the rules and regulations under the Exchange Act.</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The purpose of this ninth amendment is solely to update the descriptions of the contracts, arrangements, understandings and relationships (legal or otherwise) involving the Reporting Persons, as further described in Item 6 below.</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Item 6. Contracts, Arrangements, Understandings or Relationships with respect to Securities of the Company</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Item 6 is hereby amended by adding the following:</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Transaction Agreement</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Pursuant to that certain Transaction Agreement, dated as of December 7, 2010 (the “</w:t>
      </w:r>
      <w:r>
        <w:rPr>
          <w:rFonts w:ascii="Times New Roman;serif" w:hAnsi="Times New Roman;serif"/>
          <w:b/>
          <w:i/>
          <w:sz w:val="22"/>
        </w:rPr>
        <w:t>Transaction Agreement</w:t>
      </w:r>
      <w:r>
        <w:rPr>
          <w:rFonts w:ascii="Times New Roman;serif" w:hAnsi="Times New Roman;serif"/>
          <w:sz w:val="22"/>
        </w:rPr>
        <w:t>”), by and among Vulcan Energy, the Existing Owners, the Purchasers (each as defined in the Transaction Agreement) and the others named therein, Vulcan Energy agreed, among other things, that, prior to the earlier of (i) December 23, 2015 and (ii) the date, if any, on which Greg L. Armstrong ceases to be the Chairman of the Board and Chief Executive Officer of Plains All American GP LLC, neither it nor its affiliates would vote any Common Units of the Issuer in favor of any proposal to remove the general partner of the Issuer.  The summary description contained in this Item 6 of the Transaction A greement is qualified in its entirety by reference to the full text of such document, which is attached hereto as Exhibit 99.1 and incorporated by reference herein.</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Item 7. Material to be Filed as Exhibits</w:t>
      </w:r>
    </w:p>
    <w:p>
      <w:pPr>
        <w:pStyle w:val="TextBody"/>
        <w:spacing w:before="0" w:after="0"/>
        <w:ind w:left="0" w:right="0" w:hanging="0"/>
        <w:rPr/>
      </w:pPr>
      <w:r>
        <w:rPr/>
      </w:r>
    </w:p>
    <w:p>
      <w:pPr>
        <w:pStyle w:val="Normal"/>
        <w:spacing w:before="0" w:after="0"/>
        <w:rPr>
          <w:sz w:val="4"/>
          <w:szCs w:val="4"/>
        </w:rPr>
      </w:pPr>
      <w:r>
        <w:rPr>
          <w:sz w:val="4"/>
          <w:szCs w:val="4"/>
        </w:rPr>
      </w:r>
      <w:bookmarkStart w:id="95" w:name="hangingindent"/>
      <w:bookmarkStart w:id="96" w:name="hangingindent"/>
      <w:bookmarkEnd w:id="96"/>
    </w:p>
    <w:tbl>
      <w:tblPr>
        <w:tblW w:w="5000" w:type="pct"/>
        <w:jc w:val="center"/>
        <w:tblInd w:w="0" w:type="dxa"/>
        <w:tblCellMar>
          <w:top w:w="0" w:type="dxa"/>
          <w:left w:w="0" w:type="dxa"/>
          <w:bottom w:w="0" w:type="dxa"/>
          <w:right w:w="0" w:type="dxa"/>
        </w:tblCellMar>
      </w:tblPr>
      <w:tblGrid>
        <w:gridCol w:w="82"/>
        <w:gridCol w:w="440"/>
        <w:gridCol w:w="9683"/>
      </w:tblGrid>
      <w:tr>
        <w:trPr/>
        <w:tc>
          <w:tcPr>
            <w:tcW w:w="82" w:type="dxa"/>
            <w:tcBorders/>
            <w:shd w:fill="auto" w:val="clear"/>
          </w:tcPr>
          <w:p>
            <w:pPr>
              <w:pStyle w:val="TableContents"/>
              <w:spacing w:before="0" w:after="0"/>
              <w:rPr/>
            </w:pPr>
            <w:r>
              <w:rPr/>
              <w:t xml:space="preserve">  </w:t>
            </w:r>
          </w:p>
        </w:tc>
        <w:tc>
          <w:tcPr>
            <w:tcW w:w="440"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99.1</w:t>
            </w:r>
          </w:p>
        </w:tc>
        <w:tc>
          <w:tcPr>
            <w:tcW w:w="9683"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Transaction Agreement, dated December 7, 2010, by and among Vulcan Energy, the Existing Owners, the Purchasers (each as defined in the Transaction Agreement) and the others named therein.</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 w:name="PGBRK7"/>
      <w:bookmarkStart w:id="98" w:name="PGBRK7"/>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 w:name="FTR7"/>
      <w:bookmarkStart w:id="100" w:name="FTR7"/>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1" w:name="GLFTR7"/>
      <w:bookmarkEnd w:id="1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102" w:name="PN7"/>
      <w:bookmarkEnd w:id="102"/>
      <w:r>
        <w:rPr>
          <w:rFonts w:ascii="Times New Roman;serif" w:hAnsi="Times New Roman;serif"/>
          <w:sz w:val="22"/>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 w:name="HDR7"/>
      <w:bookmarkStart w:id="104" w:name="HDR7"/>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5" w:name="GLHDR7"/>
      <w:bookmarkEnd w:id="1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720" w:right="0" w:hanging="0"/>
        <w:jc w:val="both"/>
        <w:rPr>
          <w:rFonts w:ascii="Times New Roman;serif" w:hAnsi="Times New Roman;serif"/>
          <w:sz w:val="22"/>
        </w:rPr>
      </w:pPr>
      <w:bookmarkStart w:id="106" w:name="TAB130"/>
      <w:bookmarkEnd w:id="106"/>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January 19, 2011</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204"/>
        <w:gridCol w:w="3266"/>
        <w:gridCol w:w="1735"/>
      </w:tblGrid>
      <w:tr>
        <w:trPr/>
        <w:tc>
          <w:tcPr>
            <w:tcW w:w="5204" w:type="dxa"/>
            <w:tcBorders/>
            <w:shd w:fill="auto" w:val="clear"/>
          </w:tcPr>
          <w:p>
            <w:pPr>
              <w:pStyle w:val="TableContents"/>
              <w:spacing w:before="0" w:after="283"/>
              <w:rPr/>
            </w:pPr>
            <w:r>
              <w:rPr/>
              <w:t xml:space="preserve">  </w:t>
            </w:r>
          </w:p>
        </w:tc>
        <w:tc>
          <w:tcPr>
            <w:tcW w:w="5001" w:type="dxa"/>
            <w:gridSpan w:val="2"/>
            <w:tcBorders/>
            <w:shd w:fill="auto" w:val="clear"/>
          </w:tcPr>
          <w:p>
            <w:pPr>
              <w:pStyle w:val="TableContents"/>
              <w:spacing w:before="0" w:after="283"/>
              <w:rPr/>
            </w:pPr>
            <w:r>
              <w:rPr/>
              <w:t xml:space="preserve">  </w:t>
            </w:r>
          </w:p>
        </w:tc>
      </w:tr>
      <w:tr>
        <w:trPr/>
        <w:tc>
          <w:tcPr>
            <w:tcW w:w="5204" w:type="dxa"/>
            <w:tcBorders/>
            <w:shd w:fill="auto" w:val="clear"/>
          </w:tcPr>
          <w:p>
            <w:pPr>
              <w:pStyle w:val="TableContents"/>
              <w:spacing w:before="0" w:after="283"/>
              <w:rPr/>
            </w:pPr>
            <w:r>
              <w:rPr/>
              <w:t xml:space="preserve">  </w:t>
            </w:r>
          </w:p>
        </w:tc>
        <w:tc>
          <w:tcPr>
            <w:tcW w:w="5001" w:type="dxa"/>
            <w:gridSpan w:val="2"/>
            <w:tcBorders/>
            <w:shd w:fill="auto" w:val="clear"/>
          </w:tcPr>
          <w:p>
            <w:pPr>
              <w:pStyle w:val="TableContents"/>
              <w:spacing w:before="0" w:after="283"/>
              <w:rPr/>
            </w:pPr>
            <w:r>
              <w:rPr/>
              <w:t xml:space="preserve">  </w:t>
            </w:r>
          </w:p>
        </w:tc>
      </w:tr>
      <w:tr>
        <w:trPr/>
        <w:tc>
          <w:tcPr>
            <w:tcW w:w="5204" w:type="dxa"/>
            <w:tcBorders/>
            <w:shd w:fill="auto" w:val="clear"/>
          </w:tcPr>
          <w:p>
            <w:pPr>
              <w:pStyle w:val="TableContents"/>
              <w:spacing w:before="0" w:after="283"/>
              <w:rPr/>
            </w:pPr>
            <w:r>
              <w:rPr/>
              <w:t xml:space="preserve">  </w:t>
            </w:r>
          </w:p>
        </w:tc>
        <w:tc>
          <w:tcPr>
            <w:tcW w:w="3266"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 William L. McGrath</w:t>
            </w:r>
          </w:p>
        </w:tc>
        <w:tc>
          <w:tcPr>
            <w:tcW w:w="1735" w:type="dxa"/>
            <w:tcBorders/>
            <w:shd w:fill="auto" w:val="clear"/>
          </w:tcPr>
          <w:p>
            <w:pPr>
              <w:pStyle w:val="TableContents"/>
              <w:spacing w:before="0" w:after="283"/>
              <w:rPr/>
            </w:pPr>
            <w:r>
              <w:rPr/>
              <w:t xml:space="preserve">  </w:t>
            </w:r>
          </w:p>
        </w:tc>
      </w:tr>
      <w:tr>
        <w:trPr/>
        <w:tc>
          <w:tcPr>
            <w:tcW w:w="5204" w:type="dxa"/>
            <w:tcBorders/>
            <w:shd w:fill="auto" w:val="clear"/>
          </w:tcPr>
          <w:p>
            <w:pPr>
              <w:pStyle w:val="TableContents"/>
              <w:spacing w:before="0" w:after="283"/>
              <w:rPr/>
            </w:pPr>
            <w:r>
              <w:rPr/>
              <w:t xml:space="preserve">  </w:t>
            </w:r>
          </w:p>
        </w:tc>
        <w:tc>
          <w:tcPr>
            <w:tcW w:w="5001" w:type="dxa"/>
            <w:gridSpan w:val="2"/>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William L. McGrath</w:t>
            </w:r>
          </w:p>
        </w:tc>
      </w:tr>
      <w:tr>
        <w:trPr/>
        <w:tc>
          <w:tcPr>
            <w:tcW w:w="5204" w:type="dxa"/>
            <w:tcBorders/>
            <w:shd w:fill="auto" w:val="clear"/>
          </w:tcPr>
          <w:p>
            <w:pPr>
              <w:pStyle w:val="TableContents"/>
              <w:spacing w:before="0" w:after="283"/>
              <w:rPr/>
            </w:pPr>
            <w:r>
              <w:rPr/>
              <w:t xml:space="preserve">  </w:t>
            </w:r>
          </w:p>
        </w:tc>
        <w:tc>
          <w:tcPr>
            <w:tcW w:w="5001" w:type="dxa"/>
            <w:gridSpan w:val="2"/>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As Attorney-in-fact for Paul G. Allen</w:t>
            </w:r>
          </w:p>
        </w:tc>
      </w:tr>
      <w:tr>
        <w:trPr/>
        <w:tc>
          <w:tcPr>
            <w:tcW w:w="5204" w:type="dxa"/>
            <w:tcBorders/>
            <w:shd w:fill="auto" w:val="clear"/>
          </w:tcPr>
          <w:p>
            <w:pPr>
              <w:pStyle w:val="TableContents"/>
              <w:spacing w:before="0" w:after="283"/>
              <w:rPr/>
            </w:pPr>
            <w:r>
              <w:rPr/>
              <w:t xml:space="preserve">  </w:t>
            </w:r>
          </w:p>
        </w:tc>
        <w:tc>
          <w:tcPr>
            <w:tcW w:w="5001" w:type="dxa"/>
            <w:gridSpan w:val="2"/>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 w:name="PGBRK8"/>
      <w:bookmarkStart w:id="108" w:name="PGBRK8"/>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 w:name="FTR8"/>
      <w:bookmarkStart w:id="110" w:name="FTR8"/>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 w:name="GLFTR8"/>
      <w:bookmarkEnd w:id="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2" w:name="PN8"/>
      <w:bookmarkEnd w:id="11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HDR8"/>
      <w:bookmarkStart w:id="114" w:name="HDR8"/>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 w:name="GLHDR8"/>
      <w:bookmarkEnd w:id="1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720" w:right="0" w:hanging="0"/>
        <w:jc w:val="both"/>
        <w:rPr>
          <w:rFonts w:ascii="Times New Roman;serif" w:hAnsi="Times New Roman;serif"/>
          <w:sz w:val="22"/>
        </w:rPr>
      </w:pPr>
      <w:bookmarkStart w:id="116" w:name="TAB131"/>
      <w:bookmarkEnd w:id="116"/>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January 19, 2011</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205"/>
        <w:gridCol w:w="305"/>
        <w:gridCol w:w="2960"/>
        <w:gridCol w:w="1735"/>
      </w:tblGrid>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INC.</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296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 William L. McGrath</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296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  William L. McGrath</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296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     Vice President and Secretary</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 w:name="PGBRK9"/>
      <w:bookmarkStart w:id="118" w:name="PGBRK9"/>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FTR9"/>
      <w:bookmarkStart w:id="120" w:name="FTR9"/>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1" w:name="GLFTR9"/>
      <w:bookmarkEnd w:id="1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2" w:name="PN9"/>
      <w:bookmarkEnd w:id="12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HDR9"/>
      <w:bookmarkStart w:id="124" w:name="HDR9"/>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5" w:name="GLHDR9"/>
      <w:bookmarkEnd w:id="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720" w:right="0" w:hanging="0"/>
        <w:jc w:val="both"/>
        <w:rPr>
          <w:rFonts w:ascii="Times New Roman;serif" w:hAnsi="Times New Roman;serif"/>
          <w:sz w:val="22"/>
        </w:rPr>
      </w:pPr>
      <w:bookmarkStart w:id="126" w:name="TAB132"/>
      <w:bookmarkEnd w:id="126"/>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January 19, 2011</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205"/>
        <w:gridCol w:w="305"/>
        <w:gridCol w:w="2960"/>
        <w:gridCol w:w="1735"/>
      </w:tblGrid>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MANAGEMENT I LLC</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Inc., its managing member</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2960" w:type="dxa"/>
            <w:tcBorders>
              <w:bottom w:val="single" w:sz="12" w:space="0" w:color="000000"/>
            </w:tcBorders>
            <w:shd w:fill="auto" w:val="clear"/>
            <w:tcMar>
              <w:bottom w:w="28" w:type="dxa"/>
            </w:tcMar>
          </w:tcPr>
          <w:p>
            <w:pPr>
              <w:pStyle w:val="TableContents"/>
              <w:spacing w:before="0" w:after="0"/>
              <w:ind w:left="60" w:right="0" w:hanging="0"/>
              <w:jc w:val="left"/>
              <w:rPr>
                <w:rFonts w:ascii="times new roman;serif" w:hAnsi="times new roman;serif"/>
                <w:sz w:val="22"/>
              </w:rPr>
            </w:pPr>
            <w:r>
              <w:rPr>
                <w:rFonts w:ascii="times new roman;serif" w:hAnsi="times new roman;serif"/>
                <w:sz w:val="22"/>
              </w:rPr>
              <w:t>/s/ William L. McGrath</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296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  William L. McGrath</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296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     Vice President and Secretary</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7" w:name="PGBRK10"/>
      <w:bookmarkStart w:id="128" w:name="PGBRK10"/>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FTR10"/>
      <w:bookmarkStart w:id="130" w:name="FTR10"/>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1" w:name="GLFTR10"/>
      <w:bookmarkEnd w:id="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2" w:name="PN10"/>
      <w:bookmarkEnd w:id="13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HDR10"/>
      <w:bookmarkStart w:id="134" w:name="HDR10"/>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5" w:name="GLHDR10"/>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720" w:right="0" w:hanging="0"/>
        <w:jc w:val="both"/>
        <w:rPr>
          <w:rFonts w:ascii="Times New Roman;serif" w:hAnsi="Times New Roman;serif"/>
          <w:sz w:val="22"/>
        </w:rPr>
      </w:pPr>
      <w:bookmarkStart w:id="136" w:name="TAB133"/>
      <w:bookmarkEnd w:id="136"/>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January 19, 2011</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205"/>
        <w:gridCol w:w="305"/>
        <w:gridCol w:w="2960"/>
        <w:gridCol w:w="1735"/>
      </w:tblGrid>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 LLC</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Management I LLC, its manager</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Inc., its managing member</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296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 William L. McGrath</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296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   William L. McGrath</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296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      Vice President and Secretary</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7" w:name="PGBRK11"/>
      <w:bookmarkStart w:id="138" w:name="PGBRK11"/>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FTR11"/>
      <w:bookmarkStart w:id="140" w:name="FTR11"/>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1" w:name="GLFTR11"/>
      <w:bookmarkEnd w:id="1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2" w:name="PN11"/>
      <w:bookmarkEnd w:id="14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 w:name="HDR11"/>
      <w:bookmarkStart w:id="144" w:name="HDR11"/>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5" w:name="GLHDR11"/>
      <w:bookmarkEnd w:id="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720" w:right="0" w:hanging="0"/>
        <w:jc w:val="both"/>
        <w:rPr>
          <w:rFonts w:ascii="Times New Roman;serif" w:hAnsi="Times New Roman;serif"/>
          <w:sz w:val="22"/>
        </w:rPr>
      </w:pPr>
      <w:bookmarkStart w:id="146" w:name="TAB134"/>
      <w:bookmarkEnd w:id="146"/>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January 19, 2011</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205"/>
        <w:gridCol w:w="305"/>
        <w:gridCol w:w="2960"/>
        <w:gridCol w:w="1735"/>
      </w:tblGrid>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II LLC</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Inc., its sole member</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2960" w:type="dxa"/>
            <w:tcBorders>
              <w:bottom w:val="single" w:sz="12" w:space="0" w:color="000000"/>
            </w:tcBorders>
            <w:shd w:fill="auto" w:val="clear"/>
            <w:tcMar>
              <w:bottom w:w="28" w:type="dxa"/>
            </w:tcMar>
          </w:tcPr>
          <w:p>
            <w:pPr>
              <w:pStyle w:val="TableContents"/>
              <w:spacing w:before="0" w:after="0"/>
              <w:ind w:left="60" w:right="0" w:hanging="0"/>
              <w:jc w:val="left"/>
              <w:rPr>
                <w:rFonts w:ascii="times new roman;serif" w:hAnsi="times new roman;serif"/>
                <w:sz w:val="22"/>
              </w:rPr>
            </w:pPr>
            <w:r>
              <w:rPr>
                <w:rFonts w:ascii="times new roman;serif" w:hAnsi="times new roman;serif"/>
                <w:sz w:val="22"/>
              </w:rPr>
              <w:t>/s/ William L. McGrath</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296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  William L. McGrath</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296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     Vice President and Secretary</w:t>
            </w:r>
          </w:p>
        </w:tc>
        <w:tc>
          <w:tcPr>
            <w:tcW w:w="1735" w:type="dxa"/>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r>
        <w:trPr/>
        <w:tc>
          <w:tcPr>
            <w:tcW w:w="5205" w:type="dxa"/>
            <w:tcBorders/>
            <w:shd w:fill="auto" w:val="clear"/>
          </w:tcPr>
          <w:p>
            <w:pPr>
              <w:pStyle w:val="TableContents"/>
              <w:spacing w:before="0" w:after="283"/>
              <w:rPr/>
            </w:pPr>
            <w:r>
              <w:rPr/>
              <w:t xml:space="preserve">  </w:t>
            </w:r>
          </w:p>
        </w:tc>
        <w:tc>
          <w:tcPr>
            <w:tcW w:w="5000" w:type="dxa"/>
            <w:gridSpan w:val="3"/>
            <w:tcBorders/>
            <w:shd w:fill="auto" w:val="clear"/>
          </w:tcPr>
          <w:p>
            <w:pPr>
              <w:pStyle w:val="TableContents"/>
              <w:spacing w:before="0" w:after="283"/>
              <w:rPr/>
            </w:pPr>
            <w:r>
              <w:rPr/>
              <w:t xml:space="preserve">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7" w:name="PGBRK12"/>
      <w:bookmarkStart w:id="148" w:name="PGBRK12"/>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9" w:name="FTR12"/>
      <w:bookmarkStart w:id="150" w:name="FTR12"/>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1" w:name="GLFTR12"/>
      <w:bookmarkEnd w:id="1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2" w:name="PN12"/>
      <w:bookmarkEnd w:id="15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3" w:name="HDR12"/>
      <w:bookmarkStart w:id="154" w:name="HDR12"/>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5" w:name="GLHDR12"/>
      <w:bookmarkEnd w:id="1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720" w:right="0" w:hanging="0"/>
        <w:jc w:val="both"/>
        <w:rPr>
          <w:rFonts w:ascii="Times New Roman;serif" w:hAnsi="Times New Roman;serif"/>
          <w:sz w:val="22"/>
        </w:rPr>
      </w:pPr>
      <w:bookmarkStart w:id="156" w:name="TAB135"/>
      <w:bookmarkEnd w:id="156"/>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January 19, 2011</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019"/>
        <w:gridCol w:w="357"/>
        <w:gridCol w:w="3144"/>
        <w:gridCol w:w="1685"/>
      </w:tblGrid>
      <w:tr>
        <w:trPr/>
        <w:tc>
          <w:tcPr>
            <w:tcW w:w="5019" w:type="dxa"/>
            <w:tcBorders/>
            <w:shd w:fill="auto" w:val="clear"/>
          </w:tcPr>
          <w:p>
            <w:pPr>
              <w:pStyle w:val="TableContents"/>
              <w:spacing w:before="0" w:after="283"/>
              <w:rPr/>
            </w:pPr>
            <w:r>
              <w:rPr/>
              <w:t xml:space="preserve">  </w:t>
            </w:r>
          </w:p>
        </w:tc>
        <w:tc>
          <w:tcPr>
            <w:tcW w:w="5186" w:type="dxa"/>
            <w:gridSpan w:val="3"/>
            <w:tcBorders/>
            <w:shd w:fill="auto" w:val="clear"/>
          </w:tcPr>
          <w:p>
            <w:pPr>
              <w:pStyle w:val="TableContents"/>
              <w:spacing w:before="0" w:after="283"/>
              <w:rPr/>
            </w:pPr>
            <w:r>
              <w:rPr/>
              <w:t xml:space="preserve">  </w:t>
            </w:r>
          </w:p>
        </w:tc>
      </w:tr>
      <w:tr>
        <w:trPr/>
        <w:tc>
          <w:tcPr>
            <w:tcW w:w="5019" w:type="dxa"/>
            <w:tcBorders/>
            <w:shd w:fill="auto" w:val="clear"/>
          </w:tcPr>
          <w:p>
            <w:pPr>
              <w:pStyle w:val="TableContents"/>
              <w:spacing w:before="0" w:after="283"/>
              <w:rPr/>
            </w:pPr>
            <w:r>
              <w:rPr/>
              <w:t xml:space="preserve">  </w:t>
            </w:r>
          </w:p>
        </w:tc>
        <w:tc>
          <w:tcPr>
            <w:tcW w:w="5186"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ENERGY CORPORATION</w:t>
            </w:r>
          </w:p>
        </w:tc>
      </w:tr>
      <w:tr>
        <w:trPr/>
        <w:tc>
          <w:tcPr>
            <w:tcW w:w="5019" w:type="dxa"/>
            <w:tcBorders/>
            <w:shd w:fill="auto" w:val="clear"/>
          </w:tcPr>
          <w:p>
            <w:pPr>
              <w:pStyle w:val="TableContents"/>
              <w:spacing w:before="0" w:after="283"/>
              <w:rPr/>
            </w:pPr>
            <w:r>
              <w:rPr/>
              <w:t xml:space="preserve">  </w:t>
            </w:r>
          </w:p>
        </w:tc>
        <w:tc>
          <w:tcPr>
            <w:tcW w:w="5186" w:type="dxa"/>
            <w:gridSpan w:val="3"/>
            <w:tcBorders/>
            <w:shd w:fill="auto" w:val="clear"/>
          </w:tcPr>
          <w:p>
            <w:pPr>
              <w:pStyle w:val="TableContents"/>
              <w:spacing w:before="0" w:after="283"/>
              <w:rPr/>
            </w:pPr>
            <w:r>
              <w:rPr/>
              <w:t xml:space="preserve">  </w:t>
            </w:r>
          </w:p>
        </w:tc>
      </w:tr>
      <w:tr>
        <w:trPr/>
        <w:tc>
          <w:tcPr>
            <w:tcW w:w="5019" w:type="dxa"/>
            <w:tcBorders/>
            <w:shd w:fill="auto" w:val="clear"/>
          </w:tcPr>
          <w:p>
            <w:pPr>
              <w:pStyle w:val="TableContents"/>
              <w:spacing w:before="0" w:after="283"/>
              <w:rPr/>
            </w:pPr>
            <w:r>
              <w:rPr/>
              <w:t xml:space="preserve">  </w:t>
            </w:r>
          </w:p>
        </w:tc>
        <w:tc>
          <w:tcPr>
            <w:tcW w:w="5186" w:type="dxa"/>
            <w:gridSpan w:val="3"/>
            <w:tcBorders/>
            <w:shd w:fill="auto" w:val="clear"/>
          </w:tcPr>
          <w:p>
            <w:pPr>
              <w:pStyle w:val="TableContents"/>
              <w:spacing w:before="0" w:after="283"/>
              <w:rPr/>
            </w:pPr>
            <w:r>
              <w:rPr/>
              <w:t xml:space="preserve">  </w:t>
            </w:r>
          </w:p>
        </w:tc>
      </w:tr>
      <w:tr>
        <w:trPr/>
        <w:tc>
          <w:tcPr>
            <w:tcW w:w="5019" w:type="dxa"/>
            <w:tcBorders/>
            <w:shd w:fill="auto" w:val="clear"/>
          </w:tcPr>
          <w:p>
            <w:pPr>
              <w:pStyle w:val="TableContents"/>
              <w:spacing w:before="0" w:after="283"/>
              <w:rPr/>
            </w:pPr>
            <w:r>
              <w:rPr/>
              <w:t xml:space="preserve">  </w:t>
            </w:r>
          </w:p>
        </w:tc>
        <w:tc>
          <w:tcPr>
            <w:tcW w:w="35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3144"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 T. Geoff McKay</w:t>
            </w:r>
          </w:p>
        </w:tc>
        <w:tc>
          <w:tcPr>
            <w:tcW w:w="1685" w:type="dxa"/>
            <w:tcBorders/>
            <w:shd w:fill="auto" w:val="clear"/>
          </w:tcPr>
          <w:p>
            <w:pPr>
              <w:pStyle w:val="TableContents"/>
              <w:spacing w:before="0" w:after="283"/>
              <w:rPr/>
            </w:pPr>
            <w:r>
              <w:rPr/>
              <w:t xml:space="preserve">  </w:t>
            </w:r>
          </w:p>
        </w:tc>
      </w:tr>
      <w:tr>
        <w:trPr/>
        <w:tc>
          <w:tcPr>
            <w:tcW w:w="5019" w:type="dxa"/>
            <w:tcBorders/>
            <w:shd w:fill="auto" w:val="clear"/>
          </w:tcPr>
          <w:p>
            <w:pPr>
              <w:pStyle w:val="TableContents"/>
              <w:spacing w:before="0" w:after="283"/>
              <w:rPr/>
            </w:pPr>
            <w:r>
              <w:rPr/>
              <w:t xml:space="preserve">  </w:t>
            </w:r>
          </w:p>
        </w:tc>
        <w:tc>
          <w:tcPr>
            <w:tcW w:w="357" w:type="dxa"/>
            <w:tcBorders/>
            <w:shd w:fill="auto" w:val="clear"/>
          </w:tcPr>
          <w:p>
            <w:pPr>
              <w:pStyle w:val="TableContents"/>
              <w:spacing w:before="0" w:after="283"/>
              <w:rPr/>
            </w:pPr>
            <w:r>
              <w:rPr/>
              <w:t xml:space="preserve">  </w:t>
            </w:r>
          </w:p>
        </w:tc>
        <w:tc>
          <w:tcPr>
            <w:tcW w:w="4829" w:type="dxa"/>
            <w:gridSpan w:val="2"/>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   T. Geoff McKay</w:t>
            </w:r>
          </w:p>
        </w:tc>
      </w:tr>
      <w:tr>
        <w:trPr/>
        <w:tc>
          <w:tcPr>
            <w:tcW w:w="5019" w:type="dxa"/>
            <w:tcBorders/>
            <w:shd w:fill="auto" w:val="clear"/>
          </w:tcPr>
          <w:p>
            <w:pPr>
              <w:pStyle w:val="TableContents"/>
              <w:spacing w:before="0" w:after="283"/>
              <w:rPr/>
            </w:pPr>
            <w:r>
              <w:rPr/>
              <w:t xml:space="preserve">  </w:t>
            </w:r>
          </w:p>
        </w:tc>
        <w:tc>
          <w:tcPr>
            <w:tcW w:w="357" w:type="dxa"/>
            <w:tcBorders/>
            <w:shd w:fill="auto" w:val="clear"/>
          </w:tcPr>
          <w:p>
            <w:pPr>
              <w:pStyle w:val="TableContents"/>
              <w:spacing w:before="0" w:after="283"/>
              <w:rPr/>
            </w:pPr>
            <w:r>
              <w:rPr/>
              <w:t xml:space="preserve">  </w:t>
            </w:r>
          </w:p>
        </w:tc>
        <w:tc>
          <w:tcPr>
            <w:tcW w:w="4829" w:type="dxa"/>
            <w:gridSpan w:val="2"/>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     Chairman and Vice President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7" w:name="PGBRK13"/>
      <w:bookmarkStart w:id="158" w:name="PGBRK13"/>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FTR13"/>
      <w:bookmarkStart w:id="160" w:name="FTR13"/>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1" w:name="GLFTR13"/>
      <w:bookmarkEnd w:id="1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2" w:name="PN13"/>
      <w:bookmarkEnd w:id="16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3" w:name="HDR13"/>
      <w:bookmarkStart w:id="164" w:name="HDR13"/>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5" w:name="GLHDR13"/>
      <w:bookmarkEnd w:id="1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serif" w:hAnsi="Times New Roman;serif"/>
          <w:sz w:val="22"/>
          <w:u w:val="single"/>
        </w:rPr>
      </w:pPr>
      <w:r>
        <w:rPr>
          <w:rFonts w:ascii="Times New Roman;serif" w:hAnsi="Times New Roman;serif"/>
          <w:sz w:val="22"/>
          <w:u w:val="single"/>
        </w:rPr>
        <w:t>Exhibit Index</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05"/>
        <w:gridCol w:w="612"/>
        <w:gridCol w:w="9288"/>
      </w:tblGrid>
      <w:tr>
        <w:trPr/>
        <w:tc>
          <w:tcPr>
            <w:tcW w:w="305" w:type="dxa"/>
            <w:tcBorders/>
            <w:shd w:fill="auto" w:val="clear"/>
          </w:tcPr>
          <w:p>
            <w:pPr>
              <w:pStyle w:val="TableContents"/>
              <w:spacing w:before="0" w:after="283"/>
              <w:rPr/>
            </w:pPr>
            <w:r>
              <w:rPr/>
              <w:t> </w:t>
            </w:r>
          </w:p>
        </w:tc>
        <w:tc>
          <w:tcPr>
            <w:tcW w:w="9900" w:type="dxa"/>
            <w:gridSpan w:val="2"/>
            <w:tcBorders/>
            <w:shd w:fill="auto" w:val="clear"/>
          </w:tcPr>
          <w:p>
            <w:pPr>
              <w:pStyle w:val="TableContents"/>
              <w:spacing w:before="0" w:after="0"/>
              <w:ind w:left="0" w:right="0" w:hanging="0"/>
              <w:jc w:val="both"/>
              <w:rPr>
                <w:rFonts w:ascii="times new roman;serif" w:hAnsi="times new roman;serif"/>
                <w:sz w:val="22"/>
                <w:u w:val="single"/>
              </w:rPr>
            </w:pPr>
            <w:r>
              <w:rPr>
                <w:rFonts w:ascii="times new roman;serif" w:hAnsi="times new roman;serif"/>
                <w:sz w:val="22"/>
                <w:u w:val="single"/>
              </w:rPr>
              <w:t>Name of Exhibit</w:t>
            </w:r>
          </w:p>
        </w:tc>
      </w:tr>
      <w:tr>
        <w:trPr/>
        <w:tc>
          <w:tcPr>
            <w:tcW w:w="30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305" w:type="dxa"/>
            <w:tcBorders/>
            <w:shd w:fill="auto" w:val="clear"/>
          </w:tcPr>
          <w:p>
            <w:pPr>
              <w:pStyle w:val="TableContents"/>
              <w:spacing w:before="0" w:after="283"/>
              <w:jc w:val="left"/>
              <w:rPr/>
            </w:pPr>
            <w:r>
              <w:rPr/>
              <w:t> </w:t>
            </w:r>
          </w:p>
        </w:tc>
        <w:tc>
          <w:tcPr>
            <w:tcW w:w="612"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99.1</w:t>
            </w:r>
          </w:p>
        </w:tc>
        <w:tc>
          <w:tcPr>
            <w:tcW w:w="928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Transaction Agreement, dated December 7, 2010, by and among Vulcan Energy, the Existing Owners, the Purchasers (each as defined in the Transaction Agreement) and the others named therein.</w:t>
            </w:r>
          </w:p>
        </w:tc>
      </w:tr>
    </w:tbl>
    <w:p>
      <w:pPr>
        <w:pStyle w:val="TextBody"/>
        <w:spacing w:before="0" w:after="0"/>
        <w:ind w:left="0" w:right="0" w:hanging="0"/>
        <w:rPr/>
      </w:pPr>
      <w:r>
        <w:rPr/>
      </w:r>
    </w:p>
    <w:p>
      <w:pPr>
        <w:pStyle w:val="TextBody"/>
        <w:spacing w:before="0" w:after="0"/>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rPr/>
      </w:pPr>
      <w:r>
        <w:rPr/>
        <w:br/>
        <w:t> </w:t>
      </w:r>
      <w:r>
        <w:br w:type="page"/>
      </w:r>
    </w:p>
    <w:p>
      <w:pPr>
        <w:pStyle w:val="TextBody"/>
        <w:spacing w:before="0" w:after="0"/>
        <w:ind w:left="0" w:right="0" w:hanging="0"/>
        <w:jc w:val="right"/>
        <w:rPr>
          <w:rFonts w:ascii="Times New Roman;serif" w:hAnsi="Times New Roman;serif"/>
          <w:b/>
          <w:sz w:val="24"/>
        </w:rPr>
      </w:pPr>
      <w:bookmarkStart w:id="166" w:name="ex991.htm"/>
      <w:bookmarkStart w:id="167" w:name="ksex991"/>
      <w:bookmarkEnd w:id="166"/>
      <w:bookmarkEnd w:id="167"/>
      <w:r>
        <w:rPr>
          <w:rFonts w:ascii="Times New Roman;serif" w:hAnsi="Times New Roman;serif"/>
          <w:b/>
          <w:sz w:val="24"/>
        </w:rPr>
        <w:t>Exhibit 99.1</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TRANSACTION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serif" w:hAnsi="Times New Roman;serif"/>
          <w:sz w:val="24"/>
        </w:rPr>
        <w:t xml:space="preserve">This </w:t>
      </w:r>
      <w:r>
        <w:rPr>
          <w:rFonts w:ascii="Times New Roman;serif" w:hAnsi="Times New Roman;serif"/>
          <w:b/>
          <w:sz w:val="24"/>
        </w:rPr>
        <w:t>TRANSACTION AGREEMENT</w:t>
      </w:r>
      <w:r>
        <w:rPr>
          <w:rFonts w:ascii="Times New Roman;serif" w:hAnsi="Times New Roman;serif"/>
          <w:sz w:val="24"/>
        </w:rPr>
        <w:t xml:space="preserve"> (this “</w:t>
      </w:r>
      <w:r>
        <w:rPr>
          <w:rFonts w:ascii="Times New Roman;serif" w:hAnsi="Times New Roman;serif"/>
          <w:b/>
          <w:sz w:val="24"/>
        </w:rPr>
        <w:t>Agreement</w:t>
      </w:r>
      <w:r>
        <w:rPr>
          <w:rFonts w:ascii="Times New Roman;serif" w:hAnsi="Times New Roman;serif"/>
          <w:sz w:val="24"/>
        </w:rPr>
        <w:t>”) is entered into effective as of December 7, 2010, by and among Vulcan Energy GP Holdings Inc., a Delaware corporation (“</w:t>
      </w:r>
      <w:r>
        <w:rPr>
          <w:rFonts w:ascii="Times New Roman;serif" w:hAnsi="Times New Roman;serif"/>
          <w:b/>
          <w:sz w:val="24"/>
        </w:rPr>
        <w:t>Vulcan</w:t>
      </w:r>
      <w:r>
        <w:rPr>
          <w:rFonts w:ascii="Times New Roman;serif" w:hAnsi="Times New Roman;serif"/>
          <w:sz w:val="24"/>
        </w:rPr>
        <w:t>”); Oxy Holding Company (Pipeline), Inc., a Delaware corporation (“</w:t>
      </w:r>
      <w:r>
        <w:rPr>
          <w:rFonts w:ascii="Times New Roman;serif" w:hAnsi="Times New Roman;serif"/>
          <w:b/>
          <w:sz w:val="24"/>
        </w:rPr>
        <w:t>OHC</w:t>
      </w:r>
      <w:r>
        <w:rPr>
          <w:rFonts w:ascii="Times New Roman;serif" w:hAnsi="Times New Roman;serif"/>
          <w:sz w:val="24"/>
        </w:rPr>
        <w:t>”); KAFU Holdings, L.P., a Delaware limited partnership (“</w:t>
      </w:r>
      <w:r>
        <w:rPr>
          <w:rFonts w:ascii="Times New Roman;serif" w:hAnsi="Times New Roman;serif"/>
          <w:b/>
          <w:sz w:val="24"/>
        </w:rPr>
        <w:t>KAFU</w:t>
      </w:r>
      <w:r>
        <w:rPr>
          <w:rFonts w:ascii="Times New Roman;serif" w:hAnsi="Times New Roman;serif"/>
          <w:sz w:val="24"/>
        </w:rPr>
        <w:t>”); PAA Management, L.P., a Delaware limited partnership (“</w:t>
      </w:r>
      <w:r>
        <w:rPr>
          <w:rFonts w:ascii="Times New Roman;serif" w:hAnsi="Times New Roman;serif"/>
          <w:b/>
          <w:sz w:val="24"/>
        </w:rPr>
        <w:t>PAA Management</w:t>
      </w:r>
      <w:r>
        <w:rPr>
          <w:rFonts w:ascii="Times New Roman;serif" w:hAnsi="Times New Roman;serif"/>
          <w:sz w:val="24"/>
        </w:rPr>
        <w:t>”); Strome Group, L.P., a Delaware limited partnership (“Strome Group</w:t>
      </w:r>
      <w:r>
        <w:rPr/>
        <w:t>”); Strome MLP Fund, L.P., a Delaware limited partnership (“</w:t>
      </w:r>
      <w:r>
        <w:rPr>
          <w:b/>
        </w:rPr>
        <w:t>Strome MLP</w:t>
      </w:r>
      <w:r>
        <w:rPr/>
        <w:t>”); Lynx Holdings I, LLC, a Delaware limited liability company (“</w:t>
      </w:r>
      <w:r>
        <w:rPr>
          <w:b/>
        </w:rPr>
        <w:t>Lynx</w:t>
      </w:r>
      <w:r>
        <w:rPr/>
        <w:t>”, collectively with Vulcan, OHC, KAFU, PAA Management, Strome Group and Strome MLP, the “</w:t>
      </w:r>
      <w:r>
        <w:rPr>
          <w:b/>
        </w:rPr>
        <w:t>Existing Owners</w:t>
      </w:r>
      <w:r>
        <w:rPr/>
        <w:t>”); Plains AAP, L.P., a Delaware limited partnership (“</w:t>
      </w:r>
      <w:r>
        <w:rPr>
          <w:b/>
        </w:rPr>
        <w:t>Plains AAP</w:t>
      </w:r>
      <w:r>
        <w:rPr/>
        <w:t>”); Plains All American GP LLC, a Delaware limited liability company (“</w:t>
      </w:r>
      <w:r>
        <w:rPr>
          <w:b/>
        </w:rPr>
        <w:t>GP LLC</w:t>
      </w:r>
      <w:r>
        <w:rPr/>
        <w:t>”); Vulcan Energy Corporation, a Delaware corporation and the parent of Vulcan (“</w:t>
      </w:r>
      <w:r>
        <w:rPr>
          <w:b/>
        </w:rPr>
        <w:t>VEC</w:t>
      </w:r>
      <w:r>
        <w:rPr/>
        <w:t>”); EMG Investment, LLC, a Delaware limited liability company (“EMG”); KAFU Holdings II, L.P., a Delaware limited partnership (“</w:t>
      </w:r>
      <w:r>
        <w:rPr>
          <w:b/>
        </w:rPr>
        <w:t>KAFU II</w:t>
      </w:r>
      <w:r>
        <w:rPr/>
        <w:t>”), KA First Reserve XII, LLC, a Delaware limited liability company (“</w:t>
      </w:r>
      <w:r>
        <w:rPr>
          <w:b/>
        </w:rPr>
        <w:t>KFR</w:t>
      </w:r>
      <w:r>
        <w:rPr/>
        <w:t>”); Kayne Anderson MLP Investment Company, a Maryland corporation (“</w:t>
      </w:r>
      <w:r>
        <w:rPr>
          <w:b/>
        </w:rPr>
        <w:t>KYN</w:t>
      </w:r>
      <w:r>
        <w:rPr/>
        <w:t>”); Kayne Anderson Energy Development Company, a Maryland corporation (“</w:t>
      </w:r>
      <w:r>
        <w:rPr>
          <w:b/>
        </w:rPr>
        <w:t>KED</w:t>
      </w:r>
      <w:r>
        <w:rPr/>
        <w:t>”); Kayne Anderson Midstream/Energy Fund, Inc., a Maryland corporation (“</w:t>
      </w:r>
      <w:r>
        <w:rPr>
          <w:b/>
        </w:rPr>
        <w:t>KMF</w:t>
      </w:r>
      <w:r>
        <w:rPr/>
        <w:t>”); Strome PAA, L.P., a Delaware limited partnership (“</w:t>
      </w:r>
      <w:r>
        <w:rPr>
          <w:b/>
        </w:rPr>
        <w:t>Strome PAA</w:t>
      </w:r>
      <w:r>
        <w:rPr/>
        <w:t>”); and Windy, L.L.C., a Wyoming limited liability company (“</w:t>
      </w:r>
      <w:r>
        <w:rPr>
          <w:b/>
        </w:rPr>
        <w:t>Windy”) (EMG, KAFU II, KFR, KYN, KED, KMF, OHC, Strome PAA and Windy, collectively, “Purchasers”).</w:t>
      </w:r>
    </w:p>
    <w:p>
      <w:pPr>
        <w:pStyle w:val="TextBody"/>
        <w:spacing w:before="0" w:after="0"/>
        <w:ind w:left="0" w:right="0" w:hanging="0"/>
        <w:jc w:val="both"/>
        <w:rPr/>
      </w:pPr>
      <w:r>
        <w:rPr/>
        <w:t> </w:t>
      </w:r>
    </w:p>
    <w:p>
      <w:pPr>
        <w:pStyle w:val="TextBody"/>
        <w:spacing w:before="0" w:after="0"/>
        <w:ind w:left="0" w:right="0" w:firstLine="720"/>
        <w:jc w:val="both"/>
        <w:rPr>
          <w:rFonts w:ascii="Times New Roman Cyr;serif" w:hAnsi="Times New Roman Cyr;serif"/>
          <w:sz w:val="24"/>
        </w:rPr>
      </w:pPr>
      <w:r>
        <w:rPr>
          <w:rFonts w:ascii="Times New Roman;serif" w:hAnsi="Times New Roman;serif"/>
          <w:b/>
          <w:sz w:val="24"/>
        </w:rPr>
        <w:t>WHEREAS,</w:t>
      </w:r>
      <w:r>
        <w:rPr>
          <w:rFonts w:ascii="Times New Roman Cyr;serif" w:hAnsi="Times New Roman Cyr;serif"/>
          <w:sz w:val="24"/>
        </w:rPr>
        <w:t xml:space="preserve"> each of the Existing Owners is a limited partner of Plains ААР and a member of GP LLC.</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b/>
          <w:sz w:val="24"/>
        </w:rPr>
        <w:t>WHEREAS,</w:t>
      </w:r>
      <w:r>
        <w:rPr>
          <w:rFonts w:ascii="Times New Roman;serif" w:hAnsi="Times New Roman;serif"/>
          <w:sz w:val="24"/>
        </w:rPr>
        <w:t xml:space="preserve"> pursuant to the Purchase Agreement by and among Vulcan, VEC and Purchasers, dated as of the date hereof (the “</w:t>
      </w:r>
      <w:r>
        <w:rPr>
          <w:rFonts w:ascii="Times New Roman;serif" w:hAnsi="Times New Roman;serif"/>
          <w:b/>
          <w:sz w:val="24"/>
        </w:rPr>
        <w:t>Purchase Agreement</w:t>
      </w:r>
      <w:r>
        <w:rPr>
          <w:rFonts w:ascii="Times New Roman;serif" w:hAnsi="Times New Roman;serif"/>
          <w:sz w:val="24"/>
        </w:rPr>
        <w:t>”), Vulcan has agreed to sell to Purchasers, and Purchasers have agreed, severally and not jointly, to purchase from Vulcan, an aggregate of up to 1,152,300.00 Class A Units of Plains AAP, up to an aggregate 71.05610% Unit Percentage (as defined in the Plains AAP Agreement (as defined below)) and up to an aggregate 50.1% membership interest in GP LLC (collectively, the “</w:t>
      </w:r>
      <w:r>
        <w:rPr>
          <w:rFonts w:ascii="Times New Roman;serif" w:hAnsi="Times New Roman;serif"/>
          <w:b/>
          <w:sz w:val="24"/>
        </w:rPr>
        <w:t>Subject Interests</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b/>
          <w:sz w:val="24"/>
        </w:rPr>
        <w:t>WHEREAS,</w:t>
      </w:r>
      <w:r>
        <w:rPr>
          <w:rFonts w:ascii="Times New Roman;serif" w:hAnsi="Times New Roman;serif"/>
          <w:sz w:val="24"/>
        </w:rPr>
        <w:t xml:space="preserve"> in connection with the transactions contemplated by the Purchase Agreement (the “</w:t>
      </w:r>
      <w:r>
        <w:rPr>
          <w:rFonts w:ascii="Times New Roman;serif" w:hAnsi="Times New Roman;serif"/>
          <w:b/>
          <w:sz w:val="24"/>
        </w:rPr>
        <w:t>Transactions</w:t>
      </w:r>
      <w:r>
        <w:rPr>
          <w:rFonts w:ascii="Times New Roman;serif" w:hAnsi="Times New Roman;serif"/>
          <w:sz w:val="24"/>
        </w:rPr>
        <w:t>”), the parties hereto desire to provide for certain approvals, consents and waivers and to set forth certain agreements, all as further described below.</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b/>
          <w:sz w:val="24"/>
        </w:rPr>
        <w:t>NOW THEREFORE,</w:t>
      </w:r>
      <w:r>
        <w:rPr>
          <w:rFonts w:ascii="Times New Roman;serif" w:hAnsi="Times New Roman;serif"/>
          <w:sz w:val="24"/>
        </w:rPr>
        <w:t xml:space="preserve"> in consideration of the mutual covenants in this Agreement and the Purchase Agreements and other good and valuable consideration, the parties hereby agree as follows:</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1.           </w:t>
      </w:r>
      <w:r>
        <w:rPr>
          <w:rFonts w:ascii="Times New Roman;serif" w:hAnsi="Times New Roman;serif"/>
          <w:b/>
          <w:sz w:val="24"/>
        </w:rPr>
        <w:t>Closing.</w:t>
      </w:r>
      <w:r>
        <w:rPr>
          <w:rFonts w:ascii="Times New Roman;serif" w:hAnsi="Times New Roman;serif"/>
          <w:sz w:val="24"/>
        </w:rPr>
        <w:t>  Subject to the satisfaction (or waiver) of the conditions set forth in the Purchase Agreement, the consummation of the transactions contemplated by this Agreement and the First Closing (as defined in the Purchase Agreement) (the “</w:t>
      </w:r>
      <w:r>
        <w:rPr>
          <w:rFonts w:ascii="Times New Roman;serif" w:hAnsi="Times New Roman;serif"/>
          <w:b/>
          <w:sz w:val="24"/>
        </w:rPr>
        <w:t>Closing</w:t>
      </w:r>
      <w:r>
        <w:rPr>
          <w:rFonts w:ascii="Times New Roman;serif" w:hAnsi="Times New Roman;serif"/>
          <w:sz w:val="24"/>
        </w:rPr>
        <w:t>”) shall take place at the offices of Skadden, Arps, Slate, Meagher &amp; Flom LLP, 1000 Louisiana Street, Suite 6800,</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8" w:name="PGBRK14"/>
      <w:bookmarkStart w:id="169" w:name="PGBRK14"/>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FTR14"/>
      <w:bookmarkStart w:id="171" w:name="FTR14"/>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2" w:name="GLFTR14"/>
      <w:bookmarkEnd w:id="1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173" w:name="PN14"/>
      <w:bookmarkEnd w:id="173"/>
      <w:r>
        <w:rPr>
          <w:rFonts w:ascii="Times New Roman;serif" w:hAnsi="Times New Roman;serif"/>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 w:name="HDR14"/>
      <w:bookmarkStart w:id="175" w:name="HDR14"/>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6" w:name="GLHDR14"/>
      <w:bookmarkEnd w:id="1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Houston, Texas on December 23, 2010 or such other date and place as the parties to the Purchase Agreement shall agree.</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2.           </w:t>
      </w:r>
      <w:r>
        <w:rPr>
          <w:rFonts w:ascii="Times New Roman;serif" w:hAnsi="Times New Roman;serif"/>
          <w:b/>
          <w:sz w:val="24"/>
        </w:rPr>
        <w:t>Consent and Waiver of Transactions.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Pursuant to the Fifth Amended and Restated Limited Partnership Agreement of Plains AAP, dated as of August 7, 2008 (as amended to date and as may be amended pursuant to the terms of this Agreement, the “</w:t>
      </w:r>
      <w:r>
        <w:rPr>
          <w:rFonts w:ascii="Times New Roman;serif" w:hAnsi="Times New Roman;serif"/>
          <w:b/>
          <w:sz w:val="24"/>
        </w:rPr>
        <w:t>AAP Agreement</w:t>
      </w:r>
      <w:r>
        <w:rPr>
          <w:rFonts w:ascii="Times New Roman;serif" w:hAnsi="Times New Roman;serif"/>
          <w:sz w:val="24"/>
        </w:rPr>
        <w:t>”), and the Fourth Amended and Restated Limited Liability Company Agreement of GP LLC, dated as of August 7, 2008, as amended on November 2, 2009 (as amended to date and as may be amended pursuant to the terms of this Agreement, the “</w:t>
      </w:r>
      <w:r>
        <w:rPr>
          <w:rFonts w:ascii="Times New Roman;serif" w:hAnsi="Times New Roman;serif"/>
          <w:b/>
          <w:sz w:val="24"/>
        </w:rPr>
        <w:t>GP LLC Agreement</w:t>
      </w:r>
      <w:r>
        <w:rPr>
          <w:rFonts w:ascii="Times New Roman;serif" w:hAnsi="Times New Roman;serif"/>
          <w:sz w:val="24"/>
        </w:rPr>
        <w:t xml:space="preserve">”), each of the Existing Owners hereby (i) consents to the Transactions; (ii) deems the transfers of Class A Units (as defined in the AAP Agreement) of Plains AAP, Unit Percentages (as defined in the AAP Agreement) and Membership Interests (as defined in the GP LLC Agreement) in GP LLC, when consummated in accordance with the Purchase Agreement, to have satisfied all requirements for the effectiveness and permissibility of such transfers under the AAP Agreement and the GP LLC Agreement; and (iii) permanently, irrevocably and unconditionally waives any right or power it might have to prevent, alter, encumber, rescind or nullify the Transactions, including a waiver of any right of first refusal it may hold pursuant to Section 7.8 of the AAP Agreement and/or Section 9.8 of the GP LLC Agreement with respect to the Transactions.  The consents, agreements and waivers provided under this </w:t>
      </w:r>
      <w:r>
        <w:rPr>
          <w:rFonts w:ascii="Times New Roman;serif" w:hAnsi="Times New Roman;serif"/>
          <w:sz w:val="24"/>
          <w:u w:val="single"/>
        </w:rPr>
        <w:t>Section 2</w:t>
      </w:r>
      <w:r>
        <w:rPr>
          <w:rFonts w:ascii="Times New Roman;serif" w:hAnsi="Times New Roman;serif"/>
          <w:sz w:val="24"/>
        </w:rPr>
        <w:t xml:space="preserve"> shall remain valid and shall apply to the Transactions notwithstanding (A) any reduction in the amount of Class A Units, Unit Percentages and Membership Interests purchased pursuant to the Purchase Agreement (pro vided that such reduction is proportional with respect to the Class A Units, Unit Percentages and Membership Interests) and (B) any reallocation of the Subject Interests among Purchasers at Closing, unless such reallocation would result in, immediately following the consummation of the Transactions, either (I) any Purchaser and its affiliates collectively holding more than 40% of the Membership Interests of GP LLC or 40% of the Class A Units of Plains AAP or (II) any Member (as defined in the GP LLC Agreement) (other than KAFU, EMG or OHC) having the right to designate a Director (as defined in the GP LLC Agreement) under the GP LLC Agreement.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As required under the definition of “Stockholders’ Agreement” in the Administrative Services Agreement (as defined in the Purchase Agreement), each of Plains AAP and GP LLC acknowledges that it has received a copy of the Amended and Restated Stockholders’ Agreement among VEC, Paul G. Allen, James C. Flores and John T. Raymond, to be effective as of the Second Closing Date (as defined in the Purchase Agreement), and that it waives proper notice under paragraph 22 of the Administrative Services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3.           </w:t>
      </w:r>
      <w:r>
        <w:rPr>
          <w:rFonts w:ascii="Times New Roman;serif" w:hAnsi="Times New Roman;serif"/>
          <w:b/>
          <w:sz w:val="24"/>
        </w:rPr>
        <w:t>Other Approvals</w:t>
      </w:r>
      <w:r>
        <w:rPr>
          <w:rFonts w:ascii="Times New Roman;serif" w:hAnsi="Times New Roman;serif"/>
          <w:sz w:val="24"/>
        </w:rPr>
        <w:t>. To the extent the Transactions, any action reasonably necessary to facilitate the Transactions, or any other action contemplated hereby is inconsistent or conflicts with the AAP Agreement or the GP LLC Agreement, such agreements are deemed amended hereby, effective as of the Closing, but only to the extent necessary to resolve the immediate inconsistency or conflict.  To the extent deemed necessary or advisable, based on advice of counsel and approval by the board of directors of GP LLC (the “</w:t>
      </w:r>
      <w:r>
        <w:rPr>
          <w:rFonts w:ascii="Times New Roman;serif" w:hAnsi="Times New Roman;serif"/>
          <w:b/>
          <w:sz w:val="24"/>
        </w:rPr>
        <w:t>Board</w:t>
      </w:r>
      <w:r>
        <w:rPr>
          <w:rFonts w:ascii="Times New Roman;serif" w:hAnsi="Times New Roman;serif"/>
          <w:sz w:val="24"/>
        </w:rPr>
        <w:t>”), the officers of GP LLC are authorized to document an y such amendment after the Closing, and each of the Existing Owners and each Purchaser hereby grants to such officers a limited power of attorney to execute any such amendment on behalf of such parties.  In addition, each of the Existing Owners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7" w:name="PGBRK15"/>
      <w:bookmarkStart w:id="178" w:name="PGBRK15"/>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 w:name="FTR15"/>
      <w:bookmarkStart w:id="180" w:name="FTR15"/>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1" w:name="GLFTR15"/>
      <w:bookmarkEnd w:id="1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182" w:name="PN15"/>
      <w:bookmarkEnd w:id="182"/>
      <w:r>
        <w:rPr>
          <w:rFonts w:ascii="Times New Roman;serif" w:hAnsi="Times New Roman;serif"/>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 w:name="HDR15"/>
      <w:bookmarkStart w:id="184" w:name="HDR15"/>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5" w:name="GLHDR15"/>
      <w:bookmarkEnd w:id="1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and each Purchaser hereby grants to the officers of GP LLC a limited power of attorney to execute, following the Closing of the Transactions, an amendment and restatement of the AAP Agreement and the GP LLC Agreement on behalf of such parties to reflect the amendments to the AAP Agreement and the GP LLC Agreement set forth in this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4.           </w:t>
      </w:r>
      <w:r>
        <w:rPr>
          <w:rFonts w:ascii="Times New Roman;serif" w:hAnsi="Times New Roman;serif"/>
          <w:b/>
          <w:sz w:val="24"/>
        </w:rPr>
        <w:t>Closing Deliverables.</w:t>
      </w:r>
      <w:r>
        <w:rPr>
          <w:rFonts w:ascii="Times New Roman;serif" w:hAnsi="Times New Roman;serif"/>
          <w:sz w:val="24"/>
        </w:rPr>
        <w:t xml:space="preserve">  At the Closing, each Purchaser shall deliver to Plains AAP and GP LLC the Adoption and Acknowledgment Agreements, in the forms attached as </w:t>
      </w:r>
      <w:r>
        <w:rPr>
          <w:rFonts w:ascii="Times New Roman;serif" w:hAnsi="Times New Roman;serif"/>
          <w:sz w:val="24"/>
          <w:u w:val="single"/>
        </w:rPr>
        <w:t>Exhibit A-1</w:t>
      </w:r>
      <w:r>
        <w:rPr>
          <w:rFonts w:ascii="Times New Roman;serif" w:hAnsi="Times New Roman;serif"/>
          <w:sz w:val="24"/>
        </w:rPr>
        <w:t xml:space="preserve"> and </w:t>
      </w:r>
      <w:r>
        <w:rPr>
          <w:rFonts w:ascii="Times New Roman Cyr;serif" w:hAnsi="Times New Roman Cyr;serif"/>
          <w:sz w:val="24"/>
          <w:u w:val="single"/>
        </w:rPr>
        <w:t>Exhibit А-2</w:t>
      </w:r>
      <w:r>
        <w:rPr>
          <w:rFonts w:ascii="Times New Roman;serif" w:hAnsi="Times New Roman;serif"/>
          <w:sz w:val="24"/>
        </w:rPr>
        <w:t xml:space="preserve"> hereto, respectively, duly executed by such Purchaser.</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5.           </w:t>
      </w:r>
      <w:r>
        <w:rPr>
          <w:rFonts w:ascii="Times New Roman;serif" w:hAnsi="Times New Roman;serif"/>
          <w:b/>
          <w:sz w:val="24"/>
        </w:rPr>
        <w:t>Amendments to Agreements.</w:t>
      </w:r>
      <w:r>
        <w:rPr>
          <w:rFonts w:ascii="Times New Roman;serif" w:hAnsi="Times New Roman;serif"/>
          <w:sz w:val="24"/>
        </w:rPr>
        <w:t>  The parties agree that, effective as of the Closing:</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 xml:space="preserve">(a)           The GP LLC Agreement shall be amended and restated as set forth in </w:t>
      </w:r>
      <w:r>
        <w:rPr>
          <w:rFonts w:ascii="Times New Roman;serif" w:hAnsi="Times New Roman;serif"/>
          <w:sz w:val="24"/>
          <w:u w:val="single"/>
        </w:rPr>
        <w:t>Exhibit B</w:t>
      </w:r>
      <w:r>
        <w:rPr>
          <w:rFonts w:ascii="Times New Roman;serif" w:hAnsi="Times New Roman;serif"/>
          <w:sz w:val="24"/>
        </w:rPr>
        <w:t xml:space="preserve"> attached hereto.</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 xml:space="preserve">(b)           The AAP Agreement shall be amended and restated as set forth in </w:t>
      </w:r>
      <w:r>
        <w:rPr>
          <w:rFonts w:ascii="Times New Roman;serif" w:hAnsi="Times New Roman;serif"/>
          <w:sz w:val="24"/>
          <w:u w:val="single"/>
        </w:rPr>
        <w:t>Exhibit C</w:t>
      </w:r>
      <w:r>
        <w:rPr>
          <w:rFonts w:ascii="Times New Roman;serif" w:hAnsi="Times New Roman;serif"/>
          <w:sz w:val="24"/>
        </w:rPr>
        <w:t xml:space="preserve"> attached hereto.</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6.           </w:t>
      </w:r>
      <w:r>
        <w:rPr>
          <w:rFonts w:ascii="Times New Roman;serif" w:hAnsi="Times New Roman;serif"/>
          <w:b/>
          <w:sz w:val="24"/>
        </w:rPr>
        <w:t>Board of Directors of GP LLC</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Effective as of the Closing, (i) Geoff L. McKay shall be removed from the Board; (ii) John T. Raymond (as the Director designated by EMG) shall be elected to the Board; and (iii)(A) if OHC elects to designate a Director as of the Closing, one of the at-large Directors shall be removed from the Board and Vicky Sutil (as the Director designated by OHC) shall be elected to the Board or (B) if OHC does not elect to designate a Director as of the Closing, both of the at-large Directors shall remain on the Board until such time as OHC elects to designate a Director, in accordance with terms of the GP LLC Agreement.  Immediately following the Closing, the Board shall be comprised of the following eight Directors:  Greg L. Armstrong (as the Chief E xecutive Officer of GP LLC); John T. Raymond (as the Director designated by EMG); Vicky Sutil (as the Director designated by OHC) or one of the at-large Directors (until a Director is designated by OHC); the other at-large Director; Robert V. Sinnott (as the Director designated by KAFU); and the current members of the Audit Committee of the Board.</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The Directors, other than the Chairman of the Board and the Directors designated by Members, were elected by a Majority in Interest (as defined in the GP LLC Agreement) in August 2010, which election is hereby affirmed in all respects.  The terms of service in connection with such elections (except with respect to an at-large Director replaced by the OHC designee) shall be until the annual meeting of Members (as defined in the GP LLC Agreement) for 2012.  The holding of a 2011 annual meeting of Members, as well as of any general meeting for the election of Directors (as opposed to designation thereof or affirmation of designation) convened between the date hereof and the Board meeting in August 2012, is hereby waived.</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7.           </w:t>
      </w:r>
      <w:r>
        <w:rPr>
          <w:rFonts w:ascii="Times New Roman;serif" w:hAnsi="Times New Roman;serif"/>
          <w:b/>
          <w:sz w:val="24"/>
        </w:rPr>
        <w:t>Termination of Agreements with Vulcan</w:t>
      </w:r>
      <w:r>
        <w:rPr>
          <w:rFonts w:ascii="Times New Roman;serif" w:hAnsi="Times New Roman;serif"/>
          <w:sz w:val="24"/>
        </w:rPr>
        <w:t>.  Effective as of the Closing, (a) each of the (i) letter agreement, dated as of August 12, 2005 (the “</w:t>
      </w:r>
      <w:r>
        <w:rPr>
          <w:rFonts w:ascii="Times New Roman;serif" w:hAnsi="Times New Roman;serif"/>
          <w:b/>
          <w:sz w:val="24"/>
        </w:rPr>
        <w:t>Vulcan Excess Voting Agreement</w:t>
      </w:r>
      <w:r>
        <w:rPr>
          <w:rFonts w:ascii="Times New Roman;serif" w:hAnsi="Times New Roman;serif"/>
          <w:sz w:val="24"/>
        </w:rPr>
        <w:t>”), between Vulcan and GP LLC, and (ii) letter agreement, dated as of August 12, 2005 (the “</w:t>
      </w:r>
      <w:r>
        <w:rPr>
          <w:rFonts w:ascii="Times New Roman;serif" w:hAnsi="Times New Roman;serif"/>
          <w:b/>
          <w:sz w:val="24"/>
        </w:rPr>
        <w:t>Lynx Excess Voting Agreement</w:t>
      </w:r>
      <w:r>
        <w:rPr>
          <w:rFonts w:ascii="Times New Roman;serif" w:hAnsi="Times New Roman;serif"/>
          <w:sz w:val="24"/>
        </w:rPr>
        <w:t>”), between GP LLC and Lynx shall be terminated and (b) each party to the Vulcan Excess Voting Agreement and the Lynx Excess Voting</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6" w:name="PGBRK16"/>
      <w:bookmarkStart w:id="187" w:name="PGBRK16"/>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 w:name="FTR16"/>
      <w:bookmarkStart w:id="189" w:name="FTR16"/>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0" w:name="GLFTR16"/>
      <w:bookmarkEnd w:id="1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191" w:name="PN16"/>
      <w:bookmarkEnd w:id="191"/>
      <w:r>
        <w:rPr>
          <w:rFonts w:ascii="Times New Roman;serif" w:hAnsi="Times New Roman;serif"/>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 w:name="HDR16"/>
      <w:bookmarkStart w:id="193" w:name="HDR16"/>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4" w:name="GLHDR16"/>
      <w:bookmarkEnd w:id="1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Agreement shall be deemed to have waived any rights to receive prior notice with respect to such termination.</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8.           </w:t>
      </w:r>
      <w:r>
        <w:rPr>
          <w:rFonts w:ascii="Times New Roman;serif" w:hAnsi="Times New Roman;serif"/>
          <w:b/>
          <w:sz w:val="24"/>
        </w:rPr>
        <w:t>No Removal of General Partner.</w:t>
      </w:r>
      <w:r>
        <w:rPr>
          <w:rFonts w:ascii="Times New Roman;serif" w:hAnsi="Times New Roman;serif"/>
          <w:sz w:val="24"/>
        </w:rPr>
        <w:t>  Prior to the earlier of (i) the fifth anniversary of the Closing and (ii) the date, if any, on which Greg L. Armstrong shall cease for any reason to be the Chairman of the Board and Chief Executive Officer of GP LLC, neither VEC nor its affiliates shall vote any Limited Partner Interests (as defined in the Third Amended and Restated Agreement of Limited Partnership of Plains All American Pipeline, L.P., dated as of June 27, 2001, as amended to date) in favor of any proposal to remove GP as the general partner of the MLP.</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9.           </w:t>
      </w:r>
      <w:r>
        <w:rPr>
          <w:rFonts w:ascii="Times New Roman;serif" w:hAnsi="Times New Roman;serif"/>
          <w:b/>
          <w:sz w:val="24"/>
        </w:rPr>
        <w:t>Notices.</w:t>
      </w:r>
      <w:r>
        <w:rPr>
          <w:rFonts w:ascii="Times New Roman;serif" w:hAnsi="Times New Roman;serif"/>
          <w:sz w:val="24"/>
        </w:rPr>
        <w:t>  All notices or communications hereunder shall be in writing (including facsimile or similar writing) addressed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223"/>
        <w:gridCol w:w="714"/>
        <w:gridCol w:w="8268"/>
      </w:tblGrid>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w:t>
            </w:r>
          </w:p>
          <w:p>
            <w:pPr>
              <w:pStyle w:val="TableContents"/>
              <w:spacing w:before="0" w:after="0"/>
              <w:ind w:left="0" w:right="0" w:hanging="0"/>
              <w:rPr/>
            </w:pPr>
            <w:r>
              <w:rPr/>
              <w:t>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To GP LLC:</w:t>
            </w:r>
          </w:p>
          <w:p>
            <w:pPr>
              <w:pStyle w:val="TableContents"/>
              <w:spacing w:before="0" w:after="0"/>
              <w:ind w:left="0" w:right="0" w:hanging="0"/>
              <w:rPr/>
            </w:pPr>
            <w:r>
              <w:rPr/>
              <w:t> </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Plains All American GP LLC</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333 Clay Street, Suite 1600</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Houston, Texas 77002</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Facsimile: 713.646.4313</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Attention: Tim Moore</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w:t>
            </w:r>
          </w:p>
          <w:p>
            <w:pPr>
              <w:pStyle w:val="TableContents"/>
              <w:spacing w:before="0" w:after="0"/>
              <w:ind w:left="0" w:right="0" w:hanging="0"/>
              <w:rPr/>
            </w:pPr>
            <w:r>
              <w:rPr/>
              <w:t> </w:t>
            </w:r>
          </w:p>
        </w:tc>
        <w:tc>
          <w:tcPr>
            <w:tcW w:w="8268" w:type="dxa"/>
            <w:tcBorders/>
            <w:shd w:fill="auto" w:val="clear"/>
          </w:tcPr>
          <w:p>
            <w:pPr>
              <w:pStyle w:val="TableContents"/>
              <w:spacing w:before="0" w:after="0"/>
              <w:ind w:left="0" w:right="0" w:hanging="0"/>
              <w:jc w:val="both"/>
              <w:rPr>
                <w:rFonts w:ascii="times new roman cyr;serif" w:hAnsi="times new roman cyr;serif"/>
                <w:sz w:val="24"/>
              </w:rPr>
            </w:pPr>
            <w:r>
              <w:rPr>
                <w:rFonts w:ascii="times new roman cyr;serif" w:hAnsi="times new roman cyr;serif"/>
                <w:sz w:val="24"/>
              </w:rPr>
              <w:t>To Plains ААР:</w:t>
            </w:r>
          </w:p>
          <w:p>
            <w:pPr>
              <w:pStyle w:val="TableContents"/>
              <w:spacing w:before="0" w:after="0"/>
              <w:ind w:left="0" w:right="0" w:hanging="0"/>
              <w:rPr/>
            </w:pPr>
            <w:r>
              <w:rPr/>
              <w:t> </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Plains AAP, L.P.</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333 Clay Street, Suite 1600</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Houston, Texas 77002</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Facsimile: 713.646.4313</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Attention: Tim Moore</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w:t>
            </w:r>
          </w:p>
          <w:p>
            <w:pPr>
              <w:pStyle w:val="TableContents"/>
              <w:spacing w:before="0" w:after="0"/>
              <w:ind w:left="0" w:right="0" w:hanging="0"/>
              <w:rPr/>
            </w:pPr>
            <w:r>
              <w:rPr/>
              <w:t>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To VEC:</w:t>
            </w:r>
          </w:p>
          <w:p>
            <w:pPr>
              <w:pStyle w:val="TableContents"/>
              <w:spacing w:before="0" w:after="0"/>
              <w:ind w:left="0" w:right="0" w:hanging="0"/>
              <w:rPr/>
            </w:pPr>
            <w:r>
              <w:rPr/>
              <w:t> </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c/o Vulcan Energy Corporation</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505 Fifth Ave S Suite 900</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Seattle, WA 98104</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Fax:  (206) 342-3000</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Attention:  Geoff McKay</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with a copy (which shall not constitute notice) to:</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Skadden, Arps, Slate, Meagher &amp; Flom LLP</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1000 Louisiana, Suite 6800</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Houston, TX  77002</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Facsimile:  713-655-5200</w:t>
            </w:r>
          </w:p>
        </w:tc>
      </w:tr>
      <w:tr>
        <w:trPr/>
        <w:tc>
          <w:tcPr>
            <w:tcW w:w="1223"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826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Attention:  Frank Bayouth</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95" w:name="PGBRK17"/>
      <w:bookmarkStart w:id="196" w:name="PGBRK17"/>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97" w:name="FTR17"/>
      <w:bookmarkStart w:id="198" w:name="FTR17"/>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99" w:name="GLFTR17"/>
      <w:bookmarkEnd w:id="1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200" w:name="PN17"/>
      <w:bookmarkEnd w:id="200"/>
      <w:r>
        <w:rPr>
          <w:rFonts w:ascii="Times New Roman;serif" w:hAnsi="Times New Roman;serif"/>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01" w:name="HDR17"/>
      <w:bookmarkStart w:id="202" w:name="HDR17"/>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03" w:name="GLHDR17"/>
      <w:bookmarkEnd w:id="2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223"/>
        <w:gridCol w:w="713"/>
        <w:gridCol w:w="8269"/>
      </w:tblGrid>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(d)</w:t>
            </w:r>
          </w:p>
          <w:p>
            <w:pPr>
              <w:pStyle w:val="TableContents"/>
              <w:spacing w:before="0" w:after="0"/>
              <w:ind w:left="0" w:right="0" w:hanging="0"/>
              <w:rPr/>
            </w:pPr>
            <w:r>
              <w:rPr/>
              <w:t>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To EMG:</w:t>
            </w:r>
          </w:p>
          <w:p>
            <w:pPr>
              <w:pStyle w:val="TableContents"/>
              <w:spacing w:before="0" w:after="0"/>
              <w:ind w:left="0" w:right="0" w:hanging="0"/>
              <w:rPr/>
            </w:pPr>
            <w:r>
              <w:rPr/>
              <w:t> </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EMG Investment, LLC</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1401 McKinney Street, Suite 1025</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Houston, Texas  77010</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Facsimile:  713.579.5010</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Attention:  John T. Raymond</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(e)</w:t>
            </w:r>
          </w:p>
          <w:p>
            <w:pPr>
              <w:pStyle w:val="TableContents"/>
              <w:spacing w:before="0" w:after="0"/>
              <w:ind w:left="0" w:right="0" w:hanging="0"/>
              <w:rPr/>
            </w:pPr>
            <w:r>
              <w:rPr/>
              <w:t>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To KFR:</w:t>
            </w:r>
          </w:p>
          <w:p>
            <w:pPr>
              <w:pStyle w:val="TableContents"/>
              <w:spacing w:before="0" w:after="0"/>
              <w:ind w:left="0" w:right="0" w:hanging="0"/>
              <w:rPr/>
            </w:pPr>
            <w:r>
              <w:rPr/>
              <w:t> </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First Reserve XII Advisors, L.L.C.</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600 Travis, Suite 6000</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Houston, Texas  77002</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Facsimile:   713.224.0771</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Attention:   General Counsel</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with a copy (which shall not constitute notice) to:</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Kayne Anderson Capital Advisors, L.P.</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717 Texas Avenue, Suite 3100</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Houston, Texas  77002</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Facsimile:  713.655.7359</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Attention:  James C. Baker</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w:t>
            </w:r>
          </w:p>
          <w:p>
            <w:pPr>
              <w:pStyle w:val="TableContents"/>
              <w:spacing w:before="0" w:after="0"/>
              <w:ind w:left="0" w:right="0" w:hanging="0"/>
              <w:rPr/>
            </w:pPr>
            <w:r>
              <w:rPr/>
              <w:t>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To KAFU II, KYN, KED or KMF:</w:t>
            </w:r>
          </w:p>
          <w:p>
            <w:pPr>
              <w:pStyle w:val="TableContents"/>
              <w:spacing w:before="0" w:after="0"/>
              <w:ind w:left="0" w:right="0" w:hanging="0"/>
              <w:rPr/>
            </w:pPr>
            <w:r>
              <w:rPr/>
              <w:t> </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Kayne Anderson Capital Advisors, L.P.</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717 Texas Avenue, Suite 3100</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Houston, Texas  77002</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Facsimile:  713.655.7359</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Attention:  James C. Baker</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(g)</w:t>
            </w:r>
          </w:p>
          <w:p>
            <w:pPr>
              <w:pStyle w:val="TableContents"/>
              <w:spacing w:before="0" w:after="0"/>
              <w:ind w:left="0" w:right="0" w:hanging="0"/>
              <w:rPr/>
            </w:pPr>
            <w:r>
              <w:rPr/>
              <w:t>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To OHC:</w:t>
            </w:r>
          </w:p>
          <w:p>
            <w:pPr>
              <w:pStyle w:val="TableContents"/>
              <w:spacing w:before="0" w:after="0"/>
              <w:ind w:left="0" w:right="0" w:hanging="0"/>
              <w:rPr/>
            </w:pPr>
            <w:r>
              <w:rPr/>
              <w:t> </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Oxy Holding Company (Pipeline), Inc.</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10889 Wilshire Boulevard</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Los Angeles, California 90024</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Facsimile: </w:t>
            </w:r>
            <w:r>
              <w:rPr>
                <w:rFonts w:ascii="times new roman;serif" w:hAnsi="times new roman;serif"/>
                <w:color w:val="191919"/>
                <w:sz w:val="24"/>
              </w:rPr>
              <w:t>310.443.6435</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283"/>
              <w:rPr>
                <w:sz w:val="24"/>
              </w:rPr>
            </w:pPr>
            <w:r>
              <w:rPr>
                <w:sz w:val="24"/>
              </w:rPr>
              <w:t>Attention:  Todd Stevens</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with a copy (which shall not constitute notice) to:</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Occidental Petroleum Corporation</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10889 Wilshire Boulevard</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Los Angeles, California 90024</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Facsimile:  310.443.6333</w:t>
            </w:r>
          </w:p>
        </w:tc>
      </w:tr>
      <w:tr>
        <w:trPr/>
        <w:tc>
          <w:tcPr>
            <w:tcW w:w="122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283"/>
              <w:rPr/>
            </w:pPr>
            <w:r>
              <w:rPr/>
              <w:t xml:space="preserve">  </w:t>
            </w:r>
          </w:p>
        </w:tc>
        <w:tc>
          <w:tcPr>
            <w:tcW w:w="826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Attention:  Ken Royer</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4" w:name="PGBRK18"/>
      <w:bookmarkStart w:id="205" w:name="PGBRK18"/>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FTR18"/>
      <w:bookmarkStart w:id="207" w:name="FTR18"/>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8" w:name="GLFTR18"/>
      <w:bookmarkEnd w:id="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209" w:name="PN18"/>
      <w:bookmarkEnd w:id="209"/>
      <w:r>
        <w:rPr>
          <w:rFonts w:ascii="Times New Roman;serif" w:hAnsi="Times New Roman;serif"/>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HDR18"/>
      <w:bookmarkStart w:id="211" w:name="HDR18"/>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2" w:name="GLHDR18"/>
      <w:bookmarkEnd w:id="2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If any notice or communication hereunder is given to any of EMG, KFR, KAFU II, KYN, KED, KMF or OHC, a copy (which shall not constitute notice) shall also be given to:</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223"/>
        <w:gridCol w:w="712"/>
        <w:gridCol w:w="8270"/>
      </w:tblGrid>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Baker Botts, L.L.P.</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98 San Jacinto Blvd., Suite 1500</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Austin, Texas  78701-4039</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Facsimile:  512.322.8377</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Attention:  Laura Lanza Tyson</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(h)</w:t>
            </w:r>
          </w:p>
          <w:p>
            <w:pPr>
              <w:pStyle w:val="TableContents"/>
              <w:spacing w:before="0" w:after="0"/>
              <w:ind w:left="0" w:right="0" w:hanging="0"/>
              <w:rPr/>
            </w:pPr>
            <w:r>
              <w:rPr/>
              <w:t> </w:t>
            </w:r>
          </w:p>
        </w:tc>
        <w:tc>
          <w:tcPr>
            <w:tcW w:w="8270"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To Strome PAA:</w:t>
            </w:r>
          </w:p>
          <w:p>
            <w:pPr>
              <w:pStyle w:val="TableContents"/>
              <w:spacing w:before="0" w:after="0"/>
              <w:ind w:left="0" w:right="0" w:hanging="0"/>
              <w:rPr/>
            </w:pPr>
            <w:r>
              <w:rPr/>
              <w:t> </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Strome PAA, LP</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100 Wilshire Blvd, 17th Floor</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Santa Monica, California  90401</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Facsimile:  310.752.1482</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Attention:  Mark Strome</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283"/>
              <w:rPr/>
            </w:pPr>
            <w:r>
              <w:rPr/>
              <w:t xml:space="preserve">  </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(i)</w:t>
            </w:r>
          </w:p>
          <w:p>
            <w:pPr>
              <w:pStyle w:val="TableContents"/>
              <w:spacing w:before="0" w:after="0"/>
              <w:ind w:left="0" w:right="0" w:hanging="0"/>
              <w:rPr/>
            </w:pPr>
            <w:r>
              <w:rPr/>
              <w:t> </w:t>
            </w:r>
          </w:p>
        </w:tc>
        <w:tc>
          <w:tcPr>
            <w:tcW w:w="8270"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To Windy:</w:t>
            </w:r>
          </w:p>
          <w:p>
            <w:pPr>
              <w:pStyle w:val="TableContents"/>
              <w:spacing w:before="0" w:after="0"/>
              <w:ind w:left="0" w:right="0" w:hanging="0"/>
              <w:rPr/>
            </w:pPr>
            <w:r>
              <w:rPr/>
              <w:t> </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Windy, L.L.C.</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c/o Tetrad Corporation</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11422 Miracle Hills Drive</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Omaha, Nebraska  68154</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Facsimile:  402.997.7502</w:t>
            </w:r>
          </w:p>
        </w:tc>
      </w:tr>
      <w:tr>
        <w:trPr/>
        <w:tc>
          <w:tcPr>
            <w:tcW w:w="122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8270"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Attention:  W. David Scott</w:t>
            </w:r>
          </w:p>
        </w:tc>
      </w:tr>
    </w:tbl>
    <w:p>
      <w:pPr>
        <w:pStyle w:val="TextBody"/>
        <w:spacing w:before="0" w:after="0"/>
        <w:ind w:left="0" w:right="0" w:hanging="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(j)           To the Existing Owners, to the address listed below such Existing Owner’s name on the applicable signature page hereto.</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Any such notice or communication shall be deemed given (i) when made, if made by hand delivery, and upon confirmation of receipt, if made by facsimile, (ii) one Business Day after being deposited with a next day courier, postage prepaid, or (iii) three Business Days after being sent certified or registered mail, return receipt requested, postage prepaid, in each case addressed as above (or to such other address as such party may designate in writing from time to time). “</w:t>
      </w:r>
      <w:r>
        <w:rPr>
          <w:rFonts w:ascii="Times New Roman;serif" w:hAnsi="Times New Roman;serif"/>
          <w:b/>
          <w:sz w:val="24"/>
        </w:rPr>
        <w:t>Business Day</w:t>
      </w:r>
      <w:r>
        <w:rPr>
          <w:rFonts w:ascii="Times New Roman;serif" w:hAnsi="Times New Roman;serif"/>
          <w:sz w:val="24"/>
        </w:rPr>
        <w:t>” means any day that is not a Saturday, Sunday or other day on which banks are required or authorized by law to be closed in the City of Houston, Texas.</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10.           </w:t>
      </w:r>
      <w:r>
        <w:rPr>
          <w:rFonts w:ascii="Times New Roman;serif" w:hAnsi="Times New Roman;serif"/>
          <w:b/>
          <w:sz w:val="24"/>
        </w:rPr>
        <w:t>Entire Agreement.</w:t>
      </w:r>
      <w:r>
        <w:rPr>
          <w:rFonts w:ascii="Times New Roman;serif" w:hAnsi="Times New Roman;serif"/>
          <w:sz w:val="24"/>
        </w:rPr>
        <w:t>  This Agreement, the Purchase Agreement (in the case of Vulcan, VEC and Purchasers) and any documents and agreements delivered in connection with any of the foregoing represent the entire agreement of the parties with respect to the subject matter hereof and shall supersede any and all previous contracts, arrangements or understandings between the parties hereto with respect to the subject matter hereof (other than the GP LLC Agreement and the AAP Agreement).  Effective as of the Closing, the parties shall be deemed to have approved, adopted and ratified the GP LLC Agreement and the AAP Agreement as amended hereby.  Nothing contained herein is intended to al ter or supersede the rights and</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3" w:name="PGBRK19"/>
      <w:bookmarkStart w:id="214" w:name="PGBRK19"/>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 w:name="FTR19"/>
      <w:bookmarkStart w:id="216" w:name="FTR19"/>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7" w:name="GLFTR19"/>
      <w:bookmarkEnd w:id="2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218" w:name="PN19"/>
      <w:bookmarkEnd w:id="218"/>
      <w:r>
        <w:rPr>
          <w:rFonts w:ascii="Times New Roman;serif" w:hAnsi="Times New Roman;serif"/>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 w:name="HDR19"/>
      <w:bookmarkStart w:id="220" w:name="HDR19"/>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1" w:name="GLHDR19"/>
      <w:bookmarkEnd w:id="2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obligations of the parties to the Separation Agreements (as defined in the Purchase Agreement) thereunder.</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11.           </w:t>
      </w:r>
      <w:r>
        <w:rPr>
          <w:rFonts w:ascii="Times New Roman;serif" w:hAnsi="Times New Roman;serif"/>
          <w:b/>
          <w:sz w:val="24"/>
        </w:rPr>
        <w:t>Headings.</w:t>
      </w:r>
      <w:r>
        <w:rPr>
          <w:rFonts w:ascii="Times New Roman;serif" w:hAnsi="Times New Roman;serif"/>
          <w:sz w:val="24"/>
        </w:rPr>
        <w:t>  The descriptive headings contained in this Agreement are included for convenience of reference only and shall not affect in any way the meaning or interpretation of this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12.           </w:t>
      </w:r>
      <w:r>
        <w:rPr>
          <w:rFonts w:ascii="Times New Roman;serif" w:hAnsi="Times New Roman;serif"/>
          <w:b/>
          <w:sz w:val="24"/>
        </w:rPr>
        <w:t>Severability.</w:t>
      </w:r>
      <w:r>
        <w:rPr>
          <w:rFonts w:ascii="Times New Roman;serif" w:hAnsi="Times New Roman;serif"/>
          <w:sz w:val="24"/>
        </w:rPr>
        <w:t>  If any provision of this Agreement shall be declared to be invalid or unenforceable, in whole or in part, such invalidity or unenforceability shall not affect the remaining provisions hereof which shall remain in full force and effect.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13.           </w:t>
      </w:r>
      <w:r>
        <w:rPr>
          <w:rFonts w:ascii="Times New Roman;serif" w:hAnsi="Times New Roman;serif"/>
          <w:b/>
          <w:sz w:val="24"/>
        </w:rPr>
        <w:t>Assignment.</w:t>
      </w:r>
      <w:r>
        <w:rPr>
          <w:rFonts w:ascii="Times New Roman;serif" w:hAnsi="Times New Roman;serif"/>
          <w:sz w:val="24"/>
        </w:rPr>
        <w:t>  Neither this Agreement nor any of the rights, interests or obligations hereunder shall be assigned without the prior written consent of the parties hereto, which consent may be granted or withheld in the sole discretion of the parties.  Subject to the preceding sentence, this Agreement shall be binding upon and shall inure to the benefit of the parties hereto and their respective successors and assigns.  Nothing in this Agreement, express or implied, is intended to confer on any person other than the parties hereto or their respective successors and assigns any rights, remedies, obligations or liabilities under or by reason of this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14.           </w:t>
      </w:r>
      <w:r>
        <w:rPr>
          <w:rFonts w:ascii="Times New Roman;serif" w:hAnsi="Times New Roman;serif"/>
          <w:b/>
          <w:sz w:val="24"/>
        </w:rPr>
        <w:t>Amendment.</w:t>
      </w:r>
      <w:r>
        <w:rPr>
          <w:rFonts w:ascii="Times New Roman;serif" w:hAnsi="Times New Roman;serif"/>
          <w:sz w:val="24"/>
        </w:rPr>
        <w:t xml:space="preserve">  This Agreement may not be amended or modified except (a) by an instrument in writing signed by each of, or on behalf of each of, the parties or (b) by a waiver in accordance with </w:t>
      </w:r>
      <w:r>
        <w:rPr>
          <w:rFonts w:ascii="Times New Roman;serif" w:hAnsi="Times New Roman;serif"/>
          <w:sz w:val="24"/>
          <w:u w:val="single"/>
        </w:rPr>
        <w:t>Section 15</w:t>
      </w:r>
      <w:r>
        <w:rPr>
          <w:rFonts w:ascii="Times New Roman;serif" w:hAnsi="Times New Roman;serif"/>
          <w:sz w:val="24"/>
        </w:rPr>
        <w:t>.  This Agreement may be amended or supplemented in writing by the parties hereto with respect to any of the terms contained in this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15.           </w:t>
      </w:r>
      <w:r>
        <w:rPr>
          <w:rFonts w:ascii="Times New Roman;serif" w:hAnsi="Times New Roman;serif"/>
          <w:b/>
          <w:sz w:val="24"/>
        </w:rPr>
        <w:t>Waiver.  </w:t>
      </w:r>
      <w:r>
        <w:rPr>
          <w:rFonts w:ascii="Times New Roman;serif" w:hAnsi="Times New Roman;serif"/>
          <w:sz w:val="24"/>
        </w:rPr>
        <w:t>No failure or delay by any party hereto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16.           </w:t>
      </w:r>
      <w:r>
        <w:rPr>
          <w:rFonts w:ascii="Times New Roman;serif" w:hAnsi="Times New Roman;serif"/>
          <w:b/>
          <w:sz w:val="24"/>
        </w:rPr>
        <w:t>Governing Law; Forum.</w:t>
      </w:r>
      <w:r>
        <w:rPr>
          <w:rFonts w:ascii="Times New Roman;serif" w:hAnsi="Times New Roman;serif"/>
          <w:sz w:val="24"/>
        </w:rPr>
        <w:t>  This Agreement shall be governed by, and construed in accordance with, the laws of the State of Texas applicable to contracts executed in and to be performed in that state and without regard to any applicable conflicts of law.  All actions and proceedings arising out of or relating to this Agreement shall be heard and determined in any Texas state or federal court located in Houston, Texas.  In connection with the foregoing, each of the parties to this Agreement irrevocably (a) consents to submit itself to the personal jurisdiction of the state and federal c</w:t>
      </w:r>
      <w:r>
        <w:rPr>
          <w:rFonts w:ascii="Times New Roman Cyr;serif" w:hAnsi="Times New Roman Cyr;serif"/>
          <w:sz w:val="24"/>
        </w:rPr>
        <w:t xml:space="preserve">ourts of competent jurisdi ction located in Houston, Texas, (b) agrees that it will not attempt to deny or defeat such personal jurisdiction by motion or other request for leave from any such court, and (с) hereby consents to service of process pursuant to </w:t>
      </w:r>
      <w:r>
        <w:rPr>
          <w:rFonts w:ascii="Times New Roman;serif" w:hAnsi="Times New Roman;serif"/>
          <w:sz w:val="24"/>
        </w:rPr>
        <w:t xml:space="preserve">the notice provisions set forth in </w:t>
      </w:r>
      <w:r>
        <w:rPr>
          <w:rFonts w:ascii="Times New Roman;serif" w:hAnsi="Times New Roman;serif"/>
          <w:sz w:val="24"/>
          <w:u w:val="single"/>
        </w:rPr>
        <w:t>Section 9</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17.           </w:t>
      </w:r>
      <w:r>
        <w:rPr>
          <w:rFonts w:ascii="Times New Roman;serif" w:hAnsi="Times New Roman;serif"/>
          <w:b/>
          <w:sz w:val="24"/>
        </w:rPr>
        <w:t>Waiver of Jury Trial.</w:t>
      </w:r>
      <w:r>
        <w:rPr>
          <w:rFonts w:ascii="Times New Roman;serif" w:hAnsi="Times New Roman;serif"/>
          <w:sz w:val="24"/>
        </w:rPr>
        <w:t>  Each of the parties hereto irrevocably and unconditionally waives all right to trial by jury in any action, proceeding or counterclaim (whether based in contract, tort or otherwise) arising out of or relating to this Agreement or the actions of the parties hereto in the negotiation, administration, performance and enforcement thereof.</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2" w:name="PGBRK20"/>
      <w:bookmarkStart w:id="223" w:name="PGBRK20"/>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FTR20"/>
      <w:bookmarkStart w:id="225" w:name="FTR20"/>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6" w:name="GLFTR20"/>
      <w:bookmarkEnd w:id="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227" w:name="PN20"/>
      <w:bookmarkEnd w:id="227"/>
      <w:r>
        <w:rPr>
          <w:rFonts w:ascii="Times New Roman;serif" w:hAnsi="Times New Roman;serif"/>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HDR20"/>
      <w:bookmarkStart w:id="229" w:name="HDR20"/>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0" w:name="GLHDR20"/>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18.           </w:t>
      </w:r>
      <w:r>
        <w:rPr>
          <w:rFonts w:ascii="Times New Roman;serif" w:hAnsi="Times New Roman;serif"/>
          <w:b/>
          <w:sz w:val="24"/>
        </w:rPr>
        <w:t>Attorney’s Fees.</w:t>
      </w:r>
      <w:r>
        <w:rPr>
          <w:rFonts w:ascii="Times New Roman;serif" w:hAnsi="Times New Roman;serif"/>
          <w:sz w:val="24"/>
        </w:rPr>
        <w:t>  If any action at law or equity, including an action for declaratory relief, is brought to enforce or interpret any provision of this Agreement, the prevailing party shall be entitled to recover reasonable attorney’s fees and expenses from the other party, which fees and expenses shall be in addition to any other relief which may be awarded.</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19.           </w:t>
      </w:r>
      <w:r>
        <w:rPr>
          <w:rFonts w:ascii="Times New Roman;serif" w:hAnsi="Times New Roman;serif"/>
          <w:b/>
          <w:sz w:val="24"/>
        </w:rPr>
        <w:t>Specific Performance.  </w:t>
      </w:r>
      <w:r>
        <w:rPr>
          <w:rFonts w:ascii="Times New Roman;serif" w:hAnsi="Times New Roman;serif"/>
          <w:sz w:val="24"/>
        </w:rPr>
        <w:t>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20.           </w:t>
      </w:r>
      <w:r>
        <w:rPr>
          <w:rFonts w:ascii="Times New Roman;serif" w:hAnsi="Times New Roman;serif"/>
          <w:b/>
          <w:sz w:val="24"/>
        </w:rPr>
        <w:t>Further Assurances.</w:t>
      </w:r>
      <w:r>
        <w:rPr>
          <w:rFonts w:ascii="Times New Roman;serif" w:hAnsi="Times New Roman;serif"/>
          <w:sz w:val="24"/>
        </w:rPr>
        <w:t>  Each party agrees to do all acts and things and to execute and deliver such further written instruments as may be from time to time reasonably required to carry out the terms and provisions of this Agreement and the Purchase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21.           </w:t>
      </w:r>
      <w:r>
        <w:rPr>
          <w:rFonts w:ascii="Times New Roman;serif" w:hAnsi="Times New Roman;serif"/>
          <w:b/>
          <w:sz w:val="24"/>
        </w:rPr>
        <w:t>Expenses.</w:t>
      </w:r>
      <w:r>
        <w:rPr>
          <w:rFonts w:ascii="Times New Roman;serif" w:hAnsi="Times New Roman;serif"/>
          <w:sz w:val="24"/>
        </w:rPr>
        <w:t xml:space="preserve">  All expenses incurred by the parties hereto shall be borne solely and entirely by the party that has incurred such expenses; </w:t>
      </w:r>
      <w:r>
        <w:rPr>
          <w:rFonts w:ascii="Times New Roman;serif" w:hAnsi="Times New Roman;serif"/>
          <w:i/>
          <w:sz w:val="24"/>
        </w:rPr>
        <w:t>provided</w:t>
      </w:r>
      <w:r>
        <w:rPr>
          <w:rFonts w:ascii="Times New Roman;serif" w:hAnsi="Times New Roman;serif"/>
          <w:sz w:val="24"/>
        </w:rPr>
        <w:t xml:space="preserve"> </w:t>
      </w:r>
      <w:r>
        <w:rPr>
          <w:rFonts w:ascii="Times New Roman;serif" w:hAnsi="Times New Roman;serif"/>
          <w:i/>
          <w:sz w:val="24"/>
        </w:rPr>
        <w:t>however</w:t>
      </w:r>
      <w:r>
        <w:rPr>
          <w:rFonts w:ascii="Times New Roman;serif" w:hAnsi="Times New Roman;serif"/>
          <w:sz w:val="24"/>
        </w:rPr>
        <w:t>, that Vulcan agrees to reimburse Plains AAP or GP LLC for the reasonable out-of-pocket expenses incurred by Plains AAP or GP LLC in connection with this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22.           </w:t>
      </w:r>
      <w:r>
        <w:rPr>
          <w:rFonts w:ascii="Times New Roman;serif" w:hAnsi="Times New Roman;serif"/>
          <w:b/>
          <w:sz w:val="24"/>
        </w:rPr>
        <w:t>Publicity.</w:t>
      </w:r>
    </w:p>
    <w:p>
      <w:pPr>
        <w:pStyle w:val="TextBody"/>
        <w:spacing w:before="0" w:after="0"/>
        <w:ind w:left="0" w:right="0" w:hanging="0"/>
        <w:jc w:val="both"/>
        <w:rPr/>
      </w:pPr>
      <w:r>
        <w:rPr/>
        <w:t> </w:t>
      </w:r>
    </w:p>
    <w:p>
      <w:pPr>
        <w:pStyle w:val="TextBody"/>
        <w:spacing w:before="0" w:after="0"/>
        <w:ind w:left="0" w:right="0" w:firstLine="1440"/>
        <w:jc w:val="both"/>
        <w:rPr>
          <w:rFonts w:ascii="Times New Roman Cyr;serif" w:hAnsi="Times New Roman Cyr;serif"/>
          <w:sz w:val="24"/>
        </w:rPr>
      </w:pPr>
      <w:r>
        <w:rPr>
          <w:rFonts w:ascii="Times New Roman;serif" w:hAnsi="Times New Roman;serif"/>
          <w:sz w:val="24"/>
        </w:rPr>
        <w:t>(a)</w:t>
      </w:r>
      <w:r>
        <w:rPr>
          <w:rFonts w:ascii="Times New Roman Cyr;serif" w:hAnsi="Times New Roman Cyr;serif"/>
          <w:sz w:val="24"/>
        </w:rPr>
        <w:t>           </w:t>
      </w:r>
      <w:r>
        <w:rPr>
          <w:rFonts w:ascii="Times New Roman;serif" w:hAnsi="Times New Roman;serif"/>
          <w:sz w:val="24"/>
        </w:rPr>
        <w:t>None of the Existing Owners (unless such Existing Owner is a Purchaser) nor any of their</w:t>
      </w:r>
      <w:r>
        <w:rPr>
          <w:rFonts w:ascii="Times New Roman Cyr;serif" w:hAnsi="Times New Roman Cyr;serif"/>
          <w:sz w:val="24"/>
        </w:rPr>
        <w:t xml:space="preserve"> respective Affiliates shall issue or cause the publication of any press release or other announcement with respect to this Agreement or the Purchase Agreement or the transactions contemplated hereby or by the Purchase Agreement (each а “</w:t>
      </w:r>
      <w:r>
        <w:rPr>
          <w:rFonts w:ascii="Times New Roman;serif" w:hAnsi="Times New Roman;serif"/>
          <w:b/>
          <w:sz w:val="24"/>
        </w:rPr>
        <w:t>Release</w:t>
      </w:r>
      <w:r>
        <w:rPr>
          <w:rFonts w:ascii="Times New Roman Cyr;serif" w:hAnsi="Times New Roman Cyr;serif"/>
          <w:sz w:val="24"/>
        </w:rPr>
        <w:t>”</w:t>
      </w:r>
      <w:r>
        <w:rPr>
          <w:rFonts w:ascii="Times New Roman;serif" w:hAnsi="Times New Roman;serif"/>
          <w:sz w:val="24"/>
        </w:rPr>
        <w:t xml:space="preserve">), except </w:t>
      </w:r>
      <w:r>
        <w:rPr>
          <w:rFonts w:ascii="Times New Roman Cyr;serif" w:hAnsi="Times New Roman Cyr;serif"/>
          <w:sz w:val="24"/>
        </w:rPr>
        <w:t>as may be required by law or by any listing agreement with а national securities ex change.  Purchasers and Plains AAP and their respective Affiliates (other than any Existing Owner) may issue or cause the publication of any Release but only with а prior co</w:t>
      </w:r>
      <w:r>
        <w:rPr>
          <w:rFonts w:ascii="Times New Roman;serif" w:hAnsi="Times New Roman;serif"/>
          <w:sz w:val="24"/>
        </w:rPr>
        <w:t>nsultation of the other, except as may be required by law or by any listing agreement with a national securities exchange, and each of Purchasers and Plains AAP will use reasonable efforts to provide copies of any such Release to the other, and will give due consideration to such comments as the other may have, prior to issuing or causing the publication of any such Release.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None of the Existing Owners, Plains AAP, GP LLC, VEC or Purchasers shall, and Plains AAP and GP LLC shall cause the MLP not to, publicly disclose the name of any Purchaser, or include the name of any Purchaser in any Release, without the prior written consent of such Purchaser, except as may be required by law or by any listing agreement with a national securities exchange.</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23.           </w:t>
      </w:r>
      <w:r>
        <w:rPr>
          <w:rFonts w:ascii="Times New Roman;serif" w:hAnsi="Times New Roman;serif"/>
          <w:b/>
          <w:sz w:val="24"/>
        </w:rPr>
        <w:t>Counterparts.</w:t>
      </w:r>
      <w:r>
        <w:rPr>
          <w:rFonts w:ascii="Times New Roman;serif" w:hAnsi="Times New Roman;serif"/>
          <w:sz w:val="24"/>
        </w:rPr>
        <w:t xml:space="preserve"> This Agreement may be executed and delivered (including by facsimile transmission) in one or more counterparts, and by the different parties hereto in separate counterparts, each of which when executed and delivered shall be deemed to be an original, but all of which taken together shall constitute one and the same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24.           </w:t>
      </w:r>
      <w:r>
        <w:rPr>
          <w:rFonts w:ascii="Times New Roman;serif" w:hAnsi="Times New Roman;serif"/>
          <w:b/>
          <w:sz w:val="24"/>
        </w:rPr>
        <w:t>Interpretation of Provisions.  </w:t>
      </w:r>
      <w:r>
        <w:rPr>
          <w:rFonts w:ascii="Times New Roman;serif" w:hAnsi="Times New Roman;serif"/>
          <w:sz w:val="24"/>
        </w:rPr>
        <w:t>Article and Section references are to this Agreement, unless otherwise specified.  All references to instruments, documents, contracts, and agreements are references to such instruments, documents, contracts, and agreements as the same</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1" w:name="PGBRK21"/>
      <w:bookmarkStart w:id="232" w:name="PGBRK21"/>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3" w:name="FTR21"/>
      <w:bookmarkStart w:id="234" w:name="FTR21"/>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5" w:name="GLFTR21"/>
      <w:bookmarkEnd w:id="2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236" w:name="PN21"/>
      <w:bookmarkEnd w:id="236"/>
      <w:r>
        <w:rPr>
          <w:rFonts w:ascii="Times New Roman;serif" w:hAnsi="Times New Roman;serif"/>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 w:name="HDR21"/>
      <w:bookmarkStart w:id="238" w:name="HDR21"/>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9" w:name="GLHDR21"/>
      <w:bookmarkEnd w:id="2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may be amended, supplemented, and otherwise modified from time to time, unless otherwise specified.  The word “including” shall mean “including but not limited to.”  Whenever any determination, consent, or approval is to be made or given by a party hereto, such action shall be in such party’s sole discretion unless otherwise specified in this Agreement.  This Agreement has been reviewed and negotiated by sophisticated parties with access to legal counsel and shall not be construed against the drafter.</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i/>
          <w:sz w:val="24"/>
        </w:rPr>
      </w:pPr>
      <w:r>
        <w:rPr>
          <w:rFonts w:ascii="Times New Roman;serif" w:hAnsi="Times New Roman;serif"/>
          <w:i/>
          <w:sz w:val="24"/>
        </w:rPr>
        <w:t>[The remainder of this page is intentionally left blank.]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0" w:name="PGBRK22"/>
      <w:bookmarkStart w:id="241" w:name="PGBRK22"/>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2" w:name="FTR22"/>
      <w:bookmarkStart w:id="243" w:name="FTR22"/>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4" w:name="GLFTR22"/>
      <w:bookmarkEnd w:id="2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245" w:name="PN22"/>
      <w:bookmarkEnd w:id="245"/>
      <w:r>
        <w:rPr>
          <w:rFonts w:ascii="Times New Roman;serif" w:hAnsi="Times New Roman;serif"/>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6" w:name="HDR22"/>
      <w:bookmarkStart w:id="247" w:name="HDR22"/>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8" w:name="GLHDR22"/>
      <w:bookmarkEnd w:id="2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both"/>
        <w:rPr>
          <w:rFonts w:ascii="Times New Roman;serif" w:hAnsi="Times New Roman;serif"/>
          <w:sz w:val="24"/>
        </w:rPr>
      </w:pPr>
      <w:r>
        <w:rPr>
          <w:rFonts w:ascii="Times New Roman;serif" w:hAnsi="Times New Roman;serif"/>
          <w:b/>
          <w:sz w:val="24"/>
        </w:rPr>
        <w:t>IN WITNESS WHEREOF,</w:t>
      </w:r>
      <w:r>
        <w:rPr>
          <w:rFonts w:ascii="Times New Roman;serif" w:hAnsi="Times New Roman;serif"/>
          <w:sz w:val="24"/>
        </w:rPr>
        <w:t xml:space="preserve"> this Agreement is executed as of the date first written above.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66"/>
        <w:gridCol w:w="610"/>
        <w:gridCol w:w="2348"/>
        <w:gridCol w:w="3981"/>
      </w:tblGrid>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PLAINS ALL AMERICAN GP LLC</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1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2348"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/s/ Greg L. Armstrong</w:t>
            </w:r>
          </w:p>
        </w:tc>
        <w:tc>
          <w:tcPr>
            <w:tcW w:w="3981" w:type="dxa"/>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10" w:type="dxa"/>
            <w:tcBorders/>
            <w:shd w:fill="auto" w:val="clear"/>
          </w:tcPr>
          <w:p>
            <w:pPr>
              <w:pStyle w:val="TableContents"/>
              <w:spacing w:before="0" w:after="283"/>
              <w:rPr/>
            </w:pPr>
            <w:r>
              <w:rPr/>
              <w:t xml:space="preserve">  </w:t>
            </w:r>
          </w:p>
        </w:tc>
        <w:tc>
          <w:tcPr>
            <w:tcW w:w="6329"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Greg L. Armstrong</w:t>
            </w:r>
          </w:p>
        </w:tc>
      </w:tr>
      <w:tr>
        <w:trPr/>
        <w:tc>
          <w:tcPr>
            <w:tcW w:w="3266" w:type="dxa"/>
            <w:tcBorders/>
            <w:shd w:fill="auto" w:val="clear"/>
          </w:tcPr>
          <w:p>
            <w:pPr>
              <w:pStyle w:val="TableContents"/>
              <w:spacing w:before="0" w:after="283"/>
              <w:rPr/>
            </w:pPr>
            <w:r>
              <w:rPr/>
              <w:t xml:space="preserve">  </w:t>
            </w:r>
          </w:p>
        </w:tc>
        <w:tc>
          <w:tcPr>
            <w:tcW w:w="610" w:type="dxa"/>
            <w:tcBorders/>
            <w:shd w:fill="auto" w:val="clear"/>
          </w:tcPr>
          <w:p>
            <w:pPr>
              <w:pStyle w:val="TableContents"/>
              <w:spacing w:before="0" w:after="283"/>
              <w:rPr/>
            </w:pPr>
            <w:r>
              <w:rPr/>
              <w:t xml:space="preserve">  </w:t>
            </w:r>
          </w:p>
        </w:tc>
        <w:tc>
          <w:tcPr>
            <w:tcW w:w="6329"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Chairman and Chief Executive Officer</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PLAINS AAP, L.P.</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1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6329"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PLAINS ALL AMERICAN GP LLC,</w:t>
            </w:r>
          </w:p>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its General Partner</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1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2348"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/s/ Greg L. Armstrong</w:t>
            </w:r>
          </w:p>
        </w:tc>
        <w:tc>
          <w:tcPr>
            <w:tcW w:w="3981" w:type="dxa"/>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10" w:type="dxa"/>
            <w:tcBorders/>
            <w:shd w:fill="auto" w:val="clear"/>
          </w:tcPr>
          <w:p>
            <w:pPr>
              <w:pStyle w:val="TableContents"/>
              <w:spacing w:before="0" w:after="283"/>
              <w:rPr/>
            </w:pPr>
            <w:r>
              <w:rPr/>
              <w:t xml:space="preserve">  </w:t>
            </w:r>
          </w:p>
        </w:tc>
        <w:tc>
          <w:tcPr>
            <w:tcW w:w="6329"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Greg L. Armstrong</w:t>
            </w:r>
          </w:p>
        </w:tc>
      </w:tr>
      <w:tr>
        <w:trPr/>
        <w:tc>
          <w:tcPr>
            <w:tcW w:w="3266" w:type="dxa"/>
            <w:tcBorders/>
            <w:shd w:fill="auto" w:val="clear"/>
          </w:tcPr>
          <w:p>
            <w:pPr>
              <w:pStyle w:val="TableContents"/>
              <w:spacing w:before="0" w:after="283"/>
              <w:rPr/>
            </w:pPr>
            <w:r>
              <w:rPr/>
              <w:t xml:space="preserve">  </w:t>
            </w:r>
          </w:p>
        </w:tc>
        <w:tc>
          <w:tcPr>
            <w:tcW w:w="610" w:type="dxa"/>
            <w:tcBorders/>
            <w:shd w:fill="auto" w:val="clear"/>
          </w:tcPr>
          <w:p>
            <w:pPr>
              <w:pStyle w:val="TableContents"/>
              <w:spacing w:before="0" w:after="283"/>
              <w:rPr/>
            </w:pPr>
            <w:r>
              <w:rPr/>
              <w:t xml:space="preserve">  </w:t>
            </w:r>
          </w:p>
        </w:tc>
        <w:tc>
          <w:tcPr>
            <w:tcW w:w="6329"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Chairman and Chief Executive Officer</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Signature Page</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to</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Transaction Agreement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9" w:name="PGBRK23"/>
      <w:bookmarkStart w:id="250" w:name="PGBRK23"/>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FTR23"/>
      <w:bookmarkStart w:id="252" w:name="FTR23"/>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3" w:name="GLFTR23"/>
      <w:bookmarkEnd w:id="2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4" w:name="PN23"/>
      <w:bookmarkEnd w:id="25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 w:name="HDR23"/>
      <w:bookmarkStart w:id="256" w:name="HDR23"/>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7" w:name="GLHDR23"/>
      <w:bookmarkEnd w:id="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3060"/>
        <w:gridCol w:w="788"/>
        <w:gridCol w:w="2628"/>
        <w:gridCol w:w="3729"/>
      </w:tblGrid>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EXISTING OWNERS:</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VULCAN ENERGY GP HOLDINGS INC.</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8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628"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T. Geoff McKay</w:t>
            </w:r>
          </w:p>
        </w:tc>
        <w:tc>
          <w:tcPr>
            <w:tcW w:w="3729" w:type="dxa"/>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88" w:type="dxa"/>
            <w:tcBorders/>
            <w:shd w:fill="auto" w:val="clear"/>
          </w:tcPr>
          <w:p>
            <w:pPr>
              <w:pStyle w:val="TableContents"/>
              <w:spacing w:before="0" w:after="283"/>
              <w:rPr/>
            </w:pPr>
            <w:r>
              <w:rPr/>
              <w:t xml:space="preserve">  </w:t>
            </w:r>
          </w:p>
        </w:tc>
        <w:tc>
          <w:tcPr>
            <w:tcW w:w="6357" w:type="dxa"/>
            <w:gridSpan w:val="2"/>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    T. Geoff McKay</w:t>
            </w:r>
          </w:p>
        </w:tc>
      </w:tr>
      <w:tr>
        <w:trPr/>
        <w:tc>
          <w:tcPr>
            <w:tcW w:w="3060" w:type="dxa"/>
            <w:tcBorders/>
            <w:shd w:fill="auto" w:val="clear"/>
          </w:tcPr>
          <w:p>
            <w:pPr>
              <w:pStyle w:val="TableContents"/>
              <w:spacing w:before="0" w:after="283"/>
              <w:rPr/>
            </w:pPr>
            <w:r>
              <w:rPr/>
              <w:t xml:space="preserve">  </w:t>
            </w:r>
          </w:p>
        </w:tc>
        <w:tc>
          <w:tcPr>
            <w:tcW w:w="788" w:type="dxa"/>
            <w:tcBorders/>
            <w:shd w:fill="auto" w:val="clear"/>
          </w:tcPr>
          <w:p>
            <w:pPr>
              <w:pStyle w:val="TableContents"/>
              <w:spacing w:before="0" w:after="283"/>
              <w:rPr/>
            </w:pPr>
            <w:r>
              <w:rPr/>
              <w:t xml:space="preserve">  </w:t>
            </w:r>
          </w:p>
        </w:tc>
        <w:tc>
          <w:tcPr>
            <w:tcW w:w="6357"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Vice President and Chairman</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Address:</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505 Fifth Ave S Suite 900</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Seattle, WA 98104</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Fax:  (206) 342-3000</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Attention:  Geoff McKay</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OXY HOLDING COMPANY (PIPELINE), INC.</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88"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628"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Todd A. Stevens</w:t>
            </w:r>
          </w:p>
        </w:tc>
        <w:tc>
          <w:tcPr>
            <w:tcW w:w="3729" w:type="dxa"/>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88" w:type="dxa"/>
            <w:tcBorders/>
            <w:shd w:fill="auto" w:val="clear"/>
          </w:tcPr>
          <w:p>
            <w:pPr>
              <w:pStyle w:val="TableContents"/>
              <w:spacing w:before="0" w:after="283"/>
              <w:rPr/>
            </w:pPr>
            <w:r>
              <w:rPr/>
              <w:t xml:space="preserve">  </w:t>
            </w:r>
          </w:p>
        </w:tc>
        <w:tc>
          <w:tcPr>
            <w:tcW w:w="6357" w:type="dxa"/>
            <w:gridSpan w:val="2"/>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    Todd A. Stevens</w:t>
            </w:r>
          </w:p>
        </w:tc>
      </w:tr>
      <w:tr>
        <w:trPr/>
        <w:tc>
          <w:tcPr>
            <w:tcW w:w="3060" w:type="dxa"/>
            <w:tcBorders/>
            <w:shd w:fill="auto" w:val="clear"/>
          </w:tcPr>
          <w:p>
            <w:pPr>
              <w:pStyle w:val="TableContents"/>
              <w:spacing w:before="0" w:after="283"/>
              <w:rPr/>
            </w:pPr>
            <w:r>
              <w:rPr/>
              <w:t xml:space="preserve">  </w:t>
            </w:r>
          </w:p>
        </w:tc>
        <w:tc>
          <w:tcPr>
            <w:tcW w:w="788" w:type="dxa"/>
            <w:tcBorders/>
            <w:shd w:fill="auto" w:val="clear"/>
          </w:tcPr>
          <w:p>
            <w:pPr>
              <w:pStyle w:val="TableContents"/>
              <w:spacing w:before="0" w:after="283"/>
              <w:rPr/>
            </w:pPr>
            <w:r>
              <w:rPr/>
              <w:t xml:space="preserve">  </w:t>
            </w:r>
          </w:p>
        </w:tc>
        <w:tc>
          <w:tcPr>
            <w:tcW w:w="6357"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Vice President</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Address:</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Oxy Holding Company (Pipeline), Inc.</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10889 Wilshire Boulevard</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Los Angeles, California 90024</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Facsimile:  </w:t>
            </w:r>
            <w:r>
              <w:rPr>
                <w:rFonts w:ascii="times new roman;serif" w:hAnsi="times new roman;serif"/>
                <w:color w:val="191919"/>
                <w:sz w:val="24"/>
              </w:rPr>
              <w:t>310.443.6435</w:t>
            </w:r>
          </w:p>
          <w:p>
            <w:pPr>
              <w:pStyle w:val="TableContents"/>
              <w:spacing w:before="0" w:after="0"/>
              <w:ind w:left="0" w:right="0" w:hanging="0"/>
              <w:jc w:val="both"/>
              <w:rPr>
                <w:rFonts w:ascii="times new roman;serif" w:hAnsi="times new roman;serif"/>
                <w:sz w:val="24"/>
              </w:rPr>
            </w:pPr>
            <w:r>
              <w:rPr>
                <w:rFonts w:ascii="times new roman;serif" w:hAnsi="times new roman;serif"/>
                <w:color w:val="191919"/>
                <w:sz w:val="24"/>
              </w:rPr>
              <w:t>Attention:  Todd Stevens  </w:t>
            </w:r>
            <w:r>
              <w:rPr>
                <w:rFonts w:ascii="times new roman;serif" w:hAnsi="times new roman;serif"/>
                <w:color w:val="191919"/>
                <w:sz w:val="24"/>
                <w:u w:val="single"/>
                <w:bdr w:val="double" w:sz="2" w:space="1" w:color="000000"/>
              </w:rPr>
              <w:t xml:space="preserve"> </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with a copy (which shall not constitute notice) to:</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283"/>
              <w:rPr/>
            </w:pPr>
            <w:r>
              <w:rPr/>
              <w:t xml:space="preserve">  </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Occidental Petroleum Corporation</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10889 Wilshire Boulevard</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Los Angeles, California 90024</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Facsimile:  310.443.6333</w:t>
            </w:r>
          </w:p>
        </w:tc>
      </w:tr>
      <w:tr>
        <w:trPr/>
        <w:tc>
          <w:tcPr>
            <w:tcW w:w="3060" w:type="dxa"/>
            <w:tcBorders/>
            <w:shd w:fill="auto" w:val="clear"/>
          </w:tcPr>
          <w:p>
            <w:pPr>
              <w:pStyle w:val="TableContents"/>
              <w:spacing w:before="0" w:after="283"/>
              <w:rPr/>
            </w:pPr>
            <w:r>
              <w:rPr/>
              <w:t xml:space="preserve">  </w:t>
            </w:r>
          </w:p>
        </w:tc>
        <w:tc>
          <w:tcPr>
            <w:tcW w:w="7145"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Attention:  Ken Royer</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8" w:name="PGBRK24"/>
      <w:bookmarkStart w:id="259" w:name="PGBRK24"/>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FTR24"/>
      <w:bookmarkStart w:id="261" w:name="FTR24"/>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2" w:name="GLFTR24"/>
      <w:bookmarkEnd w:id="2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3" w:name="PN24"/>
      <w:bookmarkEnd w:id="26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 w:name="HDR24"/>
      <w:bookmarkStart w:id="265" w:name="HDR24"/>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6" w:name="GLHDR24"/>
      <w:bookmarkEnd w:id="2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3265"/>
        <w:gridCol w:w="612"/>
        <w:gridCol w:w="2347"/>
        <w:gridCol w:w="3981"/>
      </w:tblGrid>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KAFU HOLDINGS L.P., INC.</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47"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David Shladovsky</w:t>
            </w:r>
          </w:p>
        </w:tc>
        <w:tc>
          <w:tcPr>
            <w:tcW w:w="3981" w:type="dxa"/>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2347" w:type="dxa"/>
            <w:tcBorders/>
            <w:shd w:fill="auto" w:val="clear"/>
          </w:tcPr>
          <w:p>
            <w:pPr>
              <w:pStyle w:val="TableContents"/>
              <w:spacing w:before="0" w:after="0"/>
              <w:ind w:left="60" w:right="0" w:hanging="0"/>
              <w:jc w:val="both"/>
              <w:rPr>
                <w:rFonts w:ascii="times new roman;serif" w:hAnsi="times new roman;serif"/>
                <w:sz w:val="24"/>
              </w:rPr>
            </w:pPr>
            <w:r>
              <w:rPr>
                <w:rFonts w:ascii="times new roman;serif" w:hAnsi="times new roman;serif"/>
                <w:sz w:val="24"/>
              </w:rPr>
              <w:t>Name:  David Shladovsky</w:t>
            </w:r>
          </w:p>
        </w:tc>
        <w:tc>
          <w:tcPr>
            <w:tcW w:w="3981" w:type="dxa"/>
            <w:tcBorders/>
            <w:shd w:fill="auto" w:val="clear"/>
          </w:tcPr>
          <w:p>
            <w:pPr>
              <w:pStyle w:val="TableContents"/>
              <w:spacing w:before="0" w:after="283"/>
              <w:rPr/>
            </w:pPr>
            <w:r>
              <w:rPr/>
              <w:t> </w:t>
            </w:r>
          </w:p>
        </w:tc>
      </w:tr>
      <w:tr>
        <w:trPr/>
        <w:tc>
          <w:tcPr>
            <w:tcW w:w="326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2347" w:type="dxa"/>
            <w:tcBorders/>
            <w:shd w:fill="auto" w:val="clear"/>
          </w:tcPr>
          <w:p>
            <w:pPr>
              <w:pStyle w:val="TableContents"/>
              <w:spacing w:before="0" w:after="283"/>
              <w:rPr>
                <w:rFonts w:ascii="times new roman;serif" w:hAnsi="times new roman;serif"/>
                <w:sz w:val="24"/>
              </w:rPr>
            </w:pPr>
            <w:r>
              <w:rPr>
                <w:rFonts w:ascii="times new roman;serif" w:hAnsi="times new roman;serif"/>
                <w:sz w:val="24"/>
              </w:rPr>
              <w:t>Title:   General Counsel</w:t>
            </w:r>
          </w:p>
        </w:tc>
        <w:tc>
          <w:tcPr>
            <w:tcW w:w="3981" w:type="dxa"/>
            <w:tcBorders/>
            <w:shd w:fill="auto" w:val="clear"/>
          </w:tcPr>
          <w:p>
            <w:pPr>
              <w:pStyle w:val="TableContents"/>
              <w:spacing w:before="0" w:after="283"/>
              <w:rPr/>
            </w:pPr>
            <w:r>
              <w:rPr/>
              <w:t>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Address:</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c/o Kayne Anderson Capital Advisors, L.P.</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717 Texas Avenue, Suite 3100</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Houston, Texas  77002</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Facsimile:  713.655.7359</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Attention:  James C. Baker</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PAA MANAGEMENT, L.P.</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47"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Greg L. Armstrong</w:t>
            </w:r>
          </w:p>
        </w:tc>
        <w:tc>
          <w:tcPr>
            <w:tcW w:w="3981" w:type="dxa"/>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2347" w:type="dxa"/>
            <w:tcBorders/>
            <w:shd w:fill="auto" w:val="clear"/>
          </w:tcPr>
          <w:p>
            <w:pPr>
              <w:pStyle w:val="TableContents"/>
              <w:spacing w:before="0" w:after="283"/>
              <w:rPr>
                <w:rFonts w:ascii="times new roman;serif" w:hAnsi="times new roman;serif"/>
                <w:sz w:val="24"/>
              </w:rPr>
            </w:pPr>
            <w:r>
              <w:rPr>
                <w:rFonts w:ascii="times new roman;serif" w:hAnsi="times new roman;serif"/>
                <w:sz w:val="24"/>
              </w:rPr>
              <w:t>Name:  Greg L. Armstrong</w:t>
            </w:r>
          </w:p>
        </w:tc>
        <w:tc>
          <w:tcPr>
            <w:tcW w:w="3981" w:type="dxa"/>
            <w:tcBorders/>
            <w:shd w:fill="auto" w:val="clear"/>
          </w:tcPr>
          <w:p>
            <w:pPr>
              <w:pStyle w:val="TableContents"/>
              <w:spacing w:before="0" w:after="283"/>
              <w:rPr/>
            </w:pPr>
            <w:r>
              <w:rPr/>
              <w:t> </w:t>
            </w:r>
          </w:p>
        </w:tc>
      </w:tr>
      <w:tr>
        <w:trPr/>
        <w:tc>
          <w:tcPr>
            <w:tcW w:w="326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2347"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President &amp; CEO of PAA Management LLC, general partner</w:t>
            </w:r>
          </w:p>
        </w:tc>
        <w:tc>
          <w:tcPr>
            <w:tcW w:w="3981" w:type="dxa"/>
            <w:tcBorders/>
            <w:shd w:fill="auto" w:val="clear"/>
          </w:tcPr>
          <w:p>
            <w:pPr>
              <w:pStyle w:val="TableContents"/>
              <w:spacing w:before="0" w:after="283"/>
              <w:rPr/>
            </w:pPr>
            <w:r>
              <w:rPr/>
              <w:t>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Address:</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25"/>
        <w:gridCol w:w="689"/>
        <w:gridCol w:w="2359"/>
        <w:gridCol w:w="3932"/>
      </w:tblGrid>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STROME GROUP L.P.</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8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59"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Illegible</w:t>
            </w:r>
          </w:p>
        </w:tc>
        <w:tc>
          <w:tcPr>
            <w:tcW w:w="3932" w:type="dxa"/>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89" w:type="dxa"/>
            <w:tcBorders/>
            <w:shd w:fill="auto" w:val="clear"/>
          </w:tcPr>
          <w:p>
            <w:pPr>
              <w:pStyle w:val="TableContents"/>
              <w:spacing w:before="0" w:after="0"/>
              <w:ind w:left="1440" w:right="0" w:hanging="1440"/>
              <w:jc w:val="both"/>
              <w:rPr>
                <w:rFonts w:ascii="times new roman;serif" w:hAnsi="times new roman;serif"/>
                <w:sz w:val="24"/>
              </w:rPr>
            </w:pPr>
            <w:r>
              <w:rPr>
                <w:rFonts w:ascii="times new roman;serif" w:hAnsi="times new roman;serif"/>
                <w:sz w:val="24"/>
              </w:rPr>
              <w:t>Name:</w:t>
            </w:r>
          </w:p>
        </w:tc>
        <w:tc>
          <w:tcPr>
            <w:tcW w:w="2359" w:type="dxa"/>
            <w:tcBorders/>
            <w:shd w:fill="auto" w:val="clear"/>
          </w:tcPr>
          <w:p>
            <w:pPr>
              <w:pStyle w:val="TableContents"/>
              <w:spacing w:before="0" w:after="283"/>
              <w:rPr/>
            </w:pPr>
            <w:r>
              <w:rPr/>
              <w:t xml:space="preserve">  </w:t>
            </w:r>
          </w:p>
        </w:tc>
        <w:tc>
          <w:tcPr>
            <w:tcW w:w="3932" w:type="dxa"/>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89"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w:t>
            </w:r>
          </w:p>
        </w:tc>
        <w:tc>
          <w:tcPr>
            <w:tcW w:w="2359" w:type="dxa"/>
            <w:tcBorders/>
            <w:shd w:fill="auto" w:val="clear"/>
          </w:tcPr>
          <w:p>
            <w:pPr>
              <w:pStyle w:val="TableContents"/>
              <w:spacing w:before="0" w:after="283"/>
              <w:rPr/>
            </w:pPr>
            <w:r>
              <w:rPr/>
              <w:t xml:space="preserve">  </w:t>
            </w:r>
          </w:p>
        </w:tc>
        <w:tc>
          <w:tcPr>
            <w:tcW w:w="3932" w:type="dxa"/>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Address:</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Signature Page</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to</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Transaction Agreement</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7" w:name="PGBRK25"/>
      <w:bookmarkStart w:id="268" w:name="PGBRK25"/>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9" w:name="FTR25"/>
      <w:bookmarkStart w:id="270" w:name="FTR25"/>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1" w:name="GLFTR25"/>
      <w:bookmarkEnd w:id="2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2" w:name="PN25"/>
      <w:bookmarkEnd w:id="27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 w:name="HDR25"/>
      <w:bookmarkStart w:id="274" w:name="HDR25"/>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5" w:name="GLHDR25"/>
      <w:bookmarkEnd w:id="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25"/>
        <w:gridCol w:w="689"/>
        <w:gridCol w:w="2359"/>
        <w:gridCol w:w="3932"/>
      </w:tblGrid>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STROME MLP FUND, L.P.</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89"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59"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Illegible</w:t>
            </w:r>
          </w:p>
        </w:tc>
        <w:tc>
          <w:tcPr>
            <w:tcW w:w="3932" w:type="dxa"/>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89" w:type="dxa"/>
            <w:tcBorders/>
            <w:shd w:fill="auto" w:val="clear"/>
          </w:tcPr>
          <w:p>
            <w:pPr>
              <w:pStyle w:val="TableContents"/>
              <w:spacing w:before="0" w:after="0"/>
              <w:ind w:left="1440" w:right="0" w:hanging="1440"/>
              <w:jc w:val="both"/>
              <w:rPr>
                <w:rFonts w:ascii="times new roman;serif" w:hAnsi="times new roman;serif"/>
                <w:sz w:val="24"/>
              </w:rPr>
            </w:pPr>
            <w:r>
              <w:rPr>
                <w:rFonts w:ascii="times new roman;serif" w:hAnsi="times new roman;serif"/>
                <w:sz w:val="24"/>
              </w:rPr>
              <w:t>Name:</w:t>
            </w:r>
          </w:p>
        </w:tc>
        <w:tc>
          <w:tcPr>
            <w:tcW w:w="2359" w:type="dxa"/>
            <w:tcBorders/>
            <w:shd w:fill="auto" w:val="clear"/>
          </w:tcPr>
          <w:p>
            <w:pPr>
              <w:pStyle w:val="TableContents"/>
              <w:spacing w:before="0" w:after="283"/>
              <w:rPr/>
            </w:pPr>
            <w:r>
              <w:rPr/>
              <w:t xml:space="preserve">  </w:t>
            </w:r>
          </w:p>
        </w:tc>
        <w:tc>
          <w:tcPr>
            <w:tcW w:w="3932" w:type="dxa"/>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89"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w:t>
            </w:r>
          </w:p>
        </w:tc>
        <w:tc>
          <w:tcPr>
            <w:tcW w:w="2359" w:type="dxa"/>
            <w:tcBorders/>
            <w:shd w:fill="auto" w:val="clear"/>
          </w:tcPr>
          <w:p>
            <w:pPr>
              <w:pStyle w:val="TableContents"/>
              <w:spacing w:before="0" w:after="283"/>
              <w:rPr/>
            </w:pPr>
            <w:r>
              <w:rPr/>
              <w:t xml:space="preserve">  </w:t>
            </w:r>
          </w:p>
        </w:tc>
        <w:tc>
          <w:tcPr>
            <w:tcW w:w="3932" w:type="dxa"/>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Address:</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283"/>
              <w:rPr/>
            </w:pPr>
            <w:r>
              <w:rPr/>
              <w:t xml:space="preserve">  </w:t>
            </w:r>
          </w:p>
        </w:tc>
      </w:tr>
      <w:tr>
        <w:trPr/>
        <w:tc>
          <w:tcPr>
            <w:tcW w:w="3225" w:type="dxa"/>
            <w:tcBorders/>
            <w:shd w:fill="auto" w:val="clear"/>
          </w:tcPr>
          <w:p>
            <w:pPr>
              <w:pStyle w:val="TableContents"/>
              <w:spacing w:before="0" w:after="283"/>
              <w:rPr/>
            </w:pPr>
            <w:r>
              <w:rPr/>
              <w:t xml:space="preserve">  </w:t>
            </w:r>
          </w:p>
        </w:tc>
        <w:tc>
          <w:tcPr>
            <w:tcW w:w="6980" w:type="dxa"/>
            <w:gridSpan w:val="3"/>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65"/>
        <w:gridCol w:w="612"/>
        <w:gridCol w:w="2347"/>
        <w:gridCol w:w="3981"/>
      </w:tblGrid>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LYNX HOLDINGS I, LLC</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47"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John T. Raymond</w:t>
            </w:r>
          </w:p>
        </w:tc>
        <w:tc>
          <w:tcPr>
            <w:tcW w:w="3981" w:type="dxa"/>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2347"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John T. Raymond, Sole Member</w:t>
            </w:r>
          </w:p>
        </w:tc>
        <w:tc>
          <w:tcPr>
            <w:tcW w:w="3981" w:type="dxa"/>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Address:</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Lynx Holdings I, LLC</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1401 McKinney Street, Suite 1025</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Houston, Texas  77010</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Facsimile:  713.579.5010</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Attention:  John T. Raymond</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Signature Page</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to</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Transaction Agreement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6" w:name="PGBRK26"/>
      <w:bookmarkStart w:id="277" w:name="PGBRK26"/>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8" w:name="FTR26"/>
      <w:bookmarkStart w:id="279" w:name="FTR26"/>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0" w:name="GLFTR26"/>
      <w:bookmarkEnd w:id="2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1" w:name="PN26"/>
      <w:bookmarkEnd w:id="28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2" w:name="HDR26"/>
      <w:bookmarkStart w:id="283" w:name="HDR26"/>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4" w:name="GLHDR26"/>
      <w:bookmarkEnd w:id="2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3266"/>
        <w:gridCol w:w="611"/>
        <w:gridCol w:w="2347"/>
        <w:gridCol w:w="3981"/>
      </w:tblGrid>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VULCAN ENERGY CORPORATION</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11"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47" w:type="dxa"/>
            <w:tcBorders>
              <w:bottom w:val="single" w:sz="12" w:space="0" w:color="000000"/>
            </w:tcBorders>
            <w:shd w:fill="auto" w:val="clear"/>
            <w:tcMar>
              <w:bottom w:w="28" w:type="dxa"/>
            </w:tcMar>
          </w:tcPr>
          <w:p>
            <w:pPr>
              <w:pStyle w:val="TableContents"/>
              <w:spacing w:before="0" w:after="0"/>
              <w:ind w:left="60" w:right="0" w:hanging="0"/>
              <w:jc w:val="both"/>
              <w:rPr>
                <w:rFonts w:ascii="times new roman;serif" w:hAnsi="times new roman;serif"/>
                <w:sz w:val="24"/>
              </w:rPr>
            </w:pPr>
            <w:r>
              <w:rPr>
                <w:rFonts w:ascii="times new roman;serif" w:hAnsi="times new roman;serif"/>
                <w:sz w:val="24"/>
              </w:rPr>
              <w:t>/s/ T. Geoff McKay</w:t>
            </w:r>
          </w:p>
        </w:tc>
        <w:tc>
          <w:tcPr>
            <w:tcW w:w="3981" w:type="dxa"/>
            <w:tcBorders/>
            <w:shd w:fill="auto" w:val="clear"/>
          </w:tcPr>
          <w:p>
            <w:pPr>
              <w:pStyle w:val="TableContents"/>
              <w:spacing w:before="0" w:after="283"/>
              <w:rPr/>
            </w:pPr>
            <w:r>
              <w:rPr/>
              <w:t xml:space="preserve">  </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    T. Geoff McKay</w:t>
            </w:r>
          </w:p>
        </w:tc>
      </w:tr>
      <w:tr>
        <w:trPr/>
        <w:tc>
          <w:tcPr>
            <w:tcW w:w="3266" w:type="dxa"/>
            <w:tcBorders/>
            <w:shd w:fill="auto" w:val="clear"/>
          </w:tcPr>
          <w:p>
            <w:pPr>
              <w:pStyle w:val="TableContents"/>
              <w:spacing w:before="0" w:after="283"/>
              <w:rPr/>
            </w:pPr>
            <w:r>
              <w:rPr/>
              <w:t xml:space="preserve">  </w:t>
            </w:r>
          </w:p>
        </w:tc>
        <w:tc>
          <w:tcPr>
            <w:tcW w:w="6939"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Vice President and Chairman</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Signature Page</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to</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Transaction Agreement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5" w:name="PGBRK27"/>
      <w:bookmarkStart w:id="286" w:name="PGBRK27"/>
      <w:bookmarkEnd w:id="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7" w:name="FTR27"/>
      <w:bookmarkStart w:id="288" w:name="FTR27"/>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9" w:name="GLFTR27"/>
      <w:bookmarkEnd w:id="2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0" w:name="PN27"/>
      <w:bookmarkEnd w:id="29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1" w:name="HDR27"/>
      <w:bookmarkStart w:id="292" w:name="HDR27"/>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3" w:name="GLHDR27"/>
      <w:bookmarkEnd w:id="2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39"/>
        <w:gridCol w:w="635"/>
        <w:gridCol w:w="2379"/>
        <w:gridCol w:w="3952"/>
      </w:tblGrid>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PURCHASERS:</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EMG INVESTMENT, LLC</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    EMG Admin, LP, its manager</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35" w:type="dxa"/>
            <w:tcBorders/>
            <w:shd w:fill="auto" w:val="clear"/>
          </w:tcPr>
          <w:p>
            <w:pPr>
              <w:pStyle w:val="TableContents"/>
              <w:spacing w:before="0" w:after="0"/>
              <w:ind w:left="0" w:right="0" w:hanging="0"/>
              <w:jc w:val="both"/>
              <w:rPr/>
            </w:pPr>
            <w:r>
              <w:rPr/>
              <w:t>    </w:t>
            </w:r>
            <w:r>
              <w:rPr>
                <w:rFonts w:ascii="times new roman;serif" w:hAnsi="times new roman;serif"/>
                <w:sz w:val="24"/>
              </w:rPr>
              <w:t>By:</w:t>
            </w:r>
          </w:p>
        </w:tc>
        <w:tc>
          <w:tcPr>
            <w:tcW w:w="6331" w:type="dxa"/>
            <w:gridSpan w:val="2"/>
            <w:tcBorders/>
            <w:shd w:fill="auto" w:val="clear"/>
          </w:tcPr>
          <w:p>
            <w:pPr>
              <w:pStyle w:val="TableContents"/>
              <w:spacing w:before="0" w:after="0"/>
              <w:ind w:left="180" w:right="0" w:hanging="0"/>
              <w:jc w:val="both"/>
              <w:rPr>
                <w:rFonts w:ascii="times new roman;serif" w:hAnsi="times new roman;serif"/>
                <w:sz w:val="24"/>
              </w:rPr>
            </w:pPr>
            <w:r>
              <w:rPr>
                <w:rFonts w:ascii="times new roman;serif" w:hAnsi="times new roman;serif"/>
                <w:sz w:val="24"/>
              </w:rPr>
              <w:t>EMG Admin GP, LLC, its general partner</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3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79"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John T. Raymond</w:t>
            </w:r>
          </w:p>
        </w:tc>
        <w:tc>
          <w:tcPr>
            <w:tcW w:w="3952" w:type="dxa"/>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35" w:type="dxa"/>
            <w:tcBorders/>
            <w:shd w:fill="auto" w:val="clear"/>
          </w:tcPr>
          <w:p>
            <w:pPr>
              <w:pStyle w:val="TableContents"/>
              <w:spacing w:before="0" w:after="283"/>
              <w:rPr/>
            </w:pPr>
            <w:r>
              <w:rPr/>
              <w:t xml:space="preserve">  </w:t>
            </w:r>
          </w:p>
        </w:tc>
        <w:tc>
          <w:tcPr>
            <w:tcW w:w="2379"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John T. Raymond, Member</w:t>
            </w:r>
          </w:p>
        </w:tc>
        <w:tc>
          <w:tcPr>
            <w:tcW w:w="3952" w:type="dxa"/>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KAFU HOLDINGS II, L.P.</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    KAFU Holdings, LLC, its general partner</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3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79"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David Shladovsky</w:t>
            </w:r>
          </w:p>
        </w:tc>
        <w:tc>
          <w:tcPr>
            <w:tcW w:w="3952" w:type="dxa"/>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    David Shladovsky</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General Counsel</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KA FIRST RESERVE XII, LLC</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    KA Fund Advisors, LLC, its managing member</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3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79"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James C. Baker</w:t>
            </w:r>
          </w:p>
        </w:tc>
        <w:tc>
          <w:tcPr>
            <w:tcW w:w="3952" w:type="dxa"/>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    James C. Baker</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Senior Managing Director</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KAYNE ANDERSON MLP INVESTMENT COMPANY</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3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79"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James C. Baker</w:t>
            </w:r>
          </w:p>
        </w:tc>
        <w:tc>
          <w:tcPr>
            <w:tcW w:w="3952" w:type="dxa"/>
            <w:tcBorders/>
            <w:shd w:fill="auto" w:val="clear"/>
          </w:tcPr>
          <w:p>
            <w:pPr>
              <w:pStyle w:val="TableContents"/>
              <w:spacing w:before="0" w:after="283"/>
              <w:rPr/>
            </w:pPr>
            <w:r>
              <w:rPr/>
              <w:t xml:space="preserve">  </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    James C. Baker</w:t>
            </w:r>
          </w:p>
        </w:tc>
      </w:tr>
      <w:tr>
        <w:trPr/>
        <w:tc>
          <w:tcPr>
            <w:tcW w:w="3239" w:type="dxa"/>
            <w:tcBorders/>
            <w:shd w:fill="auto" w:val="clear"/>
          </w:tcPr>
          <w:p>
            <w:pPr>
              <w:pStyle w:val="TableContents"/>
              <w:spacing w:before="0" w:after="283"/>
              <w:rPr/>
            </w:pPr>
            <w:r>
              <w:rPr/>
              <w:t xml:space="preserve">  </w:t>
            </w:r>
          </w:p>
        </w:tc>
        <w:tc>
          <w:tcPr>
            <w:tcW w:w="6966"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Executive Vice President</w:t>
            </w:r>
          </w:p>
        </w:tc>
      </w:tr>
    </w:tbl>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Signature Page</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to</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Transaction Agreement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4" w:name="PGBRK28"/>
      <w:bookmarkStart w:id="295" w:name="PGBRK28"/>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6" w:name="FTR28"/>
      <w:bookmarkStart w:id="297" w:name="FTR28"/>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8" w:name="GLFTR28"/>
      <w:bookmarkEnd w:id="2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9" w:name="PN28"/>
      <w:bookmarkEnd w:id="29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 w:name="HDR28"/>
      <w:bookmarkStart w:id="301" w:name="HDR28"/>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2" w:name="GLHDR28"/>
      <w:bookmarkEnd w:id="3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65"/>
        <w:gridCol w:w="612"/>
        <w:gridCol w:w="2347"/>
        <w:gridCol w:w="3981"/>
      </w:tblGrid>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KAYNE ANDERSON ENERGY DEVELOPMENT COMPANY</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47"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James C. Baker</w:t>
            </w:r>
          </w:p>
        </w:tc>
        <w:tc>
          <w:tcPr>
            <w:tcW w:w="3981" w:type="dxa"/>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2959" w:type="dxa"/>
            <w:gridSpan w:val="2"/>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   James C. Baker</w:t>
            </w:r>
          </w:p>
        </w:tc>
        <w:tc>
          <w:tcPr>
            <w:tcW w:w="3981" w:type="dxa"/>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Executive Vice President</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KAYNE ANDERSON MIDSTREAM/ENERGY FUND, INC.</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47"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James C. Baker</w:t>
            </w:r>
          </w:p>
        </w:tc>
        <w:tc>
          <w:tcPr>
            <w:tcW w:w="3981" w:type="dxa"/>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    James C. Baker</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Executive Vice President</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OXY HOLDING COMPANY (PIPELINE), INC.</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47"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Todd A. Stevens</w:t>
            </w:r>
          </w:p>
        </w:tc>
        <w:tc>
          <w:tcPr>
            <w:tcW w:w="3981" w:type="dxa"/>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   Todd A. Stevens</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Vice President</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Signature Page</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to</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Transaction Agreement</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3" w:name="PGBRK29"/>
      <w:bookmarkStart w:id="304" w:name="PGBRK29"/>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5" w:name="FTR29"/>
      <w:bookmarkStart w:id="306" w:name="FTR29"/>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7" w:name="GLFTR29"/>
      <w:bookmarkEnd w:id="3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8" w:name="PN29"/>
      <w:bookmarkEnd w:id="30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HDR29"/>
      <w:bookmarkStart w:id="310" w:name="HDR29"/>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1" w:name="GLHDR29"/>
      <w:bookmarkEnd w:id="3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65"/>
        <w:gridCol w:w="611"/>
        <w:gridCol w:w="2347"/>
        <w:gridCol w:w="3982"/>
      </w:tblGrid>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STROME PAA, L.P.</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11"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47"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Illegible</w:t>
            </w:r>
          </w:p>
        </w:tc>
        <w:tc>
          <w:tcPr>
            <w:tcW w:w="3982" w:type="dxa"/>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WINDY, L.L.C.</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11"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2347"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W. David Scott</w:t>
            </w:r>
          </w:p>
        </w:tc>
        <w:tc>
          <w:tcPr>
            <w:tcW w:w="3982" w:type="dxa"/>
            <w:tcBorders/>
            <w:shd w:fill="auto" w:val="clear"/>
          </w:tcPr>
          <w:p>
            <w:pPr>
              <w:pStyle w:val="TableContents"/>
              <w:spacing w:before="0" w:after="283"/>
              <w:rPr/>
            </w:pPr>
            <w:r>
              <w:rPr/>
              <w:t xml:space="preserve">  </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    W. David Scott</w:t>
            </w:r>
          </w:p>
        </w:tc>
      </w:tr>
      <w:tr>
        <w:trPr/>
        <w:tc>
          <w:tcPr>
            <w:tcW w:w="3265" w:type="dxa"/>
            <w:tcBorders/>
            <w:shd w:fill="auto" w:val="clear"/>
          </w:tcPr>
          <w:p>
            <w:pPr>
              <w:pStyle w:val="TableContents"/>
              <w:spacing w:before="0" w:after="283"/>
              <w:rPr/>
            </w:pPr>
            <w:r>
              <w:rPr/>
              <w:t xml:space="preserve">  </w:t>
            </w:r>
          </w:p>
        </w:tc>
        <w:tc>
          <w:tcPr>
            <w:tcW w:w="694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       Manager</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Signature Page</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to</w:t>
      </w:r>
    </w:p>
    <w:p>
      <w:pPr>
        <w:pStyle w:val="TextBody"/>
        <w:spacing w:before="0" w:after="0"/>
        <w:ind w:left="0" w:right="0" w:hanging="0"/>
        <w:jc w:val="center"/>
        <w:rPr>
          <w:rFonts w:ascii="Times New Roman;serif" w:hAnsi="Times New Roman;serif"/>
          <w:sz w:val="20"/>
        </w:rPr>
      </w:pPr>
      <w:r>
        <w:rPr>
          <w:rFonts w:ascii="Times New Roman;serif" w:hAnsi="Times New Roman;serif"/>
          <w:sz w:val="20"/>
        </w:rPr>
        <w:t>Transaction Agreement</w:t>
      </w:r>
    </w:p>
    <w:p>
      <w:pPr>
        <w:pStyle w:val="TextBody"/>
        <w:spacing w:before="0" w:after="0"/>
        <w:ind w:left="0" w:right="0" w:hanging="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altName w:val="serif"/>
    <w:charset w:val="00"/>
    <w:family w:val="auto"/>
    <w:pitch w:val="default"/>
  </w:font>
  <w:font w:name="wingdings">
    <w:charset w:val="00"/>
    <w:family w:val="auto"/>
    <w:pitch w:val="default"/>
  </w:font>
  <w:font w:name="Times New Roman Cyr">
    <w:altName w:val="serif"/>
    <w:charset w:val="00"/>
    <w:family w:val="auto"/>
    <w:pitch w:val="default"/>
  </w:font>
  <w:font w:name="times new roman cyr">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6127</Words>
  <CharactersWithSpaces>39248</CharactersWithSpaces>
  <Paragraphs>1618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