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32"/>
          <w:szCs w:val="32"/>
          <w:color w:val="auto"/>
        </w:rPr>
        <w:t>SCHEDULE 13G*</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(Rule 13d-102)</w:t>
      </w:r>
    </w:p>
    <w:p>
      <w:pPr>
        <w:spacing w:after="0" w:line="23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INFORMATION TO BE INCLUDED</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IN STATEMENTS FILED PURSUANT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TO RULES 13d-1(b), (c), AND</w:t>
      </w:r>
    </w:p>
    <w:p>
      <w:pPr>
        <w:spacing w:after="0" w:line="9" w:lineRule="exact"/>
        <w:rPr>
          <w:sz w:val="24"/>
          <w:szCs w:val="24"/>
          <w:color w:val="auto"/>
        </w:rPr>
      </w:pPr>
    </w:p>
    <w:p>
      <w:pPr>
        <w:jc w:val="both"/>
        <w:ind w:left="4340" w:right="4240" w:hanging="37"/>
        <w:spacing w:after="0" w:line="265" w:lineRule="auto"/>
        <w:tabs>
          <w:tab w:leader="none" w:pos="4568" w:val="left"/>
        </w:tabs>
        <w:numPr>
          <w:ilvl w:val="0"/>
          <w:numId w:val="1"/>
        </w:numPr>
        <w:rPr>
          <w:rFonts w:ascii="Arial" w:cs="Arial" w:eastAsia="Arial" w:hAnsi="Arial"/>
          <w:sz w:val="17"/>
          <w:szCs w:val="17"/>
          <w:color w:val="auto"/>
        </w:rPr>
      </w:pPr>
      <w:r>
        <w:rPr>
          <w:rFonts w:ascii="Arial" w:cs="Arial" w:eastAsia="Arial" w:hAnsi="Arial"/>
          <w:sz w:val="17"/>
          <w:szCs w:val="17"/>
          <w:color w:val="auto"/>
        </w:rPr>
        <w:t>AND AMENDMENTS THERETO FILED PURSUANT TO RULE 13d-2</w:t>
      </w:r>
    </w:p>
    <w:p>
      <w:pPr>
        <w:ind w:left="4580"/>
        <w:spacing w:after="0"/>
        <w:rPr>
          <w:rFonts w:ascii="Arial" w:cs="Arial" w:eastAsia="Arial" w:hAnsi="Arial"/>
          <w:sz w:val="17"/>
          <w:szCs w:val="17"/>
          <w:color w:val="auto"/>
        </w:rPr>
      </w:pPr>
      <w:r>
        <w:rPr>
          <w:rFonts w:ascii="Arial" w:cs="Arial" w:eastAsia="Arial" w:hAnsi="Arial"/>
          <w:sz w:val="18"/>
          <w:szCs w:val="18"/>
          <w:color w:val="auto"/>
        </w:rPr>
        <w:t>(AMENDMENT NO. ONE  )*</w:t>
      </w: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43"/>
          <w:szCs w:val="43"/>
          <w:u w:val="single" w:color="auto"/>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Common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726503105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33" w:lineRule="exact"/>
        <w:rPr>
          <w:sz w:val="24"/>
          <w:szCs w:val="24"/>
          <w:color w:val="auto"/>
        </w:rPr>
      </w:pPr>
    </w:p>
    <w:p>
      <w:pPr>
        <w:jc w:val="both"/>
        <w:ind w:right="9820" w:firstLine="8"/>
        <w:spacing w:after="0" w:line="271" w:lineRule="exact"/>
        <w:tabs>
          <w:tab w:leader="none" w:pos="306"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Rule 13d-1(b)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13d-1(c)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13d-1(d)</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2720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41" w:right="299" w:bottom="1440" w:gutter="0" w:footer="0" w:header="0"/>
        </w:sectPr>
      </w:pPr>
    </w:p>
    <w:bookmarkStart w:id="1" w:name="page2"/>
    <w:bookmarkEnd w:id="1"/>
    <w:p>
      <w:pPr>
        <w:ind w:left="1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6457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457315"/>
                    </a:xfrm>
                    <a:prstGeom prst="rect">
                      <a:avLst/>
                    </a:prstGeom>
                    <a:noFill/>
                  </pic:spPr>
                </pic:pic>
              </a:graphicData>
            </a:graphic>
          </wp:anchor>
        </w:drawing>
        <w:t>NAMES OF REPORTING PERSONS</w:t>
      </w:r>
    </w:p>
    <w:p>
      <w:pPr>
        <w:spacing w:after="0" w:line="63" w:lineRule="exact"/>
        <w:rPr>
          <w:sz w:val="20"/>
          <w:szCs w:val="20"/>
          <w:color w:val="auto"/>
        </w:rPr>
      </w:pPr>
    </w:p>
    <w:p>
      <w:pPr>
        <w:ind w:left="1440" w:right="4100" w:hanging="817"/>
        <w:spacing w:after="0" w:line="180" w:lineRule="auto"/>
        <w:tabs>
          <w:tab w:leader="none" w:pos="1431" w:val="left"/>
        </w:tabs>
        <w:numPr>
          <w:ilvl w:val="0"/>
          <w:numId w:val="3"/>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Tortoise Capital Advisors, L.L.C.</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7"/>
        <w:spacing w:after="0" w:line="322" w:lineRule="exact"/>
        <w:tabs>
          <w:tab w:leader="none" w:pos="142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6"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color w:val="auto"/>
        </w:rPr>
        <w:t>(b) [x]</w:t>
      </w:r>
    </w:p>
    <w:p>
      <w:pPr>
        <w:spacing w:after="0" w:line="5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7"/>
        <w:spacing w:after="0" w:line="182" w:lineRule="auto"/>
        <w:tabs>
          <w:tab w:leader="none" w:pos="1440" w:val="left"/>
        </w:tabs>
        <w:numPr>
          <w:ilvl w:val="0"/>
          <w:numId w:val="5"/>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00" w:type="dxa"/>
            <w:vAlign w:val="bottom"/>
            <w:tcBorders>
              <w:top w:val="single" w:sz="8" w:color="auto"/>
            </w:tcBorders>
          </w:tcPr>
          <w:p>
            <w:pPr>
              <w:spacing w:after="0"/>
              <w:rPr>
                <w:sz w:val="20"/>
                <w:szCs w:val="20"/>
                <w:color w:val="auto"/>
              </w:rPr>
            </w:pPr>
          </w:p>
        </w:tc>
        <w:tc>
          <w:tcPr>
            <w:tcW w:w="660" w:type="dxa"/>
            <w:vAlign w:val="bottom"/>
            <w:tcBorders>
              <w:top w:val="single" w:sz="8" w:color="auto"/>
              <w:right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60" w:type="dxa"/>
            <w:vAlign w:val="bottom"/>
            <w:tcBorders>
              <w:top w:val="single" w:sz="8" w:color="auto"/>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6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1,078,247</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8680" w:type="dxa"/>
            <w:vAlign w:val="bottom"/>
            <w:vMerge w:val="restart"/>
          </w:tcPr>
          <w:p>
            <w:pPr>
              <w:ind w:left="40"/>
              <w:spacing w:after="0"/>
              <w:rPr>
                <w:sz w:val="20"/>
                <w:szCs w:val="20"/>
                <w:color w:val="auto"/>
              </w:rPr>
            </w:pPr>
            <w:r>
              <w:rPr>
                <w:rFonts w:ascii="Arial" w:cs="Arial" w:eastAsia="Arial" w:hAnsi="Arial"/>
                <w:sz w:val="18"/>
                <w:szCs w:val="18"/>
                <w:color w:val="auto"/>
              </w:rPr>
              <w:t>28,238,100 (See Item 4)</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8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2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8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Pr>
          <w:p>
            <w:pPr>
              <w:jc w:val="center"/>
              <w:ind w:left="538"/>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8680" w:type="dxa"/>
            <w:vAlign w:val="bottom"/>
            <w:vMerge w:val="restart"/>
          </w:tcPr>
          <w:p>
            <w:pPr>
              <w:ind w:left="40"/>
              <w:spacing w:after="0"/>
              <w:rPr>
                <w:sz w:val="20"/>
                <w:szCs w:val="20"/>
                <w:color w:val="auto"/>
              </w:rPr>
            </w:pPr>
            <w:r>
              <w:rPr>
                <w:rFonts w:ascii="Arial" w:cs="Arial" w:eastAsia="Arial" w:hAnsi="Arial"/>
                <w:sz w:val="18"/>
                <w:szCs w:val="18"/>
                <w:color w:val="auto"/>
              </w:rPr>
              <w:t>1,078,247</w:t>
            </w: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8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37,658,023 (See Item 4)</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w w:val="90"/>
              </w:rPr>
              <w:t>38,736,270</w:t>
            </w:r>
          </w:p>
        </w:tc>
        <w:tc>
          <w:tcPr>
            <w:tcW w:w="46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Not Applicable</w:t>
            </w: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IA</w:t>
            </w:r>
          </w:p>
        </w:tc>
        <w:tc>
          <w:tcPr>
            <w:tcW w:w="46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Plains All American Pipeline, L.P.</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333 Clay Street, Suite 1600, Houston, TX 77002</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19"/>
          <w:szCs w:val="19"/>
          <w:color w:val="auto"/>
        </w:rPr>
        <w:t>This 13G is being filed by Tortoise Capital Advisors, L.L.C., a Delaware limited liability company ("TCA").</w:t>
      </w:r>
    </w:p>
    <w:p>
      <w:pPr>
        <w:spacing w:after="0" w:line="2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00" w:lineRule="exact"/>
        <w:rPr>
          <w:sz w:val="20"/>
          <w:szCs w:val="20"/>
          <w:color w:val="auto"/>
        </w:rPr>
      </w:pPr>
    </w:p>
    <w:p>
      <w:pPr>
        <w:spacing w:after="0" w:line="29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The principal business address is 5100 W 115th Place, Leawood, KS 66211</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TCA is a Delaware limited liability company</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Units Representing Limited Partner Interests</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726503105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0"/>
          </w:cols>
          <w:pgMar w:left="240" w:top="121" w:right="127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Sections 240.13d-1(b) or</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240.13d-2(b) or (c), Check Whether the Person Filing Is a(n):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TCA is an investment adviser in accordance with Rule 13d-1(b)(1)(ii)(E).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TCA acts as an investment adviser to certain investment companies registered under the Investment Company Act of 1940. TCA, by virtue of investment advisory agreements</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with these investment companies, has all investment and voting power over securities owned of record by these investment companies. However, despite their delegation of</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investment and voting power to TCA, these investment companies may be deemed to be the beneficial owners under Rule 13d-3 of the Act, of the securities they own of record</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because they have the right to acquire investment and voting power through termination of their investment advisory agreement with TCA. Thus, TCA has reported that it shares</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voting power and dispositive power over the securities owned of record by these investment companies. TCA also acts as an investment adviser to certain managed accounts. Under</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contractual agreements with these managed account clients, TCA, with respect to the securities held in these client accounts, has investment and voting power with respect to</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certain of these client accounts, and has investment power but no voting power with respect to certain other of these client accounts. TCA has reported that it shares voting and/or</w:t>
      </w:r>
    </w:p>
    <w:p>
      <w:pPr>
        <w:spacing w:after="0" w:line="1"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investment power over the securities held by these client managed accounts despite a delegation of voting and/or investment power to TCA because the clients have the right to</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acquire investment and voting power through termination of their agreements with TCA. TCA may be deemed the beneficial owner of the securities covered by this statement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under Rule 13d-3 of the Act that are held by its clients.</w:t>
      </w:r>
    </w:p>
    <w:p>
      <w:pPr>
        <w:spacing w:after="0" w:line="238" w:lineRule="exact"/>
        <w:rPr>
          <w:sz w:val="20"/>
          <w:szCs w:val="20"/>
          <w:color w:val="auto"/>
        </w:rPr>
      </w:pPr>
    </w:p>
    <w:p>
      <w:pPr>
        <w:ind w:left="1300" w:right="804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38,736,270</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5.3%</w:t>
      </w:r>
    </w:p>
    <w:p>
      <w:pPr>
        <w:spacing w:after="0" w:line="237"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620" w:right="6920" w:hanging="315"/>
        <w:spacing w:after="0" w:line="277"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1,078,247</w:t>
      </w:r>
    </w:p>
    <w:p>
      <w:pPr>
        <w:spacing w:after="0" w:line="197" w:lineRule="exact"/>
        <w:rPr>
          <w:rFonts w:ascii="Arial" w:cs="Arial" w:eastAsia="Arial" w:hAnsi="Arial"/>
          <w:sz w:val="18"/>
          <w:szCs w:val="18"/>
          <w:color w:val="auto"/>
        </w:rPr>
      </w:pPr>
    </w:p>
    <w:p>
      <w:pPr>
        <w:ind w:left="1620" w:right="6740" w:hanging="315"/>
        <w:spacing w:after="0" w:line="277"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28,238,100</w:t>
      </w:r>
    </w:p>
    <w:p>
      <w:pPr>
        <w:spacing w:after="0" w:line="197" w:lineRule="exact"/>
        <w:rPr>
          <w:rFonts w:ascii="Arial" w:cs="Arial" w:eastAsia="Arial" w:hAnsi="Arial"/>
          <w:sz w:val="18"/>
          <w:szCs w:val="18"/>
          <w:color w:val="auto"/>
        </w:rPr>
      </w:pPr>
    </w:p>
    <w:p>
      <w:pPr>
        <w:ind w:left="1620" w:right="6000" w:hanging="315"/>
        <w:spacing w:after="0" w:line="277"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1,078,247</w:t>
      </w:r>
    </w:p>
    <w:p>
      <w:pPr>
        <w:spacing w:after="0" w:line="197" w:lineRule="exact"/>
        <w:rPr>
          <w:rFonts w:ascii="Arial" w:cs="Arial" w:eastAsia="Arial" w:hAnsi="Arial"/>
          <w:sz w:val="18"/>
          <w:szCs w:val="18"/>
          <w:color w:val="auto"/>
        </w:rPr>
      </w:pPr>
    </w:p>
    <w:p>
      <w:pPr>
        <w:ind w:left="1620" w:right="5820" w:hanging="315"/>
        <w:spacing w:after="0" w:line="277"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37,658,023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56" w:lineRule="exact"/>
        <w:rPr>
          <w:sz w:val="20"/>
          <w:szCs w:val="20"/>
          <w:color w:val="auto"/>
        </w:rPr>
      </w:pPr>
    </w:p>
    <w:p>
      <w:pPr>
        <w:ind w:left="980"/>
        <w:spacing w:after="0" w:line="258" w:lineRule="auto"/>
        <w:rPr>
          <w:sz w:val="20"/>
          <w:szCs w:val="20"/>
          <w:color w:val="auto"/>
        </w:rPr>
      </w:pPr>
      <w:r>
        <w:rPr>
          <w:rFonts w:ascii="Arial" w:cs="Arial" w:eastAsia="Arial" w:hAnsi="Arial"/>
          <w:sz w:val="18"/>
          <w:szCs w:val="18"/>
          <w:color w:val="auto"/>
        </w:rPr>
        <w:t>TCA's clients have the right to receive all dividends from, and the proceeds from the sale of, the securities held in their respective accounts. The interest of any one such</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person does not exceed 5% of the class of securities.</w:t>
      </w:r>
    </w:p>
    <w:p>
      <w:pPr>
        <w:spacing w:after="0" w:line="200" w:lineRule="exact"/>
        <w:rPr>
          <w:sz w:val="20"/>
          <w:szCs w:val="20"/>
          <w:color w:val="auto"/>
        </w:rPr>
      </w:pPr>
    </w:p>
    <w:p>
      <w:pPr>
        <w:spacing w:after="0" w:line="2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jc w:val="center"/>
        <w:ind w:right="80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right="80" w:firstLine="972"/>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5" w:name="page6"/>
    <w:bookmarkEnd w:id="5"/>
    <w:p>
      <w:pPr>
        <w:jc w:val="center"/>
        <w:ind w:right="-6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972"/>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14, 2020</w:t>
      </w: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TORTOISE CAPITAL ADVISORS, L.L.C.</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Diane Bono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Compliance Officer and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0800"/>
      </w:cols>
      <w:pgMar w:left="240" w:top="111"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4"/>
    </w:lvl>
  </w:abstractNum>
  <w:abstractNum w:abstractNumId="1">
    <w:nsid w:val="625558EC"/>
    <w:multiLevelType w:val="hybridMultilevel"/>
    <w:lvl w:ilvl="0">
      <w:lvlJc w:val="left"/>
      <w:lvlText w:val="[%1]"/>
      <w:numFmt w:val="lowerRoman"/>
      <w:start w:val="10"/>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2"/>
      <w:numFmt w:val="bullet"/>
      <w:start w:val="1"/>
    </w:lvl>
  </w:abstractNum>
  <w:abstractNum w:abstractNumId="4">
    <w:nsid w:val="3D1B58BA"/>
    <w:multiLevelType w:val="hybridMultilevel"/>
    <w:lvl w:ilvl="0">
      <w:lvlJc w:val="left"/>
      <w:lvlText w:val="4"/>
      <w:numFmt w:val="bullet"/>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2020-02-14T14:38:20Z</dcterms:created>
  <dcterms:modified xsi:type="dcterms:W3CDTF">2020-02-14T14:38:20Z</dcterms:modified>
</cp:coreProperties>
</file>